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0D1B6">
      <w:pPr>
        <w:spacing w:line="360" w:lineRule="auto"/>
        <w:rPr>
          <w:rFonts w:hint="eastAsia" w:ascii="宋体" w:hAnsi="宋体" w:eastAsia="宋体" w:cs="宋体"/>
          <w:color w:val="auto"/>
          <w:highlight w:val="none"/>
        </w:rPr>
      </w:pPr>
      <w:bookmarkStart w:id="0" w:name="_Toc492300545"/>
    </w:p>
    <w:p w14:paraId="42AB120E">
      <w:pPr>
        <w:pStyle w:val="18"/>
        <w:ind w:firstLine="200"/>
        <w:rPr>
          <w:rFonts w:hint="eastAsia" w:ascii="宋体" w:hAnsi="宋体" w:eastAsia="宋体" w:cs="宋体"/>
          <w:color w:val="auto"/>
          <w:highlight w:val="none"/>
        </w:rPr>
      </w:pPr>
    </w:p>
    <w:p w14:paraId="68639837">
      <w:pPr>
        <w:pStyle w:val="18"/>
        <w:ind w:firstLine="200"/>
        <w:rPr>
          <w:rFonts w:hint="eastAsia" w:ascii="宋体" w:hAnsi="宋体" w:eastAsia="宋体" w:cs="宋体"/>
          <w:color w:val="auto"/>
          <w:highlight w:val="none"/>
        </w:rPr>
      </w:pPr>
    </w:p>
    <w:p w14:paraId="3E82D8C8">
      <w:pPr>
        <w:topLinePunct/>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东南西环三滘立交市政化改造工程（二期）建筑工程一切险及第三者责任险</w:t>
      </w:r>
    </w:p>
    <w:p w14:paraId="25FE413E">
      <w:pPr>
        <w:topLinePunct/>
        <w:spacing w:line="360" w:lineRule="auto"/>
        <w:rPr>
          <w:rStyle w:val="28"/>
          <w:rFonts w:hint="eastAsia" w:ascii="宋体" w:hAnsi="宋体" w:eastAsia="宋体" w:cs="宋体"/>
          <w:b w:val="0"/>
          <w:color w:val="auto"/>
          <w:spacing w:val="40"/>
          <w:sz w:val="40"/>
          <w:szCs w:val="40"/>
          <w:highlight w:val="none"/>
        </w:rPr>
      </w:pPr>
    </w:p>
    <w:p w14:paraId="71FCF9E0">
      <w:pPr>
        <w:topLinePunct/>
        <w:spacing w:line="360" w:lineRule="auto"/>
        <w:rPr>
          <w:rStyle w:val="28"/>
          <w:rFonts w:hint="eastAsia" w:ascii="宋体" w:hAnsi="宋体" w:eastAsia="宋体" w:cs="宋体"/>
          <w:b w:val="0"/>
          <w:color w:val="auto"/>
          <w:spacing w:val="40"/>
          <w:sz w:val="40"/>
          <w:szCs w:val="40"/>
          <w:highlight w:val="none"/>
        </w:rPr>
      </w:pPr>
    </w:p>
    <w:p w14:paraId="3D2B37AF">
      <w:pPr>
        <w:topLinePunct/>
        <w:spacing w:line="360" w:lineRule="auto"/>
        <w:jc w:val="center"/>
        <w:rPr>
          <w:rStyle w:val="28"/>
          <w:rFonts w:hint="eastAsia" w:ascii="宋体" w:hAnsi="宋体" w:eastAsia="宋体" w:cs="宋体"/>
          <w:b w:val="0"/>
          <w:color w:val="auto"/>
          <w:spacing w:val="40"/>
          <w:kern w:val="10"/>
          <w:sz w:val="84"/>
          <w:szCs w:val="84"/>
          <w:highlight w:val="none"/>
        </w:rPr>
      </w:pPr>
      <w:r>
        <w:rPr>
          <w:rStyle w:val="28"/>
          <w:rFonts w:hint="eastAsia" w:ascii="宋体" w:hAnsi="宋体" w:eastAsia="宋体" w:cs="宋体"/>
          <w:color w:val="auto"/>
          <w:spacing w:val="40"/>
          <w:kern w:val="10"/>
          <w:sz w:val="84"/>
          <w:szCs w:val="84"/>
          <w:highlight w:val="none"/>
        </w:rPr>
        <w:t>招标文件</w:t>
      </w:r>
    </w:p>
    <w:p w14:paraId="7EBF2F80">
      <w:pPr>
        <w:topLinePunct/>
        <w:spacing w:line="360" w:lineRule="auto"/>
        <w:jc w:val="center"/>
        <w:rPr>
          <w:rStyle w:val="28"/>
          <w:rFonts w:hint="eastAsia" w:ascii="宋体" w:hAnsi="宋体" w:eastAsia="宋体" w:cs="宋体"/>
          <w:b w:val="0"/>
          <w:color w:val="auto"/>
          <w:spacing w:val="40"/>
          <w:kern w:val="10"/>
          <w:sz w:val="84"/>
          <w:szCs w:val="84"/>
          <w:highlight w:val="none"/>
        </w:rPr>
      </w:pPr>
    </w:p>
    <w:p w14:paraId="547F53B0">
      <w:pPr>
        <w:topLinePunct/>
        <w:spacing w:line="360" w:lineRule="auto"/>
        <w:rPr>
          <w:rFonts w:hint="eastAsia" w:ascii="宋体" w:hAnsi="宋体" w:eastAsia="宋体" w:cs="宋体"/>
          <w:color w:val="auto"/>
          <w:sz w:val="27"/>
          <w:szCs w:val="27"/>
          <w:highlight w:val="none"/>
        </w:rPr>
      </w:pPr>
    </w:p>
    <w:p w14:paraId="653776C4">
      <w:pPr>
        <w:pStyle w:val="18"/>
        <w:ind w:firstLine="270"/>
        <w:rPr>
          <w:rFonts w:hint="eastAsia" w:ascii="宋体" w:hAnsi="宋体" w:eastAsia="宋体" w:cs="宋体"/>
          <w:color w:val="auto"/>
          <w:sz w:val="27"/>
          <w:szCs w:val="27"/>
          <w:highlight w:val="none"/>
        </w:rPr>
      </w:pPr>
    </w:p>
    <w:p w14:paraId="3E8A43FC">
      <w:pPr>
        <w:pStyle w:val="18"/>
        <w:ind w:firstLine="270"/>
        <w:rPr>
          <w:rFonts w:hint="eastAsia" w:ascii="宋体" w:hAnsi="宋体" w:eastAsia="宋体" w:cs="宋体"/>
          <w:color w:val="auto"/>
          <w:sz w:val="27"/>
          <w:szCs w:val="27"/>
          <w:highlight w:val="none"/>
        </w:rPr>
      </w:pPr>
    </w:p>
    <w:p w14:paraId="12C75B85">
      <w:pPr>
        <w:pStyle w:val="18"/>
        <w:ind w:firstLine="270"/>
        <w:rPr>
          <w:rFonts w:hint="eastAsia" w:ascii="宋体" w:hAnsi="宋体" w:eastAsia="宋体" w:cs="宋体"/>
          <w:color w:val="auto"/>
          <w:sz w:val="27"/>
          <w:szCs w:val="27"/>
          <w:highlight w:val="none"/>
        </w:rPr>
      </w:pPr>
    </w:p>
    <w:p w14:paraId="16C9DF9B">
      <w:pPr>
        <w:pStyle w:val="18"/>
        <w:ind w:firstLine="270"/>
        <w:rPr>
          <w:rFonts w:hint="eastAsia" w:ascii="宋体" w:hAnsi="宋体" w:eastAsia="宋体" w:cs="宋体"/>
          <w:color w:val="auto"/>
          <w:sz w:val="27"/>
          <w:szCs w:val="27"/>
          <w:highlight w:val="none"/>
        </w:rPr>
      </w:pPr>
    </w:p>
    <w:p w14:paraId="6C42A533">
      <w:pPr>
        <w:spacing w:line="360" w:lineRule="auto"/>
        <w:ind w:firstLine="94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招  标 单 位：</w:t>
      </w:r>
      <w:r>
        <w:rPr>
          <w:rFonts w:hint="eastAsia" w:ascii="宋体" w:hAnsi="宋体" w:eastAsia="宋体" w:cs="宋体"/>
          <w:color w:val="auto"/>
          <w:sz w:val="30"/>
          <w:szCs w:val="30"/>
          <w:highlight w:val="none"/>
        </w:rPr>
        <w:t>广州交投城市道路建设有限公司</w:t>
      </w:r>
    </w:p>
    <w:p w14:paraId="759B9AF9">
      <w:pPr>
        <w:spacing w:line="360" w:lineRule="auto"/>
        <w:ind w:firstLine="94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招标代理单位：</w:t>
      </w:r>
      <w:r>
        <w:rPr>
          <w:rFonts w:hint="eastAsia" w:ascii="宋体" w:hAnsi="宋体" w:eastAsia="宋体" w:cs="宋体"/>
          <w:color w:val="auto"/>
          <w:sz w:val="30"/>
          <w:szCs w:val="30"/>
          <w:highlight w:val="none"/>
        </w:rPr>
        <w:t>广东粤信项目管理有限公司</w:t>
      </w:r>
    </w:p>
    <w:p w14:paraId="7F1F8BAA">
      <w:pPr>
        <w:spacing w:line="360" w:lineRule="auto"/>
        <w:ind w:firstLine="94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期：2024年</w:t>
      </w:r>
      <w:r>
        <w:rPr>
          <w:rFonts w:hint="eastAsia" w:ascii="宋体" w:hAnsi="宋体" w:eastAsia="宋体" w:cs="宋体"/>
          <w:color w:val="auto"/>
          <w:sz w:val="30"/>
          <w:highlight w:val="none"/>
          <w:lang w:val="en-US" w:eastAsia="zh-CN"/>
        </w:rPr>
        <w:t>10</w:t>
      </w:r>
      <w:r>
        <w:rPr>
          <w:rFonts w:hint="eastAsia" w:ascii="宋体" w:hAnsi="宋体" w:eastAsia="宋体" w:cs="宋体"/>
          <w:color w:val="auto"/>
          <w:sz w:val="30"/>
          <w:highlight w:val="none"/>
        </w:rPr>
        <w:t>月</w:t>
      </w:r>
    </w:p>
    <w:p w14:paraId="166FC0F2">
      <w:pPr>
        <w:spacing w:line="360" w:lineRule="auto"/>
        <w:ind w:firstLine="945"/>
        <w:rPr>
          <w:rFonts w:hint="eastAsia" w:ascii="宋体" w:hAnsi="宋体" w:eastAsia="宋体" w:cs="宋体"/>
          <w:color w:val="auto"/>
          <w:sz w:val="30"/>
          <w:highlight w:val="none"/>
        </w:rPr>
      </w:pPr>
    </w:p>
    <w:p w14:paraId="6591DB8E">
      <w:pPr>
        <w:rPr>
          <w:rFonts w:hint="eastAsia" w:ascii="宋体" w:hAnsi="宋体" w:eastAsia="宋体" w:cs="宋体"/>
          <w:color w:val="auto"/>
          <w:highlight w:val="none"/>
        </w:rPr>
        <w:sectPr>
          <w:footerReference r:id="rId3" w:type="default"/>
          <w:pgSz w:w="12240" w:h="15840"/>
          <w:pgMar w:top="1440" w:right="1425" w:bottom="1440" w:left="1800" w:header="720" w:footer="720" w:gutter="0"/>
          <w:cols w:space="720" w:num="1"/>
          <w:docGrid w:linePitch="285" w:charSpace="0"/>
        </w:sectPr>
      </w:pPr>
    </w:p>
    <w:p w14:paraId="1200973C">
      <w:pPr>
        <w:pStyle w:val="16"/>
        <w:spacing w:before="240" w:after="120"/>
        <w:jc w:val="center"/>
        <w:rPr>
          <w:rFonts w:hint="eastAsia" w:ascii="宋体" w:hAnsi="宋体" w:eastAsia="宋体" w:cs="宋体"/>
          <w:color w:val="auto"/>
          <w:highlight w:val="none"/>
        </w:rPr>
      </w:pPr>
      <w:bookmarkStart w:id="1" w:name="_Toc526786483"/>
      <w:r>
        <w:rPr>
          <w:rStyle w:val="27"/>
          <w:rFonts w:hint="eastAsia" w:ascii="宋体" w:hAnsi="宋体" w:cs="宋体"/>
          <w:color w:val="auto"/>
          <w:highlight w:val="none"/>
        </w:rPr>
        <w:t>目录</w:t>
      </w:r>
    </w:p>
    <w:p w14:paraId="11253332">
      <w:pPr>
        <w:pStyle w:val="16"/>
        <w:spacing w:before="240" w:after="120"/>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"1-1"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_Toc22637078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p>
    <w:p w14:paraId="22AF47FE">
      <w:pPr>
        <w:pStyle w:val="16"/>
        <w:spacing w:before="240" w:after="120"/>
        <w:rPr>
          <w:rFonts w:hint="eastAsia" w:ascii="宋体" w:hAnsi="宋体" w:eastAsia="宋体" w:cs="宋体"/>
          <w:color w:val="auto"/>
          <w:sz w:val="21"/>
          <w:szCs w:val="22"/>
          <w:highlight w:val="none"/>
        </w:rPr>
      </w:pP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_Toc22637079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p>
    <w:p w14:paraId="600A630B">
      <w:pPr>
        <w:pStyle w:val="16"/>
        <w:spacing w:before="240" w:after="120"/>
        <w:rPr>
          <w:rFonts w:hint="eastAsia" w:ascii="宋体" w:hAnsi="宋体" w:eastAsia="宋体" w:cs="宋体"/>
          <w:color w:val="auto"/>
          <w:sz w:val="21"/>
          <w:szCs w:val="22"/>
          <w:highlight w:val="none"/>
        </w:rPr>
      </w:pPr>
      <w:r>
        <w:rPr>
          <w:rFonts w:hint="eastAsia" w:ascii="宋体" w:hAnsi="宋体" w:eastAsia="宋体" w:cs="宋体"/>
          <w:color w:val="auto"/>
          <w:highlight w:val="none"/>
        </w:rPr>
        <w:t>第三章 评标办法 (综合评估法)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_Toc22637082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p>
    <w:p w14:paraId="3A94716D">
      <w:pPr>
        <w:pStyle w:val="16"/>
        <w:spacing w:before="240" w:after="120"/>
        <w:rPr>
          <w:rFonts w:hint="eastAsia" w:ascii="宋体" w:hAnsi="宋体" w:eastAsia="宋体" w:cs="宋体"/>
          <w:color w:val="auto"/>
          <w:sz w:val="21"/>
          <w:szCs w:val="22"/>
          <w:highlight w:val="none"/>
        </w:rPr>
      </w:pPr>
      <w:r>
        <w:rPr>
          <w:rFonts w:hint="eastAsia" w:ascii="宋体" w:hAnsi="宋体" w:eastAsia="宋体" w:cs="宋体"/>
          <w:color w:val="auto"/>
          <w:highlight w:val="none"/>
        </w:rPr>
        <w:t>第四章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_Toc22637083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p>
    <w:p w14:paraId="24265AE6">
      <w:pPr>
        <w:pStyle w:val="16"/>
        <w:spacing w:before="240" w:after="120"/>
        <w:rPr>
          <w:rFonts w:hint="eastAsia" w:ascii="宋体" w:hAnsi="宋体" w:eastAsia="宋体" w:cs="宋体"/>
          <w:color w:val="auto"/>
          <w:sz w:val="21"/>
          <w:szCs w:val="22"/>
          <w:highlight w:val="none"/>
        </w:rPr>
      </w:pPr>
      <w:r>
        <w:rPr>
          <w:rFonts w:hint="eastAsia" w:ascii="宋体" w:hAnsi="宋体" w:eastAsia="宋体" w:cs="宋体"/>
          <w:color w:val="auto"/>
          <w:highlight w:val="none"/>
        </w:rPr>
        <w:t>第五章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_Toc22637085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p>
    <w:p w14:paraId="686B4850">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201A0973">
      <w:pPr>
        <w:rPr>
          <w:rFonts w:hint="eastAsia" w:ascii="宋体" w:hAnsi="宋体" w:eastAsia="宋体" w:cs="宋体"/>
          <w:color w:val="auto"/>
          <w:highlight w:val="none"/>
        </w:rPr>
      </w:pPr>
    </w:p>
    <w:p w14:paraId="10038485">
      <w:pPr>
        <w:rPr>
          <w:rFonts w:hint="eastAsia" w:ascii="宋体" w:hAnsi="宋体" w:eastAsia="宋体" w:cs="宋体"/>
          <w:color w:val="auto"/>
          <w:highlight w:val="none"/>
        </w:rPr>
      </w:pPr>
      <w:bookmarkStart w:id="2" w:name="_Toc31690_WPSOffice_Level1"/>
      <w:r>
        <w:rPr>
          <w:rFonts w:hint="eastAsia" w:ascii="宋体" w:hAnsi="宋体" w:eastAsia="宋体" w:cs="宋体"/>
          <w:color w:val="auto"/>
          <w:highlight w:val="none"/>
        </w:rPr>
        <w:br w:type="page"/>
      </w:r>
    </w:p>
    <w:p w14:paraId="53500625">
      <w:pPr>
        <w:rPr>
          <w:rFonts w:hint="eastAsia" w:ascii="宋体" w:hAnsi="宋体" w:eastAsia="宋体" w:cs="宋体"/>
          <w:color w:val="auto"/>
          <w:highlight w:val="none"/>
        </w:rPr>
      </w:pPr>
      <w:bookmarkStart w:id="3" w:name="_Toc22637078"/>
    </w:p>
    <w:p w14:paraId="0D143978">
      <w:pPr>
        <w:rPr>
          <w:rFonts w:hint="eastAsia" w:ascii="宋体" w:hAnsi="宋体" w:eastAsia="宋体" w:cs="宋体"/>
          <w:color w:val="auto"/>
          <w:highlight w:val="none"/>
        </w:rPr>
      </w:pPr>
    </w:p>
    <w:p w14:paraId="6392B1FF">
      <w:pPr>
        <w:rPr>
          <w:rFonts w:hint="eastAsia" w:ascii="宋体" w:hAnsi="宋体" w:eastAsia="宋体" w:cs="宋体"/>
          <w:color w:val="auto"/>
          <w:highlight w:val="none"/>
        </w:rPr>
      </w:pPr>
    </w:p>
    <w:p w14:paraId="005184D5">
      <w:pPr>
        <w:rPr>
          <w:rFonts w:hint="eastAsia" w:ascii="宋体" w:hAnsi="宋体" w:eastAsia="宋体" w:cs="宋体"/>
          <w:color w:val="auto"/>
          <w:highlight w:val="none"/>
        </w:rPr>
      </w:pPr>
    </w:p>
    <w:p w14:paraId="35ACA4CA">
      <w:pPr>
        <w:rPr>
          <w:rFonts w:hint="eastAsia" w:ascii="宋体" w:hAnsi="宋体" w:eastAsia="宋体" w:cs="宋体"/>
          <w:color w:val="auto"/>
          <w:highlight w:val="none"/>
        </w:rPr>
      </w:pPr>
    </w:p>
    <w:p w14:paraId="6CAD124C">
      <w:pPr>
        <w:rPr>
          <w:rFonts w:hint="eastAsia" w:ascii="宋体" w:hAnsi="宋体" w:eastAsia="宋体" w:cs="宋体"/>
          <w:color w:val="auto"/>
          <w:highlight w:val="none"/>
        </w:rPr>
      </w:pPr>
    </w:p>
    <w:p w14:paraId="79B4B8F8">
      <w:pPr>
        <w:rPr>
          <w:rFonts w:hint="eastAsia" w:ascii="宋体" w:hAnsi="宋体" w:eastAsia="宋体" w:cs="宋体"/>
          <w:color w:val="auto"/>
          <w:highlight w:val="none"/>
        </w:rPr>
      </w:pPr>
    </w:p>
    <w:p w14:paraId="38FA4EC8">
      <w:pPr>
        <w:rPr>
          <w:rFonts w:hint="eastAsia" w:ascii="宋体" w:hAnsi="宋体" w:eastAsia="宋体" w:cs="宋体"/>
          <w:color w:val="auto"/>
          <w:highlight w:val="none"/>
        </w:rPr>
      </w:pPr>
    </w:p>
    <w:p w14:paraId="2ED2BF2E">
      <w:pPr>
        <w:rPr>
          <w:rFonts w:hint="eastAsia" w:ascii="宋体" w:hAnsi="宋体" w:eastAsia="宋体" w:cs="宋体"/>
          <w:color w:val="auto"/>
          <w:highlight w:val="none"/>
        </w:rPr>
      </w:pPr>
    </w:p>
    <w:p w14:paraId="49132E1F">
      <w:pPr>
        <w:rPr>
          <w:rFonts w:hint="eastAsia" w:ascii="宋体" w:hAnsi="宋体" w:eastAsia="宋体" w:cs="宋体"/>
          <w:color w:val="auto"/>
          <w:highlight w:val="none"/>
        </w:rPr>
      </w:pPr>
    </w:p>
    <w:p w14:paraId="74E500E1">
      <w:pPr>
        <w:rPr>
          <w:rFonts w:hint="eastAsia" w:ascii="宋体" w:hAnsi="宋体" w:eastAsia="宋体" w:cs="宋体"/>
          <w:color w:val="auto"/>
          <w:highlight w:val="none"/>
        </w:rPr>
      </w:pPr>
    </w:p>
    <w:p w14:paraId="69000B48">
      <w:pPr>
        <w:rPr>
          <w:rFonts w:hint="eastAsia" w:ascii="宋体" w:hAnsi="宋体" w:eastAsia="宋体" w:cs="宋体"/>
          <w:color w:val="auto"/>
          <w:highlight w:val="none"/>
        </w:rPr>
      </w:pPr>
    </w:p>
    <w:p w14:paraId="1891B21F">
      <w:pPr>
        <w:rPr>
          <w:rFonts w:hint="eastAsia" w:ascii="宋体" w:hAnsi="宋体" w:eastAsia="宋体" w:cs="宋体"/>
          <w:color w:val="auto"/>
          <w:highlight w:val="none"/>
        </w:rPr>
      </w:pPr>
    </w:p>
    <w:p w14:paraId="1C53E3D9">
      <w:pPr>
        <w:rPr>
          <w:rFonts w:hint="eastAsia" w:ascii="宋体" w:hAnsi="宋体" w:eastAsia="宋体" w:cs="宋体"/>
          <w:color w:val="auto"/>
          <w:highlight w:val="none"/>
        </w:rPr>
      </w:pPr>
    </w:p>
    <w:p w14:paraId="63564077">
      <w:pPr>
        <w:rPr>
          <w:rFonts w:hint="eastAsia" w:ascii="宋体" w:hAnsi="宋体" w:eastAsia="宋体" w:cs="宋体"/>
          <w:color w:val="auto"/>
          <w:highlight w:val="none"/>
        </w:rPr>
      </w:pPr>
    </w:p>
    <w:p w14:paraId="77E4DE95">
      <w:pPr>
        <w:rPr>
          <w:rFonts w:hint="eastAsia" w:ascii="宋体" w:hAnsi="宋体" w:eastAsia="宋体" w:cs="宋体"/>
          <w:color w:val="auto"/>
          <w:highlight w:val="none"/>
        </w:rPr>
      </w:pPr>
    </w:p>
    <w:p w14:paraId="46CF2E45">
      <w:pPr>
        <w:pStyle w:val="3"/>
        <w:spacing w:line="240" w:lineRule="auto"/>
        <w:jc w:val="center"/>
        <w:rPr>
          <w:rFonts w:hint="eastAsia" w:ascii="宋体" w:hAnsi="宋体" w:cs="宋体"/>
          <w:color w:val="auto"/>
          <w:highlight w:val="none"/>
        </w:rPr>
      </w:pPr>
      <w:r>
        <w:rPr>
          <w:rFonts w:hint="eastAsia" w:ascii="宋体" w:hAnsi="宋体" w:cs="宋体"/>
          <w:color w:val="auto"/>
          <w:highlight w:val="none"/>
        </w:rPr>
        <w:t>第一章 招标公告</w:t>
      </w:r>
      <w:bookmarkEnd w:id="1"/>
      <w:bookmarkEnd w:id="2"/>
      <w:bookmarkEnd w:id="3"/>
    </w:p>
    <w:p w14:paraId="4F9799D6">
      <w:pPr>
        <w:rPr>
          <w:rFonts w:hint="eastAsia" w:ascii="宋体" w:hAnsi="宋体" w:eastAsia="宋体" w:cs="宋体"/>
          <w:color w:val="auto"/>
          <w:highlight w:val="none"/>
        </w:rPr>
      </w:pPr>
    </w:p>
    <w:p w14:paraId="6A0388B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（另册）</w:t>
      </w:r>
    </w:p>
    <w:bookmarkEnd w:id="0"/>
    <w:p w14:paraId="1B8EA02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81E2E6">
      <w:pPr>
        <w:pStyle w:val="3"/>
        <w:spacing w:line="240" w:lineRule="auto"/>
        <w:jc w:val="center"/>
        <w:rPr>
          <w:rFonts w:hint="eastAsia" w:ascii="宋体" w:hAnsi="宋体" w:cs="宋体"/>
          <w:color w:val="auto"/>
          <w:highlight w:val="none"/>
        </w:rPr>
      </w:pPr>
      <w:bookmarkStart w:id="4" w:name="_Toc22637079"/>
      <w:bookmarkStart w:id="5" w:name="_Toc17448_WPSOffice_Level1"/>
      <w:r>
        <w:rPr>
          <w:rFonts w:hint="eastAsia" w:ascii="宋体" w:hAnsi="宋体" w:cs="宋体"/>
          <w:color w:val="auto"/>
          <w:highlight w:val="none"/>
        </w:rPr>
        <w:t>第二章 投标人须知</w:t>
      </w:r>
      <w:bookmarkEnd w:id="4"/>
      <w:bookmarkEnd w:id="5"/>
    </w:p>
    <w:p w14:paraId="1530BFE9">
      <w:pPr>
        <w:pStyle w:val="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投标人须知前附表</w:t>
      </w:r>
    </w:p>
    <w:tbl>
      <w:tblPr>
        <w:tblStyle w:val="20"/>
        <w:tblW w:w="9039" w:type="dxa"/>
        <w:tblInd w:w="0" w:type="dxa"/>
        <w:tblLayout w:type="fixed"/>
        <w:tblCellMar>
          <w:top w:w="0" w:type="dxa"/>
          <w:left w:w="108" w:type="dxa"/>
          <w:bottom w:w="0" w:type="dxa"/>
          <w:right w:w="108" w:type="dxa"/>
        </w:tblCellMar>
      </w:tblPr>
      <w:tblGrid>
        <w:gridCol w:w="1165"/>
        <w:gridCol w:w="2629"/>
        <w:gridCol w:w="5245"/>
      </w:tblGrid>
      <w:tr w14:paraId="3ABF6B33">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14:paraId="7BFCEADA">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29" w:type="dxa"/>
            <w:tcBorders>
              <w:top w:val="single" w:color="auto" w:sz="4" w:space="0"/>
              <w:left w:val="single" w:color="auto" w:sz="4" w:space="0"/>
              <w:bottom w:val="single" w:color="auto" w:sz="4" w:space="0"/>
              <w:right w:val="single" w:color="auto" w:sz="4" w:space="0"/>
            </w:tcBorders>
            <w:vAlign w:val="center"/>
          </w:tcPr>
          <w:p w14:paraId="00EED554">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5245" w:type="dxa"/>
            <w:tcBorders>
              <w:top w:val="single" w:color="auto" w:sz="4" w:space="0"/>
              <w:left w:val="single" w:color="auto" w:sz="4" w:space="0"/>
              <w:bottom w:val="single" w:color="auto" w:sz="4" w:space="0"/>
              <w:right w:val="single" w:color="auto" w:sz="4" w:space="0"/>
            </w:tcBorders>
            <w:vAlign w:val="center"/>
          </w:tcPr>
          <w:p w14:paraId="79F4CC5F">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6805B32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CD1EBC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629" w:type="dxa"/>
            <w:tcBorders>
              <w:top w:val="single" w:color="auto" w:sz="4" w:space="0"/>
              <w:left w:val="single" w:color="auto" w:sz="4" w:space="0"/>
              <w:bottom w:val="single" w:color="auto" w:sz="4" w:space="0"/>
              <w:right w:val="single" w:color="auto" w:sz="4" w:space="0"/>
            </w:tcBorders>
            <w:vAlign w:val="center"/>
          </w:tcPr>
          <w:p w14:paraId="65D5FFD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5245" w:type="dxa"/>
            <w:tcBorders>
              <w:top w:val="single" w:color="auto" w:sz="4" w:space="0"/>
              <w:left w:val="single" w:color="auto" w:sz="4" w:space="0"/>
              <w:bottom w:val="single" w:color="auto" w:sz="4" w:space="0"/>
              <w:right w:val="single" w:color="auto" w:sz="4" w:space="0"/>
            </w:tcBorders>
            <w:vAlign w:val="center"/>
          </w:tcPr>
          <w:p w14:paraId="1E4FC67C">
            <w:pPr>
              <w:topLinePunct/>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招标人：广州交投城市道路建设有限公司</w:t>
            </w:r>
          </w:p>
          <w:p w14:paraId="4667FDFE">
            <w:pPr>
              <w:topLinePunct/>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地址：广州市海珠区新港东路1138号智通广场B塔6F</w:t>
            </w:r>
          </w:p>
          <w:p w14:paraId="7FFE3800">
            <w:pPr>
              <w:topLinePunct/>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联系人：纪工</w:t>
            </w:r>
          </w:p>
          <w:p w14:paraId="3AB6BFB5">
            <w:pPr>
              <w:topLinePunct/>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电话：020－84029950-8895</w:t>
            </w:r>
          </w:p>
        </w:tc>
      </w:tr>
      <w:tr w14:paraId="3CD86C6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A28A3D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629" w:type="dxa"/>
            <w:tcBorders>
              <w:top w:val="single" w:color="auto" w:sz="4" w:space="0"/>
              <w:left w:val="single" w:color="auto" w:sz="4" w:space="0"/>
              <w:bottom w:val="single" w:color="auto" w:sz="4" w:space="0"/>
              <w:right w:val="single" w:color="auto" w:sz="4" w:space="0"/>
            </w:tcBorders>
            <w:vAlign w:val="center"/>
          </w:tcPr>
          <w:p w14:paraId="05D16F9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5245" w:type="dxa"/>
            <w:tcBorders>
              <w:top w:val="single" w:color="auto" w:sz="4" w:space="0"/>
              <w:left w:val="single" w:color="auto" w:sz="4" w:space="0"/>
              <w:bottom w:val="single" w:color="auto" w:sz="4" w:space="0"/>
              <w:right w:val="single" w:color="auto" w:sz="4" w:space="0"/>
            </w:tcBorders>
            <w:vAlign w:val="center"/>
          </w:tcPr>
          <w:p w14:paraId="7B1019B1">
            <w:pPr>
              <w:topLinePunct/>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招标代理机构：广东粤信项目管理有限公司</w:t>
            </w:r>
          </w:p>
          <w:p w14:paraId="2345046E">
            <w:pPr>
              <w:topLinePunct/>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地址：广州市天河区天寿路31号江河大厦1305室</w:t>
            </w:r>
          </w:p>
          <w:p w14:paraId="25DB83DE">
            <w:pPr>
              <w:topLinePunct/>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联系人：王工</w:t>
            </w:r>
          </w:p>
          <w:p w14:paraId="094844B8">
            <w:pPr>
              <w:topLinePunct/>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电话：020-37209484-821/18820054044</w:t>
            </w:r>
          </w:p>
        </w:tc>
      </w:tr>
      <w:tr w14:paraId="5F8F8B24">
        <w:tblPrEx>
          <w:tblCellMar>
            <w:top w:w="0" w:type="dxa"/>
            <w:left w:w="108" w:type="dxa"/>
            <w:bottom w:w="0" w:type="dxa"/>
            <w:right w:w="108" w:type="dxa"/>
          </w:tblCellMar>
        </w:tblPrEx>
        <w:trPr>
          <w:trHeight w:val="679" w:hRule="atLeast"/>
        </w:trPr>
        <w:tc>
          <w:tcPr>
            <w:tcW w:w="1165" w:type="dxa"/>
            <w:tcBorders>
              <w:top w:val="single" w:color="auto" w:sz="4" w:space="0"/>
              <w:left w:val="single" w:color="auto" w:sz="4" w:space="0"/>
              <w:bottom w:val="single" w:color="auto" w:sz="4" w:space="0"/>
              <w:right w:val="single" w:color="auto" w:sz="4" w:space="0"/>
            </w:tcBorders>
            <w:vAlign w:val="center"/>
          </w:tcPr>
          <w:p w14:paraId="4C47FB6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629" w:type="dxa"/>
            <w:tcBorders>
              <w:top w:val="single" w:color="auto" w:sz="4" w:space="0"/>
              <w:left w:val="single" w:color="auto" w:sz="4" w:space="0"/>
              <w:bottom w:val="single" w:color="auto" w:sz="4" w:space="0"/>
              <w:right w:val="single" w:color="auto" w:sz="4" w:space="0"/>
            </w:tcBorders>
            <w:vAlign w:val="center"/>
          </w:tcPr>
          <w:p w14:paraId="40B9AF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5245" w:type="dxa"/>
            <w:tcBorders>
              <w:top w:val="single" w:color="auto" w:sz="4" w:space="0"/>
              <w:left w:val="single" w:color="auto" w:sz="4" w:space="0"/>
              <w:bottom w:val="single" w:color="auto" w:sz="4" w:space="0"/>
              <w:right w:val="single" w:color="auto" w:sz="4" w:space="0"/>
            </w:tcBorders>
            <w:vAlign w:val="center"/>
          </w:tcPr>
          <w:p w14:paraId="1B834A0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东南西环三滘立交市政化改造工程（二期）建筑工程一切险及第三者责任险</w:t>
            </w:r>
          </w:p>
        </w:tc>
      </w:tr>
      <w:tr w14:paraId="42E8DA6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57EC54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629" w:type="dxa"/>
            <w:tcBorders>
              <w:top w:val="single" w:color="auto" w:sz="4" w:space="0"/>
              <w:left w:val="single" w:color="auto" w:sz="4" w:space="0"/>
              <w:bottom w:val="single" w:color="auto" w:sz="4" w:space="0"/>
              <w:right w:val="single" w:color="auto" w:sz="4" w:space="0"/>
            </w:tcBorders>
            <w:vAlign w:val="center"/>
          </w:tcPr>
          <w:p w14:paraId="6EE55B3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5245" w:type="dxa"/>
            <w:tcBorders>
              <w:top w:val="single" w:color="auto" w:sz="4" w:space="0"/>
              <w:left w:val="single" w:color="auto" w:sz="4" w:space="0"/>
              <w:bottom w:val="single" w:color="auto" w:sz="4" w:space="0"/>
              <w:right w:val="single" w:color="auto" w:sz="4" w:space="0"/>
            </w:tcBorders>
            <w:vAlign w:val="center"/>
          </w:tcPr>
          <w:p w14:paraId="191D7E0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489F05A">
        <w:tblPrEx>
          <w:tblCellMar>
            <w:top w:w="0" w:type="dxa"/>
            <w:left w:w="108" w:type="dxa"/>
            <w:bottom w:w="0" w:type="dxa"/>
            <w:right w:w="108" w:type="dxa"/>
          </w:tblCellMar>
        </w:tblPrEx>
        <w:trPr>
          <w:trHeight w:val="540" w:hRule="atLeast"/>
        </w:trPr>
        <w:tc>
          <w:tcPr>
            <w:tcW w:w="1165" w:type="dxa"/>
            <w:tcBorders>
              <w:top w:val="single" w:color="auto" w:sz="4" w:space="0"/>
              <w:left w:val="single" w:color="auto" w:sz="4" w:space="0"/>
              <w:bottom w:val="single" w:color="auto" w:sz="4" w:space="0"/>
              <w:right w:val="single" w:color="auto" w:sz="4" w:space="0"/>
            </w:tcBorders>
            <w:vAlign w:val="center"/>
          </w:tcPr>
          <w:p w14:paraId="326C9DA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629" w:type="dxa"/>
            <w:tcBorders>
              <w:top w:val="single" w:color="auto" w:sz="4" w:space="0"/>
              <w:left w:val="single" w:color="auto" w:sz="4" w:space="0"/>
              <w:bottom w:val="single" w:color="auto" w:sz="4" w:space="0"/>
              <w:right w:val="single" w:color="auto" w:sz="4" w:space="0"/>
            </w:tcBorders>
            <w:vAlign w:val="center"/>
          </w:tcPr>
          <w:p w14:paraId="11F43B2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5245" w:type="dxa"/>
            <w:tcBorders>
              <w:top w:val="single" w:color="auto" w:sz="4" w:space="0"/>
              <w:left w:val="single" w:color="auto" w:sz="4" w:space="0"/>
              <w:bottom w:val="single" w:color="auto" w:sz="4" w:space="0"/>
              <w:right w:val="single" w:color="auto" w:sz="4" w:space="0"/>
            </w:tcBorders>
            <w:vAlign w:val="center"/>
          </w:tcPr>
          <w:p w14:paraId="5FBD52C4">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5036A4C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B52B3F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w:t>
            </w:r>
          </w:p>
        </w:tc>
        <w:tc>
          <w:tcPr>
            <w:tcW w:w="2629" w:type="dxa"/>
            <w:tcBorders>
              <w:top w:val="single" w:color="auto" w:sz="4" w:space="0"/>
              <w:left w:val="single" w:color="auto" w:sz="4" w:space="0"/>
              <w:bottom w:val="single" w:color="auto" w:sz="4" w:space="0"/>
              <w:right w:val="single" w:color="auto" w:sz="4" w:space="0"/>
            </w:tcBorders>
            <w:vAlign w:val="center"/>
          </w:tcPr>
          <w:p w14:paraId="6C7249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5245" w:type="dxa"/>
            <w:tcBorders>
              <w:top w:val="single" w:color="auto" w:sz="4" w:space="0"/>
              <w:left w:val="single" w:color="auto" w:sz="4" w:space="0"/>
              <w:bottom w:val="single" w:color="auto" w:sz="4" w:space="0"/>
              <w:right w:val="single" w:color="auto" w:sz="4" w:space="0"/>
            </w:tcBorders>
            <w:vAlign w:val="center"/>
          </w:tcPr>
          <w:p w14:paraId="1E27E97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个月。出具保险单之日起（具体出具保险单时间以投保人要求为准）至工程签发竣工验收证书之日二十四时止，另加保证期12个月，总保险期限不超过60个月，如本工程无法在暂定建设期内完工，投保人需提前书面告知保险人延长建设期。保险期限=建设期+保证期，其中：</w:t>
            </w:r>
          </w:p>
          <w:p w14:paraId="6701964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建设期：出具保险单之日起（具体出具保险单时间以投保人要求为准）至工程签发竣工验收证书之日二十四时止（暂定24个月,暂定为2024年12月30日至2026年12月30日）。</w:t>
            </w:r>
          </w:p>
          <w:p w14:paraId="2300243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保证期：保证期自工程签发竣工验收证书之日次日的00时开始12个月，暂定为2026年12月31日至2027年12月31日，最终按照实际签发竣工验收证书时间开始计算。</w:t>
            </w:r>
          </w:p>
        </w:tc>
      </w:tr>
      <w:tr w14:paraId="29E25EE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AFE8A9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w:t>
            </w:r>
          </w:p>
        </w:tc>
        <w:tc>
          <w:tcPr>
            <w:tcW w:w="2629" w:type="dxa"/>
            <w:tcBorders>
              <w:top w:val="single" w:color="auto" w:sz="4" w:space="0"/>
              <w:left w:val="single" w:color="auto" w:sz="4" w:space="0"/>
              <w:bottom w:val="single" w:color="auto" w:sz="4" w:space="0"/>
              <w:right w:val="single" w:color="auto" w:sz="4" w:space="0"/>
            </w:tcBorders>
            <w:vAlign w:val="center"/>
          </w:tcPr>
          <w:p w14:paraId="18284B3C">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建筑安装工程费/工程概算</w:t>
            </w:r>
          </w:p>
        </w:tc>
        <w:tc>
          <w:tcPr>
            <w:tcW w:w="5245" w:type="dxa"/>
            <w:tcBorders>
              <w:top w:val="single" w:color="auto" w:sz="4" w:space="0"/>
              <w:left w:val="single" w:color="auto" w:sz="4" w:space="0"/>
              <w:bottom w:val="single" w:color="auto" w:sz="4" w:space="0"/>
              <w:right w:val="single" w:color="auto" w:sz="4" w:space="0"/>
            </w:tcBorders>
            <w:vAlign w:val="center"/>
          </w:tcPr>
          <w:p w14:paraId="642E443E">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5DCF8D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92114B8">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629" w:type="dxa"/>
            <w:tcBorders>
              <w:top w:val="single" w:color="auto" w:sz="4" w:space="0"/>
              <w:left w:val="single" w:color="auto" w:sz="4" w:space="0"/>
              <w:bottom w:val="single" w:color="auto" w:sz="4" w:space="0"/>
              <w:right w:val="single" w:color="auto" w:sz="4" w:space="0"/>
            </w:tcBorders>
            <w:vAlign w:val="center"/>
          </w:tcPr>
          <w:p w14:paraId="16A538F0">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5245" w:type="dxa"/>
            <w:tcBorders>
              <w:top w:val="single" w:color="auto" w:sz="4" w:space="0"/>
              <w:left w:val="single" w:color="auto" w:sz="4" w:space="0"/>
              <w:bottom w:val="single" w:color="auto" w:sz="4" w:space="0"/>
              <w:right w:val="single" w:color="auto" w:sz="4" w:space="0"/>
            </w:tcBorders>
            <w:vAlign w:val="center"/>
          </w:tcPr>
          <w:p w14:paraId="46224D1A">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448F244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2A4C704">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29" w:type="dxa"/>
            <w:tcBorders>
              <w:top w:val="single" w:color="auto" w:sz="4" w:space="0"/>
              <w:left w:val="single" w:color="auto" w:sz="4" w:space="0"/>
              <w:bottom w:val="single" w:color="auto" w:sz="4" w:space="0"/>
              <w:right w:val="single" w:color="auto" w:sz="4" w:space="0"/>
            </w:tcBorders>
            <w:vAlign w:val="center"/>
          </w:tcPr>
          <w:p w14:paraId="3755976E">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5245" w:type="dxa"/>
            <w:tcBorders>
              <w:top w:val="single" w:color="auto" w:sz="4" w:space="0"/>
              <w:left w:val="single" w:color="auto" w:sz="4" w:space="0"/>
              <w:bottom w:val="single" w:color="auto" w:sz="4" w:space="0"/>
              <w:right w:val="single" w:color="auto" w:sz="4" w:space="0"/>
            </w:tcBorders>
            <w:vAlign w:val="center"/>
          </w:tcPr>
          <w:p w14:paraId="2725C5B8">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资金来源已经落实。</w:t>
            </w:r>
          </w:p>
        </w:tc>
      </w:tr>
      <w:tr w14:paraId="378E81D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6891785">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629" w:type="dxa"/>
            <w:tcBorders>
              <w:top w:val="single" w:color="auto" w:sz="4" w:space="0"/>
              <w:left w:val="single" w:color="auto" w:sz="4" w:space="0"/>
              <w:bottom w:val="single" w:color="auto" w:sz="4" w:space="0"/>
              <w:right w:val="single" w:color="auto" w:sz="4" w:space="0"/>
            </w:tcBorders>
            <w:vAlign w:val="center"/>
          </w:tcPr>
          <w:p w14:paraId="0CA40474">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5245" w:type="dxa"/>
            <w:tcBorders>
              <w:top w:val="single" w:color="auto" w:sz="4" w:space="0"/>
              <w:left w:val="single" w:color="auto" w:sz="4" w:space="0"/>
              <w:bottom w:val="single" w:color="auto" w:sz="4" w:space="0"/>
              <w:right w:val="single" w:color="auto" w:sz="4" w:space="0"/>
            </w:tcBorders>
            <w:vAlign w:val="center"/>
          </w:tcPr>
          <w:p w14:paraId="4EE6F9EE">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50D5A5C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C515F9F">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629" w:type="dxa"/>
            <w:tcBorders>
              <w:top w:val="single" w:color="auto" w:sz="4" w:space="0"/>
              <w:left w:val="single" w:color="auto" w:sz="4" w:space="0"/>
              <w:bottom w:val="single" w:color="auto" w:sz="4" w:space="0"/>
              <w:right w:val="single" w:color="auto" w:sz="4" w:space="0"/>
            </w:tcBorders>
            <w:vAlign w:val="center"/>
          </w:tcPr>
          <w:p w14:paraId="5DB8437F">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5245" w:type="dxa"/>
            <w:tcBorders>
              <w:top w:val="single" w:color="auto" w:sz="4" w:space="0"/>
              <w:left w:val="single" w:color="auto" w:sz="4" w:space="0"/>
              <w:bottom w:val="single" w:color="auto" w:sz="4" w:space="0"/>
              <w:right w:val="single" w:color="auto" w:sz="4" w:space="0"/>
            </w:tcBorders>
            <w:vAlign w:val="center"/>
          </w:tcPr>
          <w:p w14:paraId="06D0F943">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76C6846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59D673B">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629" w:type="dxa"/>
            <w:tcBorders>
              <w:top w:val="single" w:color="auto" w:sz="4" w:space="0"/>
              <w:left w:val="single" w:color="auto" w:sz="4" w:space="0"/>
              <w:bottom w:val="single" w:color="auto" w:sz="4" w:space="0"/>
              <w:right w:val="single" w:color="auto" w:sz="4" w:space="0"/>
            </w:tcBorders>
            <w:vAlign w:val="center"/>
          </w:tcPr>
          <w:p w14:paraId="484E708E">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245" w:type="dxa"/>
            <w:tcBorders>
              <w:top w:val="single" w:color="auto" w:sz="4" w:space="0"/>
              <w:left w:val="single" w:color="auto" w:sz="4" w:space="0"/>
              <w:bottom w:val="single" w:color="auto" w:sz="4" w:space="0"/>
              <w:right w:val="single" w:color="auto" w:sz="4" w:space="0"/>
            </w:tcBorders>
            <w:vAlign w:val="center"/>
          </w:tcPr>
          <w:p w14:paraId="12ABD994">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按国家或地方等相关规定执行的合格标准。</w:t>
            </w:r>
          </w:p>
        </w:tc>
      </w:tr>
      <w:tr w14:paraId="6C6F83B6">
        <w:tblPrEx>
          <w:tblCellMar>
            <w:top w:w="0" w:type="dxa"/>
            <w:left w:w="108" w:type="dxa"/>
            <w:bottom w:w="0" w:type="dxa"/>
            <w:right w:w="108" w:type="dxa"/>
          </w:tblCellMar>
        </w:tblPrEx>
        <w:trPr>
          <w:trHeight w:val="3712" w:hRule="atLeast"/>
        </w:trPr>
        <w:tc>
          <w:tcPr>
            <w:tcW w:w="1165" w:type="dxa"/>
            <w:tcBorders>
              <w:top w:val="single" w:color="auto" w:sz="4" w:space="0"/>
              <w:left w:val="single" w:color="auto" w:sz="4" w:space="0"/>
              <w:bottom w:val="single" w:color="auto" w:sz="4" w:space="0"/>
              <w:right w:val="single" w:color="auto" w:sz="4" w:space="0"/>
            </w:tcBorders>
            <w:vAlign w:val="center"/>
          </w:tcPr>
          <w:p w14:paraId="034E99E4">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629" w:type="dxa"/>
            <w:tcBorders>
              <w:top w:val="single" w:color="auto" w:sz="4" w:space="0"/>
              <w:left w:val="single" w:color="auto" w:sz="4" w:space="0"/>
              <w:bottom w:val="single" w:color="auto" w:sz="4" w:space="0"/>
              <w:right w:val="single" w:color="auto" w:sz="4" w:space="0"/>
            </w:tcBorders>
            <w:vAlign w:val="center"/>
          </w:tcPr>
          <w:p w14:paraId="2F3135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5245" w:type="dxa"/>
            <w:tcBorders>
              <w:top w:val="single" w:color="auto" w:sz="4" w:space="0"/>
              <w:left w:val="single" w:color="auto" w:sz="4" w:space="0"/>
              <w:bottom w:val="single" w:color="auto" w:sz="4" w:space="0"/>
              <w:right w:val="single" w:color="auto" w:sz="4" w:space="0"/>
            </w:tcBorders>
            <w:vAlign w:val="center"/>
          </w:tcPr>
          <w:p w14:paraId="5D0F251F">
            <w:pPr>
              <w:spacing w:before="240"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（1）资质要求：详见招标公告投标人资格要求；</w:t>
            </w:r>
          </w:p>
          <w:p w14:paraId="1D2A937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（2）财务要求：不要求；</w:t>
            </w:r>
          </w:p>
          <w:p w14:paraId="2BF5E5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（3）业绩要求：不要求；</w:t>
            </w:r>
          </w:p>
          <w:p w14:paraId="1F78856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（4）信誉要求：不要求；</w:t>
            </w:r>
          </w:p>
          <w:p w14:paraId="3D2E181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（5）项目负责人的资格要求：不要求；</w:t>
            </w:r>
          </w:p>
          <w:p w14:paraId="2D2256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（6）其他主要人员要求：不要求；</w:t>
            </w:r>
          </w:p>
          <w:p w14:paraId="105783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（7）试验检测仪器设备要求：不要求；</w:t>
            </w:r>
          </w:p>
          <w:p w14:paraId="41961C90">
            <w:pPr>
              <w:spacing w:after="72" w:afterLines="3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（8）其他要求：详见招标公告投标人资格要求。</w:t>
            </w:r>
          </w:p>
        </w:tc>
      </w:tr>
      <w:tr w14:paraId="631AEC2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D2B4858">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629" w:type="dxa"/>
            <w:tcBorders>
              <w:top w:val="single" w:color="auto" w:sz="4" w:space="0"/>
              <w:left w:val="single" w:color="auto" w:sz="4" w:space="0"/>
              <w:bottom w:val="single" w:color="auto" w:sz="4" w:space="0"/>
              <w:right w:val="single" w:color="auto" w:sz="4" w:space="0"/>
            </w:tcBorders>
            <w:vAlign w:val="center"/>
          </w:tcPr>
          <w:p w14:paraId="5E4519A5">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5245" w:type="dxa"/>
            <w:tcBorders>
              <w:top w:val="single" w:color="auto" w:sz="4" w:space="0"/>
              <w:left w:val="single" w:color="auto" w:sz="4" w:space="0"/>
              <w:bottom w:val="single" w:color="auto" w:sz="4" w:space="0"/>
              <w:right w:val="single" w:color="auto" w:sz="4" w:space="0"/>
            </w:tcBorders>
            <w:vAlign w:val="center"/>
          </w:tcPr>
          <w:p w14:paraId="3871CF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p w14:paraId="189718C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□接受，应满足下列要求：/</w:t>
            </w:r>
          </w:p>
        </w:tc>
      </w:tr>
      <w:tr w14:paraId="3E1EB44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2680259">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w:t>
            </w:r>
          </w:p>
        </w:tc>
        <w:tc>
          <w:tcPr>
            <w:tcW w:w="2629" w:type="dxa"/>
            <w:tcBorders>
              <w:top w:val="single" w:color="auto" w:sz="4" w:space="0"/>
              <w:left w:val="single" w:color="auto" w:sz="4" w:space="0"/>
              <w:bottom w:val="single" w:color="auto" w:sz="4" w:space="0"/>
              <w:right w:val="single" w:color="auto" w:sz="4" w:space="0"/>
            </w:tcBorders>
            <w:vAlign w:val="center"/>
          </w:tcPr>
          <w:p w14:paraId="74352857">
            <w:pPr>
              <w:spacing w:after="120"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投标人不得存在的其他情形</w:t>
            </w:r>
          </w:p>
        </w:tc>
        <w:tc>
          <w:tcPr>
            <w:tcW w:w="5245" w:type="dxa"/>
            <w:tcBorders>
              <w:top w:val="single" w:color="auto" w:sz="4" w:space="0"/>
              <w:left w:val="single" w:color="auto" w:sz="4" w:space="0"/>
              <w:bottom w:val="single" w:color="auto" w:sz="4" w:space="0"/>
              <w:right w:val="single" w:color="auto" w:sz="4" w:space="0"/>
            </w:tcBorders>
            <w:vAlign w:val="center"/>
          </w:tcPr>
          <w:p w14:paraId="3E952A5C">
            <w:pPr>
              <w:topLinePunct/>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6DABFDE7">
        <w:tblPrEx>
          <w:tblCellMar>
            <w:top w:w="0" w:type="dxa"/>
            <w:left w:w="108" w:type="dxa"/>
            <w:bottom w:w="0" w:type="dxa"/>
            <w:right w:w="108" w:type="dxa"/>
          </w:tblCellMar>
        </w:tblPrEx>
        <w:trPr>
          <w:trHeight w:val="1703" w:hRule="atLeast"/>
        </w:trPr>
        <w:tc>
          <w:tcPr>
            <w:tcW w:w="1165" w:type="dxa"/>
            <w:tcBorders>
              <w:top w:val="single" w:color="auto" w:sz="4" w:space="0"/>
              <w:left w:val="single" w:color="auto" w:sz="4" w:space="0"/>
              <w:bottom w:val="single" w:color="auto" w:sz="4" w:space="0"/>
              <w:right w:val="single" w:color="auto" w:sz="4" w:space="0"/>
            </w:tcBorders>
            <w:vAlign w:val="center"/>
          </w:tcPr>
          <w:p w14:paraId="192B0A57">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629" w:type="dxa"/>
            <w:tcBorders>
              <w:top w:val="single" w:color="auto" w:sz="4" w:space="0"/>
              <w:left w:val="single" w:color="auto" w:sz="4" w:space="0"/>
              <w:bottom w:val="single" w:color="auto" w:sz="4" w:space="0"/>
              <w:right w:val="single" w:color="auto" w:sz="4" w:space="0"/>
            </w:tcBorders>
            <w:vAlign w:val="center"/>
          </w:tcPr>
          <w:p w14:paraId="0CD29ED9">
            <w:pPr>
              <w:spacing w:after="120"/>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5245" w:type="dxa"/>
            <w:tcBorders>
              <w:top w:val="single" w:color="auto" w:sz="4" w:space="0"/>
              <w:left w:val="single" w:color="auto" w:sz="4" w:space="0"/>
              <w:bottom w:val="single" w:color="auto" w:sz="4" w:space="0"/>
              <w:right w:val="single" w:color="auto" w:sz="4" w:space="0"/>
            </w:tcBorders>
            <w:vAlign w:val="center"/>
          </w:tcPr>
          <w:p w14:paraId="6617AAB7">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r>
              <w:rPr>
                <w:rFonts w:hint="eastAsia" w:ascii="宋体" w:hAnsi="宋体" w:eastAsia="宋体" w:cs="宋体"/>
                <w:color w:val="auto"/>
                <w:sz w:val="21"/>
                <w:szCs w:val="21"/>
                <w:highlight w:val="none"/>
                <w:u w:val="single"/>
              </w:rPr>
              <w:t>本次招标项目不统一组织现场考察，各投标人可根据需要自行现场考察。</w:t>
            </w:r>
          </w:p>
          <w:p w14:paraId="537F1EFD">
            <w:pPr>
              <w:pStyle w:val="7"/>
              <w:topLinePunct/>
              <w:spacing w:after="4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□组织，踏勘时间：/</w:t>
            </w:r>
          </w:p>
          <w:p w14:paraId="6208EE8F">
            <w:pPr>
              <w:pStyle w:val="7"/>
              <w:topLinePunct/>
              <w:spacing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踏勘集中地点：/</w:t>
            </w:r>
          </w:p>
        </w:tc>
      </w:tr>
      <w:tr w14:paraId="77989408">
        <w:tblPrEx>
          <w:tblCellMar>
            <w:top w:w="0" w:type="dxa"/>
            <w:left w:w="108" w:type="dxa"/>
            <w:bottom w:w="0" w:type="dxa"/>
            <w:right w:w="108" w:type="dxa"/>
          </w:tblCellMar>
        </w:tblPrEx>
        <w:trPr>
          <w:trHeight w:val="1086" w:hRule="atLeast"/>
        </w:trPr>
        <w:tc>
          <w:tcPr>
            <w:tcW w:w="1165" w:type="dxa"/>
            <w:tcBorders>
              <w:top w:val="single" w:color="auto" w:sz="4" w:space="0"/>
              <w:left w:val="single" w:color="auto" w:sz="4" w:space="0"/>
              <w:bottom w:val="single" w:color="auto" w:sz="4" w:space="0"/>
              <w:right w:val="single" w:color="auto" w:sz="4" w:space="0"/>
            </w:tcBorders>
            <w:vAlign w:val="center"/>
          </w:tcPr>
          <w:p w14:paraId="1435C738">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2629" w:type="dxa"/>
            <w:tcBorders>
              <w:top w:val="single" w:color="auto" w:sz="4" w:space="0"/>
              <w:left w:val="single" w:color="auto" w:sz="4" w:space="0"/>
              <w:bottom w:val="single" w:color="auto" w:sz="4" w:space="0"/>
              <w:right w:val="single" w:color="auto" w:sz="4" w:space="0"/>
            </w:tcBorders>
            <w:vAlign w:val="center"/>
          </w:tcPr>
          <w:p w14:paraId="2DE56188">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5245" w:type="dxa"/>
            <w:tcBorders>
              <w:top w:val="single" w:color="auto" w:sz="4" w:space="0"/>
              <w:left w:val="single" w:color="auto" w:sz="4" w:space="0"/>
              <w:bottom w:val="single" w:color="auto" w:sz="4" w:space="0"/>
              <w:right w:val="single" w:color="auto" w:sz="4" w:space="0"/>
            </w:tcBorders>
            <w:vAlign w:val="center"/>
          </w:tcPr>
          <w:p w14:paraId="4A509A5F">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60F500B1">
            <w:pPr>
              <w:spacing w:after="40"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□召开，召开时间：/</w:t>
            </w:r>
          </w:p>
          <w:p w14:paraId="38A03CA2">
            <w:pPr>
              <w:spacing w:after="12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召开地点：/</w:t>
            </w:r>
          </w:p>
        </w:tc>
      </w:tr>
      <w:tr w14:paraId="3961B6E5">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14:paraId="24DB5B3F">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2629" w:type="dxa"/>
            <w:vMerge w:val="restart"/>
            <w:tcBorders>
              <w:top w:val="single" w:color="auto" w:sz="4" w:space="0"/>
              <w:left w:val="single" w:color="auto" w:sz="4" w:space="0"/>
              <w:right w:val="single" w:color="auto" w:sz="4" w:space="0"/>
            </w:tcBorders>
            <w:vAlign w:val="center"/>
          </w:tcPr>
          <w:p w14:paraId="3F07F72C">
            <w:pPr>
              <w:spacing w:after="120"/>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w:t>
            </w:r>
          </w:p>
        </w:tc>
        <w:tc>
          <w:tcPr>
            <w:tcW w:w="5245" w:type="dxa"/>
            <w:tcBorders>
              <w:top w:val="single" w:color="auto" w:sz="4" w:space="0"/>
              <w:left w:val="single" w:color="auto" w:sz="4" w:space="0"/>
              <w:bottom w:val="single" w:color="auto" w:sz="4" w:space="0"/>
              <w:right w:val="single" w:color="auto" w:sz="4" w:space="0"/>
            </w:tcBorders>
            <w:vAlign w:val="center"/>
          </w:tcPr>
          <w:p w14:paraId="4D6B3DD6">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r>
      <w:tr w14:paraId="4789BCB9">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14:paraId="56AC197E">
            <w:pPr>
              <w:keepNext/>
              <w:keepLines/>
              <w:spacing w:line="440" w:lineRule="exact"/>
              <w:jc w:val="center"/>
              <w:outlineLvl w:val="2"/>
              <w:rPr>
                <w:rFonts w:hint="eastAsia" w:ascii="宋体" w:hAnsi="宋体" w:eastAsia="宋体" w:cs="宋体"/>
                <w:color w:val="auto"/>
                <w:szCs w:val="21"/>
                <w:highlight w:val="none"/>
              </w:rPr>
            </w:pPr>
          </w:p>
        </w:tc>
        <w:tc>
          <w:tcPr>
            <w:tcW w:w="2629" w:type="dxa"/>
            <w:vMerge w:val="continue"/>
            <w:tcBorders>
              <w:left w:val="single" w:color="auto" w:sz="4" w:space="0"/>
              <w:bottom w:val="single" w:color="auto" w:sz="4" w:space="0"/>
              <w:right w:val="single" w:color="auto" w:sz="4" w:space="0"/>
            </w:tcBorders>
            <w:vAlign w:val="center"/>
          </w:tcPr>
          <w:p w14:paraId="07DB89F9">
            <w:pPr>
              <w:keepNext/>
              <w:keepLines/>
              <w:spacing w:line="440" w:lineRule="exact"/>
              <w:jc w:val="center"/>
              <w:outlineLvl w:val="2"/>
              <w:rPr>
                <w:rFonts w:hint="eastAsia" w:ascii="宋体" w:hAnsi="宋体" w:eastAsia="宋体" w:cs="宋体"/>
                <w:color w:val="auto"/>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02DB58D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p>
        </w:tc>
      </w:tr>
      <w:tr w14:paraId="62419395">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14:paraId="34234E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2629" w:type="dxa"/>
            <w:tcBorders>
              <w:left w:val="single" w:color="auto" w:sz="4" w:space="0"/>
              <w:bottom w:val="single" w:color="auto" w:sz="4" w:space="0"/>
              <w:right w:val="single" w:color="auto" w:sz="4" w:space="0"/>
            </w:tcBorders>
            <w:vAlign w:val="center"/>
          </w:tcPr>
          <w:p w14:paraId="07FB583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5245" w:type="dxa"/>
            <w:tcBorders>
              <w:top w:val="single" w:color="auto" w:sz="4" w:space="0"/>
              <w:left w:val="single" w:color="auto" w:sz="4" w:space="0"/>
              <w:bottom w:val="single" w:color="auto" w:sz="4" w:space="0"/>
              <w:right w:val="single" w:color="auto" w:sz="4" w:space="0"/>
            </w:tcBorders>
            <w:vAlign w:val="center"/>
          </w:tcPr>
          <w:p w14:paraId="3A563C09">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（此为投标预备会的答疑澄清）</w:t>
            </w:r>
          </w:p>
        </w:tc>
      </w:tr>
      <w:tr w14:paraId="2815B0C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7BA253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w:t>
            </w:r>
          </w:p>
        </w:tc>
        <w:tc>
          <w:tcPr>
            <w:tcW w:w="2629" w:type="dxa"/>
            <w:tcBorders>
              <w:top w:val="single" w:color="auto" w:sz="4" w:space="0"/>
              <w:left w:val="single" w:color="auto" w:sz="4" w:space="0"/>
              <w:bottom w:val="single" w:color="auto" w:sz="4" w:space="0"/>
              <w:right w:val="single" w:color="auto" w:sz="4" w:space="0"/>
            </w:tcBorders>
            <w:vAlign w:val="center"/>
          </w:tcPr>
          <w:p w14:paraId="546AACD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5245" w:type="dxa"/>
            <w:tcBorders>
              <w:top w:val="single" w:color="auto" w:sz="4" w:space="0"/>
              <w:left w:val="single" w:color="auto" w:sz="4" w:space="0"/>
              <w:bottom w:val="single" w:color="auto" w:sz="4" w:space="0"/>
              <w:right w:val="single" w:color="auto" w:sz="4" w:space="0"/>
            </w:tcBorders>
            <w:vAlign w:val="center"/>
          </w:tcPr>
          <w:p w14:paraId="09528B8B">
            <w:pPr>
              <w:pStyle w:val="7"/>
              <w:topLinePunct/>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10D38F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964679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w:t>
            </w:r>
          </w:p>
        </w:tc>
        <w:tc>
          <w:tcPr>
            <w:tcW w:w="2629" w:type="dxa"/>
            <w:tcBorders>
              <w:top w:val="single" w:color="auto" w:sz="4" w:space="0"/>
              <w:left w:val="single" w:color="auto" w:sz="4" w:space="0"/>
              <w:bottom w:val="single" w:color="auto" w:sz="4" w:space="0"/>
              <w:right w:val="single" w:color="auto" w:sz="4" w:space="0"/>
            </w:tcBorders>
            <w:vAlign w:val="center"/>
          </w:tcPr>
          <w:p w14:paraId="6C59E68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5245" w:type="dxa"/>
            <w:tcBorders>
              <w:top w:val="single" w:color="auto" w:sz="4" w:space="0"/>
              <w:left w:val="single" w:color="auto" w:sz="4" w:space="0"/>
              <w:bottom w:val="single" w:color="auto" w:sz="4" w:space="0"/>
              <w:right w:val="single" w:color="auto" w:sz="4" w:space="0"/>
            </w:tcBorders>
            <w:vAlign w:val="center"/>
          </w:tcPr>
          <w:p w14:paraId="28FC5075">
            <w:pPr>
              <w:pStyle w:val="7"/>
              <w:topLinePunct/>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0B18BCBF">
            <w:pPr>
              <w:pStyle w:val="7"/>
              <w:topLinePunct/>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□允许，偏差范围：/</w:t>
            </w:r>
          </w:p>
          <w:p w14:paraId="45CF0916">
            <w:pPr>
              <w:pStyle w:val="7"/>
              <w:topLinePunct/>
              <w:spacing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偏差幅度：/</w:t>
            </w:r>
          </w:p>
        </w:tc>
      </w:tr>
      <w:tr w14:paraId="5D0F434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9A2777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29" w:type="dxa"/>
            <w:tcBorders>
              <w:top w:val="single" w:color="auto" w:sz="4" w:space="0"/>
              <w:left w:val="single" w:color="auto" w:sz="4" w:space="0"/>
              <w:bottom w:val="single" w:color="auto" w:sz="4" w:space="0"/>
              <w:right w:val="single" w:color="auto" w:sz="4" w:space="0"/>
            </w:tcBorders>
            <w:vAlign w:val="center"/>
          </w:tcPr>
          <w:p w14:paraId="38D00C1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5245" w:type="dxa"/>
            <w:tcBorders>
              <w:top w:val="single" w:color="auto" w:sz="4" w:space="0"/>
              <w:left w:val="single" w:color="auto" w:sz="4" w:space="0"/>
              <w:bottom w:val="single" w:color="auto" w:sz="4" w:space="0"/>
              <w:right w:val="single" w:color="auto" w:sz="4" w:space="0"/>
            </w:tcBorders>
            <w:vAlign w:val="center"/>
          </w:tcPr>
          <w:p w14:paraId="00C0919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补充公告（如有）、答疑纪要、澄清文件等（如有）</w:t>
            </w:r>
          </w:p>
        </w:tc>
      </w:tr>
      <w:tr w14:paraId="05E15F3F">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14:paraId="419262E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629" w:type="dxa"/>
            <w:vMerge w:val="restart"/>
            <w:tcBorders>
              <w:top w:val="single" w:color="auto" w:sz="4" w:space="0"/>
              <w:left w:val="single" w:color="auto" w:sz="4" w:space="0"/>
              <w:right w:val="single" w:color="auto" w:sz="4" w:space="0"/>
            </w:tcBorders>
            <w:vAlign w:val="center"/>
          </w:tcPr>
          <w:p w14:paraId="3993535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w:t>
            </w:r>
          </w:p>
        </w:tc>
        <w:tc>
          <w:tcPr>
            <w:tcW w:w="5245" w:type="dxa"/>
            <w:tcBorders>
              <w:top w:val="single" w:color="auto" w:sz="4" w:space="0"/>
              <w:left w:val="single" w:color="auto" w:sz="4" w:space="0"/>
              <w:bottom w:val="single" w:color="auto" w:sz="4" w:space="0"/>
              <w:right w:val="single" w:color="auto" w:sz="4" w:space="0"/>
            </w:tcBorders>
            <w:vAlign w:val="center"/>
          </w:tcPr>
          <w:p w14:paraId="550FD0E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时间：在提交投标文件截止时间18天前提出。</w:t>
            </w:r>
          </w:p>
        </w:tc>
      </w:tr>
      <w:tr w14:paraId="5E8F618A">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14:paraId="5C626A84">
            <w:pPr>
              <w:keepNext/>
              <w:keepLines/>
              <w:spacing w:line="440" w:lineRule="exact"/>
              <w:jc w:val="center"/>
              <w:outlineLvl w:val="2"/>
              <w:rPr>
                <w:rFonts w:hint="eastAsia" w:ascii="宋体" w:hAnsi="宋体" w:eastAsia="宋体" w:cs="宋体"/>
                <w:color w:val="auto"/>
                <w:szCs w:val="21"/>
                <w:highlight w:val="none"/>
              </w:rPr>
            </w:pPr>
          </w:p>
        </w:tc>
        <w:tc>
          <w:tcPr>
            <w:tcW w:w="2629" w:type="dxa"/>
            <w:vMerge w:val="continue"/>
            <w:tcBorders>
              <w:left w:val="single" w:color="auto" w:sz="4" w:space="0"/>
              <w:bottom w:val="single" w:color="auto" w:sz="4" w:space="0"/>
              <w:right w:val="single" w:color="auto" w:sz="4" w:space="0"/>
            </w:tcBorders>
            <w:vAlign w:val="center"/>
          </w:tcPr>
          <w:p w14:paraId="319097FE">
            <w:pPr>
              <w:keepNext/>
              <w:keepLines/>
              <w:spacing w:line="440" w:lineRule="exact"/>
              <w:jc w:val="center"/>
              <w:outlineLvl w:val="2"/>
              <w:rPr>
                <w:rFonts w:hint="eastAsia" w:ascii="宋体" w:hAnsi="宋体" w:eastAsia="宋体" w:cs="宋体"/>
                <w:color w:val="auto"/>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249DDF5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1、招标答疑采用网上答疑方式进行。投标人若对招标文件有疑问的，可在规定的时间内通过广州交易集团有限公司（广州公共资源交易中心）网站登录新建设工程交易平台将问题提交给招标人或招标代理人，提交问题时一律不得署名。</w:t>
            </w:r>
          </w:p>
          <w:p w14:paraId="1E220CD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答疑的操作指南为：登陆广州交易集团有限公司（广州公共资源交易中心）网站→凭CA数字证书登录新建设工程交易平台→我是投标人→招标答疑提问→通过项目编号或名称找到所需的项目→在上述的答疑时间内点击“答疑提问”→无记名或匿名提出问题以及查看所有的问题。</w:t>
            </w:r>
          </w:p>
          <w:p w14:paraId="5117D0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在投标截止时间18日前停止质疑。招标人应在投标截止时间15日前解答投标人对招标文件提出的疑问，形成答疑纪要，并在广州交易集团有限公司（广州公共资源交易中心）网站项目答疑专区和广州国企阳光采购信息发布平台发布。</w:t>
            </w:r>
          </w:p>
        </w:tc>
      </w:tr>
      <w:tr w14:paraId="5597CCA1">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14:paraId="2B6C1E1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2629" w:type="dxa"/>
            <w:tcBorders>
              <w:left w:val="single" w:color="auto" w:sz="4" w:space="0"/>
              <w:bottom w:val="single" w:color="auto" w:sz="4" w:space="0"/>
              <w:right w:val="single" w:color="auto" w:sz="4" w:space="0"/>
            </w:tcBorders>
            <w:vAlign w:val="center"/>
          </w:tcPr>
          <w:p w14:paraId="2A6557B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5245" w:type="dxa"/>
            <w:tcBorders>
              <w:top w:val="single" w:color="auto" w:sz="4" w:space="0"/>
              <w:left w:val="single" w:color="auto" w:sz="4" w:space="0"/>
              <w:bottom w:val="single" w:color="auto" w:sz="4" w:space="0"/>
              <w:right w:val="single" w:color="auto" w:sz="4" w:space="0"/>
            </w:tcBorders>
            <w:vAlign w:val="center"/>
          </w:tcPr>
          <w:p w14:paraId="779F8C9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在递交投标文件截止时间15日前；在广州交易集团有限公司（广州公共资源交易中心）网站通过项目答疑专区和广州国企阳光采购信息发布平台网上公开发布。不足15日的，招标人应当顺延投标文件的截止时间。</w:t>
            </w:r>
          </w:p>
        </w:tc>
      </w:tr>
      <w:tr w14:paraId="47D6BDBC">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14:paraId="56FD67C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629" w:type="dxa"/>
            <w:vMerge w:val="restart"/>
            <w:tcBorders>
              <w:top w:val="single" w:color="auto" w:sz="4" w:space="0"/>
              <w:left w:val="single" w:color="auto" w:sz="4" w:space="0"/>
              <w:right w:val="single" w:color="auto" w:sz="4" w:space="0"/>
            </w:tcBorders>
            <w:vAlign w:val="center"/>
          </w:tcPr>
          <w:p w14:paraId="27C356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投标人确认收到招标文件澄清</w:t>
            </w:r>
          </w:p>
        </w:tc>
        <w:tc>
          <w:tcPr>
            <w:tcW w:w="5245" w:type="dxa"/>
            <w:tcBorders>
              <w:top w:val="single" w:color="auto" w:sz="4" w:space="0"/>
              <w:left w:val="single" w:color="auto" w:sz="4" w:space="0"/>
              <w:bottom w:val="single" w:color="auto" w:sz="4" w:space="0"/>
              <w:right w:val="single" w:color="auto" w:sz="4" w:space="0"/>
            </w:tcBorders>
            <w:vAlign w:val="center"/>
          </w:tcPr>
          <w:p w14:paraId="30819D9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网上答疑,</w:t>
            </w:r>
            <w:r>
              <w:rPr>
                <w:rFonts w:hint="eastAsia" w:ascii="宋体" w:hAnsi="宋体" w:eastAsia="宋体" w:cs="宋体"/>
                <w:color w:val="auto"/>
                <w:szCs w:val="21"/>
                <w:highlight w:val="none"/>
              </w:rPr>
              <w:t>发出即视作收到。</w:t>
            </w:r>
          </w:p>
        </w:tc>
      </w:tr>
      <w:tr w14:paraId="396412CD">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14:paraId="41D334CC">
            <w:pPr>
              <w:keepNext/>
              <w:keepLines/>
              <w:spacing w:line="440" w:lineRule="exact"/>
              <w:jc w:val="center"/>
              <w:outlineLvl w:val="2"/>
              <w:rPr>
                <w:rFonts w:hint="eastAsia" w:ascii="宋体" w:hAnsi="宋体" w:eastAsia="宋体" w:cs="宋体"/>
                <w:color w:val="auto"/>
                <w:szCs w:val="21"/>
                <w:highlight w:val="none"/>
              </w:rPr>
            </w:pPr>
          </w:p>
        </w:tc>
        <w:tc>
          <w:tcPr>
            <w:tcW w:w="2629" w:type="dxa"/>
            <w:vMerge w:val="continue"/>
            <w:tcBorders>
              <w:left w:val="single" w:color="auto" w:sz="4" w:space="0"/>
              <w:bottom w:val="single" w:color="auto" w:sz="4" w:space="0"/>
              <w:right w:val="single" w:color="auto" w:sz="4" w:space="0"/>
            </w:tcBorders>
            <w:vAlign w:val="center"/>
          </w:tcPr>
          <w:p w14:paraId="5754973F">
            <w:pPr>
              <w:keepNext/>
              <w:keepLines/>
              <w:spacing w:line="440" w:lineRule="exact"/>
              <w:jc w:val="center"/>
              <w:outlineLvl w:val="2"/>
              <w:rPr>
                <w:rFonts w:hint="eastAsia" w:ascii="宋体" w:hAnsi="宋体" w:eastAsia="宋体" w:cs="宋体"/>
                <w:color w:val="auto"/>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62415E5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招标文件澄清（招标答疑纪要）一经在广州公共资源交易中心网站和广州国企阳光采购信息发布平台发布，视作已发放给所有投标人，无需确认。潜在投标人应自行关注招标公告公布的网站公告，招标人不再一一通知。投标人因自身贻误行为导致投标失败的，责任自负。</w:t>
            </w:r>
          </w:p>
        </w:tc>
      </w:tr>
      <w:tr w14:paraId="7EDAD7F8">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14:paraId="6C514D8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w:t>
            </w:r>
          </w:p>
        </w:tc>
        <w:tc>
          <w:tcPr>
            <w:tcW w:w="2629" w:type="dxa"/>
            <w:tcBorders>
              <w:left w:val="single" w:color="auto" w:sz="4" w:space="0"/>
              <w:bottom w:val="single" w:color="auto" w:sz="4" w:space="0"/>
              <w:right w:val="single" w:color="auto" w:sz="4" w:space="0"/>
            </w:tcBorders>
            <w:vAlign w:val="center"/>
          </w:tcPr>
          <w:p w14:paraId="1611FD6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招标文件修改发出的形式</w:t>
            </w:r>
          </w:p>
        </w:tc>
        <w:tc>
          <w:tcPr>
            <w:tcW w:w="5245" w:type="dxa"/>
            <w:tcBorders>
              <w:top w:val="single" w:color="auto" w:sz="4" w:space="0"/>
              <w:left w:val="single" w:color="auto" w:sz="4" w:space="0"/>
              <w:bottom w:val="single" w:color="auto" w:sz="4" w:space="0"/>
              <w:right w:val="single" w:color="auto" w:sz="4" w:space="0"/>
            </w:tcBorders>
            <w:vAlign w:val="center"/>
          </w:tcPr>
          <w:p w14:paraId="4EDA453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以补充公告或项目答疑澄清的方式在广州公共资源交易中心网站和广州国企阳光采购信息发布平台发布。</w:t>
            </w:r>
          </w:p>
        </w:tc>
      </w:tr>
      <w:tr w14:paraId="283C84C9">
        <w:tblPrEx>
          <w:tblCellMar>
            <w:top w:w="0" w:type="dxa"/>
            <w:left w:w="108" w:type="dxa"/>
            <w:bottom w:w="0" w:type="dxa"/>
            <w:right w:w="108" w:type="dxa"/>
          </w:tblCellMar>
        </w:tblPrEx>
        <w:trPr>
          <w:trHeight w:val="536" w:hRule="atLeast"/>
        </w:trPr>
        <w:tc>
          <w:tcPr>
            <w:tcW w:w="1165" w:type="dxa"/>
            <w:tcBorders>
              <w:top w:val="single" w:color="auto" w:sz="4" w:space="0"/>
              <w:left w:val="single" w:color="auto" w:sz="4" w:space="0"/>
              <w:bottom w:val="single" w:color="auto" w:sz="4" w:space="0"/>
              <w:right w:val="single" w:color="auto" w:sz="4" w:space="0"/>
            </w:tcBorders>
            <w:vAlign w:val="center"/>
          </w:tcPr>
          <w:p w14:paraId="2E2A02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2629" w:type="dxa"/>
            <w:tcBorders>
              <w:top w:val="single" w:color="auto" w:sz="4" w:space="0"/>
              <w:left w:val="single" w:color="auto" w:sz="4" w:space="0"/>
              <w:bottom w:val="single" w:color="auto" w:sz="4" w:space="0"/>
              <w:right w:val="single" w:color="auto" w:sz="4" w:space="0"/>
            </w:tcBorders>
            <w:vAlign w:val="center"/>
          </w:tcPr>
          <w:p w14:paraId="195BB7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w:t>
            </w:r>
          </w:p>
        </w:tc>
        <w:tc>
          <w:tcPr>
            <w:tcW w:w="5245" w:type="dxa"/>
            <w:tcBorders>
              <w:top w:val="single" w:color="auto" w:sz="4" w:space="0"/>
              <w:left w:val="single" w:color="auto" w:sz="4" w:space="0"/>
              <w:bottom w:val="single" w:color="auto" w:sz="4" w:space="0"/>
              <w:right w:val="single" w:color="auto" w:sz="4" w:space="0"/>
            </w:tcBorders>
            <w:vAlign w:val="center"/>
          </w:tcPr>
          <w:p w14:paraId="06B483F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时间：发出即视作收到</w:t>
            </w:r>
          </w:p>
          <w:p w14:paraId="6CB98BD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修改一经在广州公共资源交易中心网站和广州国企阳光采购信息发布平台发布，视作已发放给所有投标人，无需确认。潜在投标人应自行关注招标公告公布的网站公告，招标人不再一一通知。投标人因自身贻误行为导致投标失败的，责任自负。</w:t>
            </w:r>
          </w:p>
        </w:tc>
      </w:tr>
      <w:tr w14:paraId="47EBC66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B7AD68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2629" w:type="dxa"/>
            <w:tcBorders>
              <w:top w:val="single" w:color="auto" w:sz="4" w:space="0"/>
              <w:left w:val="single" w:color="auto" w:sz="4" w:space="0"/>
              <w:bottom w:val="single" w:color="auto" w:sz="4" w:space="0"/>
              <w:right w:val="single" w:color="auto" w:sz="4" w:space="0"/>
            </w:tcBorders>
            <w:vAlign w:val="center"/>
          </w:tcPr>
          <w:p w14:paraId="4AEDF6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5245" w:type="dxa"/>
            <w:tcBorders>
              <w:top w:val="single" w:color="auto" w:sz="4" w:space="0"/>
              <w:left w:val="single" w:color="auto" w:sz="4" w:space="0"/>
              <w:bottom w:val="single" w:color="auto" w:sz="4" w:space="0"/>
              <w:right w:val="single" w:color="auto" w:sz="4" w:space="0"/>
            </w:tcBorders>
            <w:vAlign w:val="center"/>
          </w:tcPr>
          <w:p w14:paraId="4BFD6A13">
            <w:pPr>
              <w:spacing w:line="440" w:lineRule="exact"/>
              <w:rPr>
                <w:rFonts w:hint="eastAsia" w:ascii="宋体" w:hAnsi="宋体" w:eastAsia="宋体" w:cs="宋体"/>
                <w:color w:val="auto"/>
                <w:szCs w:val="21"/>
                <w:highlight w:val="none"/>
              </w:rPr>
            </w:pPr>
            <w:bookmarkStart w:id="6" w:name="_Toc22637080"/>
            <w:r>
              <w:rPr>
                <w:rFonts w:hint="eastAsia" w:ascii="宋体" w:hAnsi="宋体" w:eastAsia="宋体" w:cs="宋体"/>
                <w:color w:val="auto"/>
                <w:szCs w:val="21"/>
                <w:highlight w:val="none"/>
              </w:rPr>
              <w:t>投标人声明、按照评标办法投标人需提交的证明资料（如有）、其它证明投标人实力的资料（如有）</w:t>
            </w:r>
            <w:bookmarkEnd w:id="6"/>
          </w:p>
        </w:tc>
      </w:tr>
      <w:tr w14:paraId="6B5DF3E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EF1E4D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2629" w:type="dxa"/>
            <w:tcBorders>
              <w:top w:val="single" w:color="auto" w:sz="4" w:space="0"/>
              <w:left w:val="single" w:color="auto" w:sz="4" w:space="0"/>
              <w:bottom w:val="single" w:color="auto" w:sz="4" w:space="0"/>
              <w:right w:val="single" w:color="auto" w:sz="4" w:space="0"/>
            </w:tcBorders>
            <w:vAlign w:val="center"/>
          </w:tcPr>
          <w:p w14:paraId="2AC4BB8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5245" w:type="dxa"/>
            <w:tcBorders>
              <w:top w:val="single" w:color="auto" w:sz="4" w:space="0"/>
              <w:left w:val="single" w:color="auto" w:sz="4" w:space="0"/>
              <w:bottom w:val="single" w:color="auto" w:sz="4" w:space="0"/>
              <w:right w:val="single" w:color="auto" w:sz="4" w:space="0"/>
            </w:tcBorders>
            <w:vAlign w:val="center"/>
          </w:tcPr>
          <w:p w14:paraId="4A86122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按国家税务机关的规定执行。</w:t>
            </w:r>
          </w:p>
        </w:tc>
      </w:tr>
      <w:tr w14:paraId="3DA8865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6E5685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629" w:type="dxa"/>
            <w:tcBorders>
              <w:top w:val="single" w:color="auto" w:sz="4" w:space="0"/>
              <w:left w:val="single" w:color="auto" w:sz="4" w:space="0"/>
              <w:bottom w:val="single" w:color="auto" w:sz="4" w:space="0"/>
              <w:right w:val="single" w:color="auto" w:sz="4" w:space="0"/>
            </w:tcBorders>
            <w:vAlign w:val="center"/>
          </w:tcPr>
          <w:p w14:paraId="7EF76C4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5245" w:type="dxa"/>
            <w:tcBorders>
              <w:top w:val="single" w:color="auto" w:sz="4" w:space="0"/>
              <w:left w:val="single" w:color="auto" w:sz="4" w:space="0"/>
              <w:bottom w:val="single" w:color="auto" w:sz="4" w:space="0"/>
              <w:right w:val="single" w:color="auto" w:sz="4" w:space="0"/>
            </w:tcBorders>
            <w:vAlign w:val="center"/>
          </w:tcPr>
          <w:p w14:paraId="0B87C67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根据投标报价表自行报价，精确到小数点后2位，第三位四舍五入。</w:t>
            </w:r>
          </w:p>
        </w:tc>
      </w:tr>
      <w:tr w14:paraId="27BD82A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E9A8D9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w:t>
            </w:r>
          </w:p>
        </w:tc>
        <w:tc>
          <w:tcPr>
            <w:tcW w:w="2629" w:type="dxa"/>
            <w:tcBorders>
              <w:top w:val="single" w:color="auto" w:sz="4" w:space="0"/>
              <w:left w:val="single" w:color="auto" w:sz="4" w:space="0"/>
              <w:bottom w:val="single" w:color="auto" w:sz="4" w:space="0"/>
              <w:right w:val="single" w:color="auto" w:sz="4" w:space="0"/>
            </w:tcBorders>
            <w:vAlign w:val="center"/>
          </w:tcPr>
          <w:p w14:paraId="2AAF198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5245" w:type="dxa"/>
            <w:tcBorders>
              <w:top w:val="single" w:color="auto" w:sz="4" w:space="0"/>
              <w:left w:val="single" w:color="auto" w:sz="4" w:space="0"/>
              <w:bottom w:val="single" w:color="auto" w:sz="4" w:space="0"/>
              <w:right w:val="single" w:color="auto" w:sz="4" w:space="0"/>
            </w:tcBorders>
            <w:vAlign w:val="center"/>
          </w:tcPr>
          <w:p w14:paraId="78E13A2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6901110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■有，最高投标限价：</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eastAsia="zh"/>
              </w:rPr>
              <w:t>02.97</w:t>
            </w:r>
            <w:r>
              <w:rPr>
                <w:rFonts w:hint="eastAsia" w:ascii="宋体" w:hAnsi="宋体" w:eastAsia="宋体" w:cs="宋体"/>
                <w:color w:val="auto"/>
                <w:szCs w:val="21"/>
                <w:highlight w:val="none"/>
                <w:u w:val="single"/>
              </w:rPr>
              <w:t>万元。</w:t>
            </w:r>
          </w:p>
        </w:tc>
      </w:tr>
      <w:tr w14:paraId="335FEEE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1B3D7E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w:t>
            </w:r>
          </w:p>
        </w:tc>
        <w:tc>
          <w:tcPr>
            <w:tcW w:w="2629" w:type="dxa"/>
            <w:tcBorders>
              <w:top w:val="single" w:color="auto" w:sz="4" w:space="0"/>
              <w:left w:val="single" w:color="auto" w:sz="4" w:space="0"/>
              <w:bottom w:val="single" w:color="auto" w:sz="4" w:space="0"/>
              <w:right w:val="single" w:color="auto" w:sz="4" w:space="0"/>
            </w:tcBorders>
            <w:vAlign w:val="center"/>
          </w:tcPr>
          <w:p w14:paraId="4C05A4A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5245" w:type="dxa"/>
            <w:tcBorders>
              <w:top w:val="single" w:color="auto" w:sz="4" w:space="0"/>
              <w:left w:val="single" w:color="auto" w:sz="4" w:space="0"/>
              <w:bottom w:val="single" w:color="auto" w:sz="4" w:space="0"/>
              <w:right w:val="single" w:color="auto" w:sz="4" w:space="0"/>
            </w:tcBorders>
            <w:vAlign w:val="center"/>
          </w:tcPr>
          <w:p w14:paraId="18328AF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1.投标人只有一个投标报价。投标人的投标报价不得高于最高投标限价。投标报价高于最高投标限价的投标将被否决。</w:t>
            </w:r>
          </w:p>
          <w:p w14:paraId="577A15E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的建筑工程一切险及第三者责任险范围为本招标文件规定的全部服务范围。投标人的报价，应是其按招标文件完成建筑工程一切险及第三者责任险的所有费用。投标人必须详细审阅全部招标文件,充分考虑职责和义务,全面地理解招标文件对投标报价的要求,并按招标人提出的条件及内容进行报价。</w:t>
            </w:r>
          </w:p>
          <w:p w14:paraId="40327A9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3.投标人报价应包含单位在建筑工程一切险及第三者责任险实施中应缴纳的一切税费。</w:t>
            </w:r>
          </w:p>
          <w:p w14:paraId="23A2350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4.投标文件的报价合价全部用人民币表示。</w:t>
            </w:r>
          </w:p>
        </w:tc>
      </w:tr>
      <w:tr w14:paraId="1AAE596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34A426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629" w:type="dxa"/>
            <w:tcBorders>
              <w:top w:val="single" w:color="auto" w:sz="4" w:space="0"/>
              <w:left w:val="single" w:color="auto" w:sz="4" w:space="0"/>
              <w:bottom w:val="single" w:color="auto" w:sz="4" w:space="0"/>
              <w:right w:val="single" w:color="auto" w:sz="4" w:space="0"/>
            </w:tcBorders>
            <w:vAlign w:val="center"/>
          </w:tcPr>
          <w:p w14:paraId="73CCAD0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245" w:type="dxa"/>
            <w:tcBorders>
              <w:top w:val="single" w:color="auto" w:sz="4" w:space="0"/>
              <w:left w:val="single" w:color="auto" w:sz="4" w:space="0"/>
              <w:bottom w:val="single" w:color="auto" w:sz="4" w:space="0"/>
              <w:right w:val="single" w:color="auto" w:sz="4" w:space="0"/>
            </w:tcBorders>
            <w:vAlign w:val="center"/>
          </w:tcPr>
          <w:p w14:paraId="4B991EC8">
            <w:pPr>
              <w:tabs>
                <w:tab w:val="left" w:pos="2520"/>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90日历天（从投标截止之日算起），如出现异议或投诉，则投标有效期自动延长至异议或投诉处理结束，确定中标人并发放中标通知书为止。</w:t>
            </w:r>
          </w:p>
        </w:tc>
      </w:tr>
      <w:tr w14:paraId="52241F8C">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70218B6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29" w:type="dxa"/>
            <w:tcBorders>
              <w:top w:val="single" w:color="auto" w:sz="4" w:space="0"/>
              <w:left w:val="single" w:color="auto" w:sz="4" w:space="0"/>
              <w:bottom w:val="single" w:color="auto" w:sz="4" w:space="0"/>
              <w:right w:val="single" w:color="auto" w:sz="4" w:space="0"/>
            </w:tcBorders>
            <w:vAlign w:val="center"/>
          </w:tcPr>
          <w:p w14:paraId="33089D9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245" w:type="dxa"/>
            <w:tcBorders>
              <w:top w:val="single" w:color="auto" w:sz="4" w:space="0"/>
              <w:left w:val="single" w:color="auto" w:sz="4" w:space="0"/>
              <w:bottom w:val="single" w:color="auto" w:sz="4" w:space="0"/>
              <w:right w:val="single" w:color="auto" w:sz="4" w:space="0"/>
            </w:tcBorders>
            <w:vAlign w:val="center"/>
          </w:tcPr>
          <w:p w14:paraId="3F332D1A">
            <w:pPr>
              <w:pStyle w:val="7"/>
              <w:topLinePunct/>
              <w:spacing w:line="360" w:lineRule="auto"/>
              <w:rPr>
                <w:rFonts w:hint="eastAsia" w:ascii="宋体" w:hAnsi="宋体" w:eastAsia="宋体" w:cs="宋体"/>
                <w:b/>
                <w:bCs/>
                <w:color w:val="auto"/>
                <w:sz w:val="21"/>
                <w:szCs w:val="21"/>
                <w:highlight w:val="none"/>
                <w:lang w:eastAsia="zh"/>
              </w:rPr>
            </w:pPr>
            <w:r>
              <w:rPr>
                <w:rFonts w:hint="eastAsia" w:ascii="宋体" w:hAnsi="宋体" w:eastAsia="宋体" w:cs="宋体"/>
                <w:b/>
                <w:bCs/>
                <w:color w:val="auto"/>
                <w:sz w:val="21"/>
                <w:szCs w:val="21"/>
                <w:highlight w:val="none"/>
                <w:lang w:eastAsia="zh"/>
              </w:rPr>
              <w:t>□要求</w:t>
            </w:r>
          </w:p>
          <w:p w14:paraId="7732CAC2">
            <w:pPr>
              <w:pStyle w:val="7"/>
              <w:topLinePunct/>
              <w:spacing w:line="360" w:lineRule="auto"/>
              <w:rPr>
                <w:rFonts w:hint="eastAsia" w:ascii="宋体" w:hAnsi="宋体" w:eastAsia="宋体" w:cs="宋体"/>
                <w:color w:val="auto"/>
                <w:sz w:val="21"/>
                <w:szCs w:val="21"/>
                <w:highlight w:val="none"/>
                <w:lang w:eastAsia="zh"/>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
              </w:rPr>
              <w:t>不要求</w:t>
            </w:r>
          </w:p>
        </w:tc>
      </w:tr>
      <w:tr w14:paraId="5D25DBDC">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234B740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w:t>
            </w:r>
          </w:p>
        </w:tc>
        <w:tc>
          <w:tcPr>
            <w:tcW w:w="2629" w:type="dxa"/>
            <w:tcBorders>
              <w:top w:val="single" w:color="auto" w:sz="4" w:space="0"/>
              <w:left w:val="single" w:color="auto" w:sz="4" w:space="0"/>
              <w:bottom w:val="single" w:color="auto" w:sz="4" w:space="0"/>
              <w:right w:val="single" w:color="auto" w:sz="4" w:space="0"/>
            </w:tcBorders>
            <w:vAlign w:val="center"/>
          </w:tcPr>
          <w:p w14:paraId="53A7DF9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其他可以不予退还投标保证金的情形</w:t>
            </w:r>
          </w:p>
        </w:tc>
        <w:tc>
          <w:tcPr>
            <w:tcW w:w="5245" w:type="dxa"/>
            <w:tcBorders>
              <w:top w:val="single" w:color="auto" w:sz="4" w:space="0"/>
              <w:left w:val="single" w:color="auto" w:sz="4" w:space="0"/>
              <w:bottom w:val="single" w:color="auto" w:sz="4" w:space="0"/>
              <w:right w:val="single" w:color="auto" w:sz="4" w:space="0"/>
            </w:tcBorders>
            <w:vAlign w:val="center"/>
          </w:tcPr>
          <w:p w14:paraId="7B4C636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4EA3A907">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21DC1F4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629" w:type="dxa"/>
            <w:tcBorders>
              <w:top w:val="single" w:color="auto" w:sz="4" w:space="0"/>
              <w:left w:val="single" w:color="auto" w:sz="4" w:space="0"/>
              <w:bottom w:val="single" w:color="auto" w:sz="4" w:space="0"/>
              <w:right w:val="single" w:color="auto" w:sz="4" w:space="0"/>
            </w:tcBorders>
            <w:vAlign w:val="center"/>
          </w:tcPr>
          <w:p w14:paraId="0178959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5245" w:type="dxa"/>
            <w:tcBorders>
              <w:top w:val="single" w:color="auto" w:sz="4" w:space="0"/>
              <w:left w:val="single" w:color="auto" w:sz="4" w:space="0"/>
              <w:bottom w:val="single" w:color="auto" w:sz="4" w:space="0"/>
              <w:right w:val="single" w:color="auto" w:sz="4" w:space="0"/>
            </w:tcBorders>
            <w:vAlign w:val="center"/>
          </w:tcPr>
          <w:p w14:paraId="6923F8AA">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7018B2DD">
            <w:pPr>
              <w:pStyle w:val="7"/>
              <w:topLinePunct/>
              <w:spacing w:after="4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■有，具体要求：</w:t>
            </w:r>
            <w:r>
              <w:rPr>
                <w:rFonts w:hint="eastAsia" w:ascii="宋体" w:hAnsi="宋体" w:eastAsia="宋体" w:cs="宋体"/>
                <w:color w:val="auto"/>
                <w:sz w:val="21"/>
                <w:szCs w:val="21"/>
                <w:highlight w:val="none"/>
                <w:u w:val="single"/>
              </w:rPr>
              <w:t>投标人须知前附表1.4.1中不要求的内容，不作为资格审查内容。具体资格审查资料详见招标公告。</w:t>
            </w:r>
          </w:p>
        </w:tc>
      </w:tr>
      <w:tr w14:paraId="5286CA80">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2F5C17E1">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w:t>
            </w:r>
          </w:p>
        </w:tc>
        <w:tc>
          <w:tcPr>
            <w:tcW w:w="2629" w:type="dxa"/>
            <w:tcBorders>
              <w:top w:val="single" w:color="auto" w:sz="4" w:space="0"/>
              <w:left w:val="single" w:color="auto" w:sz="4" w:space="0"/>
              <w:bottom w:val="single" w:color="auto" w:sz="4" w:space="0"/>
              <w:right w:val="single" w:color="auto" w:sz="4" w:space="0"/>
            </w:tcBorders>
            <w:vAlign w:val="center"/>
          </w:tcPr>
          <w:p w14:paraId="67FAB5C8">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近年财务状况的年份要求</w:t>
            </w:r>
          </w:p>
        </w:tc>
        <w:tc>
          <w:tcPr>
            <w:tcW w:w="5245" w:type="dxa"/>
            <w:tcBorders>
              <w:top w:val="single" w:color="auto" w:sz="4" w:space="0"/>
              <w:left w:val="single" w:color="auto" w:sz="4" w:space="0"/>
              <w:bottom w:val="single" w:color="auto" w:sz="4" w:space="0"/>
              <w:right w:val="single" w:color="auto" w:sz="4" w:space="0"/>
            </w:tcBorders>
            <w:vAlign w:val="center"/>
          </w:tcPr>
          <w:p w14:paraId="42F6A09F">
            <w:pPr>
              <w:spacing w:after="120" w:line="440" w:lineRule="exact"/>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年至</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tc>
      </w:tr>
      <w:tr w14:paraId="38EFFBBC">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3BD4170E">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w:t>
            </w:r>
          </w:p>
        </w:tc>
        <w:tc>
          <w:tcPr>
            <w:tcW w:w="2629" w:type="dxa"/>
            <w:tcBorders>
              <w:top w:val="single" w:color="auto" w:sz="4" w:space="0"/>
              <w:left w:val="single" w:color="auto" w:sz="4" w:space="0"/>
              <w:bottom w:val="single" w:color="auto" w:sz="4" w:space="0"/>
              <w:right w:val="single" w:color="auto" w:sz="4" w:space="0"/>
            </w:tcBorders>
            <w:vAlign w:val="center"/>
          </w:tcPr>
          <w:p w14:paraId="448C27A3">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近年承接的类似项目情况的时间要求</w:t>
            </w:r>
          </w:p>
        </w:tc>
        <w:tc>
          <w:tcPr>
            <w:tcW w:w="5245" w:type="dxa"/>
            <w:tcBorders>
              <w:top w:val="single" w:color="auto" w:sz="4" w:space="0"/>
              <w:left w:val="single" w:color="auto" w:sz="4" w:space="0"/>
              <w:bottom w:val="single" w:color="auto" w:sz="4" w:space="0"/>
              <w:right w:val="single" w:color="auto" w:sz="4" w:space="0"/>
            </w:tcBorders>
            <w:vAlign w:val="center"/>
          </w:tcPr>
          <w:p w14:paraId="53884DA6">
            <w:pPr>
              <w:spacing w:after="120" w:line="44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w:t>
            </w:r>
          </w:p>
        </w:tc>
      </w:tr>
      <w:tr w14:paraId="429E871B">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59414FCC">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w:t>
            </w:r>
          </w:p>
        </w:tc>
        <w:tc>
          <w:tcPr>
            <w:tcW w:w="2629" w:type="dxa"/>
            <w:tcBorders>
              <w:top w:val="single" w:color="auto" w:sz="4" w:space="0"/>
              <w:left w:val="single" w:color="auto" w:sz="4" w:space="0"/>
              <w:bottom w:val="single" w:color="auto" w:sz="4" w:space="0"/>
              <w:right w:val="single" w:color="auto" w:sz="4" w:space="0"/>
            </w:tcBorders>
            <w:vAlign w:val="center"/>
          </w:tcPr>
          <w:p w14:paraId="67395A7B">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近年发生的诉讼及仲裁情况的时间要求</w:t>
            </w:r>
          </w:p>
        </w:tc>
        <w:tc>
          <w:tcPr>
            <w:tcW w:w="5245" w:type="dxa"/>
            <w:tcBorders>
              <w:top w:val="single" w:color="auto" w:sz="4" w:space="0"/>
              <w:left w:val="single" w:color="auto" w:sz="4" w:space="0"/>
              <w:bottom w:val="single" w:color="auto" w:sz="4" w:space="0"/>
              <w:right w:val="single" w:color="auto" w:sz="4" w:space="0"/>
            </w:tcBorders>
            <w:vAlign w:val="center"/>
          </w:tcPr>
          <w:p w14:paraId="58840CCF">
            <w:pPr>
              <w:spacing w:after="120" w:line="44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w:t>
            </w:r>
          </w:p>
        </w:tc>
      </w:tr>
      <w:tr w14:paraId="1083F05C">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7E413764">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629" w:type="dxa"/>
            <w:tcBorders>
              <w:top w:val="single" w:color="auto" w:sz="4" w:space="0"/>
              <w:left w:val="single" w:color="auto" w:sz="4" w:space="0"/>
              <w:bottom w:val="single" w:color="auto" w:sz="4" w:space="0"/>
              <w:right w:val="single" w:color="auto" w:sz="4" w:space="0"/>
            </w:tcBorders>
            <w:vAlign w:val="center"/>
          </w:tcPr>
          <w:p w14:paraId="1E79C324">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5245" w:type="dxa"/>
            <w:tcBorders>
              <w:top w:val="single" w:color="auto" w:sz="4" w:space="0"/>
              <w:left w:val="single" w:color="auto" w:sz="4" w:space="0"/>
              <w:bottom w:val="single" w:color="auto" w:sz="4" w:space="0"/>
              <w:right w:val="single" w:color="auto" w:sz="4" w:space="0"/>
            </w:tcBorders>
            <w:vAlign w:val="center"/>
          </w:tcPr>
          <w:p w14:paraId="084BC239">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6B9BD724">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41F9D29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171A0F4">
            <w:pPr>
              <w:spacing w:after="120" w:line="440" w:lineRule="exact"/>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3.7.3（B）</w:t>
            </w:r>
          </w:p>
        </w:tc>
        <w:tc>
          <w:tcPr>
            <w:tcW w:w="2629" w:type="dxa"/>
            <w:tcBorders>
              <w:top w:val="single" w:color="auto" w:sz="4" w:space="0"/>
              <w:left w:val="single" w:color="auto" w:sz="4" w:space="0"/>
              <w:bottom w:val="single" w:color="auto" w:sz="4" w:space="0"/>
              <w:right w:val="single" w:color="auto" w:sz="4" w:space="0"/>
            </w:tcBorders>
            <w:vAlign w:val="center"/>
          </w:tcPr>
          <w:p w14:paraId="17AB8EC5">
            <w:pPr>
              <w:spacing w:after="120"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投标文件所附证书证件要求</w:t>
            </w:r>
          </w:p>
        </w:tc>
        <w:tc>
          <w:tcPr>
            <w:tcW w:w="5245" w:type="dxa"/>
            <w:tcBorders>
              <w:top w:val="single" w:color="auto" w:sz="4" w:space="0"/>
              <w:left w:val="single" w:color="auto" w:sz="4" w:space="0"/>
              <w:bottom w:val="single" w:color="auto" w:sz="4" w:space="0"/>
              <w:right w:val="single" w:color="auto" w:sz="4" w:space="0"/>
            </w:tcBorders>
            <w:vAlign w:val="center"/>
          </w:tcPr>
          <w:p w14:paraId="0FBE5685">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证书证件需为有效期内的原件清晰扫描件</w:t>
            </w:r>
            <w:r>
              <w:rPr>
                <w:rFonts w:hint="eastAsia" w:ascii="宋体" w:hAnsi="宋体" w:eastAsia="宋体" w:cs="宋体"/>
                <w:color w:val="auto"/>
                <w:sz w:val="21"/>
                <w:szCs w:val="21"/>
                <w:highlight w:val="none"/>
              </w:rPr>
              <w:t>，并采用单位数字证书，按照招标文件要求在相应位置加盖电子印章。</w:t>
            </w:r>
          </w:p>
        </w:tc>
      </w:tr>
      <w:tr w14:paraId="027477E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FC60916">
            <w:pPr>
              <w:spacing w:after="120" w:line="440" w:lineRule="exact"/>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3.7.3（B）</w:t>
            </w:r>
          </w:p>
        </w:tc>
        <w:tc>
          <w:tcPr>
            <w:tcW w:w="2629" w:type="dxa"/>
            <w:tcBorders>
              <w:top w:val="single" w:color="auto" w:sz="4" w:space="0"/>
              <w:left w:val="single" w:color="auto" w:sz="4" w:space="0"/>
              <w:bottom w:val="single" w:color="auto" w:sz="4" w:space="0"/>
              <w:right w:val="single" w:color="auto" w:sz="4" w:space="0"/>
            </w:tcBorders>
            <w:vAlign w:val="center"/>
          </w:tcPr>
          <w:p w14:paraId="15365F70">
            <w:pPr>
              <w:spacing w:after="120"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5245" w:type="dxa"/>
            <w:tcBorders>
              <w:top w:val="single" w:color="auto" w:sz="4" w:space="0"/>
              <w:left w:val="single" w:color="auto" w:sz="4" w:space="0"/>
              <w:bottom w:val="single" w:color="auto" w:sz="4" w:space="0"/>
              <w:right w:val="single" w:color="auto" w:sz="4" w:space="0"/>
            </w:tcBorders>
            <w:vAlign w:val="center"/>
          </w:tcPr>
          <w:p w14:paraId="10AA036D">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投标文件全部采用电子文档，</w:t>
            </w:r>
            <w:r>
              <w:rPr>
                <w:rFonts w:hint="eastAsia" w:ascii="宋体" w:hAnsi="宋体" w:eastAsia="宋体" w:cs="宋体"/>
                <w:color w:val="auto"/>
                <w:sz w:val="21"/>
                <w:szCs w:val="21"/>
                <w:highlight w:val="none"/>
                <w:lang w:eastAsia="zh-CN"/>
              </w:rPr>
              <w:t>投标文件所附证书证件均为有效期内的原件扫描件</w:t>
            </w:r>
            <w:r>
              <w:rPr>
                <w:rFonts w:hint="eastAsia" w:ascii="宋体" w:hAnsi="宋体" w:eastAsia="宋体" w:cs="宋体"/>
                <w:color w:val="auto"/>
                <w:sz w:val="21"/>
                <w:szCs w:val="21"/>
                <w:highlight w:val="none"/>
              </w:rPr>
              <w:t>，并采用单位数字证书，按招标文件要求在相应位置加盖电子印章。投标文件中需个人签字或盖章的，应加盖个人电子印章或在线下完成后扫描上传。具体操作详见附件《 房屋建筑和市政基础设施工程全流程电子化项目专章 》。</w:t>
            </w:r>
          </w:p>
        </w:tc>
      </w:tr>
      <w:tr w14:paraId="0AB4CBD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4738158">
            <w:pPr>
              <w:spacing w:after="120" w:line="440" w:lineRule="exact"/>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4.1.1（B）</w:t>
            </w:r>
          </w:p>
        </w:tc>
        <w:tc>
          <w:tcPr>
            <w:tcW w:w="2629" w:type="dxa"/>
            <w:tcBorders>
              <w:top w:val="single" w:color="auto" w:sz="4" w:space="0"/>
              <w:left w:val="single" w:color="auto" w:sz="4" w:space="0"/>
              <w:bottom w:val="single" w:color="auto" w:sz="4" w:space="0"/>
              <w:right w:val="single" w:color="auto" w:sz="4" w:space="0"/>
            </w:tcBorders>
            <w:vAlign w:val="center"/>
          </w:tcPr>
          <w:p w14:paraId="59BB5CBE">
            <w:pPr>
              <w:spacing w:after="120"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投标文件加密要求</w:t>
            </w:r>
          </w:p>
        </w:tc>
        <w:tc>
          <w:tcPr>
            <w:tcW w:w="5245" w:type="dxa"/>
            <w:tcBorders>
              <w:top w:val="single" w:color="auto" w:sz="4" w:space="0"/>
              <w:left w:val="single" w:color="auto" w:sz="4" w:space="0"/>
              <w:bottom w:val="single" w:color="auto" w:sz="4" w:space="0"/>
              <w:right w:val="single" w:color="auto" w:sz="4" w:space="0"/>
            </w:tcBorders>
            <w:vAlign w:val="center"/>
          </w:tcPr>
          <w:p w14:paraId="4E31315F">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网上递交的电子投标文件须进行加密。具体操作详见《房屋建筑和市政基础设施工程全流程电子化项目专章》。</w:t>
            </w:r>
          </w:p>
        </w:tc>
      </w:tr>
      <w:tr w14:paraId="7CC05AD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4CFD2F5">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629" w:type="dxa"/>
            <w:tcBorders>
              <w:top w:val="single" w:color="auto" w:sz="4" w:space="0"/>
              <w:left w:val="single" w:color="auto" w:sz="4" w:space="0"/>
              <w:bottom w:val="single" w:color="auto" w:sz="4" w:space="0"/>
              <w:right w:val="single" w:color="auto" w:sz="4" w:space="0"/>
            </w:tcBorders>
            <w:vAlign w:val="center"/>
          </w:tcPr>
          <w:p w14:paraId="57416922">
            <w:pPr>
              <w:spacing w:after="120" w:line="440" w:lineRule="exact"/>
              <w:ind w:firstLine="210" w:firstLineChars="100"/>
              <w:jc w:val="center"/>
              <w:rPr>
                <w:rFonts w:hint="eastAsia" w:ascii="宋体" w:hAnsi="宋体" w:eastAsia="宋体" w:cs="宋体"/>
                <w:color w:val="auto"/>
                <w:szCs w:val="21"/>
                <w:highlight w:val="none"/>
                <w:shd w:val="clear" w:color="FFFFFF" w:fill="D9D9D9"/>
              </w:rPr>
            </w:pPr>
            <w:r>
              <w:rPr>
                <w:rFonts w:hint="eastAsia" w:ascii="宋体" w:hAnsi="宋体" w:eastAsia="宋体" w:cs="宋体"/>
                <w:color w:val="auto"/>
                <w:szCs w:val="21"/>
                <w:highlight w:val="none"/>
              </w:rPr>
              <w:t>封套上应载明的信息</w:t>
            </w:r>
          </w:p>
        </w:tc>
        <w:tc>
          <w:tcPr>
            <w:tcW w:w="5245" w:type="dxa"/>
            <w:tcBorders>
              <w:top w:val="single" w:color="auto" w:sz="4" w:space="0"/>
              <w:left w:val="single" w:color="auto" w:sz="4" w:space="0"/>
              <w:bottom w:val="single" w:color="auto" w:sz="4" w:space="0"/>
              <w:right w:val="single" w:color="auto" w:sz="4" w:space="0"/>
            </w:tcBorders>
            <w:vAlign w:val="center"/>
          </w:tcPr>
          <w:p w14:paraId="7CDB69DD">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如有提交投标文件光盘备用，封套上应注明如下信息：</w:t>
            </w:r>
          </w:p>
          <w:p w14:paraId="13DACA39">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招标人名称：广州交投城市道路建设有限公司</w:t>
            </w:r>
          </w:p>
          <w:p w14:paraId="40148207">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招标人地址：广州市海珠区新港东路1138号智通广场</w:t>
            </w:r>
            <w:bookmarkStart w:id="186" w:name="_GoBack"/>
            <w:r>
              <w:rPr>
                <w:rFonts w:hint="eastAsia" w:ascii="宋体" w:hAnsi="宋体" w:eastAsia="宋体" w:cs="宋体"/>
                <w:color w:val="auto"/>
                <w:sz w:val="21"/>
                <w:szCs w:val="21"/>
                <w:highlight w:val="none"/>
              </w:rPr>
              <w:t>B</w:t>
            </w:r>
            <w:bookmarkEnd w:id="186"/>
            <w:r>
              <w:rPr>
                <w:rFonts w:hint="eastAsia" w:ascii="宋体" w:hAnsi="宋体" w:eastAsia="宋体" w:cs="宋体"/>
                <w:color w:val="auto"/>
                <w:sz w:val="21"/>
                <w:szCs w:val="21"/>
                <w:highlight w:val="none"/>
              </w:rPr>
              <w:t>塔6F</w:t>
            </w:r>
          </w:p>
          <w:p w14:paraId="5E9C0A63">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东南西环三滘立交市政化改造工程（二期）建筑工程一切险及第三者责任险投标文件</w:t>
            </w:r>
          </w:p>
          <w:p w14:paraId="1FDCDD5A">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招标项目编号：                    </w:t>
            </w:r>
          </w:p>
          <w:p w14:paraId="25B5D46E">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                    </w:t>
            </w:r>
          </w:p>
          <w:p w14:paraId="2ADE0656">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投标人地址：                    </w:t>
            </w:r>
          </w:p>
          <w:p w14:paraId="00D59BA5">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年   月   日   时     分</w:t>
            </w:r>
            <w:r>
              <w:rPr>
                <w:rFonts w:hint="eastAsia" w:ascii="宋体" w:hAnsi="宋体" w:eastAsia="宋体" w:cs="宋体"/>
                <w:color w:val="auto"/>
                <w:sz w:val="21"/>
                <w:szCs w:val="21"/>
                <w:highlight w:val="none"/>
              </w:rPr>
              <w:t>前不得开启</w:t>
            </w:r>
          </w:p>
        </w:tc>
      </w:tr>
      <w:tr w14:paraId="4056D15C">
        <w:tblPrEx>
          <w:tblCellMar>
            <w:top w:w="0" w:type="dxa"/>
            <w:left w:w="108" w:type="dxa"/>
            <w:bottom w:w="0" w:type="dxa"/>
            <w:right w:w="108" w:type="dxa"/>
          </w:tblCellMar>
        </w:tblPrEx>
        <w:trPr>
          <w:trHeight w:val="1339" w:hRule="atLeast"/>
        </w:trPr>
        <w:tc>
          <w:tcPr>
            <w:tcW w:w="1165" w:type="dxa"/>
            <w:tcBorders>
              <w:top w:val="single" w:color="auto" w:sz="4" w:space="0"/>
              <w:left w:val="single" w:color="auto" w:sz="4" w:space="0"/>
              <w:bottom w:val="single" w:color="auto" w:sz="4" w:space="0"/>
              <w:right w:val="single" w:color="auto" w:sz="4" w:space="0"/>
            </w:tcBorders>
            <w:vAlign w:val="center"/>
          </w:tcPr>
          <w:p w14:paraId="320120F7">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w:t>
            </w:r>
          </w:p>
        </w:tc>
        <w:tc>
          <w:tcPr>
            <w:tcW w:w="2629" w:type="dxa"/>
            <w:tcBorders>
              <w:top w:val="single" w:color="auto" w:sz="4" w:space="0"/>
              <w:left w:val="single" w:color="auto" w:sz="4" w:space="0"/>
              <w:bottom w:val="single" w:color="auto" w:sz="4" w:space="0"/>
              <w:right w:val="single" w:color="auto" w:sz="4" w:space="0"/>
            </w:tcBorders>
            <w:vAlign w:val="center"/>
          </w:tcPr>
          <w:p w14:paraId="58C80A6C">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5245" w:type="dxa"/>
            <w:tcBorders>
              <w:top w:val="single" w:color="auto" w:sz="4" w:space="0"/>
              <w:left w:val="single" w:color="auto" w:sz="4" w:space="0"/>
              <w:bottom w:val="single" w:color="auto" w:sz="4" w:space="0"/>
              <w:right w:val="single" w:color="auto" w:sz="4" w:space="0"/>
            </w:tcBorders>
            <w:vAlign w:val="center"/>
          </w:tcPr>
          <w:p w14:paraId="3CB6CAAF">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r>
              <w:rPr>
                <w:rFonts w:hint="eastAsia" w:ascii="宋体" w:hAnsi="宋体" w:eastAsia="宋体" w:cs="宋体"/>
                <w:color w:val="auto"/>
                <w:szCs w:val="21"/>
                <w:highlight w:val="none"/>
                <w:u w:val="single"/>
              </w:rPr>
              <w:t>： 年  月  日  时  分</w:t>
            </w:r>
            <w:r>
              <w:rPr>
                <w:rFonts w:hint="eastAsia" w:ascii="宋体" w:hAnsi="宋体" w:eastAsia="宋体" w:cs="宋体"/>
                <w:color w:val="auto"/>
                <w:szCs w:val="21"/>
                <w:highlight w:val="none"/>
              </w:rPr>
              <w:t>（北京时间）</w:t>
            </w:r>
          </w:p>
          <w:p w14:paraId="2D9132CC">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详见招标公告（具体交易活动安排详见广州交易集团有限公司（广州公共资源交易中心）网站“交易活动安排”栏目）</w:t>
            </w:r>
            <w:r>
              <w:rPr>
                <w:rFonts w:hint="eastAsia" w:ascii="宋体" w:hAnsi="宋体" w:eastAsia="宋体" w:cs="宋体"/>
                <w:color w:val="auto"/>
                <w:szCs w:val="21"/>
                <w:highlight w:val="none"/>
              </w:rPr>
              <w:t>）</w:t>
            </w:r>
          </w:p>
        </w:tc>
      </w:tr>
      <w:tr w14:paraId="6E1FF7E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23396DE">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2629" w:type="dxa"/>
            <w:tcBorders>
              <w:top w:val="single" w:color="auto" w:sz="4" w:space="0"/>
              <w:left w:val="single" w:color="auto" w:sz="4" w:space="0"/>
              <w:bottom w:val="single" w:color="auto" w:sz="4" w:space="0"/>
              <w:right w:val="single" w:color="auto" w:sz="4" w:space="0"/>
            </w:tcBorders>
            <w:vAlign w:val="center"/>
          </w:tcPr>
          <w:p w14:paraId="4BED5AB5">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投标文件是否退还</w:t>
            </w:r>
          </w:p>
        </w:tc>
        <w:tc>
          <w:tcPr>
            <w:tcW w:w="5245" w:type="dxa"/>
            <w:tcBorders>
              <w:top w:val="single" w:color="auto" w:sz="4" w:space="0"/>
              <w:left w:val="single" w:color="auto" w:sz="4" w:space="0"/>
              <w:bottom w:val="single" w:color="auto" w:sz="4" w:space="0"/>
              <w:right w:val="single" w:color="auto" w:sz="4" w:space="0"/>
            </w:tcBorders>
            <w:vAlign w:val="center"/>
          </w:tcPr>
          <w:p w14:paraId="5D3B438A">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14:paraId="2E478BD2">
            <w:pPr>
              <w:pStyle w:val="7"/>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□是，退还时间：/</w:t>
            </w:r>
          </w:p>
        </w:tc>
      </w:tr>
      <w:tr w14:paraId="1C518906">
        <w:tblPrEx>
          <w:tblCellMar>
            <w:top w:w="0" w:type="dxa"/>
            <w:left w:w="108" w:type="dxa"/>
            <w:bottom w:w="0" w:type="dxa"/>
            <w:right w:w="108" w:type="dxa"/>
          </w:tblCellMar>
        </w:tblPrEx>
        <w:trPr>
          <w:trHeight w:val="545" w:hRule="atLeast"/>
        </w:trPr>
        <w:tc>
          <w:tcPr>
            <w:tcW w:w="1165" w:type="dxa"/>
            <w:tcBorders>
              <w:top w:val="single" w:color="auto" w:sz="4" w:space="0"/>
              <w:left w:val="single" w:color="auto" w:sz="4" w:space="0"/>
              <w:bottom w:val="nil"/>
              <w:right w:val="single" w:color="auto" w:sz="4" w:space="0"/>
            </w:tcBorders>
            <w:vAlign w:val="center"/>
          </w:tcPr>
          <w:p w14:paraId="7AF7E205">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5.1（B）新增</w:t>
            </w:r>
          </w:p>
        </w:tc>
        <w:tc>
          <w:tcPr>
            <w:tcW w:w="2629" w:type="dxa"/>
            <w:tcBorders>
              <w:top w:val="single" w:color="auto" w:sz="4" w:space="0"/>
              <w:left w:val="single" w:color="auto" w:sz="4" w:space="0"/>
              <w:bottom w:val="nil"/>
              <w:right w:val="single" w:color="auto" w:sz="4" w:space="0"/>
            </w:tcBorders>
            <w:vAlign w:val="center"/>
          </w:tcPr>
          <w:p w14:paraId="31BD9606">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5245" w:type="dxa"/>
            <w:tcBorders>
              <w:top w:val="single" w:color="auto" w:sz="4" w:space="0"/>
              <w:left w:val="single" w:color="auto" w:sz="4" w:space="0"/>
              <w:bottom w:val="nil"/>
              <w:right w:val="single" w:color="auto" w:sz="4" w:space="0"/>
            </w:tcBorders>
            <w:vAlign w:val="center"/>
          </w:tcPr>
          <w:p w14:paraId="74CD4753">
            <w:pPr>
              <w:pStyle w:val="6"/>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7AD4F19D">
            <w:pPr>
              <w:pStyle w:val="6"/>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开标地点：广州交易集团有限公司（广州公共资源交易中心）开标室（广州市天河区天润路333号）</w:t>
            </w:r>
          </w:p>
          <w:p w14:paraId="3A6BEDFE">
            <w:pPr>
              <w:pStyle w:val="6"/>
              <w:spacing w:after="120" w:line="440" w:lineRule="exact"/>
              <w:rPr>
                <w:rFonts w:hint="eastAsia" w:ascii="宋体" w:hAnsi="宋体" w:cs="宋体"/>
                <w:color w:val="auto"/>
                <w:szCs w:val="21"/>
                <w:highlight w:val="none"/>
              </w:rPr>
            </w:pPr>
            <w:r>
              <w:rPr>
                <w:rFonts w:hint="eastAsia" w:ascii="宋体" w:hAnsi="宋体" w:cs="宋体"/>
                <w:color w:val="auto"/>
                <w:szCs w:val="21"/>
                <w:highlight w:val="none"/>
              </w:rPr>
              <w:t>具体交易活动安排详见广州交易集团有限公司（广州公共资源交易中心）网站“交易活动安排”栏目。</w:t>
            </w:r>
          </w:p>
          <w:p w14:paraId="3404BE02">
            <w:pPr>
              <w:pStyle w:val="6"/>
              <w:spacing w:line="360" w:lineRule="auto"/>
              <w:ind w:firstLine="200"/>
              <w:rPr>
                <w:rFonts w:hint="eastAsia" w:ascii="宋体" w:hAnsi="宋体" w:cs="宋体"/>
                <w:color w:val="auto"/>
                <w:szCs w:val="21"/>
                <w:highlight w:val="none"/>
              </w:rPr>
            </w:pPr>
            <w:r>
              <w:rPr>
                <w:rFonts w:hint="eastAsia" w:ascii="宋体" w:hAnsi="宋体" w:cs="宋体"/>
                <w:color w:val="auto"/>
                <w:szCs w:val="21"/>
                <w:highlight w:val="none"/>
                <w:u w:val="single"/>
              </w:rPr>
              <w:t>在广州交易集团有限公司（广州公共资源交易中心）公开开标，并邀请所有投标人的法定代表人（单位负责人）或其委托代理人准时参加。开标时，投标人代表有权出席开标会，也可以自主决定不参加开标会。</w:t>
            </w:r>
          </w:p>
        </w:tc>
      </w:tr>
      <w:tr w14:paraId="6C47F572">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14:paraId="48124133">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5.2（B）</w:t>
            </w:r>
          </w:p>
        </w:tc>
        <w:tc>
          <w:tcPr>
            <w:tcW w:w="2629" w:type="dxa"/>
            <w:tcBorders>
              <w:top w:val="single" w:color="auto" w:sz="4" w:space="0"/>
              <w:left w:val="single" w:color="auto" w:sz="4" w:space="0"/>
              <w:bottom w:val="single" w:color="auto" w:sz="4" w:space="0"/>
              <w:right w:val="single" w:color="auto" w:sz="4" w:space="0"/>
            </w:tcBorders>
            <w:vAlign w:val="center"/>
          </w:tcPr>
          <w:p w14:paraId="4D2F1D03">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5245" w:type="dxa"/>
            <w:tcBorders>
              <w:top w:val="single" w:color="auto" w:sz="4" w:space="0"/>
              <w:left w:val="single" w:color="auto" w:sz="4" w:space="0"/>
              <w:bottom w:val="single" w:color="auto" w:sz="4" w:space="0"/>
              <w:right w:val="single" w:color="auto" w:sz="4" w:space="0"/>
            </w:tcBorders>
            <w:vAlign w:val="center"/>
          </w:tcPr>
          <w:p w14:paraId="3385A851">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电子招投标项目开标按下列程序进行：</w:t>
            </w:r>
          </w:p>
          <w:p w14:paraId="6935ED53">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5.2.1主持人按下列程序进行开标：</w:t>
            </w:r>
          </w:p>
          <w:p w14:paraId="0CAAA00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38AD80D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）宣布开标人、唱标人、记录人、监标人等有关人员姓名；</w:t>
            </w:r>
          </w:p>
          <w:p w14:paraId="54B368B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）投标人通过电子招标投标交易平台对已递交的电子投标文件进行解密，</w:t>
            </w:r>
            <w:r>
              <w:rPr>
                <w:rFonts w:hint="eastAsia" w:ascii="宋体" w:hAnsi="宋体" w:eastAsia="宋体" w:cs="宋体"/>
                <w:color w:val="auto"/>
                <w:szCs w:val="21"/>
                <w:highlight w:val="none"/>
                <w:lang w:val="en-US" w:eastAsia="zh-CN"/>
              </w:rPr>
              <w:t>招标人解密，</w:t>
            </w:r>
            <w:r>
              <w:rPr>
                <w:rFonts w:hint="eastAsia" w:ascii="宋体" w:hAnsi="宋体" w:eastAsia="宋体" w:cs="宋体"/>
                <w:color w:val="auto"/>
                <w:szCs w:val="21"/>
                <w:highlight w:val="none"/>
              </w:rPr>
              <w:t>公布招标项目名称、投标人名称、投标报价、保险服务期限及其他内容，并记录在案；</w:t>
            </w:r>
          </w:p>
          <w:p w14:paraId="23313E7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）投标人代表、招标人代表、监标人、记录人等有关人员在开标记录上签字确认；若有关人员不签字的，不影响开标程序；</w:t>
            </w:r>
          </w:p>
          <w:p w14:paraId="6B976E86">
            <w:pPr>
              <w:spacing w:after="12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）开标结束。</w:t>
            </w:r>
          </w:p>
          <w:p w14:paraId="723B707F">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14:paraId="7A68AD16">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5.2.3开标时，两个（含两个）以上的投标人加密打包投标文件电脑机器特征码一致的，不参与下一程序，并由评标委员会否决其投标。</w:t>
            </w:r>
          </w:p>
        </w:tc>
      </w:tr>
      <w:tr w14:paraId="13CA2EC0">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14:paraId="4B66DDF4">
            <w:pPr>
              <w:spacing w:after="120" w:line="440" w:lineRule="exact"/>
              <w:ind w:firstLine="21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5.3</w:t>
            </w:r>
          </w:p>
        </w:tc>
        <w:tc>
          <w:tcPr>
            <w:tcW w:w="2629" w:type="dxa"/>
            <w:tcBorders>
              <w:top w:val="single" w:color="auto" w:sz="4" w:space="0"/>
              <w:left w:val="single" w:color="auto" w:sz="4" w:space="0"/>
              <w:bottom w:val="single" w:color="auto" w:sz="4" w:space="0"/>
              <w:right w:val="single" w:color="auto" w:sz="4" w:space="0"/>
            </w:tcBorders>
            <w:vAlign w:val="center"/>
          </w:tcPr>
          <w:p w14:paraId="4D3AFA3D">
            <w:pPr>
              <w:spacing w:after="120" w:line="440" w:lineRule="exact"/>
              <w:ind w:firstLine="21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开标异议</w:t>
            </w:r>
          </w:p>
        </w:tc>
        <w:tc>
          <w:tcPr>
            <w:tcW w:w="5245" w:type="dxa"/>
            <w:tcBorders>
              <w:top w:val="single" w:color="auto" w:sz="4" w:space="0"/>
              <w:left w:val="single" w:color="auto" w:sz="4" w:space="0"/>
              <w:bottom w:val="single" w:color="auto" w:sz="4" w:space="0"/>
              <w:right w:val="single" w:color="auto" w:sz="4" w:space="0"/>
            </w:tcBorders>
            <w:vAlign w:val="center"/>
          </w:tcPr>
          <w:p w14:paraId="6ABC5986">
            <w:pPr>
              <w:spacing w:after="120" w:line="440" w:lineRule="exact"/>
              <w:ind w:firstLine="21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u w:val="single"/>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tc>
      </w:tr>
      <w:tr w14:paraId="4BF50556">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1CE42506">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2629" w:type="dxa"/>
            <w:tcBorders>
              <w:top w:val="single" w:color="auto" w:sz="4" w:space="0"/>
              <w:left w:val="single" w:color="auto" w:sz="4" w:space="0"/>
              <w:bottom w:val="single" w:color="auto" w:sz="4" w:space="0"/>
              <w:right w:val="single" w:color="auto" w:sz="4" w:space="0"/>
            </w:tcBorders>
            <w:vAlign w:val="center"/>
          </w:tcPr>
          <w:p w14:paraId="52D22187">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5245" w:type="dxa"/>
            <w:tcBorders>
              <w:top w:val="single" w:color="auto" w:sz="4" w:space="0"/>
              <w:left w:val="single" w:color="auto" w:sz="4" w:space="0"/>
              <w:bottom w:val="single" w:color="auto" w:sz="4" w:space="0"/>
              <w:right w:val="single" w:color="auto" w:sz="4" w:space="0"/>
            </w:tcBorders>
            <w:vAlign w:val="center"/>
          </w:tcPr>
          <w:p w14:paraId="4010E003">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评标委员会由招标人依法组建。评标委员会为</w:t>
            </w:r>
            <w:r>
              <w:rPr>
                <w:rFonts w:hint="eastAsia" w:ascii="宋体" w:hAnsi="宋体" w:eastAsia="宋体" w:cs="宋体"/>
                <w:color w:val="auto"/>
                <w:szCs w:val="21"/>
                <w:highlight w:val="none"/>
                <w:lang w:eastAsia="zh"/>
              </w:rPr>
              <w:t>7</w:t>
            </w:r>
            <w:r>
              <w:rPr>
                <w:rFonts w:hint="eastAsia" w:ascii="宋体" w:hAnsi="宋体" w:eastAsia="宋体" w:cs="宋体"/>
                <w:color w:val="auto"/>
                <w:szCs w:val="21"/>
                <w:highlight w:val="none"/>
              </w:rPr>
              <w:t>人，专家人数不得少于成员总数的三分之二。</w:t>
            </w:r>
          </w:p>
        </w:tc>
      </w:tr>
      <w:tr w14:paraId="68CF1AC9">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646828DF">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6.3.2</w:t>
            </w:r>
          </w:p>
        </w:tc>
        <w:tc>
          <w:tcPr>
            <w:tcW w:w="2629" w:type="dxa"/>
            <w:tcBorders>
              <w:top w:val="single" w:color="auto" w:sz="4" w:space="0"/>
              <w:left w:val="single" w:color="auto" w:sz="4" w:space="0"/>
              <w:bottom w:val="single" w:color="auto" w:sz="4" w:space="0"/>
              <w:right w:val="single" w:color="auto" w:sz="4" w:space="0"/>
            </w:tcBorders>
            <w:vAlign w:val="center"/>
          </w:tcPr>
          <w:p w14:paraId="4AF3D9BF">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5245" w:type="dxa"/>
            <w:tcBorders>
              <w:top w:val="single" w:color="auto" w:sz="4" w:space="0"/>
              <w:left w:val="single" w:color="auto" w:sz="4" w:space="0"/>
              <w:bottom w:val="single" w:color="auto" w:sz="4" w:space="0"/>
              <w:right w:val="single" w:color="auto" w:sz="4" w:space="0"/>
            </w:tcBorders>
            <w:vAlign w:val="center"/>
          </w:tcPr>
          <w:p w14:paraId="61F6059D">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推荐中标候选人：</w:t>
            </w:r>
            <w:r>
              <w:rPr>
                <w:rFonts w:hint="eastAsia" w:ascii="宋体" w:hAnsi="宋体" w:eastAsia="宋体" w:cs="宋体"/>
                <w:color w:val="auto"/>
                <w:szCs w:val="21"/>
                <w:highlight w:val="none"/>
                <w:u w:val="single"/>
              </w:rPr>
              <w:t>按投标人总得分由高至低排序依次推荐前2名为第一、二中标候选人</w:t>
            </w:r>
            <w:r>
              <w:rPr>
                <w:rFonts w:hint="eastAsia" w:ascii="宋体" w:hAnsi="宋体" w:eastAsia="宋体" w:cs="宋体"/>
                <w:color w:val="auto"/>
                <w:szCs w:val="21"/>
                <w:highlight w:val="none"/>
              </w:rPr>
              <w:t>。</w:t>
            </w:r>
          </w:p>
        </w:tc>
      </w:tr>
      <w:tr w14:paraId="01A89B82">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18182ACF">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2629" w:type="dxa"/>
            <w:tcBorders>
              <w:top w:val="single" w:color="auto" w:sz="4" w:space="0"/>
              <w:left w:val="single" w:color="auto" w:sz="4" w:space="0"/>
              <w:bottom w:val="single" w:color="auto" w:sz="4" w:space="0"/>
              <w:right w:val="single" w:color="auto" w:sz="4" w:space="0"/>
            </w:tcBorders>
            <w:vAlign w:val="center"/>
          </w:tcPr>
          <w:p w14:paraId="38C3D9DE">
            <w:pPr>
              <w:spacing w:after="120"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5245" w:type="dxa"/>
            <w:tcBorders>
              <w:top w:val="single" w:color="auto" w:sz="4" w:space="0"/>
              <w:left w:val="single" w:color="auto" w:sz="4" w:space="0"/>
              <w:bottom w:val="single" w:color="auto" w:sz="4" w:space="0"/>
              <w:right w:val="single" w:color="auto" w:sz="4" w:space="0"/>
            </w:tcBorders>
            <w:vAlign w:val="center"/>
          </w:tcPr>
          <w:p w14:paraId="715DB27E">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公示媒介：中国招标投标公共服务平台、广东省招标投标监管网、广州公共资源交易网和广州国企阳光采购信息发布平台</w:t>
            </w:r>
          </w:p>
          <w:p w14:paraId="6F026757">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日</w:t>
            </w:r>
          </w:p>
        </w:tc>
      </w:tr>
      <w:tr w14:paraId="167853B6">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28A8CFF6">
            <w:pPr>
              <w:spacing w:after="120" w:line="440" w:lineRule="exact"/>
              <w:ind w:firstLine="21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w:t>
            </w:r>
          </w:p>
        </w:tc>
        <w:tc>
          <w:tcPr>
            <w:tcW w:w="2629" w:type="dxa"/>
            <w:tcBorders>
              <w:top w:val="single" w:color="auto" w:sz="4" w:space="0"/>
              <w:left w:val="single" w:color="auto" w:sz="4" w:space="0"/>
              <w:bottom w:val="single" w:color="auto" w:sz="4" w:space="0"/>
              <w:right w:val="single" w:color="auto" w:sz="4" w:space="0"/>
            </w:tcBorders>
            <w:vAlign w:val="center"/>
          </w:tcPr>
          <w:p w14:paraId="74E56292">
            <w:pPr>
              <w:spacing w:after="120" w:line="400" w:lineRule="exact"/>
              <w:ind w:firstLine="21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评标结果异议</w:t>
            </w:r>
          </w:p>
        </w:tc>
        <w:tc>
          <w:tcPr>
            <w:tcW w:w="5245" w:type="dxa"/>
            <w:tcBorders>
              <w:top w:val="single" w:color="auto" w:sz="4" w:space="0"/>
              <w:left w:val="single" w:color="auto" w:sz="4" w:space="0"/>
              <w:bottom w:val="single" w:color="auto" w:sz="4" w:space="0"/>
              <w:right w:val="single" w:color="auto" w:sz="4" w:space="0"/>
            </w:tcBorders>
            <w:vAlign w:val="center"/>
          </w:tcPr>
          <w:p w14:paraId="3B33357E">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投标人或者其他利害关系人对评标结果有异议的，应当在中标候选人公示期间</w:t>
            </w:r>
            <w:r>
              <w:rPr>
                <w:rFonts w:hint="eastAsia" w:ascii="宋体" w:hAnsi="宋体" w:eastAsia="宋体" w:cs="宋体"/>
                <w:b/>
                <w:bCs/>
                <w:color w:val="auto"/>
                <w:szCs w:val="21"/>
                <w:highlight w:val="none"/>
                <w:u w:val="single"/>
              </w:rPr>
              <w:t>通过电子交易系统</w:t>
            </w:r>
            <w:r>
              <w:rPr>
                <w:rFonts w:hint="eastAsia" w:ascii="宋体" w:hAnsi="宋体" w:eastAsia="宋体" w:cs="宋体"/>
                <w:color w:val="auto"/>
                <w:szCs w:val="21"/>
                <w:highlight w:val="none"/>
              </w:rPr>
              <w:t>提出</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rPr>
              <w:t>招标人将在收到异议之日起 3 日内作出答复；作出答复前，将暂停招标投标活动。</w:t>
            </w:r>
          </w:p>
        </w:tc>
      </w:tr>
      <w:tr w14:paraId="7CDD3534">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4CE84D75">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w:t>
            </w:r>
          </w:p>
        </w:tc>
        <w:tc>
          <w:tcPr>
            <w:tcW w:w="2629" w:type="dxa"/>
            <w:tcBorders>
              <w:top w:val="single" w:color="auto" w:sz="4" w:space="0"/>
              <w:left w:val="single" w:color="auto" w:sz="4" w:space="0"/>
              <w:bottom w:val="single" w:color="auto" w:sz="4" w:space="0"/>
              <w:right w:val="single" w:color="auto" w:sz="4" w:space="0"/>
            </w:tcBorders>
            <w:vAlign w:val="center"/>
          </w:tcPr>
          <w:p w14:paraId="2D67C0D4">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5245" w:type="dxa"/>
            <w:tcBorders>
              <w:top w:val="single" w:color="auto" w:sz="4" w:space="0"/>
              <w:left w:val="single" w:color="auto" w:sz="4" w:space="0"/>
              <w:bottom w:val="single" w:color="auto" w:sz="4" w:space="0"/>
              <w:right w:val="single" w:color="auto" w:sz="4" w:space="0"/>
            </w:tcBorders>
            <w:vAlign w:val="center"/>
          </w:tcPr>
          <w:p w14:paraId="0F7F23A2">
            <w:pPr>
              <w:spacing w:after="4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14:paraId="0D1D87BC">
            <w:pPr>
              <w:spacing w:after="12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r w14:paraId="7739C9AB">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5733E026">
            <w:pPr>
              <w:spacing w:after="120"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7.6.1</w:t>
            </w:r>
          </w:p>
        </w:tc>
        <w:tc>
          <w:tcPr>
            <w:tcW w:w="2629" w:type="dxa"/>
            <w:tcBorders>
              <w:top w:val="single" w:color="auto" w:sz="4" w:space="0"/>
              <w:left w:val="single" w:color="auto" w:sz="4" w:space="0"/>
              <w:bottom w:val="single" w:color="auto" w:sz="4" w:space="0"/>
              <w:right w:val="single" w:color="auto" w:sz="4" w:space="0"/>
            </w:tcBorders>
            <w:vAlign w:val="center"/>
          </w:tcPr>
          <w:p w14:paraId="2C2EAC02">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5245" w:type="dxa"/>
            <w:tcBorders>
              <w:top w:val="single" w:color="auto" w:sz="4" w:space="0"/>
              <w:left w:val="single" w:color="auto" w:sz="4" w:space="0"/>
              <w:bottom w:val="single" w:color="auto" w:sz="4" w:space="0"/>
              <w:right w:val="single" w:color="auto" w:sz="4" w:space="0"/>
            </w:tcBorders>
            <w:vAlign w:val="center"/>
          </w:tcPr>
          <w:p w14:paraId="00F36AB9">
            <w:pPr>
              <w:topLinePunct/>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163A3CC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hint="eastAsia" w:ascii="宋体" w:hAnsi="宋体" w:eastAsia="宋体" w:cs="宋体"/>
                <w:color w:val="auto"/>
                <w:szCs w:val="21"/>
                <w:highlight w:val="none"/>
                <w:u w:val="single"/>
                <w:lang w:bidi="ar"/>
              </w:rPr>
              <w:t>转账、现金或银行保函、保证保险、担保保函</w:t>
            </w:r>
            <w:r>
              <w:rPr>
                <w:rFonts w:hint="eastAsia" w:ascii="宋体" w:hAnsi="宋体" w:eastAsia="宋体" w:cs="宋体"/>
                <w:color w:val="auto"/>
                <w:szCs w:val="21"/>
                <w:highlight w:val="none"/>
                <w:u w:val="single"/>
                <w:lang w:eastAsia="zh" w:bidi="ar"/>
              </w:rPr>
              <w:t>或其他合法形式</w:t>
            </w:r>
            <w:r>
              <w:rPr>
                <w:rFonts w:hint="eastAsia" w:ascii="宋体" w:hAnsi="宋体" w:eastAsia="宋体" w:cs="宋体"/>
                <w:color w:val="auto"/>
                <w:szCs w:val="21"/>
                <w:highlight w:val="none"/>
              </w:rPr>
              <w:t>。</w:t>
            </w:r>
          </w:p>
          <w:p w14:paraId="631017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hint="eastAsia" w:ascii="宋体" w:hAnsi="宋体" w:eastAsia="宋体" w:cs="宋体"/>
                <w:color w:val="auto"/>
                <w:szCs w:val="21"/>
                <w:highlight w:val="none"/>
                <w:lang w:eastAsia="zh"/>
              </w:rPr>
              <w:t>签约合同总价的10%</w:t>
            </w:r>
          </w:p>
          <w:p w14:paraId="5F367E4E">
            <w:pPr>
              <w:topLinePunct/>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不要求</w:t>
            </w:r>
          </w:p>
        </w:tc>
      </w:tr>
      <w:tr w14:paraId="14FCC2D4">
        <w:tblPrEx>
          <w:tblCellMar>
            <w:top w:w="0" w:type="dxa"/>
            <w:left w:w="108" w:type="dxa"/>
            <w:bottom w:w="0" w:type="dxa"/>
            <w:right w:w="108" w:type="dxa"/>
          </w:tblCellMar>
        </w:tblPrEx>
        <w:trPr>
          <w:trHeight w:val="110" w:hRule="atLeast"/>
        </w:trPr>
        <w:tc>
          <w:tcPr>
            <w:tcW w:w="1165" w:type="dxa"/>
            <w:tcBorders>
              <w:top w:val="single" w:color="auto" w:sz="4" w:space="0"/>
              <w:left w:val="single" w:color="auto" w:sz="4" w:space="0"/>
              <w:bottom w:val="single" w:color="auto" w:sz="4" w:space="0"/>
              <w:right w:val="single" w:color="auto" w:sz="4" w:space="0"/>
            </w:tcBorders>
            <w:vAlign w:val="center"/>
          </w:tcPr>
          <w:p w14:paraId="5ED74894">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629" w:type="dxa"/>
            <w:tcBorders>
              <w:top w:val="single" w:color="auto" w:sz="4" w:space="0"/>
              <w:left w:val="single" w:color="auto" w:sz="4" w:space="0"/>
              <w:bottom w:val="single" w:color="auto" w:sz="4" w:space="0"/>
              <w:right w:val="single" w:color="auto" w:sz="4" w:space="0"/>
            </w:tcBorders>
            <w:vAlign w:val="center"/>
          </w:tcPr>
          <w:p w14:paraId="7FC82462">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5245" w:type="dxa"/>
            <w:tcBorders>
              <w:top w:val="single" w:color="auto" w:sz="4" w:space="0"/>
              <w:left w:val="single" w:color="auto" w:sz="4" w:space="0"/>
              <w:bottom w:val="single" w:color="auto" w:sz="4" w:space="0"/>
              <w:right w:val="single" w:color="auto" w:sz="4" w:space="0"/>
            </w:tcBorders>
            <w:vAlign w:val="center"/>
          </w:tcPr>
          <w:p w14:paraId="31500822">
            <w:pPr>
              <w:spacing w:before="120"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p w14:paraId="3A723CD2">
            <w:pPr>
              <w:spacing w:line="360" w:lineRule="auto"/>
              <w:ind w:left="40" w:leftChars="19" w:right="107" w:rightChars="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■是，具体要求：</w:t>
            </w:r>
          </w:p>
          <w:p w14:paraId="7AFD813F">
            <w:pPr>
              <w:spacing w:line="360" w:lineRule="auto"/>
              <w:ind w:left="40" w:leftChars="19" w:right="107" w:rightChars="5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1、具体操作详见广州交易集团有限公司（广州公共资源交易中心）发布的《房屋建筑和市政基础设施工程全流程电子化项目专章》（http://www.gzggzy.cn/fwznbszyjsgc/928327.jhtml）、</w:t>
            </w:r>
          </w:p>
          <w:p w14:paraId="0A24951D">
            <w:pPr>
              <w:spacing w:line="360" w:lineRule="auto"/>
              <w:ind w:left="40" w:leftChars="19" w:right="107" w:rightChars="5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2、现场提交投标文件备用光盘</w:t>
            </w:r>
          </w:p>
          <w:p w14:paraId="2B95CF13">
            <w:pPr>
              <w:spacing w:line="360" w:lineRule="auto"/>
              <w:ind w:left="40" w:leftChars="19" w:right="107" w:rightChars="5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将按《房屋建筑和市政基础设施工程全流程电子化项目专章》的操作方法制作的非加密的电子投标文件刻入光盘（1份），在开标现场（投标截止时间前15分钟）提交备用。刻录好的投标文件光盘密封在密封袋中，并在封口处加盖投标人单位公章。密封袋上应写明的内容见投标人须知前附表4.1.2要求。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r>
              <w:rPr>
                <w:rFonts w:hint="eastAsia" w:ascii="宋体" w:hAnsi="宋体" w:eastAsia="宋体" w:cs="宋体"/>
                <w:color w:val="auto"/>
                <w:szCs w:val="21"/>
                <w:highlight w:val="none"/>
              </w:rPr>
              <w:t>。</w:t>
            </w:r>
          </w:p>
          <w:p w14:paraId="6522284A">
            <w:pPr>
              <w:spacing w:line="360" w:lineRule="auto"/>
              <w:ind w:left="40" w:leftChars="19" w:right="107" w:rightChars="5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3、补救方案</w:t>
            </w:r>
          </w:p>
          <w:p w14:paraId="077F287D">
            <w:pPr>
              <w:spacing w:line="360" w:lineRule="auto"/>
              <w:ind w:left="40" w:leftChars="19" w:right="107" w:rightChars="5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（1）投标文件解密失败的补救方案：</w:t>
            </w:r>
          </w:p>
          <w:p w14:paraId="501AE5B6">
            <w:pPr>
              <w:spacing w:line="360" w:lineRule="auto"/>
              <w:ind w:left="40" w:leftChars="19" w:right="107" w:rightChars="5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在规定时间内，因投标人之外原因导致的电子投标文件解密失败，在开标现场读取光盘内容，继续开标程序。评标委员会对其投标文件的评审以光盘内容为准。</w:t>
            </w:r>
          </w:p>
          <w:p w14:paraId="753F5884">
            <w:pPr>
              <w:spacing w:line="360" w:lineRule="auto"/>
              <w:ind w:left="40" w:leftChars="19" w:right="107" w:rightChars="5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（2）评标时突发情况的补救方案</w:t>
            </w:r>
          </w:p>
          <w:p w14:paraId="5776E9B9">
            <w:pPr>
              <w:spacing w:line="360" w:lineRule="auto"/>
              <w:ind w:left="40" w:leftChars="19" w:right="107" w:rightChars="5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若遇不可抗力发生（如：网络瘫痪、服务器损坏、交易系统故障短期无法恢复等因素），由评标委员会开启现场递交的全部投标文件光盘，并按光盘内容进行评审。</w:t>
            </w:r>
          </w:p>
          <w:p w14:paraId="1E783402">
            <w:pPr>
              <w:spacing w:after="120"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（3）除发生上述情况外，开标评标均以投标人通过交易平台网上递交的电子投标文件为准。</w:t>
            </w:r>
          </w:p>
        </w:tc>
      </w:tr>
      <w:tr w14:paraId="23708280">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5A6E26EB">
            <w:pPr>
              <w:spacing w:after="120"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874" w:type="dxa"/>
            <w:gridSpan w:val="2"/>
            <w:tcBorders>
              <w:top w:val="single" w:color="auto" w:sz="4" w:space="0"/>
              <w:left w:val="single" w:color="auto" w:sz="4" w:space="0"/>
              <w:bottom w:val="single" w:color="auto" w:sz="4" w:space="0"/>
              <w:right w:val="single" w:color="auto" w:sz="4" w:space="0"/>
            </w:tcBorders>
            <w:vAlign w:val="center"/>
          </w:tcPr>
          <w:p w14:paraId="2A11050D">
            <w:pPr>
              <w:keepNext/>
              <w:keepLines/>
              <w:spacing w:line="440" w:lineRule="exact"/>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624063C6">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1D489F8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2629" w:type="dxa"/>
            <w:tcBorders>
              <w:top w:val="single" w:color="auto" w:sz="4" w:space="0"/>
              <w:left w:val="single" w:color="auto" w:sz="4" w:space="0"/>
              <w:bottom w:val="single" w:color="auto" w:sz="4" w:space="0"/>
              <w:right w:val="single" w:color="auto" w:sz="4" w:space="0"/>
            </w:tcBorders>
            <w:vAlign w:val="center"/>
          </w:tcPr>
          <w:p w14:paraId="433B56E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特别提示</w:t>
            </w:r>
          </w:p>
        </w:tc>
        <w:tc>
          <w:tcPr>
            <w:tcW w:w="5245" w:type="dxa"/>
            <w:tcBorders>
              <w:top w:val="single" w:color="auto" w:sz="4" w:space="0"/>
              <w:left w:val="single" w:color="auto" w:sz="4" w:space="0"/>
              <w:bottom w:val="single" w:color="auto" w:sz="4" w:space="0"/>
              <w:right w:val="single" w:color="auto" w:sz="4" w:space="0"/>
            </w:tcBorders>
            <w:vAlign w:val="center"/>
          </w:tcPr>
          <w:p w14:paraId="408AEFF3">
            <w:pPr>
              <w:widowControl/>
              <w:shd w:val="clear" w:color="auto" w:fill="auto"/>
              <w:spacing w:before="0" w:after="120"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投标人在本项目招标人的工程项目中存在下列行为的，将被拒绝一年内参与我单位后续工程投标：</w:t>
            </w:r>
          </w:p>
          <w:p w14:paraId="66645C19">
            <w:pPr>
              <w:widowControl/>
              <w:shd w:val="clear" w:color="auto" w:fill="auto"/>
              <w:spacing w:after="12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（1）将中标工程转包或者违法分包的；</w:t>
            </w:r>
          </w:p>
          <w:p w14:paraId="540C39B8">
            <w:pPr>
              <w:widowControl/>
              <w:shd w:val="clear" w:color="auto" w:fill="auto"/>
              <w:spacing w:after="12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（2）在中标工程中不执行质量、安全生产相关规定的，造成质量或安全事故的；</w:t>
            </w:r>
          </w:p>
          <w:p w14:paraId="6B9B4769">
            <w:pPr>
              <w:widowControl/>
              <w:shd w:val="clear" w:color="auto" w:fill="auto"/>
              <w:spacing w:after="12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（3）存在围标或串标情形的；</w:t>
            </w:r>
          </w:p>
          <w:p w14:paraId="247D8609">
            <w:pPr>
              <w:spacing w:after="120"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（4）存在弄虚作假骗取中标情形的。</w:t>
            </w:r>
          </w:p>
          <w:p w14:paraId="25BE26D5">
            <w:pPr>
              <w:spacing w:after="12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（5）为招标人提供服务过程中存在因过错行为被生效法律文书认定承担违约或侵权责任的。</w:t>
            </w:r>
          </w:p>
        </w:tc>
      </w:tr>
      <w:tr w14:paraId="2020697B">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5DCF78E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2629" w:type="dxa"/>
            <w:tcBorders>
              <w:top w:val="single" w:color="auto" w:sz="4" w:space="0"/>
              <w:left w:val="single" w:color="auto" w:sz="4" w:space="0"/>
              <w:bottom w:val="single" w:color="auto" w:sz="4" w:space="0"/>
              <w:right w:val="single" w:color="auto" w:sz="4" w:space="0"/>
            </w:tcBorders>
            <w:vAlign w:val="center"/>
          </w:tcPr>
          <w:p w14:paraId="27E7D77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招标人拒绝接收其投标文件情况</w:t>
            </w:r>
          </w:p>
        </w:tc>
        <w:tc>
          <w:tcPr>
            <w:tcW w:w="5245" w:type="dxa"/>
            <w:tcBorders>
              <w:top w:val="single" w:color="auto" w:sz="4" w:space="0"/>
              <w:left w:val="single" w:color="auto" w:sz="4" w:space="0"/>
              <w:bottom w:val="single" w:color="auto" w:sz="4" w:space="0"/>
              <w:right w:val="single" w:color="auto" w:sz="4" w:space="0"/>
            </w:tcBorders>
            <w:vAlign w:val="center"/>
          </w:tcPr>
          <w:p w14:paraId="7056B15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10.2.1在投标截止期后逾期上传递交电子投标文件的。</w:t>
            </w:r>
          </w:p>
        </w:tc>
      </w:tr>
      <w:tr w14:paraId="328DEE0D">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23293D0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w:t>
            </w:r>
          </w:p>
        </w:tc>
        <w:tc>
          <w:tcPr>
            <w:tcW w:w="2629" w:type="dxa"/>
            <w:tcBorders>
              <w:top w:val="single" w:color="auto" w:sz="4" w:space="0"/>
              <w:left w:val="single" w:color="auto" w:sz="4" w:space="0"/>
              <w:bottom w:val="single" w:color="auto" w:sz="4" w:space="0"/>
              <w:right w:val="single" w:color="auto" w:sz="4" w:space="0"/>
            </w:tcBorders>
            <w:vAlign w:val="center"/>
          </w:tcPr>
          <w:p w14:paraId="5BD290D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招标失败的情形</w:t>
            </w:r>
          </w:p>
        </w:tc>
        <w:tc>
          <w:tcPr>
            <w:tcW w:w="5245" w:type="dxa"/>
            <w:tcBorders>
              <w:top w:val="single" w:color="auto" w:sz="4" w:space="0"/>
              <w:left w:val="single" w:color="auto" w:sz="4" w:space="0"/>
              <w:bottom w:val="single" w:color="auto" w:sz="4" w:space="0"/>
              <w:right w:val="single" w:color="auto" w:sz="4" w:space="0"/>
            </w:tcBorders>
            <w:vAlign w:val="center"/>
          </w:tcPr>
          <w:p w14:paraId="363412A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10.3.1本项目采用资格后审方式，递交投标文件单位不足3名，或通过初步评审（资格评审、形式评审、响应性评审）的投标申请人不足3名时为招标失败。招标人分析招标失败原因，修正招标方案，报有关管理部门核准后，重新组织招标。</w:t>
            </w:r>
          </w:p>
        </w:tc>
      </w:tr>
      <w:tr w14:paraId="14204702">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67EE015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10.4</w:t>
            </w:r>
          </w:p>
        </w:tc>
        <w:tc>
          <w:tcPr>
            <w:tcW w:w="2629" w:type="dxa"/>
            <w:tcBorders>
              <w:top w:val="single" w:color="auto" w:sz="4" w:space="0"/>
              <w:left w:val="single" w:color="auto" w:sz="4" w:space="0"/>
              <w:bottom w:val="single" w:color="auto" w:sz="4" w:space="0"/>
              <w:right w:val="single" w:color="auto" w:sz="4" w:space="0"/>
            </w:tcBorders>
            <w:vAlign w:val="center"/>
          </w:tcPr>
          <w:p w14:paraId="5A629987">
            <w:pPr>
              <w:widowControl/>
              <w:shd w:val="clear" w:color="auto" w:fill="FFFFFF"/>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第一中标候选人放弃中标资格情形</w:t>
            </w:r>
          </w:p>
        </w:tc>
        <w:tc>
          <w:tcPr>
            <w:tcW w:w="5245" w:type="dxa"/>
            <w:tcBorders>
              <w:top w:val="single" w:color="auto" w:sz="4" w:space="0"/>
              <w:left w:val="single" w:color="auto" w:sz="4" w:space="0"/>
              <w:bottom w:val="single" w:color="auto" w:sz="4" w:space="0"/>
              <w:right w:val="single" w:color="auto" w:sz="4" w:space="0"/>
            </w:tcBorders>
            <w:vAlign w:val="center"/>
          </w:tcPr>
          <w:p w14:paraId="6BF47E6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组织招标。</w:t>
            </w:r>
          </w:p>
        </w:tc>
      </w:tr>
      <w:tr w14:paraId="198A53D2">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13B6D64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w:t>
            </w:r>
          </w:p>
        </w:tc>
        <w:tc>
          <w:tcPr>
            <w:tcW w:w="2629" w:type="dxa"/>
            <w:tcBorders>
              <w:top w:val="single" w:color="auto" w:sz="4" w:space="0"/>
              <w:left w:val="single" w:color="auto" w:sz="4" w:space="0"/>
              <w:bottom w:val="single" w:color="auto" w:sz="4" w:space="0"/>
              <w:right w:val="single" w:color="auto" w:sz="4" w:space="0"/>
            </w:tcBorders>
            <w:vAlign w:val="center"/>
          </w:tcPr>
          <w:p w14:paraId="1514AE0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其他费用</w:t>
            </w:r>
          </w:p>
        </w:tc>
        <w:tc>
          <w:tcPr>
            <w:tcW w:w="5245" w:type="dxa"/>
            <w:tcBorders>
              <w:top w:val="single" w:color="auto" w:sz="4" w:space="0"/>
              <w:left w:val="single" w:color="auto" w:sz="4" w:space="0"/>
              <w:bottom w:val="single" w:color="auto" w:sz="4" w:space="0"/>
              <w:right w:val="single" w:color="auto" w:sz="4" w:space="0"/>
            </w:tcBorders>
            <w:vAlign w:val="center"/>
          </w:tcPr>
          <w:p w14:paraId="3F017BE8">
            <w:pPr>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10.5.1交易服务费：中标人按《广州市发展改革委转发省发展改革委关于规范公共资源交易服务收费及有关问题的通知》（穗发改〔2017〕811号）文件的规定，向广州交易集团有限公司（广州公共资源交易中心）代缴交易服务费，其费用包含在中标人投标报价中，招标人不另行支付。</w:t>
            </w:r>
          </w:p>
          <w:p w14:paraId="27374ED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10.5.2招标代理费：中标人在领取中标通知书前需向本项目招标代理机构缴纳招标代理费，招标代理费按招标人与招标代理机构签署的合同计算，最终金额具体以招标代理发出的缴费通知书为准。</w:t>
            </w:r>
            <w:r>
              <w:rPr>
                <w:rFonts w:hint="eastAsia" w:ascii="宋体" w:hAnsi="宋体" w:eastAsia="宋体" w:cs="宋体"/>
                <w:color w:val="auto"/>
                <w:szCs w:val="21"/>
                <w:highlight w:val="none"/>
                <w:lang w:eastAsia="zh"/>
              </w:rPr>
              <w:t>公示如下：</w:t>
            </w:r>
            <w:r>
              <w:rPr>
                <w:rFonts w:hint="eastAsia" w:ascii="宋体" w:hAnsi="宋体" w:eastAsia="宋体" w:cs="宋体"/>
                <w:color w:val="auto"/>
                <w:szCs w:val="21"/>
                <w:highlight w:val="none"/>
              </w:rPr>
              <w:t>即500万≥中标价≥100万时</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rPr>
              <w:t>A=【1.5+（B-100）*0.8%】*80%；</w:t>
            </w:r>
            <w:r>
              <w:rPr>
                <w:rFonts w:hint="eastAsia" w:ascii="宋体" w:hAnsi="宋体" w:eastAsia="宋体" w:cs="宋体"/>
                <w:color w:val="auto"/>
                <w:szCs w:val="21"/>
                <w:highlight w:val="none"/>
                <w:lang w:bidi="ar"/>
              </w:rPr>
              <w:t>中标价＜100万时，A=1.5%*B*80%   A表示代理费（单位为万元） ；B表示中标价（单位为万元）。</w:t>
            </w:r>
            <w:r>
              <w:rPr>
                <w:rFonts w:hint="eastAsia" w:ascii="宋体" w:hAnsi="宋体" w:eastAsia="宋体" w:cs="宋体"/>
                <w:color w:val="auto"/>
                <w:szCs w:val="21"/>
                <w:highlight w:val="none"/>
              </w:rPr>
              <w:t>其费用包含在中标人投标报价中，招标人不另行支付。</w:t>
            </w:r>
          </w:p>
        </w:tc>
      </w:tr>
      <w:tr w14:paraId="1C5CFB74">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12C62E1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w:t>
            </w:r>
          </w:p>
        </w:tc>
        <w:tc>
          <w:tcPr>
            <w:tcW w:w="2629" w:type="dxa"/>
            <w:tcBorders>
              <w:top w:val="single" w:color="auto" w:sz="4" w:space="0"/>
              <w:left w:val="single" w:color="auto" w:sz="4" w:space="0"/>
              <w:bottom w:val="single" w:color="auto" w:sz="4" w:space="0"/>
              <w:right w:val="single" w:color="auto" w:sz="4" w:space="0"/>
            </w:tcBorders>
            <w:vAlign w:val="center"/>
          </w:tcPr>
          <w:p w14:paraId="098FDA4C">
            <w:pPr>
              <w:widowControl/>
              <w:shd w:val="clear" w:color="auto" w:fill="FFFFFF"/>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中标候选人公示要求</w:t>
            </w:r>
          </w:p>
        </w:tc>
        <w:tc>
          <w:tcPr>
            <w:tcW w:w="5245" w:type="dxa"/>
            <w:tcBorders>
              <w:top w:val="single" w:color="auto" w:sz="4" w:space="0"/>
              <w:left w:val="single" w:color="auto" w:sz="4" w:space="0"/>
              <w:bottom w:val="single" w:color="auto" w:sz="4" w:space="0"/>
              <w:right w:val="single" w:color="auto" w:sz="4" w:space="0"/>
            </w:tcBorders>
            <w:vAlign w:val="center"/>
          </w:tcPr>
          <w:p w14:paraId="21F79009">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10.6.1在产生中标候选人后，招标人将中标候选人的投标文件商务部分的电子版（投标报价表、方案等涉及商业秘密的内容除外）在</w:t>
            </w:r>
            <w:r>
              <w:rPr>
                <w:rFonts w:hint="eastAsia" w:ascii="宋体" w:hAnsi="宋体" w:eastAsia="宋体" w:cs="宋体"/>
                <w:color w:val="auto"/>
                <w:szCs w:val="21"/>
                <w:highlight w:val="none"/>
              </w:rPr>
              <w:t>广东省招标投标监管网、</w:t>
            </w:r>
            <w:r>
              <w:rPr>
                <w:rFonts w:hint="eastAsia" w:ascii="宋体" w:hAnsi="宋体" w:eastAsia="宋体" w:cs="宋体"/>
                <w:bCs/>
                <w:color w:val="auto"/>
                <w:szCs w:val="21"/>
                <w:highlight w:val="none"/>
              </w:rPr>
              <w:t>广州交易集团有限公司（广州公共资源交易中心）网站公开。</w:t>
            </w:r>
          </w:p>
          <w:p w14:paraId="01182EA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10.6.2招标人发放中标通知书后3天内，中标人需将在广州交易集团有限公司（广州公共资源交易中心）网站下载的投标文件打印，投标文件需与中标人在广州交易集团有限公司（广州公共资源交易中心）网站提交的投标文件一致。前述资料中标人需加盖公章，一正两副（加盖公章），合共3套投标文件提供给招标人，相关费用由中标人支付。</w:t>
            </w:r>
          </w:p>
          <w:p w14:paraId="1584FD9E">
            <w:pPr>
              <w:pStyle w:val="26"/>
              <w:widowControl/>
              <w:shd w:val="clear" w:color="auto" w:fill="FFFFFF"/>
              <w:spacing w:before="120"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10.6.3本项目采用电子招标投标，招标文件中要求投标人提供证明材料的复印件或扫描件形式的，即为提供电子格式文件。</w:t>
            </w:r>
          </w:p>
        </w:tc>
      </w:tr>
      <w:tr w14:paraId="2439F141">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4D59675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w:t>
            </w:r>
          </w:p>
        </w:tc>
        <w:tc>
          <w:tcPr>
            <w:tcW w:w="2629" w:type="dxa"/>
            <w:tcBorders>
              <w:top w:val="single" w:color="auto" w:sz="4" w:space="0"/>
              <w:left w:val="single" w:color="auto" w:sz="4" w:space="0"/>
              <w:bottom w:val="single" w:color="auto" w:sz="4" w:space="0"/>
              <w:right w:val="single" w:color="auto" w:sz="4" w:space="0"/>
            </w:tcBorders>
            <w:vAlign w:val="center"/>
          </w:tcPr>
          <w:p w14:paraId="30FAD5A8">
            <w:pPr>
              <w:widowControl/>
              <w:shd w:val="clear" w:color="auto" w:fill="FFFFFF"/>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中标结果公告</w:t>
            </w:r>
          </w:p>
        </w:tc>
        <w:tc>
          <w:tcPr>
            <w:tcW w:w="5245" w:type="dxa"/>
            <w:tcBorders>
              <w:top w:val="single" w:color="auto" w:sz="4" w:space="0"/>
              <w:left w:val="single" w:color="auto" w:sz="4" w:space="0"/>
              <w:bottom w:val="single" w:color="auto" w:sz="4" w:space="0"/>
              <w:right w:val="single" w:color="auto" w:sz="4" w:space="0"/>
            </w:tcBorders>
            <w:vAlign w:val="center"/>
          </w:tcPr>
          <w:p w14:paraId="21CEEC7D">
            <w:pPr>
              <w:pStyle w:val="26"/>
              <w:widowControl/>
              <w:shd w:val="clear" w:color="auto" w:fill="FFFFFF"/>
              <w:spacing w:before="120"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10.7.1中标结果公告：由招标人按定标原则选定中标人后，将在广州交易集团有限公司（广州公共资源交易中心）网（网址：http://www.gzggzy.cn）、广东省招标投标监管网（网址：https://www.gdzwfw.gov.cn/ztbjg-portal/#/index）和中国招标投标公共服务平台（网址：http://www.cebpubservice.com/）、广州国企阳光采购信息发布平台（https://ygcg.gzggzy.cn/p92/index.html）</w:t>
            </w:r>
            <w:r>
              <w:rPr>
                <w:rStyle w:val="23"/>
                <w:rFonts w:hint="eastAsia" w:ascii="宋体" w:hAnsi="宋体" w:cs="宋体"/>
                <w:color w:val="auto"/>
                <w:szCs w:val="21"/>
                <w:highlight w:val="none"/>
              </w:rPr>
              <w:t>发布中标结果公告。）</w:t>
            </w:r>
          </w:p>
        </w:tc>
      </w:tr>
    </w:tbl>
    <w:p w14:paraId="767DE3E9">
      <w:pPr>
        <w:spacing w:line="361" w:lineRule="exact"/>
        <w:rPr>
          <w:rFonts w:hint="eastAsia" w:ascii="宋体" w:hAnsi="宋体" w:eastAsia="宋体" w:cs="宋体"/>
          <w:color w:val="auto"/>
          <w:sz w:val="20"/>
          <w:szCs w:val="20"/>
          <w:highlight w:val="none"/>
        </w:rPr>
      </w:pPr>
    </w:p>
    <w:p w14:paraId="1A61D279">
      <w:pPr>
        <w:spacing w:line="361"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20DCC98A">
      <w:pPr>
        <w:pStyle w:val="2"/>
        <w:rPr>
          <w:rFonts w:hint="eastAsia" w:ascii="宋体" w:hAnsi="宋体" w:eastAsia="宋体" w:cs="宋体"/>
          <w:color w:val="auto"/>
          <w:highlight w:val="none"/>
        </w:rPr>
      </w:pPr>
      <w:bookmarkStart w:id="7" w:name="_Toc532744082"/>
      <w:r>
        <w:rPr>
          <w:rFonts w:hint="eastAsia" w:ascii="宋体" w:hAnsi="宋体" w:eastAsia="宋体" w:cs="宋体"/>
          <w:color w:val="auto"/>
          <w:highlight w:val="none"/>
        </w:rPr>
        <w:t>1. 总则</w:t>
      </w:r>
      <w:bookmarkEnd w:id="7"/>
    </w:p>
    <w:p w14:paraId="426CB80E">
      <w:pPr>
        <w:pStyle w:val="4"/>
        <w:spacing w:before="48" w:beforeLines="20" w:after="48" w:afterLines="20"/>
        <w:jc w:val="left"/>
        <w:rPr>
          <w:rFonts w:hint="eastAsia" w:ascii="宋体" w:hAnsi="宋体" w:eastAsia="宋体" w:cs="宋体"/>
          <w:color w:val="auto"/>
          <w:highlight w:val="none"/>
        </w:rPr>
      </w:pPr>
      <w:bookmarkStart w:id="8" w:name="_Toc532744083"/>
      <w:r>
        <w:rPr>
          <w:rFonts w:hint="eastAsia" w:ascii="宋体" w:hAnsi="宋体" w:eastAsia="宋体" w:cs="宋体"/>
          <w:color w:val="auto"/>
          <w:highlight w:val="none"/>
        </w:rPr>
        <w:t>1.1 招标项目概况</w:t>
      </w:r>
      <w:bookmarkEnd w:id="8"/>
    </w:p>
    <w:p w14:paraId="67F776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根据《中华人民共和国招标投标法》、《中华人民共和国招标投标法实施条例》等有关法律、法规和规章的规定，本招标项目已具备招标条件，现对</w:t>
      </w:r>
      <w:r>
        <w:rPr>
          <w:rFonts w:hint="eastAsia" w:ascii="宋体" w:hAnsi="宋体" w:eastAsia="宋体" w:cs="宋体"/>
          <w:color w:val="auto"/>
          <w:highlight w:val="none"/>
          <w:u w:val="single"/>
        </w:rPr>
        <w:t>该项目</w:t>
      </w:r>
      <w:r>
        <w:rPr>
          <w:rFonts w:hint="eastAsia" w:ascii="宋体" w:hAnsi="宋体" w:eastAsia="宋体" w:cs="宋体"/>
          <w:color w:val="auto"/>
          <w:highlight w:val="none"/>
        </w:rPr>
        <w:t>进行招标。</w:t>
      </w:r>
    </w:p>
    <w:p w14:paraId="3D202D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招标人：见投标人须知前附表。</w:t>
      </w:r>
    </w:p>
    <w:p w14:paraId="5A94A3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招标代理机构：见投标人须知前附表。</w:t>
      </w:r>
    </w:p>
    <w:p w14:paraId="5B8454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招标项目名称：见投标人须知前附表。</w:t>
      </w:r>
    </w:p>
    <w:p w14:paraId="2AE05C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项目建设地点：见投标人须知前附表。</w:t>
      </w:r>
    </w:p>
    <w:p w14:paraId="6291E4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1.1.6 项目建设规模：见投标人须知前附表。</w:t>
      </w:r>
    </w:p>
    <w:p w14:paraId="14285E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1.1.7 </w:t>
      </w:r>
      <w:r>
        <w:rPr>
          <w:rFonts w:hint="eastAsia" w:ascii="宋体" w:hAnsi="宋体" w:eastAsia="宋体" w:cs="宋体"/>
          <w:color w:val="auto"/>
          <w:szCs w:val="21"/>
          <w:highlight w:val="none"/>
        </w:rPr>
        <w:t>计划工期</w:t>
      </w:r>
      <w:r>
        <w:rPr>
          <w:rFonts w:hint="eastAsia" w:ascii="宋体" w:hAnsi="宋体" w:eastAsia="宋体" w:cs="宋体"/>
          <w:color w:val="auto"/>
          <w:highlight w:val="none"/>
        </w:rPr>
        <w:t>：见投标人须知前附表。</w:t>
      </w:r>
    </w:p>
    <w:p w14:paraId="04FEB7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1.1.8 建筑安装工程费/工程概算：见投标人须知前附表。</w:t>
      </w:r>
    </w:p>
    <w:p w14:paraId="0265C90B">
      <w:pPr>
        <w:pStyle w:val="4"/>
        <w:spacing w:before="48" w:beforeLines="20" w:after="48" w:afterLines="20"/>
        <w:jc w:val="left"/>
        <w:rPr>
          <w:rFonts w:hint="eastAsia" w:ascii="宋体" w:hAnsi="宋体" w:eastAsia="宋体" w:cs="宋体"/>
          <w:color w:val="auto"/>
          <w:highlight w:val="none"/>
        </w:rPr>
      </w:pPr>
      <w:bookmarkStart w:id="9" w:name="_Toc532744084"/>
      <w:r>
        <w:rPr>
          <w:rFonts w:hint="eastAsia" w:ascii="宋体" w:hAnsi="宋体" w:eastAsia="宋体" w:cs="宋体"/>
          <w:color w:val="auto"/>
          <w:highlight w:val="none"/>
        </w:rPr>
        <w:t>1.2 招标项目的资金来源和落实情况</w:t>
      </w:r>
      <w:bookmarkEnd w:id="9"/>
    </w:p>
    <w:p w14:paraId="715EA5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资金来源及比例：见投标人须知前附表。</w:t>
      </w:r>
    </w:p>
    <w:p w14:paraId="720E31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资金落实情况：见投标人须知前附表。</w:t>
      </w:r>
    </w:p>
    <w:p w14:paraId="4886E1E3">
      <w:pPr>
        <w:pStyle w:val="4"/>
        <w:spacing w:before="48" w:beforeLines="20" w:after="48" w:afterLines="20"/>
        <w:jc w:val="left"/>
        <w:rPr>
          <w:rFonts w:hint="eastAsia" w:ascii="宋体" w:hAnsi="宋体" w:eastAsia="宋体" w:cs="宋体"/>
          <w:color w:val="auto"/>
          <w:highlight w:val="none"/>
        </w:rPr>
      </w:pPr>
      <w:bookmarkStart w:id="10" w:name="_Toc532744085"/>
      <w:r>
        <w:rPr>
          <w:rFonts w:hint="eastAsia" w:ascii="宋体" w:hAnsi="宋体" w:eastAsia="宋体" w:cs="宋体"/>
          <w:color w:val="auto"/>
          <w:highlight w:val="none"/>
        </w:rPr>
        <w:t>1.3 招标范围、服务期限和质量标准</w:t>
      </w:r>
      <w:bookmarkEnd w:id="10"/>
    </w:p>
    <w:p w14:paraId="11C3CE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招标范围：见投标人须知前附表。</w:t>
      </w:r>
    </w:p>
    <w:p w14:paraId="3F5B71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服务期限：见投标人须知前附表。</w:t>
      </w:r>
    </w:p>
    <w:p w14:paraId="50FB1B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质量标准：见投标人须知前附表。</w:t>
      </w:r>
    </w:p>
    <w:p w14:paraId="3AB3900D">
      <w:pPr>
        <w:pStyle w:val="4"/>
        <w:spacing w:before="48" w:beforeLines="20" w:after="48" w:afterLines="20"/>
        <w:jc w:val="left"/>
        <w:rPr>
          <w:rFonts w:hint="eastAsia" w:ascii="宋体" w:hAnsi="宋体" w:eastAsia="宋体" w:cs="宋体"/>
          <w:color w:val="auto"/>
          <w:highlight w:val="none"/>
        </w:rPr>
      </w:pPr>
      <w:bookmarkStart w:id="11" w:name="_Toc532744086"/>
      <w:r>
        <w:rPr>
          <w:rFonts w:hint="eastAsia" w:ascii="宋体" w:hAnsi="宋体" w:eastAsia="宋体" w:cs="宋体"/>
          <w:color w:val="auto"/>
          <w:highlight w:val="none"/>
        </w:rPr>
        <w:t>1.4 投标人资格要求</w:t>
      </w:r>
      <w:bookmarkEnd w:id="11"/>
    </w:p>
    <w:p w14:paraId="5CE411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投标人应具备承担本招标项目资质条件、能力和信誉：</w:t>
      </w:r>
    </w:p>
    <w:p w14:paraId="43204A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（1）资质要求：见投标人须知前附表；</w:t>
      </w:r>
    </w:p>
    <w:p w14:paraId="42CEE7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（2）财务要求：见投标人须知前附表；</w:t>
      </w:r>
    </w:p>
    <w:p w14:paraId="705B96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（3）业绩要求：见投标人须知前附表；</w:t>
      </w:r>
    </w:p>
    <w:p w14:paraId="45396F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（4）信誉要求：见投标人须知前附表；</w:t>
      </w:r>
    </w:p>
    <w:p w14:paraId="6F6B2A05">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（5）</w:t>
      </w:r>
      <w:r>
        <w:rPr>
          <w:rFonts w:hint="eastAsia" w:ascii="宋体" w:hAnsi="宋体" w:eastAsia="宋体" w:cs="宋体"/>
          <w:color w:val="auto"/>
          <w:szCs w:val="21"/>
          <w:highlight w:val="none"/>
          <w:u w:val="single"/>
        </w:rPr>
        <w:t>项目负责人</w:t>
      </w:r>
      <w:r>
        <w:rPr>
          <w:rFonts w:hint="eastAsia" w:ascii="宋体" w:hAnsi="宋体" w:eastAsia="宋体" w:cs="宋体"/>
          <w:color w:val="auto"/>
          <w:highlight w:val="none"/>
        </w:rPr>
        <w:t>的资格要求：</w:t>
      </w:r>
      <w:r>
        <w:rPr>
          <w:rFonts w:hint="eastAsia" w:ascii="宋体" w:hAnsi="宋体" w:eastAsia="宋体" w:cs="宋体"/>
          <w:color w:val="auto"/>
          <w:highlight w:val="none"/>
          <w:u w:val="single"/>
        </w:rPr>
        <w:t>见投标人须知前附表；</w:t>
      </w:r>
    </w:p>
    <w:p w14:paraId="5FF693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（6）其他主要人员要求：见投标人须知前附表。</w:t>
      </w:r>
    </w:p>
    <w:p w14:paraId="35A87E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（7）试验检测仪器设备要求：见投标人须知前附表。</w:t>
      </w:r>
    </w:p>
    <w:p w14:paraId="566CFB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（8）其他要求：见投标人须知前附表。</w:t>
      </w:r>
    </w:p>
    <w:p w14:paraId="1EA18F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需要提交的相关证明材料见本章第 3.5款的规定。</w:t>
      </w:r>
    </w:p>
    <w:p w14:paraId="0B79E5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投标人须知前附表规定接受联合体投标的，联合体除应符合本章第 1.4.1 项和投标人须知前附表的要求外，还应遵守以下规定：</w:t>
      </w:r>
    </w:p>
    <w:p w14:paraId="066169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（1）联合体各方应按招标文件提供的格式签订联合体协议书，明确联合体牵头人和各方权利义务，并承诺就中标项目向招标人承担连带责任；</w:t>
      </w:r>
    </w:p>
    <w:p w14:paraId="1CDCF4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（2）由同一专业的单位组成的联合体，按照资质等级较低的单位确定资质等级；</w:t>
      </w:r>
    </w:p>
    <w:p w14:paraId="6D86A2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（3）联合体各方不得再以自己名义单独或参加其他联合体在本招标项目中投标，否则各相关投标均无效。</w:t>
      </w:r>
    </w:p>
    <w:p w14:paraId="3669C8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 投标人不得存在下列情形之一：</w:t>
      </w:r>
    </w:p>
    <w:p w14:paraId="03F22F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（1）为招标人不具有独立法人资格的附属机构（单位）；</w:t>
      </w:r>
    </w:p>
    <w:p w14:paraId="1E98CF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（2）与招标人存在利害关系且可能影响招标公正性；</w:t>
      </w:r>
    </w:p>
    <w:p w14:paraId="5BA5E1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（3）与本招标项目的其他投标人为同一个单位负责人；</w:t>
      </w:r>
    </w:p>
    <w:p w14:paraId="0CD048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（4）与本招标项目的其他投标人存在控股、管理关系；</w:t>
      </w:r>
    </w:p>
    <w:p w14:paraId="143325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（5）为本招标项目的代建人；</w:t>
      </w:r>
    </w:p>
    <w:p w14:paraId="087CB7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（6）为本招标项目的招标代理机构；</w:t>
      </w:r>
    </w:p>
    <w:p w14:paraId="7B23ED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（7）与本招标项目的代建人或招标代理机构同为一个法定代表人；</w:t>
      </w:r>
    </w:p>
    <w:p w14:paraId="7AD6E8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（8）与本招标项目的代建人或招标代理机构存在控股或参股关系；</w:t>
      </w:r>
    </w:p>
    <w:p w14:paraId="6CFAA6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（9）与本招标项目的施工承包人以及建筑材料、建筑构配件和设备供应商有隶属关系或者其他利害关系；</w:t>
      </w:r>
    </w:p>
    <w:p w14:paraId="2A24D0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（10）被依法暂停或者取消投标资格；</w:t>
      </w:r>
      <w:r>
        <w:rPr>
          <w:rFonts w:hint="eastAsia" w:ascii="宋体" w:hAnsi="宋体" w:eastAsia="宋体" w:cs="宋体"/>
          <w:color w:val="auto"/>
          <w:szCs w:val="21"/>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ED1D048">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（11）被责令停产停业、暂扣或者吊销许可证、暂扣或者吊销执照；</w:t>
      </w:r>
      <w:r>
        <w:rPr>
          <w:rFonts w:hint="eastAsia" w:ascii="宋体" w:hAnsi="宋体" w:eastAsia="宋体" w:cs="宋体"/>
          <w:color w:val="auto"/>
          <w:szCs w:val="21"/>
          <w:highlight w:val="none"/>
          <w:u w:val="single"/>
        </w:rPr>
        <w:t>（本项事实应当以根据《中华人民共和国行政处罚法》依法作出并已经生效的行政处罚决定为认定依据。）</w:t>
      </w:r>
    </w:p>
    <w:p w14:paraId="297B8C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（12）进入清算程序，或被宣告破产，或其他丧失履约能力的情形；</w:t>
      </w:r>
    </w:p>
    <w:p w14:paraId="4A7C11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（13）在最近三年内发生重大保险工作质量问题（以相关行业主管部门的行政处罚决定或司法机关出具的有关法律文书为准；</w:t>
      </w:r>
      <w:r>
        <w:rPr>
          <w:rFonts w:hint="eastAsia" w:ascii="宋体" w:hAnsi="宋体" w:eastAsia="宋体" w:cs="宋体"/>
          <w:color w:val="auto"/>
          <w:szCs w:val="21"/>
          <w:highlight w:val="none"/>
          <w:u w:val="single"/>
        </w:rPr>
        <w:t>“最近三年”是指从投标截止时间之日起逆推三年，以相关行业主管部门、司法机关出具的生效文件的落款时间起计算）；</w:t>
      </w:r>
    </w:p>
    <w:p w14:paraId="5DDD02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（14）法律法规或投标人须知前附表规定的其他情形。</w:t>
      </w:r>
    </w:p>
    <w:p w14:paraId="70F1AF7C">
      <w:pPr>
        <w:pStyle w:val="4"/>
        <w:spacing w:before="48" w:beforeLines="20" w:after="48" w:afterLines="20"/>
        <w:jc w:val="left"/>
        <w:rPr>
          <w:rFonts w:hint="eastAsia" w:ascii="宋体" w:hAnsi="宋体" w:eastAsia="宋体" w:cs="宋体"/>
          <w:color w:val="auto"/>
          <w:highlight w:val="none"/>
        </w:rPr>
      </w:pPr>
      <w:bookmarkStart w:id="12" w:name="_Toc532744087"/>
      <w:r>
        <w:rPr>
          <w:rFonts w:hint="eastAsia" w:ascii="宋体" w:hAnsi="宋体" w:eastAsia="宋体" w:cs="宋体"/>
          <w:color w:val="auto"/>
          <w:highlight w:val="none"/>
        </w:rPr>
        <w:t>1.5 费用承担</w:t>
      </w:r>
      <w:bookmarkEnd w:id="12"/>
    </w:p>
    <w:p w14:paraId="00C044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14:paraId="4E0EDED3">
      <w:pPr>
        <w:pStyle w:val="4"/>
        <w:spacing w:before="48" w:beforeLines="20" w:after="48" w:afterLines="20"/>
        <w:jc w:val="left"/>
        <w:rPr>
          <w:rFonts w:hint="eastAsia" w:ascii="宋体" w:hAnsi="宋体" w:eastAsia="宋体" w:cs="宋体"/>
          <w:color w:val="auto"/>
          <w:highlight w:val="none"/>
        </w:rPr>
      </w:pPr>
      <w:bookmarkStart w:id="13" w:name="_Toc532744088"/>
      <w:r>
        <w:rPr>
          <w:rFonts w:hint="eastAsia" w:ascii="宋体" w:hAnsi="宋体" w:eastAsia="宋体" w:cs="宋体"/>
          <w:color w:val="auto"/>
          <w:highlight w:val="none"/>
        </w:rPr>
        <w:t>1.6 保密</w:t>
      </w:r>
      <w:bookmarkEnd w:id="13"/>
    </w:p>
    <w:p w14:paraId="6C9233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参与招标投标活动的各方应对招标文件和投标文件中的商业和技术等秘密保密，否则应承担相应的法律责任。</w:t>
      </w:r>
    </w:p>
    <w:p w14:paraId="1E86DD60">
      <w:pPr>
        <w:pStyle w:val="4"/>
        <w:spacing w:before="48" w:beforeLines="20" w:after="48" w:afterLines="20"/>
        <w:jc w:val="left"/>
        <w:rPr>
          <w:rFonts w:hint="eastAsia" w:ascii="宋体" w:hAnsi="宋体" w:eastAsia="宋体" w:cs="宋体"/>
          <w:color w:val="auto"/>
          <w:highlight w:val="none"/>
        </w:rPr>
      </w:pPr>
      <w:bookmarkStart w:id="14" w:name="_Toc532744089"/>
      <w:r>
        <w:rPr>
          <w:rFonts w:hint="eastAsia" w:ascii="宋体" w:hAnsi="宋体" w:eastAsia="宋体" w:cs="宋体"/>
          <w:color w:val="auto"/>
          <w:highlight w:val="none"/>
        </w:rPr>
        <w:t>1.7 语言文字</w:t>
      </w:r>
      <w:bookmarkEnd w:id="14"/>
    </w:p>
    <w:p w14:paraId="67D7D8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招标投标文件使用的语言文字为中文。专用术语使用外文的，应附有中文注释。</w:t>
      </w:r>
    </w:p>
    <w:p w14:paraId="163C0F03">
      <w:pPr>
        <w:pStyle w:val="4"/>
        <w:spacing w:before="48" w:beforeLines="20" w:after="48" w:afterLines="20"/>
        <w:jc w:val="left"/>
        <w:rPr>
          <w:rFonts w:hint="eastAsia" w:ascii="宋体" w:hAnsi="宋体" w:eastAsia="宋体" w:cs="宋体"/>
          <w:color w:val="auto"/>
          <w:highlight w:val="none"/>
        </w:rPr>
      </w:pPr>
      <w:bookmarkStart w:id="15" w:name="_Toc532744090"/>
      <w:r>
        <w:rPr>
          <w:rFonts w:hint="eastAsia" w:ascii="宋体" w:hAnsi="宋体" w:eastAsia="宋体" w:cs="宋体"/>
          <w:color w:val="auto"/>
          <w:highlight w:val="none"/>
        </w:rPr>
        <w:t>1.8 计量单位</w:t>
      </w:r>
      <w:bookmarkEnd w:id="15"/>
    </w:p>
    <w:p w14:paraId="1563BA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5DA35D54">
      <w:pPr>
        <w:pStyle w:val="4"/>
        <w:spacing w:before="48" w:beforeLines="20" w:after="48" w:afterLines="20"/>
        <w:jc w:val="left"/>
        <w:rPr>
          <w:rFonts w:hint="eastAsia" w:ascii="宋体" w:hAnsi="宋体" w:eastAsia="宋体" w:cs="宋体"/>
          <w:color w:val="auto"/>
          <w:highlight w:val="none"/>
        </w:rPr>
      </w:pPr>
      <w:bookmarkStart w:id="16" w:name="_Toc532744091"/>
      <w:r>
        <w:rPr>
          <w:rFonts w:hint="eastAsia" w:ascii="宋体" w:hAnsi="宋体" w:eastAsia="宋体" w:cs="宋体"/>
          <w:color w:val="auto"/>
          <w:highlight w:val="none"/>
        </w:rPr>
        <w:t>1.9 踏勘现场</w:t>
      </w:r>
      <w:bookmarkEnd w:id="16"/>
    </w:p>
    <w:p w14:paraId="4046FA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 投标人须知前附表规定组织踏勘现场的，招标人按投标人须知前附表规定的时间、地点组织投标人踏勘项目现场。部分投标人未按时参加踏勘现场的，不影响踏勘现场的正常进行。</w:t>
      </w:r>
    </w:p>
    <w:p w14:paraId="19DE7E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14:paraId="40C7F9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14:paraId="3D5C9A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1.9.4 招标人在踏勘现场中介绍的工程场地和相关的周边环境情况，供投标人在编制投标文件时参考，招标人不对投标人据此作出的判断和决策负责。</w:t>
      </w:r>
    </w:p>
    <w:p w14:paraId="4A8EE66B">
      <w:pPr>
        <w:pStyle w:val="4"/>
        <w:spacing w:before="48" w:beforeLines="20" w:after="48" w:afterLines="20"/>
        <w:jc w:val="left"/>
        <w:rPr>
          <w:rFonts w:hint="eastAsia" w:ascii="宋体" w:hAnsi="宋体" w:eastAsia="宋体" w:cs="宋体"/>
          <w:color w:val="auto"/>
          <w:highlight w:val="none"/>
        </w:rPr>
      </w:pPr>
      <w:bookmarkStart w:id="17" w:name="_Toc532744092"/>
      <w:r>
        <w:rPr>
          <w:rFonts w:hint="eastAsia" w:ascii="宋体" w:hAnsi="宋体" w:eastAsia="宋体" w:cs="宋体"/>
          <w:color w:val="auto"/>
          <w:highlight w:val="none"/>
        </w:rPr>
        <w:t>1.10 投标预备会</w:t>
      </w:r>
      <w:bookmarkEnd w:id="17"/>
    </w:p>
    <w:p w14:paraId="10D11E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投标人须知前附表规定召开投标预备会的，招标人按投标人须知前附表规定的时间和地点召开投标预备会，澄清投标人提出的问题。</w:t>
      </w:r>
    </w:p>
    <w:p w14:paraId="2D9830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1.10.2 投标人应按投标人须知前附表规定的时间和形式将提出的问题送达招标人，以便招标人在会议期间澄清。</w:t>
      </w:r>
    </w:p>
    <w:p w14:paraId="32CAB4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1.10.3 投标预备会后，招标人将对投标人所提问题的澄清，以投标人须知前附表规定的形式通知所有购买招标文件的投标人。该澄清内容为招标文件的组成部分。</w:t>
      </w:r>
    </w:p>
    <w:p w14:paraId="0FDC14C9">
      <w:pPr>
        <w:pStyle w:val="4"/>
        <w:spacing w:before="48" w:beforeLines="20" w:after="48" w:afterLines="20"/>
        <w:jc w:val="left"/>
        <w:rPr>
          <w:rFonts w:hint="eastAsia" w:ascii="宋体" w:hAnsi="宋体" w:eastAsia="宋体" w:cs="宋体"/>
          <w:color w:val="auto"/>
          <w:highlight w:val="none"/>
        </w:rPr>
      </w:pPr>
      <w:bookmarkStart w:id="18" w:name="_Toc532744093"/>
      <w:r>
        <w:rPr>
          <w:rFonts w:hint="eastAsia" w:ascii="宋体" w:hAnsi="宋体" w:eastAsia="宋体" w:cs="宋体"/>
          <w:color w:val="auto"/>
          <w:highlight w:val="none"/>
        </w:rPr>
        <w:t>1.11 分包</w:t>
      </w:r>
      <w:bookmarkEnd w:id="18"/>
    </w:p>
    <w:p w14:paraId="3AB6BB42">
      <w:pPr>
        <w:spacing w:line="360" w:lineRule="auto"/>
        <w:ind w:firstLine="412"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1.11.1</w:t>
      </w:r>
      <w:r>
        <w:rPr>
          <w:rFonts w:hint="eastAsia" w:ascii="宋体" w:hAnsi="宋体" w:eastAsia="宋体" w:cs="宋体"/>
          <w:color w:val="auto"/>
          <w:szCs w:val="21"/>
          <w:highlight w:val="none"/>
        </w:rPr>
        <w:t>按合同约定</w:t>
      </w:r>
      <w:r>
        <w:rPr>
          <w:rFonts w:hint="eastAsia" w:ascii="宋体" w:hAnsi="宋体" w:eastAsia="宋体" w:cs="宋体"/>
          <w:color w:val="auto"/>
          <w:spacing w:val="-2"/>
          <w:szCs w:val="21"/>
          <w:highlight w:val="none"/>
        </w:rPr>
        <w:t>。</w:t>
      </w:r>
    </w:p>
    <w:p w14:paraId="08C25876">
      <w:pPr>
        <w:pStyle w:val="4"/>
        <w:spacing w:before="48" w:beforeLines="20" w:after="48" w:afterLines="20"/>
        <w:jc w:val="left"/>
        <w:rPr>
          <w:rFonts w:hint="eastAsia" w:ascii="宋体" w:hAnsi="宋体" w:eastAsia="宋体" w:cs="宋体"/>
          <w:color w:val="auto"/>
          <w:highlight w:val="none"/>
        </w:rPr>
      </w:pPr>
      <w:bookmarkStart w:id="19" w:name="_Toc532744094"/>
      <w:r>
        <w:rPr>
          <w:rFonts w:hint="eastAsia" w:ascii="宋体" w:hAnsi="宋体" w:eastAsia="宋体" w:cs="宋体"/>
          <w:color w:val="auto"/>
          <w:highlight w:val="none"/>
        </w:rPr>
        <w:t>1.12 响应和偏差</w:t>
      </w:r>
      <w:bookmarkEnd w:id="19"/>
    </w:p>
    <w:p w14:paraId="005A62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1.12.1 投标文件应当对招标文件的实质性要求和条件作出满足性或更有利于招标人的响应，否则，投标人的投标将被否决。实质性要求和条件见投标人须知前附表。</w:t>
      </w:r>
    </w:p>
    <w:p w14:paraId="51F74A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1.12.2 投标人应根据招标文件的要求提供投标服务技术方案等内容以对招标文件作出响应。</w:t>
      </w:r>
    </w:p>
    <w:p w14:paraId="2A6124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1.12.3 投标人须知前附表允许投标文件偏离招标文件某些要求的，偏差应当符合招标文件规定的偏差范围和幅度。</w:t>
      </w:r>
    </w:p>
    <w:p w14:paraId="44F1C3A7">
      <w:pPr>
        <w:pStyle w:val="2"/>
        <w:rPr>
          <w:rFonts w:hint="eastAsia" w:ascii="宋体" w:hAnsi="宋体" w:eastAsia="宋体" w:cs="宋体"/>
          <w:color w:val="auto"/>
          <w:highlight w:val="none"/>
        </w:rPr>
      </w:pPr>
      <w:bookmarkStart w:id="20" w:name="_Toc532744095"/>
      <w:r>
        <w:rPr>
          <w:rFonts w:hint="eastAsia" w:ascii="宋体" w:hAnsi="宋体" w:eastAsia="宋体" w:cs="宋体"/>
          <w:color w:val="auto"/>
          <w:highlight w:val="none"/>
        </w:rPr>
        <w:t>2. 招标文件</w:t>
      </w:r>
      <w:bookmarkEnd w:id="20"/>
    </w:p>
    <w:p w14:paraId="336758B1">
      <w:pPr>
        <w:pStyle w:val="4"/>
        <w:spacing w:before="48" w:beforeLines="20" w:after="48" w:afterLines="20"/>
        <w:jc w:val="left"/>
        <w:rPr>
          <w:rFonts w:hint="eastAsia" w:ascii="宋体" w:hAnsi="宋体" w:eastAsia="宋体" w:cs="宋体"/>
          <w:color w:val="auto"/>
          <w:highlight w:val="none"/>
        </w:rPr>
      </w:pPr>
      <w:bookmarkStart w:id="21" w:name="_Toc532744096"/>
      <w:r>
        <w:rPr>
          <w:rFonts w:hint="eastAsia" w:ascii="宋体" w:hAnsi="宋体" w:eastAsia="宋体" w:cs="宋体"/>
          <w:color w:val="auto"/>
          <w:highlight w:val="none"/>
        </w:rPr>
        <w:t>2.1 招标文件的组成</w:t>
      </w:r>
      <w:bookmarkEnd w:id="21"/>
    </w:p>
    <w:p w14:paraId="5966A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本招标文件包括：</w:t>
      </w:r>
    </w:p>
    <w:p w14:paraId="0FBBBA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第一章 招标公告；</w:t>
      </w:r>
    </w:p>
    <w:p w14:paraId="75B56F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第二章 投标人须知；</w:t>
      </w:r>
    </w:p>
    <w:p w14:paraId="3A61E1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第三章 评标办法；</w:t>
      </w:r>
    </w:p>
    <w:p w14:paraId="0DE5AB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第四章</w:t>
      </w:r>
      <w:r>
        <w:rPr>
          <w:rFonts w:hint="eastAsia" w:ascii="宋体" w:hAnsi="宋体" w:eastAsia="宋体" w:cs="宋体"/>
          <w:color w:val="auto"/>
          <w:highlight w:val="none"/>
          <w:lang w:eastAsia="zh"/>
        </w:rPr>
        <w:t xml:space="preserve"> </w:t>
      </w:r>
      <w:r>
        <w:rPr>
          <w:rFonts w:hint="eastAsia" w:ascii="宋体" w:hAnsi="宋体" w:eastAsia="宋体" w:cs="宋体"/>
          <w:color w:val="auto"/>
          <w:highlight w:val="none"/>
        </w:rPr>
        <w:t>合同条款及格式；</w:t>
      </w:r>
    </w:p>
    <w:p w14:paraId="0E6808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第五章 投标文件格式；</w:t>
      </w:r>
    </w:p>
    <w:p w14:paraId="660A05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 1.10 款、第 2.2 款和第 2.3 款对招标文件所作的澄清、修改，构成招标文件的组成部分。</w:t>
      </w:r>
    </w:p>
    <w:p w14:paraId="2FD6F518">
      <w:pPr>
        <w:pStyle w:val="4"/>
        <w:spacing w:before="48" w:beforeLines="20" w:after="48" w:afterLines="20"/>
        <w:jc w:val="left"/>
        <w:rPr>
          <w:rFonts w:hint="eastAsia" w:ascii="宋体" w:hAnsi="宋体" w:eastAsia="宋体" w:cs="宋体"/>
          <w:color w:val="auto"/>
          <w:highlight w:val="none"/>
        </w:rPr>
      </w:pPr>
      <w:bookmarkStart w:id="22" w:name="_Toc532744097"/>
      <w:r>
        <w:rPr>
          <w:rFonts w:hint="eastAsia" w:ascii="宋体" w:hAnsi="宋体" w:eastAsia="宋体" w:cs="宋体"/>
          <w:color w:val="auto"/>
          <w:highlight w:val="none"/>
        </w:rPr>
        <w:t>2.2 招标文件的澄清</w:t>
      </w:r>
      <w:bookmarkEnd w:id="22"/>
    </w:p>
    <w:p w14:paraId="6F5755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13EBF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11A624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 投标人在收到澄清后，应按投标人须知前附表规定的时间和形式通知招标人，确认已收到该澄清。</w:t>
      </w:r>
    </w:p>
    <w:p w14:paraId="5CA883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2.2.4 除非招标人认为确有必要答复，否则，招标人有权拒绝回复投标人在本章第 2.2.1 项规定的时间后的任何澄清要求。</w:t>
      </w:r>
    </w:p>
    <w:p w14:paraId="58848A85">
      <w:pPr>
        <w:pStyle w:val="4"/>
        <w:spacing w:before="48" w:beforeLines="20" w:after="48" w:afterLines="20"/>
        <w:jc w:val="left"/>
        <w:rPr>
          <w:rFonts w:hint="eastAsia" w:ascii="宋体" w:hAnsi="宋体" w:eastAsia="宋体" w:cs="宋体"/>
          <w:color w:val="auto"/>
          <w:highlight w:val="none"/>
        </w:rPr>
      </w:pPr>
      <w:bookmarkStart w:id="23" w:name="_Toc532744098"/>
      <w:r>
        <w:rPr>
          <w:rFonts w:hint="eastAsia" w:ascii="宋体" w:hAnsi="宋体" w:eastAsia="宋体" w:cs="宋体"/>
          <w:color w:val="auto"/>
          <w:highlight w:val="none"/>
        </w:rPr>
        <w:t>2.3 招标文件的修改</w:t>
      </w:r>
      <w:bookmarkEnd w:id="23"/>
    </w:p>
    <w:p w14:paraId="16E7A2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3ED2B0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 投标人收到修改内容后，应按投标人须知前附表规定的时间和形式通知招标人，确认已收到该修改。</w:t>
      </w:r>
    </w:p>
    <w:p w14:paraId="5B6A2693">
      <w:pPr>
        <w:pStyle w:val="4"/>
        <w:spacing w:before="48" w:beforeLines="20" w:after="48" w:afterLines="20"/>
        <w:jc w:val="left"/>
        <w:rPr>
          <w:rFonts w:hint="eastAsia" w:ascii="宋体" w:hAnsi="宋体" w:eastAsia="宋体" w:cs="宋体"/>
          <w:color w:val="auto"/>
          <w:highlight w:val="none"/>
        </w:rPr>
      </w:pPr>
      <w:bookmarkStart w:id="24" w:name="_Toc532744099"/>
      <w:r>
        <w:rPr>
          <w:rFonts w:hint="eastAsia" w:ascii="宋体" w:hAnsi="宋体" w:eastAsia="宋体" w:cs="宋体"/>
          <w:color w:val="auto"/>
          <w:highlight w:val="none"/>
        </w:rPr>
        <w:t>2.4 招标文件的异议</w:t>
      </w:r>
      <w:bookmarkEnd w:id="24"/>
    </w:p>
    <w:p w14:paraId="7CDDA5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投标人或者其他利害关系人对招标文件有异议的，应当在投标截止时间18日前以书面形式提出。招标人将在收到异议之日起3日内作出答复；作出答复前，将暂停招标投标活动。</w:t>
      </w:r>
    </w:p>
    <w:p w14:paraId="3D7AEBC1">
      <w:pPr>
        <w:pStyle w:val="2"/>
        <w:rPr>
          <w:rFonts w:hint="eastAsia" w:ascii="宋体" w:hAnsi="宋体" w:eastAsia="宋体" w:cs="宋体"/>
          <w:color w:val="auto"/>
          <w:highlight w:val="none"/>
        </w:rPr>
      </w:pPr>
      <w:bookmarkStart w:id="25" w:name="_Toc532744100"/>
      <w:r>
        <w:rPr>
          <w:rFonts w:hint="eastAsia" w:ascii="宋体" w:hAnsi="宋体" w:eastAsia="宋体" w:cs="宋体"/>
          <w:color w:val="auto"/>
          <w:highlight w:val="none"/>
        </w:rPr>
        <w:t>3. 投标文件</w:t>
      </w:r>
      <w:bookmarkEnd w:id="25"/>
    </w:p>
    <w:p w14:paraId="59BB3F8B">
      <w:pPr>
        <w:pStyle w:val="4"/>
        <w:spacing w:before="48" w:beforeLines="20" w:after="48" w:afterLines="20"/>
        <w:jc w:val="left"/>
        <w:rPr>
          <w:rFonts w:hint="eastAsia" w:ascii="宋体" w:hAnsi="宋体" w:eastAsia="宋体" w:cs="宋体"/>
          <w:color w:val="auto"/>
          <w:highlight w:val="none"/>
        </w:rPr>
      </w:pPr>
      <w:bookmarkStart w:id="26" w:name="_Toc532744101"/>
      <w:r>
        <w:rPr>
          <w:rFonts w:hint="eastAsia" w:ascii="宋体" w:hAnsi="宋体" w:eastAsia="宋体" w:cs="宋体"/>
          <w:color w:val="auto"/>
          <w:highlight w:val="none"/>
        </w:rPr>
        <w:t>3.1 投标文件的组成</w:t>
      </w:r>
      <w:bookmarkEnd w:id="26"/>
    </w:p>
    <w:p w14:paraId="6900FB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 投标文件应包括下列内容：</w:t>
      </w:r>
    </w:p>
    <w:p w14:paraId="4D7B211B">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（1）投标文件目录；</w:t>
      </w:r>
    </w:p>
    <w:p w14:paraId="54A06677">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（2）投标函；</w:t>
      </w:r>
    </w:p>
    <w:p w14:paraId="79AD6E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（3）法</w:t>
      </w:r>
      <w:r>
        <w:rPr>
          <w:rFonts w:hint="eastAsia" w:ascii="宋体" w:hAnsi="宋体" w:eastAsia="宋体" w:cs="宋体"/>
          <w:color w:val="auto"/>
          <w:spacing w:val="-3"/>
          <w:highlight w:val="none"/>
        </w:rPr>
        <w:t>定</w:t>
      </w:r>
      <w:r>
        <w:rPr>
          <w:rFonts w:hint="eastAsia" w:ascii="宋体" w:hAnsi="宋体" w:eastAsia="宋体" w:cs="宋体"/>
          <w:color w:val="auto"/>
          <w:highlight w:val="none"/>
        </w:rPr>
        <w:t>代</w:t>
      </w:r>
      <w:r>
        <w:rPr>
          <w:rFonts w:hint="eastAsia" w:ascii="宋体" w:hAnsi="宋体" w:eastAsia="宋体" w:cs="宋体"/>
          <w:color w:val="auto"/>
          <w:spacing w:val="-3"/>
          <w:highlight w:val="none"/>
        </w:rPr>
        <w:t>表</w:t>
      </w:r>
      <w:r>
        <w:rPr>
          <w:rFonts w:hint="eastAsia" w:ascii="宋体" w:hAnsi="宋体" w:eastAsia="宋体" w:cs="宋体"/>
          <w:color w:val="auto"/>
          <w:highlight w:val="none"/>
        </w:rPr>
        <w:t>人</w:t>
      </w:r>
      <w:r>
        <w:rPr>
          <w:rFonts w:hint="eastAsia" w:ascii="宋体" w:hAnsi="宋体" w:eastAsia="宋体" w:cs="宋体"/>
          <w:color w:val="auto"/>
          <w:spacing w:val="-3"/>
          <w:highlight w:val="none"/>
        </w:rPr>
        <w:t>身</w:t>
      </w:r>
      <w:r>
        <w:rPr>
          <w:rFonts w:hint="eastAsia" w:ascii="宋体" w:hAnsi="宋体" w:eastAsia="宋体" w:cs="宋体"/>
          <w:color w:val="auto"/>
          <w:highlight w:val="none"/>
        </w:rPr>
        <w:t>份</w:t>
      </w:r>
      <w:r>
        <w:rPr>
          <w:rFonts w:hint="eastAsia" w:ascii="宋体" w:hAnsi="宋体" w:eastAsia="宋体" w:cs="宋体"/>
          <w:color w:val="auto"/>
          <w:spacing w:val="-3"/>
          <w:highlight w:val="none"/>
        </w:rPr>
        <w:t>证明</w:t>
      </w:r>
      <w:r>
        <w:rPr>
          <w:rFonts w:hint="eastAsia" w:ascii="宋体" w:hAnsi="宋体" w:eastAsia="宋体" w:cs="宋体"/>
          <w:color w:val="auto"/>
          <w:highlight w:val="none"/>
        </w:rPr>
        <w:t>或授</w:t>
      </w:r>
      <w:r>
        <w:rPr>
          <w:rFonts w:hint="eastAsia" w:ascii="宋体" w:hAnsi="宋体" w:eastAsia="宋体" w:cs="宋体"/>
          <w:color w:val="auto"/>
          <w:spacing w:val="-3"/>
          <w:highlight w:val="none"/>
        </w:rPr>
        <w:t>权</w:t>
      </w:r>
      <w:r>
        <w:rPr>
          <w:rFonts w:hint="eastAsia" w:ascii="宋体" w:hAnsi="宋体" w:eastAsia="宋体" w:cs="宋体"/>
          <w:color w:val="auto"/>
          <w:highlight w:val="none"/>
        </w:rPr>
        <w:t>委</w:t>
      </w:r>
      <w:r>
        <w:rPr>
          <w:rFonts w:hint="eastAsia" w:ascii="宋体" w:hAnsi="宋体" w:eastAsia="宋体" w:cs="宋体"/>
          <w:color w:val="auto"/>
          <w:spacing w:val="-3"/>
          <w:highlight w:val="none"/>
        </w:rPr>
        <w:t>托</w:t>
      </w:r>
      <w:r>
        <w:rPr>
          <w:rFonts w:hint="eastAsia" w:ascii="宋体" w:hAnsi="宋体" w:eastAsia="宋体" w:cs="宋体"/>
          <w:color w:val="auto"/>
          <w:highlight w:val="none"/>
        </w:rPr>
        <w:t>书；</w:t>
      </w:r>
    </w:p>
    <w:p w14:paraId="2D6EFF3B">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
        </w:rPr>
        <w:t>4</w:t>
      </w:r>
      <w:r>
        <w:rPr>
          <w:rFonts w:hint="eastAsia" w:ascii="宋体" w:hAnsi="宋体" w:eastAsia="宋体" w:cs="宋体"/>
          <w:color w:val="auto"/>
          <w:highlight w:val="none"/>
          <w:u w:val="single"/>
        </w:rPr>
        <w:t>）投标报价表；</w:t>
      </w:r>
    </w:p>
    <w:p w14:paraId="3E93A80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
        </w:rPr>
        <w:t>5</w:t>
      </w:r>
      <w:r>
        <w:rPr>
          <w:rFonts w:hint="eastAsia" w:ascii="宋体" w:hAnsi="宋体" w:eastAsia="宋体" w:cs="宋体"/>
          <w:color w:val="auto"/>
          <w:szCs w:val="21"/>
          <w:highlight w:val="none"/>
          <w:u w:val="single"/>
        </w:rPr>
        <w:t>）资格审查资料（按招标公告要求）；</w:t>
      </w:r>
    </w:p>
    <w:p w14:paraId="6022B0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
        </w:rPr>
        <w:t>6</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资信业绩部分</w:t>
      </w:r>
      <w:r>
        <w:rPr>
          <w:rFonts w:hint="eastAsia" w:ascii="宋体" w:hAnsi="宋体" w:eastAsia="宋体" w:cs="宋体"/>
          <w:color w:val="auto"/>
          <w:highlight w:val="none"/>
        </w:rPr>
        <w:t>；</w:t>
      </w:r>
    </w:p>
    <w:p w14:paraId="6EA02F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
        </w:rPr>
        <w:t>7</w:t>
      </w:r>
      <w:r>
        <w:rPr>
          <w:rFonts w:hint="eastAsia" w:ascii="宋体" w:hAnsi="宋体" w:eastAsia="宋体" w:cs="宋体"/>
          <w:color w:val="auto"/>
          <w:highlight w:val="none"/>
        </w:rPr>
        <w:t>）</w:t>
      </w:r>
      <w:r>
        <w:rPr>
          <w:rFonts w:hint="eastAsia" w:ascii="宋体" w:hAnsi="宋体" w:eastAsia="宋体" w:cs="宋体"/>
          <w:color w:val="auto"/>
          <w:szCs w:val="21"/>
          <w:highlight w:val="none"/>
        </w:rPr>
        <w:t>服务方案；</w:t>
      </w:r>
    </w:p>
    <w:p w14:paraId="29153D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
        </w:rPr>
        <w:t>8</w:t>
      </w:r>
      <w:r>
        <w:rPr>
          <w:rFonts w:hint="eastAsia" w:ascii="宋体" w:hAnsi="宋体" w:eastAsia="宋体" w:cs="宋体"/>
          <w:color w:val="auto"/>
          <w:highlight w:val="none"/>
        </w:rPr>
        <w:t>）</w:t>
      </w:r>
      <w:r>
        <w:rPr>
          <w:rFonts w:hint="eastAsia" w:ascii="宋体" w:hAnsi="宋体" w:eastAsia="宋体" w:cs="宋体"/>
          <w:color w:val="auto"/>
          <w:spacing w:val="-3"/>
          <w:highlight w:val="none"/>
        </w:rPr>
        <w:t>其</w:t>
      </w:r>
      <w:r>
        <w:rPr>
          <w:rFonts w:hint="eastAsia" w:ascii="宋体" w:hAnsi="宋体" w:eastAsia="宋体" w:cs="宋体"/>
          <w:color w:val="auto"/>
          <w:highlight w:val="none"/>
        </w:rPr>
        <w:t>他</w:t>
      </w:r>
      <w:r>
        <w:rPr>
          <w:rFonts w:hint="eastAsia" w:ascii="宋体" w:hAnsi="宋体" w:eastAsia="宋体" w:cs="宋体"/>
          <w:color w:val="auto"/>
          <w:spacing w:val="-3"/>
          <w:highlight w:val="none"/>
        </w:rPr>
        <w:t>资</w:t>
      </w:r>
      <w:r>
        <w:rPr>
          <w:rFonts w:hint="eastAsia" w:ascii="宋体" w:hAnsi="宋体" w:eastAsia="宋体" w:cs="宋体"/>
          <w:color w:val="auto"/>
          <w:highlight w:val="none"/>
        </w:rPr>
        <w:t>料。</w:t>
      </w:r>
    </w:p>
    <w:p w14:paraId="4DDB65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投标人在评标过程中作出的符合法律法规和招标文件规定的澄清确认，构成投标文件的组成部分。</w:t>
      </w:r>
    </w:p>
    <w:p w14:paraId="0C11A3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 若招标文件中有提供格式的，投标文件相应内容按格式填报；没有格式提供的资料，格式自拟。</w:t>
      </w:r>
    </w:p>
    <w:p w14:paraId="5D3B3334">
      <w:pPr>
        <w:pStyle w:val="4"/>
        <w:spacing w:before="48" w:beforeLines="20" w:after="48" w:afterLines="20"/>
        <w:jc w:val="left"/>
        <w:rPr>
          <w:rFonts w:hint="eastAsia" w:ascii="宋体" w:hAnsi="宋体" w:eastAsia="宋体" w:cs="宋体"/>
          <w:color w:val="auto"/>
          <w:highlight w:val="none"/>
        </w:rPr>
      </w:pPr>
      <w:bookmarkStart w:id="27" w:name="_Toc532744102"/>
      <w:r>
        <w:rPr>
          <w:rFonts w:hint="eastAsia" w:ascii="宋体" w:hAnsi="宋体" w:eastAsia="宋体" w:cs="宋体"/>
          <w:color w:val="auto"/>
          <w:highlight w:val="none"/>
        </w:rPr>
        <w:t>3.2 投标报价</w:t>
      </w:r>
      <w:bookmarkEnd w:id="27"/>
    </w:p>
    <w:p w14:paraId="2161EF84">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3.2.1 投标报价应包括国家规定的增值税税金，除投标人须知前附表另有规定外，增值税税金按一般计税方法计算。投标人应按第五章“投标文件格式”的要求在投标函中进行报价。</w:t>
      </w:r>
    </w:p>
    <w:p w14:paraId="5A9E71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 投标人应充分了解该项目的总体情况以及影响投标报价的其他要素。</w:t>
      </w:r>
    </w:p>
    <w:p w14:paraId="0B07D9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本项目的报价方式见投标人须知前附表。投标人在投标截止时间前修改投标函中的投标报价总额的，此修改须符合本章第 4.3 款的有关要求。</w:t>
      </w:r>
    </w:p>
    <w:p w14:paraId="217D6D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 招标人设有最高投标限价的，投标人的投标报价不得超过最高投标限价，最高投标限价在投标人须知前附表中载明。</w:t>
      </w:r>
    </w:p>
    <w:p w14:paraId="2A5D243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3.2.5 投标报价的其他要求见投标人须知前附表。</w:t>
      </w:r>
    </w:p>
    <w:p w14:paraId="709527EF">
      <w:pPr>
        <w:pStyle w:val="4"/>
        <w:spacing w:before="48" w:beforeLines="20" w:after="48" w:afterLines="20"/>
        <w:jc w:val="left"/>
        <w:rPr>
          <w:rFonts w:hint="eastAsia" w:ascii="宋体" w:hAnsi="宋体" w:eastAsia="宋体" w:cs="宋体"/>
          <w:color w:val="auto"/>
          <w:highlight w:val="none"/>
        </w:rPr>
      </w:pPr>
      <w:bookmarkStart w:id="28" w:name="_Toc532744103"/>
      <w:r>
        <w:rPr>
          <w:rFonts w:hint="eastAsia" w:ascii="宋体" w:hAnsi="宋体" w:eastAsia="宋体" w:cs="宋体"/>
          <w:color w:val="auto"/>
          <w:highlight w:val="none"/>
        </w:rPr>
        <w:t>3.3 投标有效期</w:t>
      </w:r>
      <w:bookmarkEnd w:id="28"/>
    </w:p>
    <w:p w14:paraId="5BFFD8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除投标人须知前附表另有规定外，投标有效期为</w:t>
      </w:r>
      <w:r>
        <w:rPr>
          <w:rFonts w:hint="eastAsia" w:ascii="宋体" w:hAnsi="宋体" w:eastAsia="宋体" w:cs="宋体"/>
          <w:color w:val="auto"/>
          <w:highlight w:val="none"/>
          <w:u w:val="single"/>
        </w:rPr>
        <w:t>90</w:t>
      </w:r>
      <w:r>
        <w:rPr>
          <w:rFonts w:hint="eastAsia" w:ascii="宋体" w:hAnsi="宋体" w:eastAsia="宋体" w:cs="宋体"/>
          <w:color w:val="auto"/>
          <w:highlight w:val="none"/>
        </w:rPr>
        <w:t>天。</w:t>
      </w:r>
    </w:p>
    <w:p w14:paraId="11B56D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在投标有效期内，投标人撤销投标文件的，应承担招标文件和法律规定的责任。</w:t>
      </w:r>
    </w:p>
    <w:p w14:paraId="2E7C10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出现特殊情况需要延长投标有效期的，招标人以书面形式通知所有投标人延长投标有效期。投标人应予以书面答复，同意延长的，不得要求或被允许修改其投标文件；投标人拒绝延长的，其投标失效。</w:t>
      </w:r>
    </w:p>
    <w:p w14:paraId="01D53BAB">
      <w:pPr>
        <w:pStyle w:val="4"/>
        <w:spacing w:before="48" w:beforeLines="20" w:after="48" w:afterLines="20"/>
        <w:jc w:val="left"/>
        <w:rPr>
          <w:rFonts w:hint="eastAsia" w:ascii="宋体" w:hAnsi="宋体" w:eastAsia="宋体" w:cs="宋体"/>
          <w:color w:val="auto"/>
          <w:highlight w:val="none"/>
          <w:lang w:eastAsia="zh"/>
        </w:rPr>
      </w:pPr>
      <w:bookmarkStart w:id="29" w:name="_Toc532744104"/>
      <w:r>
        <w:rPr>
          <w:rFonts w:hint="eastAsia" w:ascii="宋体" w:hAnsi="宋体" w:eastAsia="宋体" w:cs="宋体"/>
          <w:color w:val="auto"/>
          <w:highlight w:val="none"/>
        </w:rPr>
        <w:t>3.4 投标保证金</w:t>
      </w:r>
      <w:bookmarkEnd w:id="29"/>
      <w:r>
        <w:rPr>
          <w:rFonts w:hint="eastAsia" w:ascii="宋体" w:hAnsi="宋体" w:eastAsia="宋体" w:cs="宋体"/>
          <w:color w:val="auto"/>
          <w:highlight w:val="none"/>
          <w:lang w:eastAsia="zh"/>
        </w:rPr>
        <w:t>（本项目不要求递交投保保证金，本条不适用）</w:t>
      </w:r>
    </w:p>
    <w:p w14:paraId="7E35DF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 投标人在递交投标文件的同时，应按投标人须知前附表规定的金额、形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488ACE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3.4.2 投标人不按本章第 3.4.1 项要求提交投标保证金的，评标委员会将否决其投标。</w:t>
      </w:r>
    </w:p>
    <w:p w14:paraId="2B3958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3.4.3 招标人最迟将在与中标人签订合同后 5 日内，向未中标的投标人和中标人退还投标保证金。</w:t>
      </w:r>
    </w:p>
    <w:p w14:paraId="2327ED68">
      <w:pPr>
        <w:spacing w:line="360" w:lineRule="auto"/>
        <w:ind w:firstLine="420" w:firstLineChars="200"/>
        <w:rPr>
          <w:rFonts w:hint="eastAsia" w:ascii="宋体" w:hAnsi="宋体" w:eastAsia="宋体" w:cs="宋体"/>
          <w:strike/>
          <w:color w:val="auto"/>
          <w:highlight w:val="none"/>
        </w:rPr>
      </w:pPr>
      <w:r>
        <w:rPr>
          <w:rFonts w:hint="eastAsia" w:ascii="宋体" w:hAnsi="宋体" w:eastAsia="宋体" w:cs="宋体"/>
          <w:color w:val="auto"/>
          <w:highlight w:val="none"/>
        </w:rPr>
        <w:t>3.4.4 有下列情形之一的，投标保证金将不予退还：</w:t>
      </w:r>
    </w:p>
    <w:p w14:paraId="045915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（1）投标人在投标有效期内撤销投标文件；</w:t>
      </w:r>
    </w:p>
    <w:p w14:paraId="75F023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（2）中标人在收到中标通知书后，无正当理由不与招标人订立合同，在签订合同时向招标人提出附加条件，或者不按照招标文件要求提交履约保证金；</w:t>
      </w:r>
    </w:p>
    <w:p w14:paraId="68E2E9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（3）发生投标人须知前附表规定的其他可以不予退还投标保证金的情形。</w:t>
      </w:r>
    </w:p>
    <w:p w14:paraId="438BA48B">
      <w:pPr>
        <w:pStyle w:val="4"/>
        <w:spacing w:before="48" w:beforeLines="20" w:after="48" w:afterLines="20"/>
        <w:jc w:val="left"/>
        <w:rPr>
          <w:rFonts w:hint="eastAsia" w:ascii="宋体" w:hAnsi="宋体" w:eastAsia="宋体" w:cs="宋体"/>
          <w:color w:val="auto"/>
          <w:highlight w:val="none"/>
        </w:rPr>
      </w:pPr>
      <w:bookmarkStart w:id="30" w:name="_Toc2901"/>
      <w:r>
        <w:rPr>
          <w:rFonts w:hint="eastAsia" w:ascii="宋体" w:hAnsi="宋体" w:eastAsia="宋体" w:cs="宋体"/>
          <w:color w:val="auto"/>
          <w:highlight w:val="none"/>
        </w:rPr>
        <w:t>3.5 资格审查资料（适用于未进行资格预审的）</w:t>
      </w:r>
      <w:bookmarkEnd w:id="30"/>
    </w:p>
    <w:p w14:paraId="7412C4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投标人须知前附表另有规定外，投标人应按下列规定提供资格审查资料，以证明其满足 本章第 1.4 款规定的资质、财务、业绩、信誉等要求。</w:t>
      </w:r>
    </w:p>
    <w:p w14:paraId="3BF2F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“投标人基本情况表”应附投标人营业执照或事业单位法人证书和组织机构代码证的复印件（按照“三证合一” 或“五证合一”登记制度进行登记的，可仅提供营业执照复印件或事业单位法人证书复印件）。</w:t>
      </w:r>
    </w:p>
    <w:p w14:paraId="646D5B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3.5.2 本招标项目不要求提供“近年财务状况表”，投标人财务状况不作为资格审查内容。</w:t>
      </w:r>
    </w:p>
    <w:p w14:paraId="4D9833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3.5.3 “近年承接的类似项目情况”应按评审要求提供证明资料；投标人业绩不作为资格审查内容。</w:t>
      </w:r>
    </w:p>
    <w:p w14:paraId="56ABB8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本招标项目不要求提供“近年发生的诉讼及仲裁情况”，诉讼及仲裁情况不作为资格审查内容。</w:t>
      </w:r>
    </w:p>
    <w:p w14:paraId="486279F2">
      <w:pPr>
        <w:pStyle w:val="4"/>
        <w:spacing w:before="48" w:beforeLines="20" w:after="48" w:afterLines="20"/>
        <w:jc w:val="left"/>
        <w:rPr>
          <w:rFonts w:hint="eastAsia" w:ascii="宋体" w:hAnsi="宋体" w:eastAsia="宋体" w:cs="宋体"/>
          <w:color w:val="auto"/>
          <w:highlight w:val="none"/>
        </w:rPr>
      </w:pPr>
      <w:bookmarkStart w:id="31" w:name="_Toc532744105"/>
      <w:r>
        <w:rPr>
          <w:rFonts w:hint="eastAsia" w:ascii="宋体" w:hAnsi="宋体" w:eastAsia="宋体" w:cs="宋体"/>
          <w:color w:val="auto"/>
          <w:highlight w:val="none"/>
        </w:rPr>
        <w:t>3.6 备选投标方案</w:t>
      </w:r>
      <w:bookmarkEnd w:id="31"/>
    </w:p>
    <w:p w14:paraId="2147CB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3.6.1 除投标人须知前附表规定允许外，投标人不得递交备选投标方案，否则其投标将被否决。</w:t>
      </w:r>
    </w:p>
    <w:p w14:paraId="34E417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0DCEBA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3.6.3 投标人提供两个或两个以上投标报价，或者在投标文件中提供一个报价，但同时提供两个或两个以上</w:t>
      </w:r>
      <w:r>
        <w:rPr>
          <w:rFonts w:hint="eastAsia" w:ascii="宋体" w:hAnsi="宋体" w:eastAsia="宋体" w:cs="宋体"/>
          <w:color w:val="auto"/>
          <w:highlight w:val="none"/>
          <w:u w:val="single"/>
        </w:rPr>
        <w:t>投标</w:t>
      </w:r>
      <w:r>
        <w:rPr>
          <w:rFonts w:hint="eastAsia" w:ascii="宋体" w:hAnsi="宋体" w:eastAsia="宋体" w:cs="宋体"/>
          <w:color w:val="auto"/>
          <w:highlight w:val="none"/>
        </w:rPr>
        <w:t>方案的，视为提供备选方案。</w:t>
      </w:r>
    </w:p>
    <w:p w14:paraId="3300A2B3">
      <w:pPr>
        <w:pStyle w:val="4"/>
        <w:spacing w:before="48" w:beforeLines="20" w:after="48" w:afterLines="20"/>
        <w:jc w:val="left"/>
        <w:rPr>
          <w:rFonts w:hint="eastAsia" w:ascii="宋体" w:hAnsi="宋体" w:eastAsia="宋体" w:cs="宋体"/>
          <w:color w:val="auto"/>
          <w:highlight w:val="none"/>
        </w:rPr>
      </w:pPr>
      <w:bookmarkStart w:id="32" w:name="_Toc532744106"/>
      <w:r>
        <w:rPr>
          <w:rFonts w:hint="eastAsia" w:ascii="宋体" w:hAnsi="宋体" w:eastAsia="宋体" w:cs="宋体"/>
          <w:color w:val="auto"/>
          <w:highlight w:val="none"/>
        </w:rPr>
        <w:t>3.7 投标文件的编制</w:t>
      </w:r>
      <w:bookmarkEnd w:id="32"/>
    </w:p>
    <w:p w14:paraId="20187B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3.7.1 投标文件应按第五章“投标文件格式”进行编写，如有必要，可以增加附页，作为投标文件的组成部分。其中，投标函在满足招标文件实质性要求的基础上，可以提出比招标文件要求更有利于招标人的承诺。</w:t>
      </w:r>
    </w:p>
    <w:p w14:paraId="616F5F29">
      <w:pPr>
        <w:spacing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color w:val="auto"/>
          <w:highlight w:val="none"/>
        </w:rPr>
        <w:t>3.7.2 投标文件应当对招标文件有关服务期限、投标有效期、招标范围等实质性内容作出响应。</w:t>
      </w:r>
    </w:p>
    <w:p w14:paraId="65F5F4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3.7.3（B） 投标文件全部采用电子文档，除投标人须知前附表另有规定外，投标文件所附证书证件均为原件复印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633378BA">
      <w:pPr>
        <w:pStyle w:val="2"/>
        <w:rPr>
          <w:rFonts w:hint="eastAsia" w:ascii="宋体" w:hAnsi="宋体" w:eastAsia="宋体" w:cs="宋体"/>
          <w:color w:val="auto"/>
          <w:highlight w:val="none"/>
        </w:rPr>
      </w:pPr>
      <w:bookmarkStart w:id="33" w:name="_Toc532744107"/>
      <w:r>
        <w:rPr>
          <w:rFonts w:hint="eastAsia" w:ascii="宋体" w:hAnsi="宋体" w:eastAsia="宋体" w:cs="宋体"/>
          <w:color w:val="auto"/>
          <w:highlight w:val="none"/>
        </w:rPr>
        <w:t>4. 投标</w:t>
      </w:r>
      <w:bookmarkEnd w:id="33"/>
    </w:p>
    <w:p w14:paraId="4B834F50">
      <w:pPr>
        <w:pStyle w:val="4"/>
        <w:spacing w:before="48" w:beforeLines="20" w:after="48" w:afterLines="20"/>
        <w:jc w:val="left"/>
        <w:rPr>
          <w:rFonts w:hint="eastAsia" w:ascii="宋体" w:hAnsi="宋体" w:eastAsia="宋体" w:cs="宋体"/>
          <w:color w:val="auto"/>
          <w:highlight w:val="none"/>
        </w:rPr>
      </w:pPr>
      <w:bookmarkStart w:id="34" w:name="_Toc532744108"/>
      <w:r>
        <w:rPr>
          <w:rFonts w:hint="eastAsia" w:ascii="宋体" w:hAnsi="宋体" w:eastAsia="宋体" w:cs="宋体"/>
          <w:color w:val="auto"/>
          <w:highlight w:val="none"/>
        </w:rPr>
        <w:t>4.1 投标文件的密封和标记</w:t>
      </w:r>
      <w:bookmarkEnd w:id="34"/>
    </w:p>
    <w:p w14:paraId="1FFAD5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4.1.1（B） 投标人应当按照招标文件和电子招标投标交易平台的要求加密投标文件，具体要求见投标人须知前附表。</w:t>
      </w:r>
    </w:p>
    <w:p w14:paraId="56708A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投标文件封套上应写明的内容见投标人须知前附表。</w:t>
      </w:r>
    </w:p>
    <w:p w14:paraId="11436B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 未按本章第 4.1.1 项要求密封的投标文件，招标人将予以拒收。</w:t>
      </w:r>
    </w:p>
    <w:p w14:paraId="2049D37F">
      <w:pPr>
        <w:pStyle w:val="4"/>
        <w:spacing w:before="48" w:beforeLines="20" w:after="48" w:afterLines="20"/>
        <w:jc w:val="left"/>
        <w:rPr>
          <w:rFonts w:hint="eastAsia" w:ascii="宋体" w:hAnsi="宋体" w:eastAsia="宋体" w:cs="宋体"/>
          <w:color w:val="auto"/>
          <w:highlight w:val="none"/>
        </w:rPr>
      </w:pPr>
      <w:bookmarkStart w:id="35" w:name="_Toc532744109"/>
      <w:r>
        <w:rPr>
          <w:rFonts w:hint="eastAsia" w:ascii="宋体" w:hAnsi="宋体" w:eastAsia="宋体" w:cs="宋体"/>
          <w:color w:val="auto"/>
          <w:highlight w:val="none"/>
        </w:rPr>
        <w:t>4.2 投标文件的递交</w:t>
      </w:r>
      <w:bookmarkEnd w:id="35"/>
    </w:p>
    <w:p w14:paraId="7268850C">
      <w:pPr>
        <w:spacing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color w:val="auto"/>
          <w:highlight w:val="none"/>
        </w:rPr>
        <w:t>4.2.1 投标人应在投标人须知前附表规定的投标截止时间前递交投标文件。</w:t>
      </w:r>
    </w:p>
    <w:p w14:paraId="2F6D9C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w:t>
      </w:r>
      <w:r>
        <w:rPr>
          <w:rFonts w:hint="eastAsia" w:ascii="宋体" w:hAnsi="宋体" w:eastAsia="宋体" w:cs="宋体"/>
          <w:color w:val="auto"/>
          <w:szCs w:val="21"/>
          <w:highlight w:val="none"/>
        </w:rPr>
        <w:t>（B）</w:t>
      </w:r>
      <w:r>
        <w:rPr>
          <w:rFonts w:hint="eastAsia" w:ascii="宋体" w:hAnsi="宋体" w:eastAsia="宋体" w:cs="宋体"/>
          <w:color w:val="auto"/>
          <w:highlight w:val="none"/>
        </w:rPr>
        <w:t xml:space="preserve"> 投标人通过下载招标文件的电子招标投标交易平台递交电子投标文件。</w:t>
      </w:r>
    </w:p>
    <w:p w14:paraId="65A2A23B">
      <w:pPr>
        <w:spacing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color w:val="auto"/>
          <w:highlight w:val="none"/>
        </w:rPr>
        <w:t>4.2.3 除投标人须知前附表另有规定外，投标人所递交的投标文件不予退还。</w:t>
      </w:r>
    </w:p>
    <w:p w14:paraId="438B6F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4.2.4 投标人完成电子投标文件上传后，电子招标投标交易平台即时向投标人发出递交回执通知。递交时间以递交回执通知载明的传输完成时间为准。</w:t>
      </w:r>
    </w:p>
    <w:p w14:paraId="08B3CF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4.2.5 逾期送达的投标文件，电子招标投标交易平台将予以拒收。</w:t>
      </w:r>
    </w:p>
    <w:p w14:paraId="7C94AC4D">
      <w:pPr>
        <w:pStyle w:val="4"/>
        <w:spacing w:before="48" w:beforeLines="20" w:after="48" w:afterLines="20"/>
        <w:jc w:val="left"/>
        <w:rPr>
          <w:rFonts w:hint="eastAsia" w:ascii="宋体" w:hAnsi="宋体" w:eastAsia="宋体" w:cs="宋体"/>
          <w:color w:val="auto"/>
          <w:highlight w:val="none"/>
        </w:rPr>
      </w:pPr>
      <w:bookmarkStart w:id="36" w:name="_Toc532744110"/>
      <w:r>
        <w:rPr>
          <w:rFonts w:hint="eastAsia" w:ascii="宋体" w:hAnsi="宋体" w:eastAsia="宋体" w:cs="宋体"/>
          <w:color w:val="auto"/>
          <w:highlight w:val="none"/>
        </w:rPr>
        <w:t>4.3 投标文件的修改与撤回</w:t>
      </w:r>
      <w:bookmarkEnd w:id="36"/>
    </w:p>
    <w:p w14:paraId="68C033CB">
      <w:pPr>
        <w:spacing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color w:val="auto"/>
          <w:highlight w:val="none"/>
        </w:rPr>
        <w:t>4.3.1 在本章第 4.2.1 项规定的投标截止时间前，投标人可以修改或撤回已递交的投标文件，但应以书面形式通知招标人。</w:t>
      </w:r>
    </w:p>
    <w:p w14:paraId="3395DD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4.3.2 投标人修改或撤回已递交投标文件的通知，应按照本章第 3.7.3项的要求加盖电子印章。电子招标投标交易平台收到通知后，即时向投标人发出确认回执通知。</w:t>
      </w:r>
    </w:p>
    <w:p w14:paraId="4C97578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eastAsia="zh"/>
        </w:rPr>
        <w:t>3</w:t>
      </w:r>
      <w:r>
        <w:rPr>
          <w:rFonts w:hint="eastAsia" w:ascii="宋体" w:hAnsi="宋体" w:eastAsia="宋体" w:cs="宋体"/>
          <w:color w:val="auto"/>
          <w:highlight w:val="none"/>
        </w:rPr>
        <w:t>修改的内容为投标文件的组成部分。修改的投标文件应按照本章第 3 条、第 4 条的规定进行编制、密封、标记和递交，并标明“修改”字样。</w:t>
      </w:r>
    </w:p>
    <w:p w14:paraId="06F20EB6">
      <w:pPr>
        <w:pStyle w:val="2"/>
        <w:rPr>
          <w:rFonts w:hint="eastAsia" w:ascii="宋体" w:hAnsi="宋体" w:eastAsia="宋体" w:cs="宋体"/>
          <w:color w:val="auto"/>
          <w:highlight w:val="none"/>
        </w:rPr>
      </w:pPr>
      <w:bookmarkStart w:id="37" w:name="_Toc532744111"/>
      <w:r>
        <w:rPr>
          <w:rFonts w:hint="eastAsia" w:ascii="宋体" w:hAnsi="宋体" w:eastAsia="宋体" w:cs="宋体"/>
          <w:color w:val="auto"/>
          <w:highlight w:val="none"/>
        </w:rPr>
        <w:t>5. 开标</w:t>
      </w:r>
      <w:bookmarkEnd w:id="37"/>
    </w:p>
    <w:p w14:paraId="47E6B236">
      <w:pPr>
        <w:pStyle w:val="4"/>
        <w:spacing w:before="48" w:beforeLines="20" w:after="48" w:afterLines="20"/>
        <w:jc w:val="left"/>
        <w:rPr>
          <w:rFonts w:hint="eastAsia" w:ascii="宋体" w:hAnsi="宋体" w:eastAsia="宋体" w:cs="宋体"/>
          <w:color w:val="auto"/>
          <w:highlight w:val="none"/>
        </w:rPr>
      </w:pPr>
      <w:bookmarkStart w:id="38" w:name="_Toc532744112"/>
      <w:r>
        <w:rPr>
          <w:rFonts w:hint="eastAsia" w:ascii="宋体" w:hAnsi="宋体" w:eastAsia="宋体" w:cs="宋体"/>
          <w:color w:val="auto"/>
          <w:highlight w:val="none"/>
        </w:rPr>
        <w:t>5.1 （B）开标时间和地点</w:t>
      </w:r>
      <w:bookmarkEnd w:id="38"/>
    </w:p>
    <w:p w14:paraId="0911B6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在本章第4.2.1项规定的投标截止时间（开标时间）,通过电子招标投标交易平台公开开标。开标时，投标人代表有权出席开标会，也可以自主决定不参加开标会，若投标人代表对开标过程提出异议，该投标人代表须同时出示本人身份证原件。</w:t>
      </w:r>
    </w:p>
    <w:p w14:paraId="6C1ED0A2">
      <w:pPr>
        <w:pStyle w:val="4"/>
        <w:spacing w:before="48" w:beforeLines="20" w:after="48" w:afterLines="20"/>
        <w:jc w:val="left"/>
        <w:rPr>
          <w:rFonts w:hint="eastAsia" w:ascii="宋体" w:hAnsi="宋体" w:eastAsia="宋体" w:cs="宋体"/>
          <w:color w:val="auto"/>
          <w:highlight w:val="none"/>
        </w:rPr>
      </w:pPr>
      <w:bookmarkStart w:id="39" w:name="_Toc532744113"/>
      <w:r>
        <w:rPr>
          <w:rFonts w:hint="eastAsia" w:ascii="宋体" w:hAnsi="宋体" w:eastAsia="宋体" w:cs="宋体"/>
          <w:color w:val="auto"/>
          <w:highlight w:val="none"/>
        </w:rPr>
        <w:t>5.2 （B）开标程序</w:t>
      </w:r>
      <w:bookmarkEnd w:id="39"/>
    </w:p>
    <w:p w14:paraId="1A448C62">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5.2.1 主持人按下列程序进行开标：</w:t>
      </w:r>
    </w:p>
    <w:p w14:paraId="231ED67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（1）宣布开标纪律；</w:t>
      </w:r>
    </w:p>
    <w:p w14:paraId="0604DE37">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）宣布开标人、唱标人、记录人、监标人等有关人员姓名；</w:t>
      </w:r>
    </w:p>
    <w:p w14:paraId="4DAF4DA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）投标人通过电子招标投标交易平台对已递交的电子投标文件进行解密，</w:t>
      </w:r>
      <w:r>
        <w:rPr>
          <w:rFonts w:hint="eastAsia" w:ascii="宋体" w:hAnsi="宋体" w:eastAsia="宋体" w:cs="宋体"/>
          <w:color w:val="auto"/>
          <w:highlight w:val="none"/>
          <w:u w:val="single"/>
          <w:lang w:val="en-US" w:eastAsia="zh-CN"/>
        </w:rPr>
        <w:t>招标人解密，</w:t>
      </w:r>
      <w:r>
        <w:rPr>
          <w:rFonts w:hint="eastAsia" w:ascii="宋体" w:hAnsi="宋体" w:eastAsia="宋体" w:cs="宋体"/>
          <w:color w:val="auto"/>
          <w:highlight w:val="none"/>
          <w:u w:val="single"/>
        </w:rPr>
        <w:t>公布招标项目名称、投标人名称、投标报价、</w:t>
      </w:r>
      <w:r>
        <w:rPr>
          <w:rFonts w:hint="eastAsia" w:ascii="宋体" w:hAnsi="宋体" w:eastAsia="宋体" w:cs="宋体"/>
          <w:color w:val="auto"/>
          <w:szCs w:val="21"/>
          <w:highlight w:val="none"/>
        </w:rPr>
        <w:t>保险</w:t>
      </w:r>
      <w:r>
        <w:rPr>
          <w:rFonts w:hint="eastAsia" w:ascii="宋体" w:hAnsi="宋体" w:eastAsia="宋体" w:cs="宋体"/>
          <w:color w:val="auto"/>
          <w:highlight w:val="none"/>
          <w:u w:val="single"/>
        </w:rPr>
        <w:t>服务期限及其他内容，并记录在案；</w:t>
      </w:r>
    </w:p>
    <w:p w14:paraId="5B5AE5C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）投标人代表、招标人代表、监标人、记录人等有关人员在开标记录上签字确认；若有关人员不签字的，不影响开标程序；</w:t>
      </w:r>
    </w:p>
    <w:p w14:paraId="5947403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）开标结束。</w:t>
      </w:r>
    </w:p>
    <w:p w14:paraId="4952CAC6">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5.2.2 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14:paraId="09850382">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5.2.3 开标时，两个（含两个）以上的投标人加密打包投标文件电脑机器特征码一致的，不参与下一程序，并由评标委员会否决其投标。</w:t>
      </w:r>
    </w:p>
    <w:p w14:paraId="6172D69F">
      <w:pPr>
        <w:pStyle w:val="4"/>
        <w:spacing w:before="48" w:beforeLines="20" w:after="48" w:afterLines="20"/>
        <w:jc w:val="left"/>
        <w:rPr>
          <w:rFonts w:hint="eastAsia" w:ascii="宋体" w:hAnsi="宋体" w:eastAsia="宋体" w:cs="宋体"/>
          <w:color w:val="auto"/>
          <w:highlight w:val="none"/>
          <w:u w:val="single"/>
        </w:rPr>
      </w:pPr>
      <w:bookmarkStart w:id="40" w:name="_Toc532744114"/>
      <w:r>
        <w:rPr>
          <w:rFonts w:hint="eastAsia" w:ascii="宋体" w:hAnsi="宋体" w:eastAsia="宋体" w:cs="宋体"/>
          <w:color w:val="auto"/>
          <w:highlight w:val="none"/>
          <w:u w:val="single"/>
        </w:rPr>
        <w:t>5.3 开标异议</w:t>
      </w:r>
      <w:bookmarkEnd w:id="40"/>
    </w:p>
    <w:p w14:paraId="3E2ED1CB">
      <w:pPr>
        <w:spacing w:line="360" w:lineRule="auto"/>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1D418E62">
      <w:pPr>
        <w:pStyle w:val="2"/>
        <w:rPr>
          <w:rFonts w:hint="eastAsia" w:ascii="宋体" w:hAnsi="宋体" w:eastAsia="宋体" w:cs="宋体"/>
          <w:color w:val="auto"/>
          <w:highlight w:val="none"/>
        </w:rPr>
      </w:pPr>
      <w:bookmarkStart w:id="41" w:name="_Toc532744115"/>
      <w:r>
        <w:rPr>
          <w:rFonts w:hint="eastAsia" w:ascii="宋体" w:hAnsi="宋体" w:eastAsia="宋体" w:cs="宋体"/>
          <w:color w:val="auto"/>
          <w:highlight w:val="none"/>
        </w:rPr>
        <w:t>6. 评标</w:t>
      </w:r>
      <w:bookmarkEnd w:id="41"/>
    </w:p>
    <w:p w14:paraId="06C14977">
      <w:pPr>
        <w:pStyle w:val="4"/>
        <w:spacing w:before="48" w:beforeLines="20" w:after="48" w:afterLines="20"/>
        <w:jc w:val="left"/>
        <w:rPr>
          <w:rFonts w:hint="eastAsia" w:ascii="宋体" w:hAnsi="宋体" w:eastAsia="宋体" w:cs="宋体"/>
          <w:color w:val="auto"/>
          <w:highlight w:val="none"/>
        </w:rPr>
      </w:pPr>
      <w:bookmarkStart w:id="42" w:name="_Toc532744116"/>
      <w:r>
        <w:rPr>
          <w:rFonts w:hint="eastAsia" w:ascii="宋体" w:hAnsi="宋体" w:eastAsia="宋体" w:cs="宋体"/>
          <w:color w:val="auto"/>
          <w:highlight w:val="none"/>
        </w:rPr>
        <w:t>6.1 评标委员会</w:t>
      </w:r>
      <w:bookmarkEnd w:id="42"/>
    </w:p>
    <w:p w14:paraId="678560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CE6BA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14:paraId="4D77C4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（1）投标人或投标人主要负责人的近亲属；</w:t>
      </w:r>
    </w:p>
    <w:p w14:paraId="747158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14:paraId="3E505E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14:paraId="1A1936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14:paraId="3C6C51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14:paraId="1C3015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0FA2CA9">
      <w:pPr>
        <w:pStyle w:val="4"/>
        <w:spacing w:before="48" w:beforeLines="20" w:after="48" w:afterLines="20"/>
        <w:jc w:val="left"/>
        <w:rPr>
          <w:rFonts w:hint="eastAsia" w:ascii="宋体" w:hAnsi="宋体" w:eastAsia="宋体" w:cs="宋体"/>
          <w:color w:val="auto"/>
          <w:highlight w:val="none"/>
        </w:rPr>
      </w:pPr>
      <w:bookmarkStart w:id="43" w:name="_Toc532744117"/>
      <w:r>
        <w:rPr>
          <w:rFonts w:hint="eastAsia" w:ascii="宋体" w:hAnsi="宋体" w:eastAsia="宋体" w:cs="宋体"/>
          <w:color w:val="auto"/>
          <w:highlight w:val="none"/>
        </w:rPr>
        <w:t>6.2 评标原则</w:t>
      </w:r>
      <w:bookmarkEnd w:id="43"/>
    </w:p>
    <w:p w14:paraId="143A09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14:paraId="1A024025">
      <w:pPr>
        <w:pStyle w:val="4"/>
        <w:spacing w:before="48" w:beforeLines="20" w:after="48" w:afterLines="20"/>
        <w:jc w:val="left"/>
        <w:rPr>
          <w:rFonts w:hint="eastAsia" w:ascii="宋体" w:hAnsi="宋体" w:eastAsia="宋体" w:cs="宋体"/>
          <w:color w:val="auto"/>
          <w:highlight w:val="none"/>
        </w:rPr>
      </w:pPr>
      <w:bookmarkStart w:id="44" w:name="_Toc532744118"/>
      <w:r>
        <w:rPr>
          <w:rFonts w:hint="eastAsia" w:ascii="宋体" w:hAnsi="宋体" w:eastAsia="宋体" w:cs="宋体"/>
          <w:color w:val="auto"/>
          <w:highlight w:val="none"/>
        </w:rPr>
        <w:t>6.3 评标</w:t>
      </w:r>
      <w:bookmarkEnd w:id="44"/>
    </w:p>
    <w:p w14:paraId="2F9D49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6.3.1 评标委员会按照第三章“评标办法”规定的方法、评审因素、标准和程序对投标文件进行评审。第三章“评标办法”没有规定的方法、评审因素和标准，不作为评标依据。</w:t>
      </w:r>
    </w:p>
    <w:p w14:paraId="498F79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6.3.2 评标完成后，评标委员会应当向招标人提交书面评标报告和中标候选人名单。评标委员会推荐中标候选人的人数见投标人须知前附表。</w:t>
      </w:r>
    </w:p>
    <w:p w14:paraId="00B0BE26">
      <w:pPr>
        <w:pStyle w:val="2"/>
        <w:rPr>
          <w:rFonts w:hint="eastAsia" w:ascii="宋体" w:hAnsi="宋体" w:eastAsia="宋体" w:cs="宋体"/>
          <w:color w:val="auto"/>
          <w:highlight w:val="none"/>
        </w:rPr>
      </w:pPr>
      <w:bookmarkStart w:id="45" w:name="_Toc532744119"/>
      <w:r>
        <w:rPr>
          <w:rFonts w:hint="eastAsia" w:ascii="宋体" w:hAnsi="宋体" w:eastAsia="宋体" w:cs="宋体"/>
          <w:color w:val="auto"/>
          <w:highlight w:val="none"/>
        </w:rPr>
        <w:t>7. 合同授予</w:t>
      </w:r>
      <w:bookmarkEnd w:id="45"/>
    </w:p>
    <w:p w14:paraId="64302BED">
      <w:pPr>
        <w:pStyle w:val="4"/>
        <w:spacing w:before="48" w:beforeLines="20" w:after="48" w:afterLines="20"/>
        <w:jc w:val="left"/>
        <w:rPr>
          <w:rFonts w:hint="eastAsia" w:ascii="宋体" w:hAnsi="宋体" w:eastAsia="宋体" w:cs="宋体"/>
          <w:color w:val="auto"/>
          <w:highlight w:val="none"/>
        </w:rPr>
      </w:pPr>
      <w:bookmarkStart w:id="46" w:name="_Toc532744120"/>
      <w:r>
        <w:rPr>
          <w:rFonts w:hint="eastAsia" w:ascii="宋体" w:hAnsi="宋体" w:eastAsia="宋体" w:cs="宋体"/>
          <w:color w:val="auto"/>
          <w:highlight w:val="none"/>
        </w:rPr>
        <w:t>7.1 中标候选人公示</w:t>
      </w:r>
      <w:bookmarkEnd w:id="46"/>
    </w:p>
    <w:p w14:paraId="314BFFF7">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招标人在收到评标报告之日起 3 日内，按照投标人须知前附表规定的公示媒介和期限公示中标候选人，公示期不得少于 3 天。</w:t>
      </w:r>
    </w:p>
    <w:p w14:paraId="72478C97">
      <w:pPr>
        <w:pStyle w:val="4"/>
        <w:spacing w:before="48" w:beforeLines="20" w:after="48" w:afterLines="20"/>
        <w:jc w:val="left"/>
        <w:rPr>
          <w:rFonts w:hint="eastAsia" w:ascii="宋体" w:hAnsi="宋体" w:eastAsia="宋体" w:cs="宋体"/>
          <w:color w:val="auto"/>
          <w:highlight w:val="none"/>
        </w:rPr>
      </w:pPr>
      <w:bookmarkStart w:id="47" w:name="_Toc532744121"/>
      <w:r>
        <w:rPr>
          <w:rFonts w:hint="eastAsia" w:ascii="宋体" w:hAnsi="宋体" w:eastAsia="宋体" w:cs="宋体"/>
          <w:color w:val="auto"/>
          <w:highlight w:val="none"/>
        </w:rPr>
        <w:t>7.2 评标结果异议</w:t>
      </w:r>
      <w:bookmarkEnd w:id="47"/>
    </w:p>
    <w:p w14:paraId="6E1FD7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投标人或者其他利害关系人对评标结果有异议的，应当在中标候选人公示期间</w:t>
      </w:r>
      <w:r>
        <w:rPr>
          <w:rFonts w:hint="eastAsia" w:ascii="宋体" w:hAnsi="宋体" w:eastAsia="宋体" w:cs="宋体"/>
          <w:b/>
          <w:bCs/>
          <w:color w:val="auto"/>
          <w:highlight w:val="none"/>
          <w:u w:val="single"/>
        </w:rPr>
        <w:t>通过电子交易系统</w:t>
      </w:r>
      <w:r>
        <w:rPr>
          <w:rFonts w:hint="eastAsia" w:ascii="宋体" w:hAnsi="宋体" w:eastAsia="宋体" w:cs="宋体"/>
          <w:color w:val="auto"/>
          <w:highlight w:val="none"/>
        </w:rPr>
        <w:t>提出</w:t>
      </w:r>
      <w:r>
        <w:rPr>
          <w:rFonts w:hint="eastAsia" w:ascii="宋体" w:hAnsi="宋体" w:eastAsia="宋体" w:cs="宋体"/>
          <w:color w:val="auto"/>
          <w:szCs w:val="21"/>
          <w:highlight w:val="none"/>
          <w:u w:val="single"/>
          <w:lang w:bidi="ar"/>
        </w:rPr>
        <w:t>，</w:t>
      </w:r>
      <w:r>
        <w:rPr>
          <w:rFonts w:hint="eastAsia" w:ascii="宋体" w:hAnsi="宋体" w:eastAsia="宋体" w:cs="宋体"/>
          <w:color w:val="auto"/>
          <w:highlight w:val="none"/>
        </w:rPr>
        <w:t>招标人将在收到异议之日起 3 日内作出答复；作出答复前，将暂停招标投标活动。</w:t>
      </w:r>
    </w:p>
    <w:p w14:paraId="652E38A0">
      <w:pPr>
        <w:pStyle w:val="4"/>
        <w:spacing w:before="48" w:beforeLines="20" w:after="48" w:afterLines="20"/>
        <w:jc w:val="left"/>
        <w:rPr>
          <w:rFonts w:hint="eastAsia" w:ascii="宋体" w:hAnsi="宋体" w:eastAsia="宋体" w:cs="宋体"/>
          <w:color w:val="auto"/>
          <w:highlight w:val="none"/>
        </w:rPr>
      </w:pPr>
      <w:bookmarkStart w:id="48" w:name="_Toc532744122"/>
      <w:r>
        <w:rPr>
          <w:rFonts w:hint="eastAsia" w:ascii="宋体" w:hAnsi="宋体" w:eastAsia="宋体" w:cs="宋体"/>
          <w:color w:val="auto"/>
          <w:highlight w:val="none"/>
        </w:rPr>
        <w:t>7.3 中标候选人履约能力审查</w:t>
      </w:r>
      <w:bookmarkEnd w:id="48"/>
    </w:p>
    <w:p w14:paraId="51281F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10F1CB4">
      <w:pPr>
        <w:pStyle w:val="4"/>
        <w:spacing w:before="48" w:beforeLines="20" w:after="48" w:afterLines="20"/>
        <w:jc w:val="left"/>
        <w:rPr>
          <w:rFonts w:hint="eastAsia" w:ascii="宋体" w:hAnsi="宋体" w:eastAsia="宋体" w:cs="宋体"/>
          <w:color w:val="auto"/>
          <w:highlight w:val="none"/>
        </w:rPr>
      </w:pPr>
      <w:bookmarkStart w:id="49" w:name="_Toc532744123"/>
      <w:r>
        <w:rPr>
          <w:rFonts w:hint="eastAsia" w:ascii="宋体" w:hAnsi="宋体" w:eastAsia="宋体" w:cs="宋体"/>
          <w:color w:val="auto"/>
          <w:highlight w:val="none"/>
        </w:rPr>
        <w:t>7.4 定标</w:t>
      </w:r>
      <w:bookmarkEnd w:id="49"/>
    </w:p>
    <w:p w14:paraId="79EEFE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按照投标人须知前附表的规定，招标人或招标人授权的评标委员会依法确定中标人。</w:t>
      </w:r>
    </w:p>
    <w:p w14:paraId="3F23ADE3">
      <w:pPr>
        <w:pStyle w:val="4"/>
        <w:spacing w:before="48" w:beforeLines="20" w:after="48" w:afterLines="20"/>
        <w:jc w:val="left"/>
        <w:rPr>
          <w:rFonts w:hint="eastAsia" w:ascii="宋体" w:hAnsi="宋体" w:eastAsia="宋体" w:cs="宋体"/>
          <w:color w:val="auto"/>
          <w:highlight w:val="none"/>
        </w:rPr>
      </w:pPr>
      <w:bookmarkStart w:id="50" w:name="_Toc532744124"/>
      <w:r>
        <w:rPr>
          <w:rFonts w:hint="eastAsia" w:ascii="宋体" w:hAnsi="宋体" w:eastAsia="宋体" w:cs="宋体"/>
          <w:color w:val="auto"/>
          <w:highlight w:val="none"/>
        </w:rPr>
        <w:t>7.5 中标通知</w:t>
      </w:r>
      <w:bookmarkEnd w:id="50"/>
    </w:p>
    <w:p w14:paraId="4DCEB1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在本章第 3.3 款规定的投标有效期内，招标人以书面形式向中标人发出中标通知书，同时将中标结果通知未中标的投标人。</w:t>
      </w:r>
    </w:p>
    <w:p w14:paraId="0B0B2078">
      <w:pPr>
        <w:pStyle w:val="4"/>
        <w:spacing w:before="48" w:beforeLines="20" w:after="48" w:afterLines="20"/>
        <w:jc w:val="left"/>
        <w:rPr>
          <w:rFonts w:hint="eastAsia" w:ascii="宋体" w:hAnsi="宋体" w:eastAsia="宋体" w:cs="宋体"/>
          <w:color w:val="auto"/>
          <w:highlight w:val="none"/>
        </w:rPr>
      </w:pPr>
      <w:bookmarkStart w:id="51" w:name="_Toc532744125"/>
      <w:r>
        <w:rPr>
          <w:rFonts w:hint="eastAsia" w:ascii="宋体" w:hAnsi="宋体" w:eastAsia="宋体" w:cs="宋体"/>
          <w:color w:val="auto"/>
          <w:highlight w:val="none"/>
        </w:rPr>
        <w:t>7.6 履约保证金</w:t>
      </w:r>
      <w:bookmarkEnd w:id="51"/>
    </w:p>
    <w:p w14:paraId="3B2962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7.6.1 </w:t>
      </w:r>
      <w:r>
        <w:rPr>
          <w:rFonts w:hint="eastAsia" w:ascii="宋体" w:hAnsi="宋体" w:eastAsia="宋体" w:cs="宋体"/>
          <w:strike/>
          <w:color w:val="auto"/>
          <w:highlight w:val="none"/>
        </w:rPr>
        <w:t>在签订合同前，</w:t>
      </w:r>
      <w:r>
        <w:rPr>
          <w:rFonts w:hint="eastAsia" w:ascii="宋体" w:hAnsi="宋体" w:eastAsia="宋体" w:cs="宋体"/>
          <w:color w:val="auto"/>
          <w:highlight w:val="none"/>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14:paraId="040431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7.6.2 中标人不能按本章第 7.6.1 项要求提交履约保证金的，视为放弃中标，其投标保证金不予退还，给招标人造成的损失超过投标保证金数额的，中标人还应当对超过部分予以赔偿。</w:t>
      </w:r>
    </w:p>
    <w:p w14:paraId="4ED59511">
      <w:pPr>
        <w:pStyle w:val="4"/>
        <w:spacing w:before="48" w:beforeLines="20" w:after="48" w:afterLines="20"/>
        <w:jc w:val="left"/>
        <w:rPr>
          <w:rFonts w:hint="eastAsia" w:ascii="宋体" w:hAnsi="宋体" w:eastAsia="宋体" w:cs="宋体"/>
          <w:color w:val="auto"/>
          <w:highlight w:val="none"/>
        </w:rPr>
      </w:pPr>
      <w:bookmarkStart w:id="52" w:name="_Toc532744126"/>
      <w:r>
        <w:rPr>
          <w:rFonts w:hint="eastAsia" w:ascii="宋体" w:hAnsi="宋体" w:eastAsia="宋体" w:cs="宋体"/>
          <w:color w:val="auto"/>
          <w:highlight w:val="none"/>
        </w:rPr>
        <w:t>7.7 签订合同</w:t>
      </w:r>
      <w:bookmarkEnd w:id="52"/>
    </w:p>
    <w:p w14:paraId="39B45C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2CBC23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7.7.2 发出中标通知书后，招标人无正当理由拒签合同，或者在签订合同时向中标人提出附加条件的，招标人向中标人退还投标保证金；给中标人造成损失的，还应当赔偿损失。</w:t>
      </w:r>
    </w:p>
    <w:p w14:paraId="2465AE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7.7.3 联合体中标的，联合体各方应当共同与招标人签订合同，就中标项目向招标人承担连带责任。</w:t>
      </w:r>
    </w:p>
    <w:p w14:paraId="3CCF98A5">
      <w:pPr>
        <w:pStyle w:val="2"/>
        <w:rPr>
          <w:rFonts w:hint="eastAsia" w:ascii="宋体" w:hAnsi="宋体" w:eastAsia="宋体" w:cs="宋体"/>
          <w:color w:val="auto"/>
          <w:highlight w:val="none"/>
        </w:rPr>
      </w:pPr>
      <w:bookmarkStart w:id="53" w:name="_Toc532744127"/>
      <w:r>
        <w:rPr>
          <w:rFonts w:hint="eastAsia" w:ascii="宋体" w:hAnsi="宋体" w:eastAsia="宋体" w:cs="宋体"/>
          <w:color w:val="auto"/>
          <w:highlight w:val="none"/>
        </w:rPr>
        <w:t>8. 纪律和监督</w:t>
      </w:r>
      <w:bookmarkEnd w:id="53"/>
    </w:p>
    <w:p w14:paraId="6C1EBF7C">
      <w:pPr>
        <w:pStyle w:val="4"/>
        <w:spacing w:before="48" w:beforeLines="20" w:after="48" w:afterLines="20"/>
        <w:jc w:val="left"/>
        <w:rPr>
          <w:rFonts w:hint="eastAsia" w:ascii="宋体" w:hAnsi="宋体" w:eastAsia="宋体" w:cs="宋体"/>
          <w:color w:val="auto"/>
          <w:highlight w:val="none"/>
        </w:rPr>
      </w:pPr>
      <w:bookmarkStart w:id="54" w:name="_Toc532744128"/>
      <w:r>
        <w:rPr>
          <w:rFonts w:hint="eastAsia" w:ascii="宋体" w:hAnsi="宋体" w:eastAsia="宋体" w:cs="宋体"/>
          <w:color w:val="auto"/>
          <w:highlight w:val="none"/>
        </w:rPr>
        <w:t>8.1 对招标人的纪律要求</w:t>
      </w:r>
      <w:bookmarkEnd w:id="54"/>
    </w:p>
    <w:p w14:paraId="25007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招标人不得泄露招标投标活动中应当保密的情况和资料，不得与投标人串通损害国家利益、社会公共利益或者他人合法权益。</w:t>
      </w:r>
    </w:p>
    <w:p w14:paraId="7A598A67">
      <w:pPr>
        <w:pStyle w:val="4"/>
        <w:spacing w:before="48" w:beforeLines="20" w:after="48" w:afterLines="20"/>
        <w:jc w:val="left"/>
        <w:rPr>
          <w:rFonts w:hint="eastAsia" w:ascii="宋体" w:hAnsi="宋体" w:eastAsia="宋体" w:cs="宋体"/>
          <w:color w:val="auto"/>
          <w:highlight w:val="none"/>
        </w:rPr>
      </w:pPr>
      <w:bookmarkStart w:id="55" w:name="_Toc532744129"/>
      <w:r>
        <w:rPr>
          <w:rFonts w:hint="eastAsia" w:ascii="宋体" w:hAnsi="宋体" w:eastAsia="宋体" w:cs="宋体"/>
          <w:color w:val="auto"/>
          <w:highlight w:val="none"/>
        </w:rPr>
        <w:t>8.2 对投标人的纪律要求</w:t>
      </w:r>
      <w:bookmarkEnd w:id="55"/>
    </w:p>
    <w:p w14:paraId="0A2B5F2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5CBA152">
      <w:pPr>
        <w:pStyle w:val="4"/>
        <w:spacing w:before="48" w:beforeLines="20" w:after="48" w:afterLines="20"/>
        <w:jc w:val="left"/>
        <w:rPr>
          <w:rFonts w:hint="eastAsia" w:ascii="宋体" w:hAnsi="宋体" w:eastAsia="宋体" w:cs="宋体"/>
          <w:color w:val="auto"/>
          <w:highlight w:val="none"/>
        </w:rPr>
      </w:pPr>
      <w:bookmarkStart w:id="56" w:name="_Toc532744130"/>
      <w:r>
        <w:rPr>
          <w:rFonts w:hint="eastAsia" w:ascii="宋体" w:hAnsi="宋体" w:eastAsia="宋体" w:cs="宋体"/>
          <w:color w:val="auto"/>
          <w:highlight w:val="none"/>
        </w:rPr>
        <w:t>8.3 对评标委员会成员的纪律要求</w:t>
      </w:r>
      <w:bookmarkEnd w:id="56"/>
    </w:p>
    <w:p w14:paraId="1960F31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9A58DA7">
      <w:pPr>
        <w:pStyle w:val="4"/>
        <w:spacing w:before="48" w:beforeLines="20" w:after="48" w:afterLines="20"/>
        <w:jc w:val="left"/>
        <w:rPr>
          <w:rFonts w:hint="eastAsia" w:ascii="宋体" w:hAnsi="宋体" w:eastAsia="宋体" w:cs="宋体"/>
          <w:color w:val="auto"/>
          <w:highlight w:val="none"/>
        </w:rPr>
      </w:pPr>
      <w:bookmarkStart w:id="57" w:name="_Toc532744131"/>
      <w:r>
        <w:rPr>
          <w:rFonts w:hint="eastAsia" w:ascii="宋体" w:hAnsi="宋体" w:eastAsia="宋体" w:cs="宋体"/>
          <w:color w:val="auto"/>
          <w:highlight w:val="none"/>
        </w:rPr>
        <w:t>8.4 对与评标活动有关的工作人员的纪律要求</w:t>
      </w:r>
      <w:bookmarkEnd w:id="57"/>
    </w:p>
    <w:p w14:paraId="6F53EE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83B46DE">
      <w:pPr>
        <w:pStyle w:val="4"/>
        <w:spacing w:before="48" w:beforeLines="20" w:after="48" w:afterLines="20"/>
        <w:jc w:val="left"/>
        <w:rPr>
          <w:rFonts w:hint="eastAsia" w:ascii="宋体" w:hAnsi="宋体" w:eastAsia="宋体" w:cs="宋体"/>
          <w:color w:val="auto"/>
          <w:highlight w:val="none"/>
        </w:rPr>
      </w:pPr>
      <w:bookmarkStart w:id="58" w:name="_Toc532744132"/>
      <w:r>
        <w:rPr>
          <w:rFonts w:hint="eastAsia" w:ascii="宋体" w:hAnsi="宋体" w:eastAsia="宋体" w:cs="宋体"/>
          <w:color w:val="auto"/>
          <w:highlight w:val="none"/>
        </w:rPr>
        <w:t>8.5 投诉</w:t>
      </w:r>
      <w:bookmarkEnd w:id="58"/>
    </w:p>
    <w:p w14:paraId="655711A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44AF79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6C0415B1">
      <w:pPr>
        <w:pStyle w:val="2"/>
        <w:rPr>
          <w:rFonts w:hint="eastAsia" w:ascii="宋体" w:hAnsi="宋体" w:eastAsia="宋体" w:cs="宋体"/>
          <w:color w:val="auto"/>
          <w:highlight w:val="none"/>
        </w:rPr>
      </w:pPr>
      <w:bookmarkStart w:id="59" w:name="_Toc532744133"/>
      <w:r>
        <w:rPr>
          <w:rFonts w:hint="eastAsia" w:ascii="宋体" w:hAnsi="宋体" w:eastAsia="宋体" w:cs="宋体"/>
          <w:color w:val="auto"/>
          <w:highlight w:val="none"/>
        </w:rPr>
        <w:t>9. 是否采用电子招标投标</w:t>
      </w:r>
      <w:bookmarkEnd w:id="59"/>
    </w:p>
    <w:p w14:paraId="70E745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本招标项目采用电子招标投标方式</w:t>
      </w:r>
      <w:r>
        <w:rPr>
          <w:rFonts w:hint="eastAsia" w:ascii="宋体" w:hAnsi="宋体" w:eastAsia="宋体" w:cs="宋体"/>
          <w:color w:val="auto"/>
          <w:highlight w:val="none"/>
        </w:rPr>
        <w:t>，见投标人须知前附表。</w:t>
      </w:r>
    </w:p>
    <w:p w14:paraId="27DC5B3F">
      <w:pPr>
        <w:pStyle w:val="2"/>
        <w:rPr>
          <w:rFonts w:hint="eastAsia" w:ascii="宋体" w:hAnsi="宋体" w:eastAsia="宋体" w:cs="宋体"/>
          <w:color w:val="auto"/>
          <w:highlight w:val="none"/>
        </w:rPr>
      </w:pPr>
      <w:bookmarkStart w:id="60" w:name="_Toc532744134"/>
      <w:r>
        <w:rPr>
          <w:rFonts w:hint="eastAsia" w:ascii="宋体" w:hAnsi="宋体" w:eastAsia="宋体" w:cs="宋体"/>
          <w:color w:val="auto"/>
          <w:highlight w:val="none"/>
        </w:rPr>
        <w:t>10. 需要补充的其他内容</w:t>
      </w:r>
      <w:bookmarkEnd w:id="60"/>
    </w:p>
    <w:p w14:paraId="39ABE0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14:paraId="26722C3A">
      <w:pPr>
        <w:spacing w:line="361" w:lineRule="exact"/>
        <w:rPr>
          <w:rFonts w:hint="eastAsia" w:ascii="宋体" w:hAnsi="宋体" w:eastAsia="宋体" w:cs="宋体"/>
          <w:color w:val="auto"/>
          <w:sz w:val="24"/>
          <w:szCs w:val="24"/>
          <w:highlight w:val="none"/>
        </w:rPr>
      </w:pPr>
    </w:p>
    <w:p w14:paraId="65063F80">
      <w:pPr>
        <w:spacing w:line="361"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B9F15F2">
      <w:pPr>
        <w:pStyle w:val="4"/>
        <w:spacing w:line="413" w:lineRule="auto"/>
        <w:ind w:firstLine="137"/>
        <w:rPr>
          <w:rFonts w:hint="eastAsia" w:ascii="宋体" w:hAnsi="宋体" w:eastAsia="宋体" w:cs="宋体"/>
          <w:color w:val="auto"/>
          <w:highlight w:val="none"/>
        </w:rPr>
      </w:pPr>
      <w:bookmarkStart w:id="61" w:name="_Toc525063247"/>
      <w:r>
        <w:rPr>
          <w:rFonts w:hint="eastAsia" w:ascii="宋体" w:hAnsi="宋体" w:eastAsia="宋体" w:cs="宋体"/>
          <w:color w:val="auto"/>
          <w:highlight w:val="none"/>
        </w:rPr>
        <w:t>附件一：开标记录表</w:t>
      </w:r>
      <w:bookmarkEnd w:id="61"/>
    </w:p>
    <w:p w14:paraId="37E7B4F3">
      <w:pPr>
        <w:spacing w:line="440" w:lineRule="exact"/>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开标记录表</w:t>
      </w:r>
    </w:p>
    <w:p w14:paraId="4915E6B5">
      <w:pPr>
        <w:spacing w:before="120" w:beforeLines="50" w:after="120" w:afterLines="50" w:line="400" w:lineRule="exact"/>
        <w:ind w:right="420"/>
        <w:jc w:val="left"/>
        <w:rPr>
          <w:rFonts w:hint="eastAsia" w:ascii="宋体" w:hAnsi="宋体" w:eastAsia="宋体" w:cs="宋体"/>
          <w:color w:val="auto"/>
          <w:highlight w:val="none"/>
        </w:rPr>
      </w:pPr>
      <w:r>
        <w:rPr>
          <w:rFonts w:hint="eastAsia" w:ascii="宋体" w:hAnsi="宋体" w:eastAsia="宋体" w:cs="宋体"/>
          <w:color w:val="auto"/>
          <w:highlight w:val="none"/>
        </w:rPr>
        <w:t>开标时间：    年   月   日   时   分</w:t>
      </w:r>
    </w:p>
    <w:tbl>
      <w:tblPr>
        <w:tblStyle w:val="20"/>
        <w:tblW w:w="7874" w:type="dxa"/>
        <w:jc w:val="center"/>
        <w:tblLayout w:type="fixed"/>
        <w:tblCellMar>
          <w:top w:w="0" w:type="dxa"/>
          <w:left w:w="108" w:type="dxa"/>
          <w:bottom w:w="0" w:type="dxa"/>
          <w:right w:w="108" w:type="dxa"/>
        </w:tblCellMar>
      </w:tblPr>
      <w:tblGrid>
        <w:gridCol w:w="312"/>
        <w:gridCol w:w="851"/>
        <w:gridCol w:w="992"/>
        <w:gridCol w:w="993"/>
        <w:gridCol w:w="992"/>
        <w:gridCol w:w="992"/>
        <w:gridCol w:w="992"/>
        <w:gridCol w:w="778"/>
        <w:gridCol w:w="972"/>
      </w:tblGrid>
      <w:tr w14:paraId="56432BE2">
        <w:tblPrEx>
          <w:tblCellMar>
            <w:top w:w="0" w:type="dxa"/>
            <w:left w:w="108" w:type="dxa"/>
            <w:bottom w:w="0" w:type="dxa"/>
            <w:right w:w="108" w:type="dxa"/>
          </w:tblCellMar>
        </w:tblPrEx>
        <w:trPr>
          <w:trHeight w:val="694"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1E9171BA">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序号</w:t>
            </w:r>
          </w:p>
        </w:tc>
        <w:tc>
          <w:tcPr>
            <w:tcW w:w="851" w:type="dxa"/>
            <w:tcBorders>
              <w:top w:val="single" w:color="auto" w:sz="4" w:space="0"/>
              <w:left w:val="single" w:color="auto" w:sz="4" w:space="0"/>
              <w:bottom w:val="single" w:color="auto" w:sz="4" w:space="0"/>
              <w:right w:val="single" w:color="auto" w:sz="4" w:space="0"/>
            </w:tcBorders>
            <w:vAlign w:val="center"/>
          </w:tcPr>
          <w:p w14:paraId="7CBA6D6B">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投标人</w:t>
            </w:r>
          </w:p>
        </w:tc>
        <w:tc>
          <w:tcPr>
            <w:tcW w:w="992" w:type="dxa"/>
            <w:tcBorders>
              <w:top w:val="single" w:color="auto" w:sz="4" w:space="0"/>
              <w:left w:val="single" w:color="auto" w:sz="4" w:space="0"/>
              <w:bottom w:val="single" w:color="auto" w:sz="4" w:space="0"/>
              <w:right w:val="single" w:color="auto" w:sz="4" w:space="0"/>
            </w:tcBorders>
            <w:vAlign w:val="center"/>
          </w:tcPr>
          <w:p w14:paraId="2DE4DF0C">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密封情况</w:t>
            </w:r>
          </w:p>
        </w:tc>
        <w:tc>
          <w:tcPr>
            <w:tcW w:w="993" w:type="dxa"/>
            <w:tcBorders>
              <w:top w:val="single" w:color="auto" w:sz="4" w:space="0"/>
              <w:left w:val="single" w:color="auto" w:sz="4" w:space="0"/>
              <w:bottom w:val="single" w:color="auto" w:sz="4" w:space="0"/>
              <w:right w:val="single" w:color="auto" w:sz="4" w:space="0"/>
            </w:tcBorders>
            <w:vAlign w:val="center"/>
          </w:tcPr>
          <w:p w14:paraId="59519FEB">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投标报价</w:t>
            </w:r>
          </w:p>
          <w:p w14:paraId="0001CEC3">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（元）</w:t>
            </w:r>
          </w:p>
        </w:tc>
        <w:tc>
          <w:tcPr>
            <w:tcW w:w="992" w:type="dxa"/>
            <w:tcBorders>
              <w:top w:val="single" w:color="auto" w:sz="4" w:space="0"/>
              <w:left w:val="single" w:color="auto" w:sz="4" w:space="0"/>
              <w:bottom w:val="single" w:color="auto" w:sz="4" w:space="0"/>
              <w:right w:val="single" w:color="auto" w:sz="4" w:space="0"/>
            </w:tcBorders>
            <w:vAlign w:val="center"/>
          </w:tcPr>
          <w:p w14:paraId="788CC770">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保险服务期限</w:t>
            </w:r>
          </w:p>
        </w:tc>
        <w:tc>
          <w:tcPr>
            <w:tcW w:w="992" w:type="dxa"/>
            <w:tcBorders>
              <w:top w:val="single" w:color="auto" w:sz="4" w:space="0"/>
              <w:left w:val="single" w:color="auto" w:sz="4" w:space="0"/>
              <w:bottom w:val="single" w:color="auto" w:sz="4" w:space="0"/>
              <w:right w:val="single" w:color="auto" w:sz="4" w:space="0"/>
            </w:tcBorders>
            <w:vAlign w:val="center"/>
          </w:tcPr>
          <w:p w14:paraId="4FC328FD">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投标文件递交情况</w:t>
            </w:r>
          </w:p>
        </w:tc>
        <w:tc>
          <w:tcPr>
            <w:tcW w:w="992" w:type="dxa"/>
            <w:tcBorders>
              <w:top w:val="single" w:color="auto" w:sz="4" w:space="0"/>
              <w:left w:val="single" w:color="auto" w:sz="4" w:space="0"/>
              <w:bottom w:val="single" w:color="auto" w:sz="4" w:space="0"/>
              <w:right w:val="single" w:color="auto" w:sz="4" w:space="0"/>
            </w:tcBorders>
            <w:vAlign w:val="center"/>
          </w:tcPr>
          <w:p w14:paraId="12D5DE1C">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投标文件解密情况</w:t>
            </w:r>
          </w:p>
        </w:tc>
        <w:tc>
          <w:tcPr>
            <w:tcW w:w="778" w:type="dxa"/>
            <w:tcBorders>
              <w:top w:val="single" w:color="auto" w:sz="4" w:space="0"/>
              <w:left w:val="single" w:color="auto" w:sz="4" w:space="0"/>
              <w:bottom w:val="single" w:color="auto" w:sz="4" w:space="0"/>
              <w:right w:val="single" w:color="auto" w:sz="4" w:space="0"/>
            </w:tcBorders>
            <w:vAlign w:val="center"/>
          </w:tcPr>
          <w:p w14:paraId="4D072287">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备注</w:t>
            </w:r>
          </w:p>
        </w:tc>
        <w:tc>
          <w:tcPr>
            <w:tcW w:w="972" w:type="dxa"/>
            <w:tcBorders>
              <w:top w:val="single" w:color="auto" w:sz="4" w:space="0"/>
              <w:left w:val="single" w:color="auto" w:sz="4" w:space="0"/>
              <w:bottom w:val="single" w:color="auto" w:sz="4" w:space="0"/>
              <w:right w:val="single" w:color="auto" w:sz="4" w:space="0"/>
            </w:tcBorders>
            <w:vAlign w:val="center"/>
          </w:tcPr>
          <w:p w14:paraId="10098FEA">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投标人代表签名</w:t>
            </w:r>
          </w:p>
        </w:tc>
      </w:tr>
      <w:tr w14:paraId="27B94F64">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002A82A3">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C71A7DF">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FB5E832">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B0DFB26">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F01A006">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53541D5">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C399310">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07EBBD89">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399ED6FC">
            <w:pPr>
              <w:keepNext/>
              <w:keepLines/>
              <w:spacing w:line="576" w:lineRule="auto"/>
              <w:jc w:val="center"/>
              <w:outlineLvl w:val="0"/>
              <w:rPr>
                <w:rFonts w:hint="eastAsia" w:ascii="宋体" w:hAnsi="宋体" w:eastAsia="宋体" w:cs="宋体"/>
                <w:color w:val="auto"/>
                <w:highlight w:val="none"/>
              </w:rPr>
            </w:pPr>
          </w:p>
        </w:tc>
      </w:tr>
      <w:tr w14:paraId="4E5497B0">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4F75424A">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DF2E7A0">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DB49E98">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30FF9E3B">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4D0A457">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6A954B5">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8EBCDE7">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39655C82">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4C311DF3">
            <w:pPr>
              <w:keepNext/>
              <w:keepLines/>
              <w:spacing w:line="576" w:lineRule="auto"/>
              <w:jc w:val="center"/>
              <w:outlineLvl w:val="0"/>
              <w:rPr>
                <w:rFonts w:hint="eastAsia" w:ascii="宋体" w:hAnsi="宋体" w:eastAsia="宋体" w:cs="宋体"/>
                <w:color w:val="auto"/>
                <w:highlight w:val="none"/>
              </w:rPr>
            </w:pPr>
          </w:p>
        </w:tc>
      </w:tr>
      <w:tr w14:paraId="4C98B401">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7EE455A9">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AAD484E">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8F56B46">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1CFFEE3">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8B92739">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0ACD823">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DA0C80E">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10DA5FCF">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699882E5">
            <w:pPr>
              <w:keepNext/>
              <w:keepLines/>
              <w:spacing w:line="576" w:lineRule="auto"/>
              <w:jc w:val="center"/>
              <w:outlineLvl w:val="0"/>
              <w:rPr>
                <w:rFonts w:hint="eastAsia" w:ascii="宋体" w:hAnsi="宋体" w:eastAsia="宋体" w:cs="宋体"/>
                <w:color w:val="auto"/>
                <w:highlight w:val="none"/>
              </w:rPr>
            </w:pPr>
          </w:p>
        </w:tc>
      </w:tr>
      <w:tr w14:paraId="6B3D841D">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1ED251E0">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4BD407D">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C9ADFC8">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6A2C5BD">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1B9B803">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26CE7F5">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33E2357">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4C61E974">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029F570C">
            <w:pPr>
              <w:keepNext/>
              <w:keepLines/>
              <w:spacing w:line="576" w:lineRule="auto"/>
              <w:jc w:val="center"/>
              <w:outlineLvl w:val="0"/>
              <w:rPr>
                <w:rFonts w:hint="eastAsia" w:ascii="宋体" w:hAnsi="宋体" w:eastAsia="宋体" w:cs="宋体"/>
                <w:color w:val="auto"/>
                <w:highlight w:val="none"/>
              </w:rPr>
            </w:pPr>
          </w:p>
        </w:tc>
      </w:tr>
      <w:tr w14:paraId="41BDCD9C">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563A67AA">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4831162">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052BA50">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BAA3727">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3A9942F">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0455045">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E6A2E5C">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32C4CC87">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1F7F1BEF">
            <w:pPr>
              <w:keepNext/>
              <w:keepLines/>
              <w:spacing w:line="576" w:lineRule="auto"/>
              <w:jc w:val="center"/>
              <w:outlineLvl w:val="0"/>
              <w:rPr>
                <w:rFonts w:hint="eastAsia" w:ascii="宋体" w:hAnsi="宋体" w:eastAsia="宋体" w:cs="宋体"/>
                <w:color w:val="auto"/>
                <w:highlight w:val="none"/>
              </w:rPr>
            </w:pPr>
          </w:p>
        </w:tc>
      </w:tr>
      <w:tr w14:paraId="6B1C92A1">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544C2A2F">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89BA36C">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8BF5C40">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A18BBE3">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5F660C9">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929E94B">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E984A63">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457AE80B">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348D6152">
            <w:pPr>
              <w:keepNext/>
              <w:keepLines/>
              <w:spacing w:line="576" w:lineRule="auto"/>
              <w:jc w:val="center"/>
              <w:outlineLvl w:val="0"/>
              <w:rPr>
                <w:rFonts w:hint="eastAsia" w:ascii="宋体" w:hAnsi="宋体" w:eastAsia="宋体" w:cs="宋体"/>
                <w:color w:val="auto"/>
                <w:highlight w:val="none"/>
              </w:rPr>
            </w:pPr>
          </w:p>
        </w:tc>
      </w:tr>
      <w:tr w14:paraId="7A9CB3F0">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1C612DE5">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FBE4E74">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9B9A817">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469D79B">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24F77EB">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9FC4CC4">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AFC6673">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0A569FDF">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D243AF9">
            <w:pPr>
              <w:keepNext/>
              <w:keepLines/>
              <w:spacing w:line="576" w:lineRule="auto"/>
              <w:jc w:val="center"/>
              <w:outlineLvl w:val="0"/>
              <w:rPr>
                <w:rFonts w:hint="eastAsia" w:ascii="宋体" w:hAnsi="宋体" w:eastAsia="宋体" w:cs="宋体"/>
                <w:color w:val="auto"/>
                <w:highlight w:val="none"/>
              </w:rPr>
            </w:pPr>
          </w:p>
        </w:tc>
      </w:tr>
      <w:tr w14:paraId="56523395">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6BF5A3C8">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FC7A813">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77B3A09">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18CFCE6">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82BDF45">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1C390F8">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89AE5BA">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233A4D18">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3116706">
            <w:pPr>
              <w:keepNext/>
              <w:keepLines/>
              <w:spacing w:line="576" w:lineRule="auto"/>
              <w:jc w:val="center"/>
              <w:outlineLvl w:val="0"/>
              <w:rPr>
                <w:rFonts w:hint="eastAsia" w:ascii="宋体" w:hAnsi="宋体" w:eastAsia="宋体" w:cs="宋体"/>
                <w:color w:val="auto"/>
                <w:highlight w:val="none"/>
              </w:rPr>
            </w:pPr>
          </w:p>
        </w:tc>
      </w:tr>
      <w:tr w14:paraId="41B4A2D4">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6CD89EFD">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B685E13">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8BB0EC5">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C491A0E">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449038B">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B00A651">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B341CB5">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32FD9FC1">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4608BAD3">
            <w:pPr>
              <w:keepNext/>
              <w:keepLines/>
              <w:spacing w:line="576" w:lineRule="auto"/>
              <w:jc w:val="center"/>
              <w:outlineLvl w:val="0"/>
              <w:rPr>
                <w:rFonts w:hint="eastAsia" w:ascii="宋体" w:hAnsi="宋体" w:eastAsia="宋体" w:cs="宋体"/>
                <w:color w:val="auto"/>
                <w:highlight w:val="none"/>
              </w:rPr>
            </w:pPr>
          </w:p>
        </w:tc>
      </w:tr>
      <w:tr w14:paraId="07C7C1B3">
        <w:tblPrEx>
          <w:tblCellMar>
            <w:top w:w="0" w:type="dxa"/>
            <w:left w:w="108" w:type="dxa"/>
            <w:bottom w:w="0" w:type="dxa"/>
            <w:right w:w="108" w:type="dxa"/>
          </w:tblCellMar>
        </w:tblPrEx>
        <w:trPr>
          <w:trHeight w:val="340" w:hRule="atLeast"/>
          <w:jc w:val="center"/>
        </w:trPr>
        <w:tc>
          <w:tcPr>
            <w:tcW w:w="312" w:type="dxa"/>
            <w:tcBorders>
              <w:top w:val="single" w:color="auto" w:sz="4" w:space="0"/>
              <w:left w:val="single" w:color="auto" w:sz="4" w:space="0"/>
              <w:bottom w:val="single" w:color="auto" w:sz="4" w:space="0"/>
              <w:right w:val="single" w:color="auto" w:sz="4" w:space="0"/>
            </w:tcBorders>
            <w:vAlign w:val="center"/>
          </w:tcPr>
          <w:p w14:paraId="2F14D365">
            <w:pPr>
              <w:keepNext/>
              <w:keepLines/>
              <w:spacing w:line="576" w:lineRule="auto"/>
              <w:jc w:val="center"/>
              <w:outlineLvl w:val="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CE196E7">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BA9B3AC">
            <w:pPr>
              <w:keepNext/>
              <w:keepLines/>
              <w:spacing w:line="576" w:lineRule="auto"/>
              <w:jc w:val="center"/>
              <w:outlineLvl w:val="0"/>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B871047">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D7669D5">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F64FC1B">
            <w:pPr>
              <w:keepNext/>
              <w:keepLines/>
              <w:spacing w:line="576" w:lineRule="auto"/>
              <w:jc w:val="center"/>
              <w:outlineLvl w:val="0"/>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C98F7F9">
            <w:pPr>
              <w:keepNext/>
              <w:keepLines/>
              <w:spacing w:line="576" w:lineRule="auto"/>
              <w:jc w:val="center"/>
              <w:outlineLvl w:val="0"/>
              <w:rPr>
                <w:rFonts w:hint="eastAsia" w:ascii="宋体" w:hAnsi="宋体" w:eastAsia="宋体" w:cs="宋体"/>
                <w:color w:val="auto"/>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7DA2A0D1">
            <w:pPr>
              <w:keepNext/>
              <w:keepLines/>
              <w:spacing w:line="576" w:lineRule="auto"/>
              <w:jc w:val="center"/>
              <w:outlineLvl w:val="0"/>
              <w:rPr>
                <w:rFonts w:hint="eastAsia" w:ascii="宋体" w:hAnsi="宋体" w:eastAsia="宋体" w:cs="宋体"/>
                <w:color w:val="auto"/>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00A4EF11">
            <w:pPr>
              <w:keepNext/>
              <w:keepLines/>
              <w:spacing w:line="576" w:lineRule="auto"/>
              <w:jc w:val="center"/>
              <w:outlineLvl w:val="0"/>
              <w:rPr>
                <w:rFonts w:hint="eastAsia" w:ascii="宋体" w:hAnsi="宋体" w:eastAsia="宋体" w:cs="宋体"/>
                <w:color w:val="auto"/>
                <w:highlight w:val="none"/>
              </w:rPr>
            </w:pPr>
          </w:p>
        </w:tc>
      </w:tr>
      <w:tr w14:paraId="42297FBB">
        <w:tblPrEx>
          <w:tblCellMar>
            <w:top w:w="0" w:type="dxa"/>
            <w:left w:w="108" w:type="dxa"/>
            <w:bottom w:w="0" w:type="dxa"/>
            <w:right w:w="108" w:type="dxa"/>
          </w:tblCellMar>
        </w:tblPrEx>
        <w:trPr>
          <w:trHeight w:val="340" w:hRule="atLeast"/>
          <w:jc w:val="center"/>
        </w:trPr>
        <w:tc>
          <w:tcPr>
            <w:tcW w:w="7874" w:type="dxa"/>
            <w:gridSpan w:val="9"/>
            <w:tcBorders>
              <w:top w:val="single" w:color="auto" w:sz="4" w:space="0"/>
              <w:left w:val="single" w:color="auto" w:sz="4" w:space="0"/>
              <w:bottom w:val="single" w:color="auto" w:sz="4" w:space="0"/>
              <w:right w:val="single" w:color="auto" w:sz="4" w:space="0"/>
            </w:tcBorders>
            <w:vAlign w:val="center"/>
          </w:tcPr>
          <w:p w14:paraId="0202C552">
            <w:pPr>
              <w:keepNext/>
              <w:keepLines/>
              <w:spacing w:line="576" w:lineRule="auto"/>
              <w:jc w:val="left"/>
              <w:outlineLvl w:val="0"/>
              <w:rPr>
                <w:rFonts w:hint="eastAsia" w:ascii="宋体" w:hAnsi="宋体" w:eastAsia="宋体" w:cs="宋体"/>
                <w:color w:val="auto"/>
                <w:highlight w:val="none"/>
              </w:rPr>
            </w:pPr>
            <w:bookmarkStart w:id="62" w:name="_Toc17638"/>
            <w:r>
              <w:rPr>
                <w:rFonts w:hint="eastAsia" w:ascii="宋体" w:hAnsi="宋体" w:eastAsia="宋体" w:cs="宋体"/>
                <w:color w:val="auto"/>
                <w:highlight w:val="none"/>
              </w:rPr>
              <w:t>招标控制价：</w:t>
            </w:r>
          </w:p>
        </w:tc>
      </w:tr>
      <w:bookmarkEnd w:id="62"/>
    </w:tbl>
    <w:p w14:paraId="52FA520C">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14:paraId="5C5787F1">
      <w:pPr>
        <w:spacing w:line="620" w:lineRule="exact"/>
        <w:rPr>
          <w:rFonts w:hint="eastAsia" w:ascii="宋体" w:hAnsi="宋体" w:eastAsia="宋体" w:cs="宋体"/>
          <w:color w:val="auto"/>
          <w:highlight w:val="none"/>
        </w:rPr>
      </w:pPr>
      <w:r>
        <w:rPr>
          <w:rFonts w:hint="eastAsia" w:ascii="宋体" w:hAnsi="宋体" w:eastAsia="宋体" w:cs="宋体"/>
          <w:color w:val="auto"/>
          <w:highlight w:val="none"/>
        </w:rPr>
        <w:t>招标人代表：            记录人：                  监标人：</w:t>
      </w:r>
    </w:p>
    <w:p w14:paraId="6EAB93C2">
      <w:pPr>
        <w:spacing w:line="620" w:lineRule="exact"/>
        <w:jc w:val="right"/>
        <w:rPr>
          <w:rFonts w:hint="eastAsia" w:ascii="宋体" w:hAnsi="宋体" w:eastAsia="宋体" w:cs="宋体"/>
          <w:color w:val="auto"/>
          <w:sz w:val="20"/>
          <w:highlight w:val="none"/>
        </w:rPr>
      </w:pPr>
      <w:r>
        <w:rPr>
          <w:rFonts w:hint="eastAsia" w:ascii="宋体" w:hAnsi="宋体" w:eastAsia="宋体" w:cs="宋体"/>
          <w:color w:val="auto"/>
          <w:highlight w:val="none"/>
        </w:rPr>
        <w:t>年   月   日</w:t>
      </w:r>
    </w:p>
    <w:p w14:paraId="2743CE70">
      <w:pPr>
        <w:spacing w:line="440" w:lineRule="exact"/>
        <w:rPr>
          <w:rFonts w:hint="eastAsia" w:ascii="宋体" w:hAnsi="宋体" w:eastAsia="宋体" w:cs="宋体"/>
          <w:color w:val="auto"/>
          <w:highlight w:val="none"/>
        </w:rPr>
      </w:pPr>
    </w:p>
    <w:p w14:paraId="3E81073A">
      <w:pPr>
        <w:spacing w:line="440" w:lineRule="exact"/>
        <w:rPr>
          <w:rFonts w:hint="eastAsia" w:ascii="宋体" w:hAnsi="宋体" w:eastAsia="宋体" w:cs="宋体"/>
          <w:color w:val="auto"/>
          <w:highlight w:val="none"/>
        </w:rPr>
      </w:pPr>
    </w:p>
    <w:p w14:paraId="395CD791">
      <w:pPr>
        <w:pStyle w:val="4"/>
        <w:ind w:firstLine="137"/>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63" w:name="_Toc525063248"/>
      <w:r>
        <w:rPr>
          <w:rFonts w:hint="eastAsia" w:ascii="宋体" w:hAnsi="宋体" w:eastAsia="宋体" w:cs="宋体"/>
          <w:color w:val="auto"/>
          <w:highlight w:val="none"/>
        </w:rPr>
        <w:t>附件二：问题澄清通知</w:t>
      </w:r>
      <w:bookmarkEnd w:id="63"/>
    </w:p>
    <w:p w14:paraId="2C90B55F">
      <w:pPr>
        <w:spacing w:line="440" w:lineRule="exact"/>
        <w:jc w:val="center"/>
        <w:rPr>
          <w:rFonts w:hint="eastAsia" w:ascii="宋体" w:hAnsi="宋体" w:eastAsia="宋体" w:cs="宋体"/>
          <w:color w:val="auto"/>
          <w:highlight w:val="none"/>
        </w:rPr>
      </w:pPr>
    </w:p>
    <w:p w14:paraId="7626ED57">
      <w:pPr>
        <w:spacing w:line="440" w:lineRule="exact"/>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问题澄清通知</w:t>
      </w:r>
    </w:p>
    <w:p w14:paraId="63BD7183">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（编号：）</w:t>
      </w:r>
    </w:p>
    <w:p w14:paraId="0A8FD671">
      <w:pPr>
        <w:spacing w:line="440" w:lineRule="exact"/>
        <w:rPr>
          <w:rFonts w:hint="eastAsia" w:ascii="宋体" w:hAnsi="宋体" w:eastAsia="宋体" w:cs="宋体"/>
          <w:color w:val="auto"/>
          <w:highlight w:val="none"/>
        </w:rPr>
      </w:pPr>
    </w:p>
    <w:p w14:paraId="290C2264">
      <w:pPr>
        <w:spacing w:line="400" w:lineRule="exact"/>
        <w:rPr>
          <w:rFonts w:hint="eastAsia" w:ascii="宋体" w:hAnsi="宋体" w:eastAsia="宋体" w:cs="宋体"/>
          <w:color w:val="auto"/>
          <w:highlight w:val="none"/>
        </w:rPr>
      </w:pPr>
      <w:bookmarkStart w:id="64" w:name="_Toc152042355"/>
      <w:bookmarkStart w:id="65" w:name="_Toc144974546"/>
      <w:r>
        <w:rPr>
          <w:rFonts w:hint="eastAsia" w:ascii="宋体" w:hAnsi="宋体" w:eastAsia="宋体" w:cs="宋体"/>
          <w:color w:val="auto"/>
          <w:highlight w:val="none"/>
        </w:rPr>
        <w:t>（按广州交易集团有限公司（广州公共资源交易中心）规定格式）</w:t>
      </w:r>
    </w:p>
    <w:p w14:paraId="4567FADD">
      <w:pPr>
        <w:spacing w:line="400" w:lineRule="exact"/>
        <w:rPr>
          <w:rFonts w:hint="eastAsia" w:ascii="宋体" w:hAnsi="宋体" w:eastAsia="宋体" w:cs="宋体"/>
          <w:color w:val="auto"/>
          <w:highlight w:val="none"/>
        </w:rPr>
      </w:pPr>
    </w:p>
    <w:p w14:paraId="72893CC0">
      <w:pPr>
        <w:spacing w:line="400" w:lineRule="exact"/>
        <w:rPr>
          <w:rFonts w:hint="eastAsia" w:ascii="宋体" w:hAnsi="宋体" w:eastAsia="宋体" w:cs="宋体"/>
          <w:color w:val="auto"/>
          <w:highlight w:val="none"/>
        </w:rPr>
      </w:pPr>
    </w:p>
    <w:p w14:paraId="4F608DCB">
      <w:pPr>
        <w:spacing w:line="400" w:lineRule="exact"/>
        <w:rPr>
          <w:rFonts w:hint="eastAsia" w:ascii="宋体" w:hAnsi="宋体" w:eastAsia="宋体" w:cs="宋体"/>
          <w:color w:val="auto"/>
          <w:highlight w:val="none"/>
        </w:rPr>
      </w:pPr>
    </w:p>
    <w:p w14:paraId="7113B071">
      <w:pPr>
        <w:spacing w:line="400" w:lineRule="exact"/>
        <w:rPr>
          <w:rFonts w:hint="eastAsia" w:ascii="宋体" w:hAnsi="宋体" w:eastAsia="宋体" w:cs="宋体"/>
          <w:color w:val="auto"/>
          <w:highlight w:val="none"/>
        </w:rPr>
      </w:pPr>
    </w:p>
    <w:p w14:paraId="2AC7D185">
      <w:pPr>
        <w:pStyle w:val="4"/>
        <w:ind w:firstLine="137"/>
        <w:rPr>
          <w:rFonts w:hint="eastAsia" w:ascii="宋体" w:hAnsi="宋体" w:eastAsia="宋体" w:cs="宋体"/>
          <w:color w:val="auto"/>
          <w:highlight w:val="none"/>
        </w:rPr>
        <w:sectPr>
          <w:footerReference r:id="rId4" w:type="default"/>
          <w:type w:val="continuous"/>
          <w:pgSz w:w="12240" w:h="15840"/>
          <w:pgMar w:top="1440" w:right="1425" w:bottom="1440" w:left="1800" w:header="720" w:footer="720" w:gutter="0"/>
          <w:pgNumType w:start="1"/>
          <w:cols w:space="720" w:num="1"/>
          <w:docGrid w:linePitch="285" w:charSpace="0"/>
        </w:sectPr>
      </w:pPr>
    </w:p>
    <w:p w14:paraId="2C5EAFEE">
      <w:pPr>
        <w:pStyle w:val="4"/>
        <w:ind w:firstLine="137"/>
        <w:rPr>
          <w:rFonts w:hint="eastAsia" w:ascii="宋体" w:hAnsi="宋体" w:eastAsia="宋体" w:cs="宋体"/>
          <w:color w:val="auto"/>
          <w:highlight w:val="none"/>
        </w:rPr>
      </w:pPr>
      <w:bookmarkStart w:id="66" w:name="_Toc525063249"/>
      <w:r>
        <w:rPr>
          <w:rFonts w:hint="eastAsia" w:ascii="宋体" w:hAnsi="宋体" w:eastAsia="宋体" w:cs="宋体"/>
          <w:color w:val="auto"/>
          <w:highlight w:val="none"/>
        </w:rPr>
        <w:t>附件三：问题的澄清</w:t>
      </w:r>
      <w:bookmarkEnd w:id="66"/>
    </w:p>
    <w:p w14:paraId="6B582D70">
      <w:pPr>
        <w:spacing w:line="400" w:lineRule="exact"/>
        <w:jc w:val="center"/>
        <w:rPr>
          <w:rFonts w:hint="eastAsia" w:ascii="宋体" w:hAnsi="宋体" w:eastAsia="宋体" w:cs="宋体"/>
          <w:color w:val="auto"/>
          <w:sz w:val="28"/>
          <w:highlight w:val="none"/>
        </w:rPr>
      </w:pPr>
    </w:p>
    <w:p w14:paraId="383A89A0">
      <w:pPr>
        <w:spacing w:line="400" w:lineRule="exact"/>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问</w:t>
      </w:r>
      <w:bookmarkEnd w:id="64"/>
      <w:r>
        <w:rPr>
          <w:rFonts w:hint="eastAsia" w:ascii="宋体" w:hAnsi="宋体" w:eastAsia="宋体" w:cs="宋体"/>
          <w:color w:val="auto"/>
          <w:sz w:val="28"/>
          <w:highlight w:val="none"/>
        </w:rPr>
        <w:t>题</w:t>
      </w:r>
      <w:bookmarkStart w:id="67" w:name="_Toc352691524"/>
      <w:bookmarkStart w:id="68" w:name="_Toc3622"/>
      <w:bookmarkStart w:id="69" w:name="_Toc300834999"/>
      <w:bookmarkStart w:id="70" w:name="_Toc247527604"/>
      <w:bookmarkStart w:id="71" w:name="_Toc384308263"/>
      <w:bookmarkStart w:id="72" w:name="_Toc369531568"/>
      <w:bookmarkStart w:id="73" w:name="_Toc247514003"/>
      <w:bookmarkStart w:id="74" w:name="_Toc152042356"/>
      <w:bookmarkStart w:id="75" w:name="_Toc361508637"/>
      <w:bookmarkStart w:id="76" w:name="_Toc152045579"/>
      <w:r>
        <w:rPr>
          <w:rFonts w:hint="eastAsia" w:ascii="宋体" w:hAnsi="宋体" w:eastAsia="宋体" w:cs="宋体"/>
          <w:color w:val="auto"/>
          <w:sz w:val="28"/>
          <w:highlight w:val="none"/>
        </w:rPr>
        <w:t>的澄清</w:t>
      </w:r>
    </w:p>
    <w:p w14:paraId="3E66DB3E">
      <w:pPr>
        <w:spacing w:line="400" w:lineRule="exact"/>
        <w:ind w:firstLine="3465" w:firstLineChars="1650"/>
        <w:rPr>
          <w:rFonts w:hint="eastAsia" w:ascii="宋体" w:hAnsi="宋体" w:eastAsia="宋体" w:cs="宋体"/>
          <w:color w:val="auto"/>
          <w:highlight w:val="none"/>
        </w:rPr>
      </w:pPr>
      <w:r>
        <w:rPr>
          <w:rFonts w:hint="eastAsia" w:ascii="宋体" w:hAnsi="宋体" w:eastAsia="宋体" w:cs="宋体"/>
          <w:color w:val="auto"/>
          <w:highlight w:val="none"/>
        </w:rPr>
        <w:t>（编号</w:t>
      </w:r>
      <w:bookmarkEnd w:id="65"/>
      <w:bookmarkEnd w:id="67"/>
      <w:bookmarkEnd w:id="68"/>
      <w:bookmarkEnd w:id="69"/>
      <w:bookmarkEnd w:id="70"/>
      <w:bookmarkEnd w:id="71"/>
      <w:bookmarkEnd w:id="72"/>
      <w:bookmarkEnd w:id="73"/>
      <w:bookmarkEnd w:id="74"/>
      <w:bookmarkEnd w:id="75"/>
      <w:bookmarkEnd w:id="76"/>
      <w:r>
        <w:rPr>
          <w:rFonts w:hint="eastAsia" w:ascii="宋体" w:hAnsi="宋体" w:eastAsia="宋体" w:cs="宋体"/>
          <w:color w:val="auto"/>
          <w:highlight w:val="none"/>
        </w:rPr>
        <w:t>：）</w:t>
      </w:r>
    </w:p>
    <w:p w14:paraId="3D61FBCB">
      <w:pPr>
        <w:spacing w:line="400" w:lineRule="exact"/>
        <w:rPr>
          <w:rFonts w:hint="eastAsia" w:ascii="宋体" w:hAnsi="宋体" w:eastAsia="宋体" w:cs="宋体"/>
          <w:color w:val="auto"/>
          <w:highlight w:val="none"/>
        </w:rPr>
      </w:pPr>
    </w:p>
    <w:p w14:paraId="362C22BF">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（按广州交易集团有限公司（广州公共资源交易中心）规定格式）</w:t>
      </w:r>
    </w:p>
    <w:p w14:paraId="5C57D67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　　　　　　　　　　　　　　</w:t>
      </w:r>
    </w:p>
    <w:p w14:paraId="6C5E8B1D">
      <w:pPr>
        <w:spacing w:line="400" w:lineRule="exact"/>
        <w:rPr>
          <w:rFonts w:hint="eastAsia" w:ascii="宋体" w:hAnsi="宋体" w:eastAsia="宋体" w:cs="宋体"/>
          <w:color w:val="auto"/>
          <w:highlight w:val="none"/>
        </w:rPr>
      </w:pPr>
    </w:p>
    <w:p w14:paraId="68B08848">
      <w:pPr>
        <w:pStyle w:val="4"/>
        <w:ind w:firstLine="137"/>
        <w:rPr>
          <w:rFonts w:hint="eastAsia" w:ascii="宋体" w:hAnsi="宋体" w:eastAsia="宋体" w:cs="宋体"/>
          <w:color w:val="auto"/>
          <w:highlight w:val="none"/>
        </w:rPr>
        <w:sectPr>
          <w:pgSz w:w="12240" w:h="15840"/>
          <w:pgMar w:top="1440" w:right="1425" w:bottom="1440" w:left="1800" w:header="720" w:footer="720" w:gutter="0"/>
          <w:cols w:space="720" w:num="1"/>
          <w:docGrid w:linePitch="285" w:charSpace="0"/>
        </w:sectPr>
      </w:pPr>
      <w:bookmarkStart w:id="77" w:name="_Toc520363149"/>
      <w:bookmarkStart w:id="78" w:name="_Toc492300623"/>
    </w:p>
    <w:bookmarkEnd w:id="77"/>
    <w:bookmarkEnd w:id="78"/>
    <w:p w14:paraId="76083268">
      <w:pPr>
        <w:pStyle w:val="4"/>
        <w:ind w:firstLine="137"/>
        <w:rPr>
          <w:rFonts w:hint="eastAsia" w:ascii="宋体" w:hAnsi="宋体" w:eastAsia="宋体" w:cs="宋体"/>
          <w:color w:val="auto"/>
          <w:highlight w:val="none"/>
        </w:rPr>
      </w:pPr>
      <w:bookmarkStart w:id="79" w:name="_Toc22637082"/>
      <w:bookmarkStart w:id="80" w:name="_Toc27885_WPSOffice_Level1"/>
      <w:r>
        <w:rPr>
          <w:rFonts w:hint="eastAsia" w:ascii="宋体" w:hAnsi="宋体" w:eastAsia="宋体" w:cs="宋体"/>
          <w:color w:val="auto"/>
          <w:highlight w:val="none"/>
        </w:rPr>
        <w:t>附件四：中标通知书</w:t>
      </w:r>
    </w:p>
    <w:p w14:paraId="641AC224">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（按广州交易集团有限公司（广州公共资源交易中心）中标通知书格式）</w:t>
      </w:r>
    </w:p>
    <w:p w14:paraId="6F819312">
      <w:pPr>
        <w:spacing w:line="400" w:lineRule="exact"/>
        <w:rPr>
          <w:rFonts w:hint="eastAsia" w:ascii="宋体" w:hAnsi="宋体" w:eastAsia="宋体" w:cs="宋体"/>
          <w:color w:val="auto"/>
          <w:highlight w:val="none"/>
        </w:rPr>
      </w:pPr>
    </w:p>
    <w:p w14:paraId="43DACD18">
      <w:pPr>
        <w:spacing w:line="400" w:lineRule="exact"/>
        <w:rPr>
          <w:rFonts w:hint="eastAsia" w:ascii="宋体" w:hAnsi="宋体" w:eastAsia="宋体" w:cs="宋体"/>
          <w:color w:val="auto"/>
          <w:highlight w:val="none"/>
        </w:rPr>
      </w:pPr>
    </w:p>
    <w:p w14:paraId="05A490C8">
      <w:pPr>
        <w:spacing w:line="400" w:lineRule="exact"/>
        <w:rPr>
          <w:rFonts w:hint="eastAsia" w:ascii="宋体" w:hAnsi="宋体" w:eastAsia="宋体" w:cs="宋体"/>
          <w:color w:val="auto"/>
          <w:highlight w:val="none"/>
        </w:rPr>
      </w:pPr>
    </w:p>
    <w:p w14:paraId="7D54AECA">
      <w:pPr>
        <w:pStyle w:val="4"/>
        <w:ind w:firstLine="137"/>
        <w:rPr>
          <w:rFonts w:hint="eastAsia" w:ascii="宋体" w:hAnsi="宋体" w:eastAsia="宋体" w:cs="宋体"/>
          <w:color w:val="auto"/>
          <w:highlight w:val="none"/>
        </w:rPr>
        <w:sectPr>
          <w:type w:val="continuous"/>
          <w:pgSz w:w="12240" w:h="15840"/>
          <w:pgMar w:top="1440" w:right="1425" w:bottom="1440" w:left="1800" w:header="720" w:footer="720" w:gutter="0"/>
          <w:cols w:space="720" w:num="1"/>
          <w:docGrid w:linePitch="285" w:charSpace="0"/>
        </w:sectPr>
      </w:pPr>
    </w:p>
    <w:p w14:paraId="59BD4EE5">
      <w:pPr>
        <w:pStyle w:val="3"/>
        <w:jc w:val="center"/>
        <w:rPr>
          <w:rFonts w:hint="eastAsia" w:ascii="宋体" w:hAnsi="宋体" w:cs="宋体"/>
          <w:color w:val="auto"/>
          <w:highlight w:val="none"/>
        </w:rPr>
      </w:pPr>
      <w:r>
        <w:rPr>
          <w:rFonts w:hint="eastAsia" w:ascii="宋体" w:hAnsi="宋体" w:cs="宋体"/>
          <w:color w:val="auto"/>
          <w:highlight w:val="none"/>
        </w:rPr>
        <w:t>第三章 评标办法 (综合评估法)</w:t>
      </w:r>
      <w:bookmarkEnd w:id="79"/>
      <w:bookmarkEnd w:id="80"/>
    </w:p>
    <w:p w14:paraId="6C78B91E">
      <w:pPr>
        <w:pStyle w:val="2"/>
        <w:spacing w:line="360" w:lineRule="auto"/>
        <w:rPr>
          <w:rFonts w:hint="eastAsia" w:ascii="宋体" w:hAnsi="宋体" w:eastAsia="宋体" w:cs="宋体"/>
          <w:color w:val="auto"/>
          <w:highlight w:val="none"/>
        </w:rPr>
      </w:pPr>
      <w:bookmarkStart w:id="81" w:name="_Toc511140226"/>
      <w:r>
        <w:rPr>
          <w:rFonts w:hint="eastAsia" w:ascii="宋体" w:hAnsi="宋体" w:eastAsia="宋体" w:cs="宋体"/>
          <w:color w:val="auto"/>
          <w:highlight w:val="none"/>
        </w:rPr>
        <w:t>评标办法前附表</w:t>
      </w:r>
      <w:bookmarkEnd w:id="81"/>
    </w:p>
    <w:tbl>
      <w:tblPr>
        <w:tblStyle w:val="20"/>
        <w:tblW w:w="900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1"/>
        <w:gridCol w:w="986"/>
        <w:gridCol w:w="1630"/>
        <w:gridCol w:w="5449"/>
      </w:tblGrid>
      <w:tr w14:paraId="7D172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1927" w:type="dxa"/>
            <w:gridSpan w:val="2"/>
            <w:tcBorders>
              <w:top w:val="single" w:color="auto" w:sz="4" w:space="0"/>
              <w:bottom w:val="single" w:color="auto" w:sz="4" w:space="0"/>
              <w:right w:val="single" w:color="auto" w:sz="4" w:space="0"/>
            </w:tcBorders>
            <w:vAlign w:val="center"/>
          </w:tcPr>
          <w:p w14:paraId="45FECF1A">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630" w:type="dxa"/>
            <w:tcBorders>
              <w:top w:val="single" w:color="auto" w:sz="4" w:space="0"/>
              <w:left w:val="single" w:color="auto" w:sz="4" w:space="0"/>
              <w:bottom w:val="single" w:color="auto" w:sz="4" w:space="0"/>
              <w:right w:val="single" w:color="auto" w:sz="4" w:space="0"/>
            </w:tcBorders>
            <w:vAlign w:val="center"/>
          </w:tcPr>
          <w:p w14:paraId="459B3DF4">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5449" w:type="dxa"/>
            <w:tcBorders>
              <w:top w:val="single" w:color="auto" w:sz="4" w:space="0"/>
              <w:left w:val="single" w:color="auto" w:sz="4" w:space="0"/>
              <w:bottom w:val="single" w:color="auto" w:sz="4" w:space="0"/>
            </w:tcBorders>
            <w:vAlign w:val="center"/>
          </w:tcPr>
          <w:p w14:paraId="5716A65C">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5E889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1" w:type="dxa"/>
            <w:tcBorders>
              <w:top w:val="single" w:color="auto" w:sz="4" w:space="0"/>
              <w:bottom w:val="single" w:color="auto" w:sz="4" w:space="0"/>
              <w:right w:val="single" w:color="auto" w:sz="4" w:space="0"/>
            </w:tcBorders>
            <w:vAlign w:val="center"/>
          </w:tcPr>
          <w:p w14:paraId="6E61F9E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6" w:type="dxa"/>
            <w:tcBorders>
              <w:top w:val="single" w:color="auto" w:sz="4" w:space="0"/>
              <w:left w:val="single" w:color="auto" w:sz="4" w:space="0"/>
              <w:bottom w:val="single" w:color="auto" w:sz="4" w:space="0"/>
              <w:right w:val="single" w:color="auto" w:sz="4" w:space="0"/>
            </w:tcBorders>
            <w:vAlign w:val="center"/>
          </w:tcPr>
          <w:p w14:paraId="7B99C06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630" w:type="dxa"/>
            <w:tcBorders>
              <w:top w:val="single" w:color="auto" w:sz="4" w:space="0"/>
              <w:left w:val="single" w:color="auto" w:sz="4" w:space="0"/>
              <w:bottom w:val="single" w:color="auto" w:sz="4" w:space="0"/>
              <w:right w:val="single" w:color="auto" w:sz="4" w:space="0"/>
            </w:tcBorders>
            <w:vAlign w:val="center"/>
          </w:tcPr>
          <w:p w14:paraId="7172A17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5449" w:type="dxa"/>
            <w:tcBorders>
              <w:top w:val="single" w:color="auto" w:sz="4" w:space="0"/>
              <w:left w:val="single" w:color="auto" w:sz="4" w:space="0"/>
              <w:bottom w:val="single" w:color="auto" w:sz="4" w:space="0"/>
            </w:tcBorders>
          </w:tcPr>
          <w:p w14:paraId="6C9A923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本次评标采用综合评估法。评标委员会对满足招标文件实质性要求的投标文件，按照本章第2.2款规定的评分标准进行打分，并</w:t>
            </w:r>
            <w:r>
              <w:rPr>
                <w:rFonts w:hint="eastAsia" w:ascii="宋体" w:hAnsi="宋体" w:eastAsia="宋体" w:cs="宋体"/>
                <w:color w:val="auto"/>
                <w:szCs w:val="21"/>
                <w:highlight w:val="none"/>
              </w:rPr>
              <w:t>按综合评分从高到低进行先后排名，如果综合评分相同的，以报价较低的排前；报价也相同的，以服务方案得分高的排前；如仍存在相同情况，由评标委员会采用记名投票方式，以得票多的优先。最终得到投标人排名。推荐</w:t>
            </w:r>
            <w:r>
              <w:rPr>
                <w:rFonts w:hint="eastAsia" w:ascii="宋体" w:hAnsi="宋体" w:eastAsia="宋体" w:cs="宋体"/>
                <w:color w:val="auto"/>
                <w:szCs w:val="21"/>
                <w:highlight w:val="none"/>
                <w:u w:val="single"/>
              </w:rPr>
              <w:t>排名的前一～二名为第一中标候选人和第二中标候选人</w:t>
            </w:r>
          </w:p>
        </w:tc>
      </w:tr>
      <w:tr w14:paraId="0C30B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restart"/>
            <w:tcBorders>
              <w:top w:val="single" w:color="auto" w:sz="4" w:space="0"/>
              <w:bottom w:val="single" w:color="auto" w:sz="4" w:space="0"/>
              <w:right w:val="single" w:color="auto" w:sz="4" w:space="0"/>
            </w:tcBorders>
            <w:vAlign w:val="center"/>
          </w:tcPr>
          <w:p w14:paraId="280F4D0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986" w:type="dxa"/>
            <w:vMerge w:val="restart"/>
            <w:tcBorders>
              <w:top w:val="single" w:color="auto" w:sz="4" w:space="0"/>
              <w:right w:val="single" w:color="auto" w:sz="4" w:space="0"/>
            </w:tcBorders>
            <w:vAlign w:val="center"/>
          </w:tcPr>
          <w:p w14:paraId="3711098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1630" w:type="dxa"/>
            <w:tcBorders>
              <w:top w:val="single" w:color="auto" w:sz="4" w:space="0"/>
              <w:left w:val="single" w:color="auto" w:sz="4" w:space="0"/>
              <w:bottom w:val="single" w:color="auto" w:sz="4" w:space="0"/>
              <w:right w:val="single" w:color="auto" w:sz="4" w:space="0"/>
            </w:tcBorders>
            <w:vAlign w:val="center"/>
          </w:tcPr>
          <w:p w14:paraId="6F0597E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449" w:type="dxa"/>
            <w:tcBorders>
              <w:top w:val="single" w:color="auto" w:sz="4" w:space="0"/>
              <w:left w:val="single" w:color="auto" w:sz="4" w:space="0"/>
              <w:bottom w:val="single" w:color="auto" w:sz="4" w:space="0"/>
            </w:tcBorders>
            <w:vAlign w:val="center"/>
          </w:tcPr>
          <w:p w14:paraId="2F7B30D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与营业执照或事业单位法人证书、资质证书一致。</w:t>
            </w:r>
          </w:p>
        </w:tc>
      </w:tr>
      <w:tr w14:paraId="35829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top w:val="nil"/>
              <w:bottom w:val="single" w:color="auto" w:sz="4" w:space="0"/>
              <w:right w:val="single" w:color="auto" w:sz="4" w:space="0"/>
            </w:tcBorders>
            <w:vAlign w:val="center"/>
          </w:tcPr>
          <w:p w14:paraId="04D4B10D">
            <w:pPr>
              <w:keepNext/>
              <w:keepLines/>
              <w:spacing w:line="400" w:lineRule="exact"/>
              <w:jc w:val="center"/>
              <w:outlineLvl w:val="2"/>
              <w:rPr>
                <w:rFonts w:hint="eastAsia" w:ascii="宋体" w:hAnsi="宋体" w:eastAsia="宋体" w:cs="宋体"/>
                <w:color w:val="auto"/>
                <w:szCs w:val="21"/>
                <w:highlight w:val="none"/>
              </w:rPr>
            </w:pPr>
          </w:p>
        </w:tc>
        <w:tc>
          <w:tcPr>
            <w:tcW w:w="986" w:type="dxa"/>
            <w:vMerge w:val="continue"/>
            <w:tcBorders>
              <w:right w:val="single" w:color="auto" w:sz="4" w:space="0"/>
            </w:tcBorders>
            <w:vAlign w:val="center"/>
          </w:tcPr>
          <w:p w14:paraId="354E54E1">
            <w:pPr>
              <w:keepNext/>
              <w:keepLines/>
              <w:spacing w:line="400" w:lineRule="exact"/>
              <w:jc w:val="center"/>
              <w:outlineLvl w:val="2"/>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708043C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5449" w:type="dxa"/>
            <w:tcBorders>
              <w:top w:val="single" w:color="auto" w:sz="4" w:space="0"/>
              <w:left w:val="single" w:color="auto" w:sz="4" w:space="0"/>
              <w:bottom w:val="single" w:color="auto" w:sz="4" w:space="0"/>
            </w:tcBorders>
            <w:vAlign w:val="center"/>
          </w:tcPr>
          <w:p w14:paraId="68B0EAF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由法定代表人或其委托代理人签字并加盖单位公章。由法定代表人签字的，应附法定代表人身份证明，由代理人签字的，应附授权委托书。</w:t>
            </w:r>
          </w:p>
        </w:tc>
      </w:tr>
      <w:tr w14:paraId="15C3A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top w:val="nil"/>
              <w:bottom w:val="single" w:color="auto" w:sz="4" w:space="0"/>
              <w:right w:val="single" w:color="auto" w:sz="4" w:space="0"/>
            </w:tcBorders>
            <w:vAlign w:val="center"/>
          </w:tcPr>
          <w:p w14:paraId="755B3A94">
            <w:pPr>
              <w:keepNext/>
              <w:keepLines/>
              <w:spacing w:line="400" w:lineRule="exact"/>
              <w:jc w:val="center"/>
              <w:outlineLvl w:val="2"/>
              <w:rPr>
                <w:rFonts w:hint="eastAsia" w:ascii="宋体" w:hAnsi="宋体" w:eastAsia="宋体" w:cs="宋体"/>
                <w:color w:val="auto"/>
                <w:szCs w:val="21"/>
                <w:highlight w:val="none"/>
              </w:rPr>
            </w:pPr>
          </w:p>
        </w:tc>
        <w:tc>
          <w:tcPr>
            <w:tcW w:w="986" w:type="dxa"/>
            <w:vMerge w:val="continue"/>
            <w:tcBorders>
              <w:right w:val="single" w:color="auto" w:sz="4" w:space="0"/>
            </w:tcBorders>
            <w:vAlign w:val="center"/>
          </w:tcPr>
          <w:p w14:paraId="76329A4B">
            <w:pPr>
              <w:keepNext/>
              <w:keepLines/>
              <w:spacing w:line="400" w:lineRule="exact"/>
              <w:jc w:val="center"/>
              <w:outlineLvl w:val="2"/>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4811641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449" w:type="dxa"/>
            <w:tcBorders>
              <w:top w:val="single" w:color="auto" w:sz="4" w:space="0"/>
              <w:left w:val="single" w:color="auto" w:sz="4" w:space="0"/>
              <w:bottom w:val="single" w:color="auto" w:sz="4" w:space="0"/>
            </w:tcBorders>
            <w:vAlign w:val="center"/>
          </w:tcPr>
          <w:p w14:paraId="086A0915">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符合第五章“投标文件格式”</w:t>
            </w:r>
            <w:r>
              <w:rPr>
                <w:rFonts w:hint="eastAsia" w:ascii="宋体" w:hAnsi="宋体" w:eastAsia="宋体" w:cs="宋体"/>
                <w:b/>
                <w:bCs/>
                <w:color w:val="auto"/>
                <w:szCs w:val="21"/>
                <w:highlight w:val="none"/>
              </w:rPr>
              <w:t>投标函、投标函附录</w:t>
            </w:r>
            <w:r>
              <w:rPr>
                <w:rFonts w:hint="eastAsia" w:ascii="宋体" w:hAnsi="宋体" w:eastAsia="宋体" w:cs="宋体"/>
                <w:color w:val="auto"/>
                <w:szCs w:val="21"/>
                <w:highlight w:val="none"/>
              </w:rPr>
              <w:t>的规定</w:t>
            </w:r>
            <w:r>
              <w:rPr>
                <w:rFonts w:hint="eastAsia" w:ascii="宋体" w:hAnsi="宋体" w:eastAsia="宋体" w:cs="宋体"/>
                <w:color w:val="auto"/>
                <w:szCs w:val="21"/>
                <w:highlight w:val="none"/>
                <w:lang w:eastAsia="zh-CN"/>
              </w:rPr>
              <w:t>。</w:t>
            </w:r>
          </w:p>
        </w:tc>
      </w:tr>
      <w:tr w14:paraId="129F1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top w:val="nil"/>
              <w:bottom w:val="single" w:color="auto" w:sz="4" w:space="0"/>
              <w:right w:val="single" w:color="auto" w:sz="4" w:space="0"/>
            </w:tcBorders>
            <w:vAlign w:val="center"/>
          </w:tcPr>
          <w:p w14:paraId="423CBEA5">
            <w:pPr>
              <w:keepNext/>
              <w:keepLines/>
              <w:spacing w:line="400" w:lineRule="exact"/>
              <w:jc w:val="center"/>
              <w:outlineLvl w:val="2"/>
              <w:rPr>
                <w:rFonts w:hint="eastAsia" w:ascii="宋体" w:hAnsi="宋体" w:eastAsia="宋体" w:cs="宋体"/>
                <w:color w:val="auto"/>
                <w:szCs w:val="21"/>
                <w:highlight w:val="none"/>
              </w:rPr>
            </w:pPr>
          </w:p>
        </w:tc>
        <w:tc>
          <w:tcPr>
            <w:tcW w:w="986" w:type="dxa"/>
            <w:vMerge w:val="continue"/>
            <w:tcBorders>
              <w:right w:val="single" w:color="auto" w:sz="4" w:space="0"/>
            </w:tcBorders>
            <w:vAlign w:val="center"/>
          </w:tcPr>
          <w:p w14:paraId="3B1FFC0E">
            <w:pPr>
              <w:keepNext/>
              <w:keepLines/>
              <w:spacing w:line="400" w:lineRule="exact"/>
              <w:jc w:val="center"/>
              <w:outlineLvl w:val="2"/>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437F96F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备选投标方案</w:t>
            </w:r>
          </w:p>
        </w:tc>
        <w:tc>
          <w:tcPr>
            <w:tcW w:w="5449" w:type="dxa"/>
            <w:tcBorders>
              <w:top w:val="single" w:color="auto" w:sz="4" w:space="0"/>
              <w:left w:val="single" w:color="auto" w:sz="4" w:space="0"/>
              <w:bottom w:val="single" w:color="auto" w:sz="4" w:space="0"/>
            </w:tcBorders>
            <w:vAlign w:val="center"/>
          </w:tcPr>
          <w:p w14:paraId="5A24FBF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投标人不得提交备选投标方案。</w:t>
            </w:r>
          </w:p>
        </w:tc>
      </w:tr>
      <w:tr w14:paraId="46ED9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top w:val="nil"/>
              <w:bottom w:val="single" w:color="auto" w:sz="4" w:space="0"/>
              <w:right w:val="single" w:color="auto" w:sz="4" w:space="0"/>
            </w:tcBorders>
            <w:vAlign w:val="center"/>
          </w:tcPr>
          <w:p w14:paraId="1420724C">
            <w:pPr>
              <w:keepNext/>
              <w:keepLines/>
              <w:spacing w:line="400" w:lineRule="exact"/>
              <w:jc w:val="center"/>
              <w:outlineLvl w:val="2"/>
              <w:rPr>
                <w:rFonts w:hint="eastAsia" w:ascii="宋体" w:hAnsi="宋体" w:eastAsia="宋体" w:cs="宋体"/>
                <w:color w:val="auto"/>
                <w:szCs w:val="21"/>
                <w:highlight w:val="none"/>
              </w:rPr>
            </w:pPr>
          </w:p>
        </w:tc>
        <w:tc>
          <w:tcPr>
            <w:tcW w:w="986" w:type="dxa"/>
            <w:vMerge w:val="continue"/>
            <w:tcBorders>
              <w:right w:val="single" w:color="auto" w:sz="4" w:space="0"/>
            </w:tcBorders>
            <w:vAlign w:val="center"/>
          </w:tcPr>
          <w:p w14:paraId="710BC39B">
            <w:pPr>
              <w:keepNext/>
              <w:keepLines/>
              <w:spacing w:line="400" w:lineRule="exact"/>
              <w:jc w:val="center"/>
              <w:outlineLvl w:val="2"/>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0EDCB1F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投标人加密打包投标文件电脑机器特征码</w:t>
            </w:r>
          </w:p>
        </w:tc>
        <w:tc>
          <w:tcPr>
            <w:tcW w:w="5449" w:type="dxa"/>
            <w:tcBorders>
              <w:top w:val="single" w:color="auto" w:sz="4" w:space="0"/>
              <w:left w:val="single" w:color="auto" w:sz="4" w:space="0"/>
              <w:bottom w:val="single" w:color="auto" w:sz="4" w:space="0"/>
            </w:tcBorders>
            <w:vAlign w:val="center"/>
          </w:tcPr>
          <w:p w14:paraId="2F80F3F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投标人与其他投标人加密打包投标文件电脑机器特征码一致的（以广州交易集团有限公司（广州公共资源交易中心）评标系统的检索信息为准）将被否决。</w:t>
            </w:r>
          </w:p>
        </w:tc>
      </w:tr>
      <w:tr w14:paraId="09E95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41" w:type="dxa"/>
            <w:vMerge w:val="restart"/>
            <w:tcBorders>
              <w:top w:val="single" w:color="auto" w:sz="4" w:space="0"/>
              <w:bottom w:val="single" w:color="auto" w:sz="4" w:space="0"/>
              <w:right w:val="single" w:color="auto" w:sz="4" w:space="0"/>
            </w:tcBorders>
            <w:vAlign w:val="center"/>
          </w:tcPr>
          <w:p w14:paraId="5171AAC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5CCA779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630" w:type="dxa"/>
            <w:tcBorders>
              <w:top w:val="single" w:color="auto" w:sz="4" w:space="0"/>
              <w:left w:val="single" w:color="auto" w:sz="4" w:space="0"/>
              <w:bottom w:val="single" w:color="auto" w:sz="4" w:space="0"/>
              <w:right w:val="single" w:color="auto" w:sz="4" w:space="0"/>
            </w:tcBorders>
            <w:vAlign w:val="center"/>
          </w:tcPr>
          <w:p w14:paraId="5111B7A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营业执照和组织机构代码证</w:t>
            </w:r>
          </w:p>
        </w:tc>
        <w:tc>
          <w:tcPr>
            <w:tcW w:w="5449" w:type="dxa"/>
            <w:tcBorders>
              <w:top w:val="single" w:color="auto" w:sz="4" w:space="0"/>
              <w:left w:val="single" w:color="auto" w:sz="4" w:space="0"/>
              <w:bottom w:val="single" w:color="auto" w:sz="4" w:space="0"/>
            </w:tcBorders>
            <w:vAlign w:val="center"/>
          </w:tcPr>
          <w:p w14:paraId="4CCFD51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符合第二章“投标人须知”第3.5.1项规定，具备有效的营业执照和组织机构代码证。按照“三证合一”或“五证合一”登记制度进行登记的投标人，可仅提供营业执照扫描件。</w:t>
            </w:r>
          </w:p>
        </w:tc>
      </w:tr>
      <w:tr w14:paraId="5B61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right w:val="single" w:color="auto" w:sz="4" w:space="0"/>
            </w:tcBorders>
            <w:vAlign w:val="center"/>
          </w:tcPr>
          <w:p w14:paraId="5E300E18">
            <w:pPr>
              <w:spacing w:line="400" w:lineRule="exact"/>
              <w:jc w:val="center"/>
              <w:rPr>
                <w:rFonts w:hint="eastAsia" w:ascii="宋体" w:hAnsi="宋体" w:eastAsia="宋体" w:cs="宋体"/>
                <w:color w:val="auto"/>
                <w:szCs w:val="21"/>
                <w:highlight w:val="none"/>
              </w:rPr>
            </w:pPr>
          </w:p>
        </w:tc>
        <w:tc>
          <w:tcPr>
            <w:tcW w:w="986" w:type="dxa"/>
            <w:vMerge w:val="continue"/>
            <w:tcBorders>
              <w:left w:val="single" w:color="auto" w:sz="4" w:space="0"/>
              <w:right w:val="single" w:color="auto" w:sz="4" w:space="0"/>
            </w:tcBorders>
            <w:vAlign w:val="center"/>
          </w:tcPr>
          <w:p w14:paraId="3DAEF5E1">
            <w:pPr>
              <w:spacing w:line="400" w:lineRule="exact"/>
              <w:jc w:val="center"/>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261780B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资质要求</w:t>
            </w:r>
          </w:p>
        </w:tc>
        <w:tc>
          <w:tcPr>
            <w:tcW w:w="5449" w:type="dxa"/>
            <w:tcBorders>
              <w:top w:val="single" w:color="auto" w:sz="4" w:space="0"/>
              <w:left w:val="single" w:color="auto" w:sz="4" w:space="0"/>
              <w:bottom w:val="single" w:color="auto" w:sz="4" w:space="0"/>
            </w:tcBorders>
            <w:vAlign w:val="center"/>
          </w:tcPr>
          <w:p w14:paraId="06AD28E8">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符合第二章“投标人须知”第1.4.1项规定</w:t>
            </w:r>
            <w:r>
              <w:rPr>
                <w:rFonts w:hint="eastAsia" w:ascii="宋体" w:hAnsi="宋体" w:eastAsia="宋体" w:cs="宋体"/>
                <w:color w:val="auto"/>
                <w:szCs w:val="21"/>
                <w:highlight w:val="none"/>
                <w:lang w:eastAsia="zh-CN"/>
              </w:rPr>
              <w:t>。</w:t>
            </w:r>
          </w:p>
        </w:tc>
      </w:tr>
      <w:tr w14:paraId="0144D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right w:val="single" w:color="auto" w:sz="4" w:space="0"/>
            </w:tcBorders>
            <w:vAlign w:val="center"/>
          </w:tcPr>
          <w:p w14:paraId="4D051565">
            <w:pPr>
              <w:spacing w:line="400" w:lineRule="exact"/>
              <w:jc w:val="center"/>
              <w:rPr>
                <w:rFonts w:hint="eastAsia" w:ascii="宋体" w:hAnsi="宋体" w:eastAsia="宋体" w:cs="宋体"/>
                <w:color w:val="auto"/>
                <w:szCs w:val="21"/>
                <w:highlight w:val="none"/>
              </w:rPr>
            </w:pPr>
          </w:p>
        </w:tc>
        <w:tc>
          <w:tcPr>
            <w:tcW w:w="986" w:type="dxa"/>
            <w:vMerge w:val="continue"/>
            <w:tcBorders>
              <w:left w:val="single" w:color="auto" w:sz="4" w:space="0"/>
              <w:right w:val="single" w:color="auto" w:sz="4" w:space="0"/>
            </w:tcBorders>
            <w:vAlign w:val="center"/>
          </w:tcPr>
          <w:p w14:paraId="375BE670">
            <w:pPr>
              <w:spacing w:line="400" w:lineRule="exact"/>
              <w:jc w:val="center"/>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7F98E3B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5449" w:type="dxa"/>
            <w:tcBorders>
              <w:top w:val="single" w:color="auto" w:sz="4" w:space="0"/>
              <w:left w:val="single" w:color="auto" w:sz="4" w:space="0"/>
              <w:bottom w:val="single" w:color="auto" w:sz="4" w:space="0"/>
            </w:tcBorders>
            <w:vAlign w:val="center"/>
          </w:tcPr>
          <w:p w14:paraId="53A37396">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符合第二章“投标人须知”第1.4.1项规定</w:t>
            </w:r>
            <w:r>
              <w:rPr>
                <w:rFonts w:hint="eastAsia" w:ascii="宋体" w:hAnsi="宋体" w:eastAsia="宋体" w:cs="宋体"/>
                <w:color w:val="auto"/>
                <w:szCs w:val="21"/>
                <w:highlight w:val="none"/>
                <w:lang w:eastAsia="zh-CN"/>
              </w:rPr>
              <w:t>。</w:t>
            </w:r>
          </w:p>
        </w:tc>
      </w:tr>
      <w:tr w14:paraId="7AEBE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right w:val="single" w:color="auto" w:sz="4" w:space="0"/>
            </w:tcBorders>
            <w:vAlign w:val="center"/>
          </w:tcPr>
          <w:p w14:paraId="70FCB2EA">
            <w:pPr>
              <w:spacing w:line="400" w:lineRule="exact"/>
              <w:jc w:val="center"/>
              <w:rPr>
                <w:rFonts w:hint="eastAsia" w:ascii="宋体" w:hAnsi="宋体" w:eastAsia="宋体" w:cs="宋体"/>
                <w:color w:val="auto"/>
                <w:szCs w:val="21"/>
                <w:highlight w:val="none"/>
              </w:rPr>
            </w:pPr>
          </w:p>
        </w:tc>
        <w:tc>
          <w:tcPr>
            <w:tcW w:w="986" w:type="dxa"/>
            <w:vMerge w:val="continue"/>
            <w:tcBorders>
              <w:left w:val="single" w:color="auto" w:sz="4" w:space="0"/>
              <w:right w:val="single" w:color="auto" w:sz="4" w:space="0"/>
            </w:tcBorders>
            <w:vAlign w:val="center"/>
          </w:tcPr>
          <w:p w14:paraId="13F3F596">
            <w:pPr>
              <w:spacing w:line="400" w:lineRule="exact"/>
              <w:jc w:val="center"/>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3E9BD5D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联合体投标人</w:t>
            </w:r>
          </w:p>
        </w:tc>
        <w:tc>
          <w:tcPr>
            <w:tcW w:w="5449" w:type="dxa"/>
            <w:tcBorders>
              <w:top w:val="single" w:color="auto" w:sz="4" w:space="0"/>
              <w:left w:val="single" w:color="auto" w:sz="4" w:space="0"/>
              <w:bottom w:val="single" w:color="auto" w:sz="4" w:space="0"/>
            </w:tcBorders>
            <w:vAlign w:val="center"/>
          </w:tcPr>
          <w:p w14:paraId="37A9C3D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不接受联合体投标。</w:t>
            </w:r>
          </w:p>
        </w:tc>
      </w:tr>
      <w:tr w14:paraId="0530F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right w:val="single" w:color="auto" w:sz="4" w:space="0"/>
            </w:tcBorders>
            <w:vAlign w:val="center"/>
          </w:tcPr>
          <w:p w14:paraId="2F29F0D4">
            <w:pPr>
              <w:spacing w:line="400" w:lineRule="exact"/>
              <w:jc w:val="center"/>
              <w:rPr>
                <w:rFonts w:hint="eastAsia" w:ascii="宋体" w:hAnsi="宋体" w:eastAsia="宋体" w:cs="宋体"/>
                <w:color w:val="auto"/>
                <w:szCs w:val="21"/>
                <w:highlight w:val="none"/>
              </w:rPr>
            </w:pPr>
          </w:p>
        </w:tc>
        <w:tc>
          <w:tcPr>
            <w:tcW w:w="986" w:type="dxa"/>
            <w:vMerge w:val="continue"/>
            <w:tcBorders>
              <w:left w:val="single" w:color="auto" w:sz="4" w:space="0"/>
              <w:right w:val="single" w:color="auto" w:sz="4" w:space="0"/>
            </w:tcBorders>
            <w:vAlign w:val="center"/>
          </w:tcPr>
          <w:p w14:paraId="74AAE54F">
            <w:pPr>
              <w:spacing w:line="400" w:lineRule="exact"/>
              <w:jc w:val="center"/>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2B012CA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不存在禁止投标的情形</w:t>
            </w:r>
          </w:p>
        </w:tc>
        <w:tc>
          <w:tcPr>
            <w:tcW w:w="5449" w:type="dxa"/>
            <w:tcBorders>
              <w:top w:val="single" w:color="auto" w:sz="4" w:space="0"/>
              <w:left w:val="single" w:color="auto" w:sz="4" w:space="0"/>
              <w:bottom w:val="single" w:color="auto" w:sz="4" w:space="0"/>
            </w:tcBorders>
            <w:vAlign w:val="center"/>
          </w:tcPr>
          <w:p w14:paraId="4E9031D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不存在第二章“投标人须知”第1.4.3项规定的任何一种情形（以投标函中的声明为评审依据）。</w:t>
            </w:r>
          </w:p>
        </w:tc>
      </w:tr>
      <w:tr w14:paraId="44841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right w:val="single" w:color="auto" w:sz="4" w:space="0"/>
            </w:tcBorders>
            <w:vAlign w:val="center"/>
          </w:tcPr>
          <w:p w14:paraId="67569D4A">
            <w:pPr>
              <w:spacing w:line="400" w:lineRule="exact"/>
              <w:jc w:val="center"/>
              <w:rPr>
                <w:rFonts w:hint="eastAsia" w:ascii="宋体" w:hAnsi="宋体" w:eastAsia="宋体" w:cs="宋体"/>
                <w:color w:val="auto"/>
                <w:szCs w:val="21"/>
                <w:highlight w:val="none"/>
              </w:rPr>
            </w:pPr>
          </w:p>
        </w:tc>
        <w:tc>
          <w:tcPr>
            <w:tcW w:w="986" w:type="dxa"/>
            <w:vMerge w:val="continue"/>
            <w:tcBorders>
              <w:left w:val="single" w:color="auto" w:sz="4" w:space="0"/>
              <w:right w:val="single" w:color="auto" w:sz="4" w:space="0"/>
            </w:tcBorders>
            <w:vAlign w:val="center"/>
          </w:tcPr>
          <w:p w14:paraId="1452430E">
            <w:pPr>
              <w:spacing w:line="400" w:lineRule="exact"/>
              <w:jc w:val="center"/>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1FB2465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未被列入拖欠农民工工资失信联合惩戒对象名单</w:t>
            </w:r>
          </w:p>
        </w:tc>
        <w:tc>
          <w:tcPr>
            <w:tcW w:w="5449" w:type="dxa"/>
            <w:tcBorders>
              <w:top w:val="single" w:color="auto" w:sz="4" w:space="0"/>
              <w:left w:val="single" w:color="auto" w:sz="4" w:space="0"/>
              <w:bottom w:val="single" w:color="auto" w:sz="4" w:space="0"/>
            </w:tcBorders>
            <w:vAlign w:val="center"/>
          </w:tcPr>
          <w:p w14:paraId="5B1C32F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投标人无需提供资料，按交易系统比对的结果进行评审。</w:t>
            </w:r>
          </w:p>
        </w:tc>
      </w:tr>
      <w:tr w14:paraId="5D4D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41" w:type="dxa"/>
            <w:vMerge w:val="restart"/>
            <w:tcBorders>
              <w:top w:val="single" w:color="auto" w:sz="4" w:space="0"/>
              <w:right w:val="single" w:color="auto" w:sz="4" w:space="0"/>
            </w:tcBorders>
            <w:vAlign w:val="center"/>
          </w:tcPr>
          <w:p w14:paraId="31BBB67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986" w:type="dxa"/>
            <w:vMerge w:val="restart"/>
            <w:tcBorders>
              <w:top w:val="single" w:color="auto" w:sz="4" w:space="0"/>
              <w:left w:val="single" w:color="auto" w:sz="4" w:space="0"/>
              <w:right w:val="single" w:color="auto" w:sz="4" w:space="0"/>
            </w:tcBorders>
            <w:vAlign w:val="center"/>
          </w:tcPr>
          <w:p w14:paraId="5721006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响应性评审标准</w:t>
            </w:r>
          </w:p>
        </w:tc>
        <w:tc>
          <w:tcPr>
            <w:tcW w:w="1630" w:type="dxa"/>
            <w:tcBorders>
              <w:top w:val="single" w:color="auto" w:sz="4" w:space="0"/>
              <w:left w:val="single" w:color="auto" w:sz="4" w:space="0"/>
              <w:bottom w:val="single" w:color="auto" w:sz="4" w:space="0"/>
              <w:right w:val="single" w:color="auto" w:sz="4" w:space="0"/>
            </w:tcBorders>
            <w:vAlign w:val="center"/>
          </w:tcPr>
          <w:p w14:paraId="6660C66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449" w:type="dxa"/>
            <w:tcBorders>
              <w:top w:val="single" w:color="auto" w:sz="4" w:space="0"/>
              <w:left w:val="single" w:color="auto" w:sz="4" w:space="0"/>
              <w:bottom w:val="single" w:color="auto" w:sz="4" w:space="0"/>
            </w:tcBorders>
            <w:vAlign w:val="center"/>
          </w:tcPr>
          <w:p w14:paraId="07292FD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符合第二章“投标人须知”第3.2款规定进行投标报价的；对同一招标项目没有出现两个或以上的投标报价，且修正无依据；投标人以低于成本报价竞标的。</w:t>
            </w:r>
          </w:p>
        </w:tc>
      </w:tr>
      <w:tr w14:paraId="77CE6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right w:val="single" w:color="auto" w:sz="4" w:space="0"/>
            </w:tcBorders>
            <w:vAlign w:val="center"/>
          </w:tcPr>
          <w:p w14:paraId="4C2535F7">
            <w:pPr>
              <w:keepNext/>
              <w:keepLines/>
              <w:spacing w:line="400" w:lineRule="exact"/>
              <w:jc w:val="center"/>
              <w:outlineLvl w:val="2"/>
              <w:rPr>
                <w:rFonts w:hint="eastAsia" w:ascii="宋体" w:hAnsi="宋体" w:eastAsia="宋体" w:cs="宋体"/>
                <w:color w:val="auto"/>
                <w:szCs w:val="21"/>
                <w:highlight w:val="none"/>
              </w:rPr>
            </w:pPr>
          </w:p>
        </w:tc>
        <w:tc>
          <w:tcPr>
            <w:tcW w:w="986" w:type="dxa"/>
            <w:vMerge w:val="continue"/>
            <w:tcBorders>
              <w:left w:val="single" w:color="auto" w:sz="4" w:space="0"/>
              <w:right w:val="single" w:color="auto" w:sz="4" w:space="0"/>
            </w:tcBorders>
            <w:vAlign w:val="center"/>
          </w:tcPr>
          <w:p w14:paraId="2BE3D0D2">
            <w:pPr>
              <w:keepNext/>
              <w:keepLines/>
              <w:spacing w:line="400" w:lineRule="exact"/>
              <w:jc w:val="center"/>
              <w:outlineLvl w:val="2"/>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27CBCDE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449" w:type="dxa"/>
            <w:tcBorders>
              <w:top w:val="single" w:color="auto" w:sz="4" w:space="0"/>
              <w:left w:val="single" w:color="auto" w:sz="4" w:space="0"/>
              <w:bottom w:val="single" w:color="auto" w:sz="4" w:space="0"/>
            </w:tcBorders>
            <w:vAlign w:val="center"/>
          </w:tcPr>
          <w:p w14:paraId="04757672">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投标文件格式规定（格式规定详见第五章投标文件格式中投标函、</w:t>
            </w:r>
            <w:r>
              <w:rPr>
                <w:rFonts w:hint="eastAsia" w:ascii="宋体" w:hAnsi="宋体" w:eastAsia="宋体" w:cs="宋体"/>
                <w:color w:val="auto"/>
                <w:szCs w:val="21"/>
                <w:highlight w:val="none"/>
                <w:lang w:val="en-US" w:eastAsia="zh-CN"/>
              </w:rPr>
              <w:t>投标函附录</w:t>
            </w:r>
            <w:r>
              <w:rPr>
                <w:rFonts w:hint="eastAsia" w:ascii="宋体" w:hAnsi="宋体" w:eastAsia="宋体" w:cs="宋体"/>
                <w:color w:val="auto"/>
                <w:szCs w:val="21"/>
                <w:highlight w:val="none"/>
              </w:rPr>
              <w:t>）的格式填写，内容齐全或关键字迹清晰、容易辩认</w:t>
            </w:r>
            <w:r>
              <w:rPr>
                <w:rFonts w:hint="eastAsia" w:ascii="宋体" w:hAnsi="宋体" w:eastAsia="宋体" w:cs="宋体"/>
                <w:color w:val="auto"/>
                <w:szCs w:val="21"/>
                <w:highlight w:val="none"/>
                <w:lang w:eastAsia="zh-CN"/>
              </w:rPr>
              <w:t>。</w:t>
            </w:r>
          </w:p>
        </w:tc>
      </w:tr>
      <w:tr w14:paraId="34A1A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 w:hRule="atLeast"/>
        </w:trPr>
        <w:tc>
          <w:tcPr>
            <w:tcW w:w="941" w:type="dxa"/>
            <w:vMerge w:val="continue"/>
            <w:tcBorders>
              <w:right w:val="single" w:color="auto" w:sz="4" w:space="0"/>
            </w:tcBorders>
            <w:vAlign w:val="center"/>
          </w:tcPr>
          <w:p w14:paraId="5D19891F">
            <w:pPr>
              <w:spacing w:line="400" w:lineRule="exact"/>
              <w:jc w:val="center"/>
              <w:rPr>
                <w:rFonts w:hint="eastAsia" w:ascii="宋体" w:hAnsi="宋体" w:eastAsia="宋体" w:cs="宋体"/>
                <w:color w:val="auto"/>
                <w:szCs w:val="21"/>
                <w:highlight w:val="none"/>
              </w:rPr>
            </w:pPr>
          </w:p>
        </w:tc>
        <w:tc>
          <w:tcPr>
            <w:tcW w:w="986" w:type="dxa"/>
            <w:vMerge w:val="continue"/>
            <w:tcBorders>
              <w:left w:val="single" w:color="auto" w:sz="4" w:space="0"/>
              <w:right w:val="single" w:color="auto" w:sz="4" w:space="0"/>
            </w:tcBorders>
            <w:vAlign w:val="center"/>
          </w:tcPr>
          <w:p w14:paraId="2FFC3805">
            <w:pPr>
              <w:spacing w:line="400" w:lineRule="exact"/>
              <w:jc w:val="center"/>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14:paraId="2149AEF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保险服务期限</w:t>
            </w:r>
          </w:p>
        </w:tc>
        <w:tc>
          <w:tcPr>
            <w:tcW w:w="5449" w:type="dxa"/>
            <w:tcBorders>
              <w:top w:val="single" w:color="auto" w:sz="4" w:space="0"/>
              <w:left w:val="single" w:color="auto" w:sz="4" w:space="0"/>
              <w:bottom w:val="single" w:color="auto" w:sz="4" w:space="0"/>
            </w:tcBorders>
            <w:vAlign w:val="center"/>
          </w:tcPr>
          <w:p w14:paraId="24D654B7">
            <w:pPr>
              <w:spacing w:line="4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符合第二章“投标人须知”第1.3.2项规定</w:t>
            </w:r>
            <w:r>
              <w:rPr>
                <w:rFonts w:hint="eastAsia" w:ascii="宋体" w:hAnsi="宋体" w:eastAsia="宋体" w:cs="宋体"/>
                <w:color w:val="auto"/>
                <w:szCs w:val="21"/>
                <w:highlight w:val="none"/>
                <w:lang w:eastAsia="zh-CN"/>
              </w:rPr>
              <w:t>。</w:t>
            </w:r>
          </w:p>
        </w:tc>
      </w:tr>
      <w:tr w14:paraId="0A22A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941" w:type="dxa"/>
            <w:vMerge w:val="continue"/>
            <w:tcBorders>
              <w:right w:val="single" w:color="auto" w:sz="4" w:space="0"/>
            </w:tcBorders>
            <w:vAlign w:val="center"/>
          </w:tcPr>
          <w:p w14:paraId="0927A486">
            <w:pPr>
              <w:spacing w:line="400" w:lineRule="exact"/>
              <w:rPr>
                <w:rFonts w:hint="eastAsia" w:ascii="宋体" w:hAnsi="宋体" w:eastAsia="宋体" w:cs="宋体"/>
                <w:color w:val="auto"/>
                <w:szCs w:val="21"/>
                <w:highlight w:val="none"/>
              </w:rPr>
            </w:pPr>
          </w:p>
        </w:tc>
        <w:tc>
          <w:tcPr>
            <w:tcW w:w="986" w:type="dxa"/>
            <w:vMerge w:val="continue"/>
            <w:tcBorders>
              <w:left w:val="single" w:color="auto" w:sz="4" w:space="0"/>
              <w:right w:val="single" w:color="auto" w:sz="4" w:space="0"/>
            </w:tcBorders>
            <w:vAlign w:val="center"/>
          </w:tcPr>
          <w:p w14:paraId="37DEAC55">
            <w:pPr>
              <w:spacing w:line="400" w:lineRule="exact"/>
              <w:rPr>
                <w:rFonts w:hint="eastAsia" w:ascii="宋体" w:hAnsi="宋体" w:eastAsia="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E21D0C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449" w:type="dxa"/>
            <w:tcBorders>
              <w:top w:val="single" w:color="auto" w:sz="4" w:space="0"/>
              <w:left w:val="single" w:color="auto" w:sz="4" w:space="0"/>
              <w:bottom w:val="single" w:color="auto" w:sz="4" w:space="0"/>
            </w:tcBorders>
          </w:tcPr>
          <w:p w14:paraId="7875E661">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符合第二章“投标人须知”第3.3.1项规定</w:t>
            </w:r>
            <w:r>
              <w:rPr>
                <w:rFonts w:hint="eastAsia" w:ascii="宋体" w:hAnsi="宋体" w:eastAsia="宋体" w:cs="宋体"/>
                <w:color w:val="auto"/>
                <w:szCs w:val="21"/>
                <w:highlight w:val="none"/>
                <w:lang w:eastAsia="zh-CN"/>
              </w:rPr>
              <w:t>。</w:t>
            </w:r>
          </w:p>
        </w:tc>
      </w:tr>
      <w:tr w14:paraId="6F149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941" w:type="dxa"/>
            <w:vMerge w:val="continue"/>
            <w:tcBorders>
              <w:right w:val="single" w:color="auto" w:sz="4" w:space="0"/>
            </w:tcBorders>
            <w:vAlign w:val="center"/>
          </w:tcPr>
          <w:p w14:paraId="21105F7F">
            <w:pPr>
              <w:keepNext/>
              <w:keepLines/>
              <w:spacing w:line="400" w:lineRule="exact"/>
              <w:jc w:val="center"/>
              <w:outlineLvl w:val="2"/>
              <w:rPr>
                <w:rFonts w:hint="eastAsia" w:ascii="宋体" w:hAnsi="宋体" w:eastAsia="宋体" w:cs="宋体"/>
                <w:color w:val="auto"/>
                <w:szCs w:val="21"/>
                <w:highlight w:val="none"/>
              </w:rPr>
            </w:pPr>
          </w:p>
        </w:tc>
        <w:tc>
          <w:tcPr>
            <w:tcW w:w="986" w:type="dxa"/>
            <w:vMerge w:val="continue"/>
            <w:tcBorders>
              <w:left w:val="single" w:color="auto" w:sz="4" w:space="0"/>
              <w:right w:val="single" w:color="auto" w:sz="4" w:space="0"/>
            </w:tcBorders>
            <w:vAlign w:val="center"/>
          </w:tcPr>
          <w:p w14:paraId="386842F5">
            <w:pPr>
              <w:keepNext/>
              <w:keepLines/>
              <w:spacing w:line="400" w:lineRule="exact"/>
              <w:jc w:val="center"/>
              <w:outlineLvl w:val="2"/>
              <w:rPr>
                <w:rFonts w:hint="eastAsia" w:ascii="宋体" w:hAnsi="宋体" w:eastAsia="宋体" w:cs="宋体"/>
                <w:color w:val="auto"/>
                <w:szCs w:val="21"/>
                <w:highlight w:val="none"/>
              </w:rPr>
            </w:pPr>
          </w:p>
        </w:tc>
        <w:tc>
          <w:tcPr>
            <w:tcW w:w="1630" w:type="dxa"/>
            <w:tcBorders>
              <w:top w:val="single" w:color="auto" w:sz="4" w:space="0"/>
              <w:left w:val="single" w:color="auto" w:sz="4" w:space="0"/>
              <w:right w:val="single" w:color="auto" w:sz="4" w:space="0"/>
            </w:tcBorders>
          </w:tcPr>
          <w:p w14:paraId="5C5EC2B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串通投标情形</w:t>
            </w:r>
          </w:p>
        </w:tc>
        <w:tc>
          <w:tcPr>
            <w:tcW w:w="5449" w:type="dxa"/>
            <w:tcBorders>
              <w:top w:val="single" w:color="auto" w:sz="4" w:space="0"/>
              <w:left w:val="single" w:color="auto" w:sz="4" w:space="0"/>
            </w:tcBorders>
          </w:tcPr>
          <w:p w14:paraId="067C7C36">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不存在串通投标情形（串通投标情形以《中华人民共和国招标投标法实施条例》的规定为准）。</w:t>
            </w:r>
          </w:p>
        </w:tc>
      </w:tr>
      <w:tr w14:paraId="26CAA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941" w:type="dxa"/>
            <w:vMerge w:val="continue"/>
            <w:tcBorders>
              <w:bottom w:val="single" w:color="auto" w:sz="4" w:space="0"/>
              <w:right w:val="single" w:color="auto" w:sz="4" w:space="0"/>
            </w:tcBorders>
            <w:vAlign w:val="center"/>
          </w:tcPr>
          <w:p w14:paraId="5E8C2D8F">
            <w:pPr>
              <w:keepNext/>
              <w:keepLines/>
              <w:spacing w:line="400" w:lineRule="exact"/>
              <w:jc w:val="center"/>
              <w:outlineLvl w:val="2"/>
              <w:rPr>
                <w:rFonts w:hint="eastAsia" w:ascii="宋体" w:hAnsi="宋体" w:eastAsia="宋体" w:cs="宋体"/>
                <w:color w:val="auto"/>
                <w:szCs w:val="21"/>
                <w:highlight w:val="none"/>
              </w:rPr>
            </w:pPr>
          </w:p>
        </w:tc>
        <w:tc>
          <w:tcPr>
            <w:tcW w:w="986" w:type="dxa"/>
            <w:vMerge w:val="continue"/>
            <w:tcBorders>
              <w:left w:val="single" w:color="auto" w:sz="4" w:space="0"/>
              <w:bottom w:val="single" w:color="auto" w:sz="4" w:space="0"/>
              <w:right w:val="single" w:color="auto" w:sz="4" w:space="0"/>
            </w:tcBorders>
            <w:vAlign w:val="center"/>
          </w:tcPr>
          <w:p w14:paraId="6196019A">
            <w:pPr>
              <w:keepNext/>
              <w:keepLines/>
              <w:spacing w:line="400" w:lineRule="exact"/>
              <w:jc w:val="center"/>
              <w:outlineLvl w:val="2"/>
              <w:rPr>
                <w:rFonts w:hint="eastAsia" w:ascii="宋体" w:hAnsi="宋体" w:eastAsia="宋体" w:cs="宋体"/>
                <w:color w:val="auto"/>
                <w:szCs w:val="21"/>
                <w:highlight w:val="none"/>
              </w:rPr>
            </w:pPr>
          </w:p>
        </w:tc>
        <w:tc>
          <w:tcPr>
            <w:tcW w:w="1630" w:type="dxa"/>
            <w:tcBorders>
              <w:top w:val="single" w:color="auto" w:sz="4" w:space="0"/>
              <w:left w:val="single" w:color="auto" w:sz="4" w:space="0"/>
              <w:right w:val="single" w:color="auto" w:sz="4" w:space="0"/>
            </w:tcBorders>
          </w:tcPr>
          <w:p w14:paraId="48852B9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5449" w:type="dxa"/>
            <w:tcBorders>
              <w:top w:val="single" w:color="auto" w:sz="4" w:space="0"/>
              <w:left w:val="single" w:color="auto" w:sz="4" w:space="0"/>
            </w:tcBorders>
          </w:tcPr>
          <w:p w14:paraId="60092E49">
            <w:pPr>
              <w:spacing w:line="4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符合第三章“评标方法”第3.1.2项规定</w:t>
            </w:r>
            <w:r>
              <w:rPr>
                <w:rFonts w:hint="eastAsia" w:ascii="宋体" w:hAnsi="宋体" w:eastAsia="宋体" w:cs="宋体"/>
                <w:color w:val="auto"/>
                <w:szCs w:val="21"/>
                <w:highlight w:val="none"/>
                <w:lang w:eastAsia="zh-CN"/>
              </w:rPr>
              <w:t>。</w:t>
            </w:r>
          </w:p>
        </w:tc>
      </w:tr>
      <w:tr w14:paraId="7E73F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927" w:type="dxa"/>
            <w:gridSpan w:val="2"/>
            <w:tcBorders>
              <w:top w:val="single" w:color="auto" w:sz="4" w:space="0"/>
              <w:bottom w:val="single" w:color="auto" w:sz="4" w:space="0"/>
              <w:right w:val="single" w:color="auto" w:sz="4" w:space="0"/>
            </w:tcBorders>
            <w:vAlign w:val="center"/>
          </w:tcPr>
          <w:p w14:paraId="6DB28DB3">
            <w:pPr>
              <w:spacing w:line="400" w:lineRule="exact"/>
              <w:ind w:firstLine="211" w:firstLineChars="1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630" w:type="dxa"/>
            <w:tcBorders>
              <w:top w:val="single" w:color="auto" w:sz="4" w:space="0"/>
              <w:left w:val="single" w:color="auto" w:sz="4" w:space="0"/>
              <w:bottom w:val="single" w:color="auto" w:sz="4" w:space="0"/>
              <w:right w:val="single" w:color="auto" w:sz="4" w:space="0"/>
            </w:tcBorders>
            <w:vAlign w:val="center"/>
          </w:tcPr>
          <w:p w14:paraId="759E3292">
            <w:pPr>
              <w:spacing w:line="400" w:lineRule="exact"/>
              <w:ind w:firstLine="211" w:firstLineChars="1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5449" w:type="dxa"/>
            <w:tcBorders>
              <w:top w:val="single" w:color="auto" w:sz="4" w:space="0"/>
              <w:left w:val="single" w:color="auto" w:sz="4" w:space="0"/>
              <w:bottom w:val="single" w:color="auto" w:sz="4" w:space="0"/>
            </w:tcBorders>
            <w:vAlign w:val="center"/>
          </w:tcPr>
          <w:p w14:paraId="35989445">
            <w:pPr>
              <w:spacing w:line="400" w:lineRule="exact"/>
              <w:ind w:firstLine="211" w:firstLineChars="1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6609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trPr>
        <w:tc>
          <w:tcPr>
            <w:tcW w:w="1927" w:type="dxa"/>
            <w:gridSpan w:val="2"/>
            <w:tcBorders>
              <w:bottom w:val="single" w:color="auto" w:sz="4" w:space="0"/>
              <w:right w:val="single" w:color="auto" w:sz="4" w:space="0"/>
            </w:tcBorders>
            <w:vAlign w:val="center"/>
          </w:tcPr>
          <w:p w14:paraId="09BA31ED">
            <w:pPr>
              <w:spacing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630" w:type="dxa"/>
            <w:tcBorders>
              <w:top w:val="single" w:color="auto" w:sz="4" w:space="0"/>
              <w:left w:val="single" w:color="auto" w:sz="4" w:space="0"/>
              <w:bottom w:val="single" w:color="auto" w:sz="4" w:space="0"/>
              <w:right w:val="single" w:color="auto" w:sz="4" w:space="0"/>
            </w:tcBorders>
            <w:vAlign w:val="center"/>
          </w:tcPr>
          <w:p w14:paraId="5E2C052E">
            <w:pPr>
              <w:spacing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14:paraId="50556A91">
            <w:pPr>
              <w:spacing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5449" w:type="dxa"/>
            <w:tcBorders>
              <w:top w:val="single" w:color="auto" w:sz="4" w:space="0"/>
              <w:left w:val="single" w:color="auto" w:sz="4" w:space="0"/>
              <w:bottom w:val="single" w:color="auto" w:sz="4" w:space="0"/>
            </w:tcBorders>
            <w:vAlign w:val="center"/>
          </w:tcPr>
          <w:p w14:paraId="28F4E666">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1.资信业绩部分</w:t>
            </w:r>
            <w:r>
              <w:rPr>
                <w:rFonts w:hint="eastAsia" w:ascii="宋体" w:hAnsi="宋体" w:eastAsia="宋体" w:cs="宋体"/>
                <w:color w:val="auto"/>
                <w:szCs w:val="21"/>
                <w:highlight w:val="none"/>
                <w:u w:val="single"/>
              </w:rPr>
              <w:t>50</w:t>
            </w:r>
            <w:r>
              <w:rPr>
                <w:rFonts w:hint="eastAsia" w:ascii="宋体" w:hAnsi="宋体" w:eastAsia="宋体" w:cs="宋体"/>
                <w:color w:val="auto"/>
                <w:szCs w:val="21"/>
                <w:highlight w:val="none"/>
              </w:rPr>
              <w:t>分</w:t>
            </w:r>
          </w:p>
          <w:p w14:paraId="3776CD77">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2.服务方案部分：</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w:t>
            </w:r>
          </w:p>
          <w:p w14:paraId="0A714D8C">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rPr>
              <w:t>分</w:t>
            </w:r>
          </w:p>
          <w:p w14:paraId="05ABB566">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4.其他评分因素：</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tc>
      </w:tr>
      <w:tr w14:paraId="594DC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927" w:type="dxa"/>
            <w:gridSpan w:val="2"/>
            <w:tcBorders>
              <w:top w:val="single" w:color="auto" w:sz="4" w:space="0"/>
              <w:bottom w:val="single" w:color="auto" w:sz="4" w:space="0"/>
              <w:right w:val="single" w:color="auto" w:sz="4" w:space="0"/>
            </w:tcBorders>
            <w:vAlign w:val="center"/>
          </w:tcPr>
          <w:p w14:paraId="6E633F7E">
            <w:pPr>
              <w:spacing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630" w:type="dxa"/>
            <w:tcBorders>
              <w:top w:val="single" w:color="auto" w:sz="4" w:space="0"/>
              <w:left w:val="single" w:color="auto" w:sz="4" w:space="0"/>
              <w:bottom w:val="single" w:color="auto" w:sz="4" w:space="0"/>
              <w:right w:val="single" w:color="auto" w:sz="4" w:space="0"/>
            </w:tcBorders>
            <w:vAlign w:val="center"/>
          </w:tcPr>
          <w:p w14:paraId="3D09A06A">
            <w:pPr>
              <w:spacing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449" w:type="dxa"/>
            <w:tcBorders>
              <w:top w:val="single" w:color="auto" w:sz="4" w:space="0"/>
              <w:left w:val="single" w:color="auto" w:sz="4" w:space="0"/>
              <w:bottom w:val="single" w:color="auto" w:sz="4" w:space="0"/>
            </w:tcBorders>
            <w:vAlign w:val="center"/>
          </w:tcPr>
          <w:p w14:paraId="766DC0C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形式、资格、响应性评审且报价小于等于最高投标限价的投标报价为有效投标价。当在最高投标限价的[90%,100%]范围内的有效投保报价大于5个时，则在上述区间内的投标报价中去掉一个最高报价和一个最低报价，取余下的在上述区间内的有效投标报价计算算术平均值作为评标基准价。当在最高投标限价的[90%,100%]范围内的有效投标价少于或等于5个时，则上述区间内全部有效投标报价计算算术平均值作为评标基准价。若当在最高投标限价的[90%,100%]范围内的有效投标价为0个时，最高投标限价×90%为评标基准价。</w:t>
            </w:r>
          </w:p>
        </w:tc>
      </w:tr>
      <w:tr w14:paraId="3852E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1927" w:type="dxa"/>
            <w:gridSpan w:val="2"/>
            <w:tcBorders>
              <w:top w:val="single" w:color="auto" w:sz="4" w:space="0"/>
              <w:bottom w:val="single" w:color="auto" w:sz="4" w:space="0"/>
              <w:right w:val="single" w:color="auto" w:sz="4" w:space="0"/>
            </w:tcBorders>
            <w:vAlign w:val="center"/>
          </w:tcPr>
          <w:p w14:paraId="7E2E6D57">
            <w:pPr>
              <w:spacing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1630" w:type="dxa"/>
            <w:tcBorders>
              <w:top w:val="single" w:color="auto" w:sz="4" w:space="0"/>
              <w:left w:val="single" w:color="auto" w:sz="4" w:space="0"/>
              <w:bottom w:val="single" w:color="auto" w:sz="4" w:space="0"/>
              <w:right w:val="single" w:color="auto" w:sz="4" w:space="0"/>
            </w:tcBorders>
            <w:vAlign w:val="center"/>
          </w:tcPr>
          <w:p w14:paraId="47FB6626">
            <w:pPr>
              <w:spacing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14:paraId="7C71EC48">
            <w:pPr>
              <w:spacing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5449" w:type="dxa"/>
            <w:tcBorders>
              <w:top w:val="single" w:color="auto" w:sz="4" w:space="0"/>
              <w:left w:val="single" w:color="auto" w:sz="4" w:space="0"/>
              <w:bottom w:val="single" w:color="auto" w:sz="4" w:space="0"/>
            </w:tcBorders>
            <w:vAlign w:val="center"/>
          </w:tcPr>
          <w:p w14:paraId="42C85077">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偏差率=∣投标报价—评标基准价∣ / 评标基准价*100%</w:t>
            </w:r>
          </w:p>
          <w:p w14:paraId="0ABF7F78">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（偏差率四舍五入保留2位小数，报价偏差率不足1%的，按直线内插法计算投标报价得分）</w:t>
            </w:r>
          </w:p>
        </w:tc>
      </w:tr>
    </w:tbl>
    <w:p w14:paraId="2661D793">
      <w:pPr>
        <w:rPr>
          <w:rFonts w:hint="eastAsia" w:ascii="宋体" w:hAnsi="宋体" w:eastAsia="宋体" w:cs="宋体"/>
          <w:color w:val="auto"/>
          <w:highlight w:val="none"/>
        </w:rPr>
      </w:pPr>
    </w:p>
    <w:p w14:paraId="15D59641">
      <w:pPr>
        <w:rPr>
          <w:rFonts w:hint="eastAsia" w:ascii="宋体" w:hAnsi="宋体" w:eastAsia="宋体" w:cs="宋体"/>
          <w:color w:val="auto"/>
          <w:highlight w:val="none"/>
        </w:rPr>
      </w:pPr>
    </w:p>
    <w:tbl>
      <w:tblPr>
        <w:tblStyle w:val="20"/>
        <w:tblW w:w="902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5"/>
        <w:gridCol w:w="2381"/>
        <w:gridCol w:w="2410"/>
        <w:gridCol w:w="2925"/>
      </w:tblGrid>
      <w:tr w14:paraId="37116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86" w:type="dxa"/>
            <w:gridSpan w:val="2"/>
            <w:tcBorders>
              <w:top w:val="single" w:color="auto" w:sz="4" w:space="0"/>
              <w:bottom w:val="single" w:color="auto" w:sz="4" w:space="0"/>
              <w:right w:val="single" w:color="auto" w:sz="4" w:space="0"/>
            </w:tcBorders>
            <w:vAlign w:val="center"/>
          </w:tcPr>
          <w:p w14:paraId="2FE8E42A">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410" w:type="dxa"/>
            <w:tcBorders>
              <w:top w:val="single" w:color="auto" w:sz="4" w:space="0"/>
              <w:left w:val="single" w:color="auto" w:sz="4" w:space="0"/>
              <w:bottom w:val="single" w:color="auto" w:sz="4" w:space="0"/>
              <w:right w:val="single" w:color="auto" w:sz="4" w:space="0"/>
            </w:tcBorders>
            <w:vAlign w:val="center"/>
          </w:tcPr>
          <w:p w14:paraId="4BA7D1C8">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评分因素（偏差率）</w:t>
            </w:r>
          </w:p>
        </w:tc>
        <w:tc>
          <w:tcPr>
            <w:tcW w:w="2925" w:type="dxa"/>
            <w:tcBorders>
              <w:top w:val="single" w:color="auto" w:sz="4" w:space="0"/>
              <w:left w:val="single" w:color="auto" w:sz="4" w:space="0"/>
              <w:bottom w:val="single" w:color="auto" w:sz="4" w:space="0"/>
            </w:tcBorders>
            <w:vAlign w:val="center"/>
          </w:tcPr>
          <w:p w14:paraId="481227ED">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14:paraId="29E06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7" w:hRule="atLeast"/>
        </w:trPr>
        <w:tc>
          <w:tcPr>
            <w:tcW w:w="1305" w:type="dxa"/>
            <w:tcBorders>
              <w:top w:val="single" w:color="auto" w:sz="4" w:space="0"/>
              <w:right w:val="single" w:color="auto" w:sz="4" w:space="0"/>
            </w:tcBorders>
            <w:vAlign w:val="center"/>
          </w:tcPr>
          <w:p w14:paraId="1049002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2.2.4（1）</w:t>
            </w:r>
          </w:p>
        </w:tc>
        <w:tc>
          <w:tcPr>
            <w:tcW w:w="2381" w:type="dxa"/>
            <w:tcBorders>
              <w:top w:val="single" w:color="auto" w:sz="4" w:space="0"/>
              <w:right w:val="single" w:color="auto" w:sz="4" w:space="0"/>
            </w:tcBorders>
            <w:vAlign w:val="center"/>
          </w:tcPr>
          <w:p w14:paraId="38B8224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资信业绩评分标准</w:t>
            </w:r>
          </w:p>
          <w:p w14:paraId="795C6E4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（50分）</w:t>
            </w:r>
          </w:p>
        </w:tc>
        <w:tc>
          <w:tcPr>
            <w:tcW w:w="5335" w:type="dxa"/>
            <w:gridSpan w:val="2"/>
            <w:tcBorders>
              <w:top w:val="single" w:color="auto" w:sz="4" w:space="0"/>
              <w:left w:val="single" w:color="auto" w:sz="4" w:space="0"/>
            </w:tcBorders>
            <w:vAlign w:val="center"/>
          </w:tcPr>
          <w:p w14:paraId="41B95541">
            <w:pPr>
              <w:spacing w:line="440" w:lineRule="exact"/>
              <w:jc w:val="left"/>
              <w:rPr>
                <w:rFonts w:hint="eastAsia" w:ascii="宋体" w:hAnsi="宋体" w:eastAsia="宋体" w:cs="宋体"/>
                <w:color w:val="auto"/>
                <w:szCs w:val="21"/>
                <w:highlight w:val="none"/>
              </w:rPr>
            </w:pPr>
            <w:bookmarkStart w:id="82" w:name="_Toc152042363"/>
            <w:bookmarkStart w:id="83" w:name="_Toc352691532"/>
            <w:bookmarkStart w:id="84" w:name="_Toc247514010"/>
            <w:bookmarkStart w:id="85" w:name="_Toc361508645"/>
            <w:bookmarkStart w:id="86" w:name="_Toc369531576"/>
            <w:bookmarkStart w:id="87" w:name="_Toc144974553"/>
            <w:bookmarkStart w:id="88" w:name="_Toc152045586"/>
            <w:bookmarkStart w:id="89" w:name="_Toc12369"/>
            <w:bookmarkStart w:id="90" w:name="_Toc247527611"/>
            <w:bookmarkStart w:id="91" w:name="_Toc300835007"/>
            <w:bookmarkStart w:id="92" w:name="_Toc384308271"/>
            <w:r>
              <w:rPr>
                <w:rFonts w:hint="eastAsia" w:ascii="宋体" w:hAnsi="宋体" w:eastAsia="宋体" w:cs="宋体"/>
                <w:color w:val="auto"/>
                <w:szCs w:val="21"/>
                <w:highlight w:val="none"/>
              </w:rPr>
              <w:t>见后附件</w:t>
            </w:r>
          </w:p>
        </w:tc>
      </w:tr>
      <w:bookmarkEnd w:id="82"/>
      <w:bookmarkEnd w:id="83"/>
      <w:bookmarkEnd w:id="84"/>
      <w:bookmarkEnd w:id="85"/>
      <w:bookmarkEnd w:id="86"/>
      <w:bookmarkEnd w:id="87"/>
      <w:bookmarkEnd w:id="88"/>
      <w:bookmarkEnd w:id="89"/>
      <w:bookmarkEnd w:id="90"/>
      <w:bookmarkEnd w:id="91"/>
      <w:bookmarkEnd w:id="92"/>
      <w:tr w14:paraId="2AB7D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trPr>
        <w:tc>
          <w:tcPr>
            <w:tcW w:w="1305" w:type="dxa"/>
            <w:tcBorders>
              <w:top w:val="single" w:color="auto" w:sz="4" w:space="0"/>
              <w:right w:val="single" w:color="auto" w:sz="4" w:space="0"/>
            </w:tcBorders>
            <w:vAlign w:val="center"/>
          </w:tcPr>
          <w:p w14:paraId="1218BA1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2.2.4（2）</w:t>
            </w:r>
          </w:p>
        </w:tc>
        <w:tc>
          <w:tcPr>
            <w:tcW w:w="2381" w:type="dxa"/>
            <w:tcBorders>
              <w:top w:val="single" w:color="auto" w:sz="4" w:space="0"/>
              <w:right w:val="single" w:color="auto" w:sz="4" w:space="0"/>
            </w:tcBorders>
            <w:vAlign w:val="center"/>
          </w:tcPr>
          <w:p w14:paraId="023CA1B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服务方案评分标准</w:t>
            </w:r>
          </w:p>
          <w:p w14:paraId="763D1FB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（30分）</w:t>
            </w:r>
          </w:p>
        </w:tc>
        <w:tc>
          <w:tcPr>
            <w:tcW w:w="5335" w:type="dxa"/>
            <w:gridSpan w:val="2"/>
            <w:tcBorders>
              <w:top w:val="single" w:color="auto" w:sz="4" w:space="0"/>
              <w:left w:val="single" w:color="auto" w:sz="4" w:space="0"/>
            </w:tcBorders>
            <w:vAlign w:val="center"/>
          </w:tcPr>
          <w:p w14:paraId="21BC90F1">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见后附件</w:t>
            </w:r>
          </w:p>
        </w:tc>
      </w:tr>
      <w:tr w14:paraId="3D1D5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 w:hRule="atLeast"/>
        </w:trPr>
        <w:tc>
          <w:tcPr>
            <w:tcW w:w="1305" w:type="dxa"/>
            <w:tcBorders>
              <w:top w:val="single" w:color="auto" w:sz="4" w:space="0"/>
              <w:bottom w:val="single" w:color="auto" w:sz="4" w:space="0"/>
              <w:right w:val="single" w:color="auto" w:sz="4" w:space="0"/>
            </w:tcBorders>
            <w:vAlign w:val="center"/>
          </w:tcPr>
          <w:p w14:paraId="2811F3C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2.2.4（3）</w:t>
            </w:r>
          </w:p>
        </w:tc>
        <w:tc>
          <w:tcPr>
            <w:tcW w:w="2381" w:type="dxa"/>
            <w:tcBorders>
              <w:top w:val="single" w:color="auto" w:sz="4" w:space="0"/>
              <w:left w:val="single" w:color="auto" w:sz="4" w:space="0"/>
              <w:bottom w:val="single" w:color="auto" w:sz="4" w:space="0"/>
              <w:right w:val="single" w:color="auto" w:sz="4" w:space="0"/>
            </w:tcBorders>
            <w:vAlign w:val="center"/>
          </w:tcPr>
          <w:p w14:paraId="2511E76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投标报价评分标准</w:t>
            </w:r>
          </w:p>
          <w:p w14:paraId="59528FB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（20分）</w:t>
            </w:r>
          </w:p>
        </w:tc>
        <w:tc>
          <w:tcPr>
            <w:tcW w:w="5335" w:type="dxa"/>
            <w:gridSpan w:val="2"/>
            <w:tcBorders>
              <w:top w:val="single" w:color="auto" w:sz="4" w:space="0"/>
              <w:left w:val="single" w:color="auto" w:sz="4" w:space="0"/>
              <w:bottom w:val="single" w:color="auto" w:sz="4" w:space="0"/>
            </w:tcBorders>
            <w:vAlign w:val="center"/>
          </w:tcPr>
          <w:p w14:paraId="6DC17018">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见后附件</w:t>
            </w:r>
          </w:p>
        </w:tc>
      </w:tr>
      <w:tr w14:paraId="7595A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 w:hRule="atLeast"/>
        </w:trPr>
        <w:tc>
          <w:tcPr>
            <w:tcW w:w="1305" w:type="dxa"/>
            <w:tcBorders>
              <w:top w:val="single" w:color="auto" w:sz="4" w:space="0"/>
              <w:bottom w:val="single" w:color="auto" w:sz="4" w:space="0"/>
              <w:right w:val="single" w:color="auto" w:sz="4" w:space="0"/>
            </w:tcBorders>
            <w:vAlign w:val="center"/>
          </w:tcPr>
          <w:p w14:paraId="04F722EA">
            <w:pPr>
              <w:spacing w:line="440" w:lineRule="exact"/>
              <w:jc w:val="center"/>
              <w:rPr>
                <w:rFonts w:hint="eastAsia" w:ascii="宋体" w:hAnsi="宋体" w:eastAsia="宋体" w:cs="宋体"/>
                <w:color w:val="auto"/>
                <w:szCs w:val="21"/>
                <w:highlight w:val="none"/>
              </w:rPr>
            </w:pPr>
            <w:bookmarkStart w:id="93" w:name="_Toc492300637"/>
            <w:r>
              <w:rPr>
                <w:rFonts w:hint="eastAsia" w:ascii="宋体" w:hAnsi="宋体" w:eastAsia="宋体" w:cs="宋体"/>
                <w:color w:val="auto"/>
                <w:szCs w:val="21"/>
                <w:highlight w:val="none"/>
              </w:rPr>
              <w:t>2.2.4（4）</w:t>
            </w:r>
          </w:p>
        </w:tc>
        <w:tc>
          <w:tcPr>
            <w:tcW w:w="2381" w:type="dxa"/>
            <w:tcBorders>
              <w:top w:val="single" w:color="auto" w:sz="4" w:space="0"/>
              <w:left w:val="single" w:color="auto" w:sz="4" w:space="0"/>
              <w:bottom w:val="single" w:color="auto" w:sz="4" w:space="0"/>
              <w:right w:val="single" w:color="auto" w:sz="4" w:space="0"/>
            </w:tcBorders>
            <w:vAlign w:val="center"/>
          </w:tcPr>
          <w:p w14:paraId="1E21AEA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其他评分因素：（0分）</w:t>
            </w:r>
          </w:p>
        </w:tc>
        <w:tc>
          <w:tcPr>
            <w:tcW w:w="5335" w:type="dxa"/>
            <w:gridSpan w:val="2"/>
            <w:tcBorders>
              <w:top w:val="single" w:color="auto" w:sz="4" w:space="0"/>
              <w:left w:val="single" w:color="auto" w:sz="4" w:space="0"/>
              <w:bottom w:val="single" w:color="auto" w:sz="4" w:space="0"/>
            </w:tcBorders>
            <w:vAlign w:val="center"/>
          </w:tcPr>
          <w:p w14:paraId="32FD838E">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bl>
    <w:p w14:paraId="5954212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A82F314">
      <w:pPr>
        <w:pStyle w:val="4"/>
        <w:rPr>
          <w:rFonts w:hint="eastAsia" w:ascii="宋体" w:hAnsi="宋体" w:eastAsia="宋体" w:cs="宋体"/>
          <w:color w:val="auto"/>
          <w:highlight w:val="none"/>
        </w:rPr>
      </w:pPr>
      <w:bookmarkStart w:id="94" w:name="_Hlk12786622"/>
      <w:r>
        <w:rPr>
          <w:rFonts w:hint="eastAsia" w:ascii="宋体" w:hAnsi="宋体" w:eastAsia="宋体" w:cs="宋体"/>
          <w:color w:val="auto"/>
          <w:highlight w:val="none"/>
        </w:rPr>
        <w:t>附件一：评分标准</w:t>
      </w:r>
    </w:p>
    <w:tbl>
      <w:tblPr>
        <w:tblStyle w:val="20"/>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
        <w:gridCol w:w="1063"/>
        <w:gridCol w:w="599"/>
        <w:gridCol w:w="1024"/>
        <w:gridCol w:w="6379"/>
      </w:tblGrid>
      <w:tr w14:paraId="28967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428" w:type="dxa"/>
            <w:vAlign w:val="center"/>
          </w:tcPr>
          <w:p w14:paraId="1E0ACAF6">
            <w:pPr>
              <w:tabs>
                <w:tab w:val="left" w:pos="720"/>
              </w:tabs>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686" w:type="dxa"/>
            <w:gridSpan w:val="3"/>
            <w:vAlign w:val="center"/>
          </w:tcPr>
          <w:p w14:paraId="59E9BA5C">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评审项目及权重</w:t>
            </w:r>
          </w:p>
        </w:tc>
        <w:tc>
          <w:tcPr>
            <w:tcW w:w="6379" w:type="dxa"/>
            <w:vAlign w:val="center"/>
          </w:tcPr>
          <w:p w14:paraId="43E04A6E">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评分细则</w:t>
            </w:r>
          </w:p>
        </w:tc>
      </w:tr>
      <w:tr w14:paraId="753BF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2" w:hRule="atLeast"/>
          <w:jc w:val="center"/>
        </w:trPr>
        <w:tc>
          <w:tcPr>
            <w:tcW w:w="428" w:type="dxa"/>
            <w:vMerge w:val="restart"/>
            <w:vAlign w:val="center"/>
          </w:tcPr>
          <w:p w14:paraId="471A1E8A">
            <w:pPr>
              <w:tabs>
                <w:tab w:val="left" w:pos="720"/>
              </w:tabs>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一</w:t>
            </w:r>
          </w:p>
        </w:tc>
        <w:tc>
          <w:tcPr>
            <w:tcW w:w="1063" w:type="dxa"/>
            <w:vMerge w:val="restart"/>
            <w:tcBorders>
              <w:right w:val="single" w:color="auto" w:sz="4" w:space="0"/>
            </w:tcBorders>
            <w:vAlign w:val="center"/>
          </w:tcPr>
          <w:p w14:paraId="133717CC">
            <w:pPr>
              <w:tabs>
                <w:tab w:val="left" w:pos="720"/>
              </w:tabs>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资信业绩部分(50分)</w:t>
            </w:r>
          </w:p>
        </w:tc>
        <w:tc>
          <w:tcPr>
            <w:tcW w:w="599" w:type="dxa"/>
            <w:vMerge w:val="restart"/>
            <w:tcBorders>
              <w:left w:val="single" w:color="auto" w:sz="4" w:space="0"/>
              <w:right w:val="single" w:color="auto" w:sz="4" w:space="0"/>
            </w:tcBorders>
            <w:vAlign w:val="center"/>
          </w:tcPr>
          <w:p w14:paraId="331015D0">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财务能力（15分）</w:t>
            </w:r>
          </w:p>
        </w:tc>
        <w:tc>
          <w:tcPr>
            <w:tcW w:w="1024" w:type="dxa"/>
            <w:tcBorders>
              <w:left w:val="single" w:color="auto" w:sz="4" w:space="0"/>
            </w:tcBorders>
            <w:vAlign w:val="center"/>
          </w:tcPr>
          <w:p w14:paraId="5EBEC9C5">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偿付能力风险管理SARMRA评分（5分）</w:t>
            </w:r>
          </w:p>
        </w:tc>
        <w:tc>
          <w:tcPr>
            <w:tcW w:w="6379" w:type="dxa"/>
            <w:vAlign w:val="center"/>
          </w:tcPr>
          <w:p w14:paraId="05DE598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投标人总公司偿付能力风险管理</w:t>
            </w:r>
            <w:r>
              <w:rPr>
                <w:rFonts w:hint="eastAsia" w:ascii="宋体" w:hAnsi="宋体" w:eastAsia="宋体" w:cs="宋体"/>
                <w:color w:val="auto"/>
                <w:szCs w:val="21"/>
                <w:highlight w:val="none"/>
              </w:rPr>
              <w:t>SARMRA评分：以</w:t>
            </w:r>
            <w:r>
              <w:rPr>
                <w:rFonts w:hint="eastAsia" w:ascii="宋体" w:hAnsi="宋体" w:eastAsia="宋体" w:cs="宋体"/>
                <w:color w:val="auto"/>
                <w:kern w:val="0"/>
                <w:szCs w:val="21"/>
                <w:highlight w:val="none"/>
              </w:rPr>
              <w:t>中国保险行业协会网站2024年最新季度的偿付能力信息披露中的</w:t>
            </w:r>
            <w:r>
              <w:rPr>
                <w:rFonts w:hint="eastAsia" w:ascii="宋体" w:hAnsi="宋体" w:eastAsia="宋体" w:cs="宋体"/>
                <w:color w:val="auto"/>
                <w:szCs w:val="21"/>
                <w:highlight w:val="none"/>
              </w:rPr>
              <w:t>得分为准，最多得 5 分。</w:t>
            </w:r>
          </w:p>
          <w:p w14:paraId="57D80FC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得分&lt;75 分的，不得分。</w:t>
            </w:r>
          </w:p>
          <w:p w14:paraId="3C6B621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75≤得分&lt;77 分的，得 1 分；</w:t>
            </w:r>
          </w:p>
          <w:p w14:paraId="4227FEE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77≤得分&lt;79 分的，得 2 分；</w:t>
            </w:r>
          </w:p>
          <w:p w14:paraId="34D5F4A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79≤得分&lt;81 分的，得 3 分；</w:t>
            </w:r>
          </w:p>
          <w:p w14:paraId="24B79CE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81≤得分&lt;83 分的，得 4 分；</w:t>
            </w:r>
          </w:p>
          <w:p w14:paraId="475820C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得分≥83 分的，得 5 分；</w:t>
            </w:r>
          </w:p>
          <w:p w14:paraId="35AF535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注：本项得分须提供</w:t>
            </w:r>
            <w:r>
              <w:rPr>
                <w:rFonts w:hint="eastAsia" w:ascii="宋体" w:hAnsi="宋体" w:eastAsia="宋体" w:cs="宋体"/>
                <w:color w:val="auto"/>
                <w:kern w:val="0"/>
                <w:szCs w:val="21"/>
                <w:highlight w:val="none"/>
              </w:rPr>
              <w:t>中国保险行业协会网站2024年最新季度</w:t>
            </w:r>
            <w:r>
              <w:rPr>
                <w:rFonts w:hint="eastAsia" w:ascii="宋体" w:hAnsi="宋体" w:eastAsia="宋体" w:cs="宋体"/>
                <w:color w:val="auto"/>
                <w:kern w:val="2"/>
                <w:sz w:val="21"/>
                <w:szCs w:val="21"/>
                <w:highlight w:val="none"/>
                <w:lang w:val="en-US" w:eastAsia="zh-CN" w:bidi="ar"/>
              </w:rPr>
              <w:t>的披露文件中体现的SARMRA得分截图为准</w:t>
            </w:r>
            <w:r>
              <w:rPr>
                <w:rFonts w:hint="eastAsia" w:ascii="宋体" w:hAnsi="宋体" w:eastAsia="宋体" w:cs="宋体"/>
                <w:color w:val="auto"/>
                <w:szCs w:val="21"/>
                <w:highlight w:val="none"/>
              </w:rPr>
              <w:t>，未提供者不计分。</w:t>
            </w:r>
            <w:r>
              <w:rPr>
                <w:rFonts w:hint="eastAsia" w:ascii="宋体" w:hAnsi="宋体" w:eastAsia="宋体" w:cs="宋体"/>
                <w:color w:val="auto"/>
                <w:kern w:val="2"/>
                <w:sz w:val="21"/>
                <w:szCs w:val="21"/>
                <w:highlight w:val="none"/>
                <w:lang w:val="en-US" w:eastAsia="zh-CN" w:bidi="ar"/>
              </w:rPr>
              <w:t>(按照查询路径每步截图：</w:t>
            </w:r>
            <w:r>
              <w:rPr>
                <w:rFonts w:hint="eastAsia" w:ascii="宋体" w:hAnsi="宋体" w:eastAsia="宋体" w:cs="宋体"/>
                <w:color w:val="auto"/>
                <w:kern w:val="0"/>
                <w:sz w:val="21"/>
                <w:szCs w:val="21"/>
                <w:highlight w:val="none"/>
                <w:lang w:val="en-US" w:eastAsia="zh-CN" w:bidi="ar"/>
              </w:rPr>
              <w:t>中国保险行业协会-信息披露-偿付能力信息披露-财产险公司的单位名称-2024年第X季度偿付能力报告摘要）</w:t>
            </w:r>
          </w:p>
        </w:tc>
      </w:tr>
      <w:tr w14:paraId="23218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428" w:type="dxa"/>
            <w:vMerge w:val="continue"/>
            <w:vAlign w:val="center"/>
          </w:tcPr>
          <w:p w14:paraId="14ADF37D">
            <w:pPr>
              <w:tabs>
                <w:tab w:val="left" w:pos="720"/>
              </w:tabs>
              <w:snapToGrid w:val="0"/>
              <w:spacing w:line="360" w:lineRule="auto"/>
              <w:jc w:val="center"/>
              <w:rPr>
                <w:rFonts w:hint="eastAsia" w:ascii="宋体" w:hAnsi="宋体" w:eastAsia="宋体" w:cs="宋体"/>
                <w:color w:val="auto"/>
                <w:szCs w:val="21"/>
                <w:highlight w:val="none"/>
              </w:rPr>
            </w:pPr>
          </w:p>
        </w:tc>
        <w:tc>
          <w:tcPr>
            <w:tcW w:w="1063" w:type="dxa"/>
            <w:vMerge w:val="continue"/>
            <w:tcBorders>
              <w:right w:val="single" w:color="auto" w:sz="4" w:space="0"/>
            </w:tcBorders>
            <w:vAlign w:val="center"/>
          </w:tcPr>
          <w:p w14:paraId="7CB4EF92">
            <w:pPr>
              <w:tabs>
                <w:tab w:val="left" w:pos="720"/>
              </w:tabs>
              <w:snapToGrid w:val="0"/>
              <w:spacing w:line="360" w:lineRule="auto"/>
              <w:jc w:val="center"/>
              <w:rPr>
                <w:rFonts w:hint="eastAsia" w:ascii="宋体" w:hAnsi="宋体" w:eastAsia="宋体" w:cs="宋体"/>
                <w:b/>
                <w:bCs/>
                <w:color w:val="auto"/>
                <w:kern w:val="0"/>
                <w:szCs w:val="21"/>
                <w:highlight w:val="none"/>
              </w:rPr>
            </w:pPr>
          </w:p>
        </w:tc>
        <w:tc>
          <w:tcPr>
            <w:tcW w:w="599" w:type="dxa"/>
            <w:vMerge w:val="continue"/>
            <w:tcBorders>
              <w:left w:val="single" w:color="auto" w:sz="4" w:space="0"/>
              <w:right w:val="single" w:color="auto" w:sz="4" w:space="0"/>
            </w:tcBorders>
            <w:vAlign w:val="center"/>
          </w:tcPr>
          <w:p w14:paraId="561C5BAD">
            <w:pPr>
              <w:widowControl/>
              <w:adjustRightInd w:val="0"/>
              <w:snapToGrid w:val="0"/>
              <w:spacing w:line="360" w:lineRule="auto"/>
              <w:jc w:val="center"/>
              <w:rPr>
                <w:rFonts w:hint="eastAsia" w:ascii="宋体" w:hAnsi="宋体" w:eastAsia="宋体" w:cs="宋体"/>
                <w:color w:val="auto"/>
                <w:kern w:val="0"/>
                <w:szCs w:val="21"/>
                <w:highlight w:val="none"/>
              </w:rPr>
            </w:pPr>
          </w:p>
        </w:tc>
        <w:tc>
          <w:tcPr>
            <w:tcW w:w="1024" w:type="dxa"/>
            <w:tcBorders>
              <w:left w:val="single" w:color="auto" w:sz="4" w:space="0"/>
            </w:tcBorders>
            <w:vAlign w:val="center"/>
          </w:tcPr>
          <w:p w14:paraId="7385FD85">
            <w:pPr>
              <w:widowControl/>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偿付能力充足率（10分）</w:t>
            </w:r>
          </w:p>
        </w:tc>
        <w:tc>
          <w:tcPr>
            <w:tcW w:w="6379" w:type="dxa"/>
            <w:tcBorders>
              <w:top w:val="single" w:color="auto" w:sz="4" w:space="0"/>
            </w:tcBorders>
            <w:vAlign w:val="center"/>
          </w:tcPr>
          <w:p w14:paraId="7413E58B">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各投标人财险总公司2023年末的综合偿付能力充足率不低于150%的，得6分；在此基础上，每超过</w:t>
            </w:r>
            <w:r>
              <w:rPr>
                <w:rFonts w:hint="eastAsia" w:ascii="宋体" w:hAnsi="宋体" w:cs="宋体"/>
                <w:color w:val="auto"/>
                <w:szCs w:val="21"/>
                <w:highlight w:val="none"/>
                <w:lang w:eastAsia="zh"/>
              </w:rPr>
              <w:t>15</w:t>
            </w:r>
            <w:r>
              <w:rPr>
                <w:rFonts w:hint="eastAsia" w:ascii="宋体" w:hAnsi="宋体" w:cs="宋体"/>
                <w:color w:val="auto"/>
                <w:szCs w:val="21"/>
                <w:highlight w:val="none"/>
              </w:rPr>
              <w:t>%（尾数不计）加</w:t>
            </w:r>
            <w:r>
              <w:rPr>
                <w:rFonts w:hint="eastAsia" w:ascii="宋体" w:hAnsi="宋体" w:cs="宋体"/>
                <w:color w:val="auto"/>
                <w:szCs w:val="21"/>
                <w:highlight w:val="none"/>
                <w:lang w:eastAsia="zh"/>
              </w:rPr>
              <w:t>1</w:t>
            </w:r>
            <w:r>
              <w:rPr>
                <w:rFonts w:hint="eastAsia" w:ascii="宋体" w:hAnsi="宋体" w:cs="宋体"/>
                <w:color w:val="auto"/>
                <w:szCs w:val="21"/>
                <w:highlight w:val="none"/>
              </w:rPr>
              <w:t>分，最高加4分。本项满分10分</w:t>
            </w:r>
            <w:r>
              <w:rPr>
                <w:rFonts w:hint="eastAsia" w:ascii="宋体" w:hAnsi="宋体" w:cs="宋体"/>
                <w:color w:val="auto"/>
                <w:szCs w:val="21"/>
                <w:highlight w:val="none"/>
                <w:lang w:eastAsia="zh"/>
              </w:rPr>
              <w:t>。</w:t>
            </w:r>
          </w:p>
          <w:p w14:paraId="61F3765E">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注：需提供2023年经会计师事务所审计的的财务会计报表(包括资产负债表、利润表、现金流量表和财务状况说明书等)和偿付能力报告扫描件。</w:t>
            </w:r>
          </w:p>
        </w:tc>
      </w:tr>
      <w:tr w14:paraId="4B94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428" w:type="dxa"/>
            <w:vMerge w:val="continue"/>
            <w:vAlign w:val="center"/>
          </w:tcPr>
          <w:p w14:paraId="772E117F">
            <w:pPr>
              <w:tabs>
                <w:tab w:val="left" w:pos="720"/>
              </w:tabs>
              <w:snapToGrid w:val="0"/>
              <w:spacing w:line="360" w:lineRule="auto"/>
              <w:jc w:val="center"/>
              <w:rPr>
                <w:rFonts w:hint="eastAsia" w:ascii="宋体" w:hAnsi="宋体" w:eastAsia="宋体" w:cs="宋体"/>
                <w:color w:val="auto"/>
                <w:szCs w:val="21"/>
                <w:highlight w:val="none"/>
              </w:rPr>
            </w:pPr>
          </w:p>
        </w:tc>
        <w:tc>
          <w:tcPr>
            <w:tcW w:w="1063" w:type="dxa"/>
            <w:vMerge w:val="continue"/>
            <w:tcBorders>
              <w:right w:val="single" w:color="auto" w:sz="4" w:space="0"/>
            </w:tcBorders>
            <w:vAlign w:val="center"/>
          </w:tcPr>
          <w:p w14:paraId="45DFAA4B">
            <w:pPr>
              <w:tabs>
                <w:tab w:val="left" w:pos="720"/>
              </w:tabs>
              <w:snapToGrid w:val="0"/>
              <w:spacing w:line="360" w:lineRule="auto"/>
              <w:jc w:val="center"/>
              <w:rPr>
                <w:rFonts w:hint="eastAsia" w:ascii="宋体" w:hAnsi="宋体" w:eastAsia="宋体" w:cs="宋体"/>
                <w:b/>
                <w:bCs/>
                <w:color w:val="auto"/>
                <w:kern w:val="0"/>
                <w:szCs w:val="21"/>
                <w:highlight w:val="none"/>
              </w:rPr>
            </w:pPr>
          </w:p>
        </w:tc>
        <w:tc>
          <w:tcPr>
            <w:tcW w:w="1623" w:type="dxa"/>
            <w:gridSpan w:val="2"/>
            <w:tcBorders>
              <w:left w:val="single" w:color="auto" w:sz="4" w:space="0"/>
            </w:tcBorders>
            <w:vAlign w:val="center"/>
          </w:tcPr>
          <w:p w14:paraId="00680C65">
            <w:pPr>
              <w:widowControl/>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投标人承保经验（16分）</w:t>
            </w:r>
          </w:p>
        </w:tc>
        <w:tc>
          <w:tcPr>
            <w:tcW w:w="6379" w:type="dxa"/>
            <w:tcBorders>
              <w:top w:val="single" w:color="auto" w:sz="4" w:space="0"/>
            </w:tcBorders>
            <w:vAlign w:val="center"/>
          </w:tcPr>
          <w:p w14:paraId="7374E30F">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投标人自2019年1月 1 日至今独家或首席承保过工程保险金额在人民币2亿元及以上的市政或公路工程类建设项目的承保业绩，每提供1项保单得2分，最多得16分。</w:t>
            </w:r>
          </w:p>
          <w:p w14:paraId="0928FB43">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承保业绩应附承保项目的保险合同或保单；投标人提供的证明材料应能够反映投标人的业绩满足本项目评分条件要求的业绩指标，否则该业绩不予认定。保险合同必须是以投标人名义与项目业主单位或发包人或施工单位签订（即投标人总公司及其他分支机构的业绩不予认定）；如为联合承保的，必须是投标人首席承保的业绩，工程保险金额仅计投标人承保份额。业绩计算时间以每个保险合同的签订时间</w:t>
            </w:r>
            <w:r>
              <w:rPr>
                <w:rFonts w:hint="eastAsia" w:ascii="宋体" w:hAnsi="宋体" w:cs="宋体"/>
                <w:color w:val="auto"/>
                <w:szCs w:val="21"/>
                <w:highlight w:val="none"/>
                <w:lang w:val="en-US" w:eastAsia="zh-CN"/>
              </w:rPr>
              <w:t>或每个保险保单的起保时间</w:t>
            </w:r>
            <w:r>
              <w:rPr>
                <w:rFonts w:hint="eastAsia" w:ascii="宋体" w:hAnsi="宋体" w:cs="宋体"/>
                <w:color w:val="auto"/>
                <w:szCs w:val="21"/>
                <w:highlight w:val="none"/>
              </w:rPr>
              <w:t>为准。</w:t>
            </w:r>
          </w:p>
        </w:tc>
      </w:tr>
      <w:tr w14:paraId="66111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8" w:type="dxa"/>
            <w:vMerge w:val="continue"/>
            <w:vAlign w:val="center"/>
          </w:tcPr>
          <w:p w14:paraId="79E22674">
            <w:pPr>
              <w:tabs>
                <w:tab w:val="left" w:pos="720"/>
              </w:tabs>
              <w:snapToGrid w:val="0"/>
              <w:spacing w:line="360" w:lineRule="auto"/>
              <w:jc w:val="center"/>
              <w:rPr>
                <w:rFonts w:hint="eastAsia" w:ascii="宋体" w:hAnsi="宋体" w:eastAsia="宋体" w:cs="宋体"/>
                <w:color w:val="auto"/>
                <w:szCs w:val="21"/>
                <w:highlight w:val="none"/>
              </w:rPr>
            </w:pPr>
          </w:p>
        </w:tc>
        <w:tc>
          <w:tcPr>
            <w:tcW w:w="1063" w:type="dxa"/>
            <w:vMerge w:val="continue"/>
            <w:tcBorders>
              <w:right w:val="single" w:color="auto" w:sz="4" w:space="0"/>
            </w:tcBorders>
            <w:vAlign w:val="center"/>
          </w:tcPr>
          <w:p w14:paraId="6A231488">
            <w:pPr>
              <w:tabs>
                <w:tab w:val="left" w:pos="720"/>
              </w:tabs>
              <w:snapToGrid w:val="0"/>
              <w:spacing w:line="360" w:lineRule="auto"/>
              <w:jc w:val="center"/>
              <w:rPr>
                <w:rFonts w:hint="eastAsia" w:ascii="宋体" w:hAnsi="宋体" w:eastAsia="宋体" w:cs="宋体"/>
                <w:b/>
                <w:bCs/>
                <w:color w:val="auto"/>
                <w:kern w:val="0"/>
                <w:szCs w:val="21"/>
                <w:highlight w:val="none"/>
              </w:rPr>
            </w:pPr>
          </w:p>
        </w:tc>
        <w:tc>
          <w:tcPr>
            <w:tcW w:w="1623" w:type="dxa"/>
            <w:gridSpan w:val="2"/>
            <w:tcBorders>
              <w:left w:val="single" w:color="auto" w:sz="4" w:space="0"/>
            </w:tcBorders>
            <w:vAlign w:val="center"/>
          </w:tcPr>
          <w:p w14:paraId="16B4C859">
            <w:pPr>
              <w:widowControl/>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投标人理赔经验（16分）</w:t>
            </w:r>
          </w:p>
        </w:tc>
        <w:tc>
          <w:tcPr>
            <w:tcW w:w="6379" w:type="dxa"/>
            <w:tcBorders>
              <w:top w:val="single" w:color="auto" w:sz="4" w:space="0"/>
            </w:tcBorders>
            <w:vAlign w:val="center"/>
          </w:tcPr>
          <w:p w14:paraId="7A785C23">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投标人自2019年1月 1 日至今单次理赔赔付金额人民币超过100万元人民币的，每提供1项得2分，最多得16分。该案件必须是投标人独家或首席承保的市政或公路工程类建设项目。</w:t>
            </w:r>
          </w:p>
          <w:p w14:paraId="046F92EA">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注：理赔业绩应同时附承保项目的：</w:t>
            </w:r>
          </w:p>
          <w:p w14:paraId="4D9DABCC">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①保险合同或保单；</w:t>
            </w:r>
          </w:p>
          <w:p w14:paraId="39309CDA">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②保险公司赔款计算书或获赔人的定损确认书或业主单位的证明文件；</w:t>
            </w:r>
          </w:p>
          <w:p w14:paraId="772E5734">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③赔款收据或支付凭证材料。</w:t>
            </w:r>
          </w:p>
          <w:p w14:paraId="26F818C6">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业绩时间以保险公司赔款计算书或获赔人的定损确认书或业主单位的证明文件</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赔款收据或支付凭证材料为准，如有不同表述的，以时间靠</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rPr>
              <w:t>的证明材料表述为准。</w:t>
            </w:r>
          </w:p>
        </w:tc>
      </w:tr>
      <w:tr w14:paraId="496D0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428" w:type="dxa"/>
            <w:vMerge w:val="continue"/>
            <w:vAlign w:val="center"/>
          </w:tcPr>
          <w:p w14:paraId="2E68740A">
            <w:pPr>
              <w:tabs>
                <w:tab w:val="left" w:pos="720"/>
              </w:tabs>
              <w:snapToGrid w:val="0"/>
              <w:spacing w:line="360" w:lineRule="auto"/>
              <w:jc w:val="center"/>
              <w:rPr>
                <w:rFonts w:hint="eastAsia" w:ascii="宋体" w:hAnsi="宋体" w:eastAsia="宋体" w:cs="宋体"/>
                <w:color w:val="auto"/>
                <w:szCs w:val="21"/>
                <w:highlight w:val="none"/>
              </w:rPr>
            </w:pPr>
          </w:p>
        </w:tc>
        <w:tc>
          <w:tcPr>
            <w:tcW w:w="1063" w:type="dxa"/>
            <w:vMerge w:val="continue"/>
            <w:tcBorders>
              <w:right w:val="single" w:color="auto" w:sz="4" w:space="0"/>
            </w:tcBorders>
            <w:vAlign w:val="center"/>
          </w:tcPr>
          <w:p w14:paraId="5768E563">
            <w:pPr>
              <w:tabs>
                <w:tab w:val="left" w:pos="720"/>
              </w:tabs>
              <w:snapToGrid w:val="0"/>
              <w:spacing w:line="360" w:lineRule="auto"/>
              <w:jc w:val="center"/>
              <w:rPr>
                <w:rFonts w:hint="eastAsia" w:ascii="宋体" w:hAnsi="宋体" w:eastAsia="宋体" w:cs="宋体"/>
                <w:b/>
                <w:bCs/>
                <w:color w:val="auto"/>
                <w:kern w:val="0"/>
                <w:szCs w:val="21"/>
                <w:highlight w:val="none"/>
              </w:rPr>
            </w:pPr>
          </w:p>
        </w:tc>
        <w:tc>
          <w:tcPr>
            <w:tcW w:w="1623" w:type="dxa"/>
            <w:gridSpan w:val="2"/>
            <w:tcBorders>
              <w:left w:val="single" w:color="auto" w:sz="4" w:space="0"/>
            </w:tcBorders>
            <w:vAlign w:val="center"/>
          </w:tcPr>
          <w:p w14:paraId="012FB5D3">
            <w:pPr>
              <w:widowControl/>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再保安排（3分）</w:t>
            </w:r>
          </w:p>
        </w:tc>
        <w:tc>
          <w:tcPr>
            <w:tcW w:w="6379" w:type="dxa"/>
            <w:tcBorders>
              <w:top w:val="single" w:color="auto" w:sz="4" w:space="0"/>
            </w:tcBorders>
            <w:vAlign w:val="center"/>
          </w:tcPr>
          <w:p w14:paraId="1C99A7DE">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投标人总公司与大型再保险公司签有再保合约并提供相关证明材料，得3分。</w:t>
            </w:r>
          </w:p>
          <w:p w14:paraId="248F2937">
            <w:pPr>
              <w:pStyle w:val="26"/>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eastAsia="宋体" w:cs="宋体"/>
                <w:i w:val="0"/>
                <w:iCs w:val="0"/>
                <w:caps w:val="0"/>
                <w:color w:val="auto"/>
                <w:spacing w:val="0"/>
                <w:sz w:val="21"/>
                <w:szCs w:val="21"/>
                <w:highlight w:val="none"/>
                <w:shd w:val="clear" w:fill="FFFFFF"/>
              </w:rPr>
              <w:t>再保合约指在有效期内且合法存续的。</w:t>
            </w:r>
            <w:r>
              <w:rPr>
                <w:rFonts w:hint="eastAsia" w:ascii="宋体" w:hAnsi="宋体" w:cs="宋体"/>
                <w:color w:val="auto"/>
                <w:szCs w:val="21"/>
                <w:highlight w:val="none"/>
              </w:rPr>
              <w:t>再保安排应附投标人总公司与大型再保险公司签订的再保合约。</w:t>
            </w:r>
          </w:p>
        </w:tc>
      </w:tr>
      <w:tr w14:paraId="0787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428" w:type="dxa"/>
            <w:vMerge w:val="restart"/>
            <w:vAlign w:val="center"/>
          </w:tcPr>
          <w:p w14:paraId="3BDF956A">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063" w:type="dxa"/>
            <w:vMerge w:val="restart"/>
            <w:tcBorders>
              <w:right w:val="single" w:color="auto" w:sz="4" w:space="0"/>
            </w:tcBorders>
            <w:vAlign w:val="center"/>
          </w:tcPr>
          <w:p w14:paraId="4006A04E">
            <w:pPr>
              <w:tabs>
                <w:tab w:val="left" w:pos="720"/>
              </w:tabs>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服务方案</w:t>
            </w:r>
          </w:p>
          <w:p w14:paraId="3D13F891">
            <w:pPr>
              <w:tabs>
                <w:tab w:val="left" w:pos="720"/>
              </w:tabs>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(30分)</w:t>
            </w:r>
          </w:p>
        </w:tc>
        <w:tc>
          <w:tcPr>
            <w:tcW w:w="1623" w:type="dxa"/>
            <w:gridSpan w:val="2"/>
            <w:tcBorders>
              <w:left w:val="single" w:color="auto" w:sz="4" w:space="0"/>
            </w:tcBorders>
            <w:vAlign w:val="center"/>
          </w:tcPr>
          <w:p w14:paraId="2CD7A973">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保险服务承诺（10分）</w:t>
            </w:r>
          </w:p>
        </w:tc>
        <w:tc>
          <w:tcPr>
            <w:tcW w:w="6379" w:type="dxa"/>
            <w:tcBorders>
              <w:top w:val="single" w:color="auto" w:sz="4" w:space="0"/>
            </w:tcBorders>
            <w:vAlign w:val="center"/>
          </w:tcPr>
          <w:p w14:paraId="1FFFC913">
            <w:pPr>
              <w:pStyle w:val="11"/>
              <w:spacing w:line="360" w:lineRule="auto"/>
              <w:rPr>
                <w:rFonts w:hAnsi="宋体" w:eastAsia="宋体" w:cs="宋体"/>
                <w:color w:val="auto"/>
                <w:szCs w:val="21"/>
                <w:highlight w:val="none"/>
              </w:rPr>
            </w:pPr>
            <w:r>
              <w:rPr>
                <w:rFonts w:hAnsi="宋体" w:eastAsia="宋体" w:cs="宋体"/>
                <w:color w:val="auto"/>
                <w:szCs w:val="21"/>
                <w:highlight w:val="none"/>
              </w:rPr>
              <w:t>根据保险服务承诺风险管理方案详尽程度、理赔机制快捷有效程度、服务方案完善及针对性程度：</w:t>
            </w:r>
          </w:p>
          <w:p w14:paraId="26DEFF4E">
            <w:pPr>
              <w:pStyle w:val="11"/>
              <w:spacing w:line="360" w:lineRule="auto"/>
              <w:rPr>
                <w:rFonts w:hAnsi="宋体" w:eastAsia="宋体" w:cs="宋体"/>
                <w:color w:val="auto"/>
                <w:szCs w:val="21"/>
                <w:highlight w:val="none"/>
              </w:rPr>
            </w:pPr>
            <w:r>
              <w:rPr>
                <w:rFonts w:hAnsi="宋体" w:eastAsia="宋体" w:cs="宋体"/>
                <w:color w:val="auto"/>
                <w:szCs w:val="21"/>
                <w:highlight w:val="none"/>
              </w:rPr>
              <w:t>①基本分[6]分；</w:t>
            </w:r>
          </w:p>
          <w:p w14:paraId="14F84FE1">
            <w:pPr>
              <w:pStyle w:val="11"/>
              <w:spacing w:line="360" w:lineRule="auto"/>
              <w:rPr>
                <w:rFonts w:hAnsi="宋体" w:eastAsia="宋体" w:cs="宋体"/>
                <w:color w:val="auto"/>
                <w:szCs w:val="21"/>
                <w:highlight w:val="none"/>
              </w:rPr>
            </w:pPr>
            <w:r>
              <w:rPr>
                <w:rFonts w:hAnsi="宋体" w:eastAsia="宋体" w:cs="宋体"/>
                <w:color w:val="auto"/>
                <w:szCs w:val="21"/>
                <w:highlight w:val="none"/>
              </w:rPr>
              <w:t>②保险服务承诺风险管理方案比较详尽、理赔机制比较快捷有效、服务方案比较完善且针对性较强，得（6-8]分；</w:t>
            </w:r>
          </w:p>
          <w:p w14:paraId="3C114D3A">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③保险服务承诺风险管理方案详尽、理赔机制快捷有效、服务方案比较完善且针对性强，得（8-10]分。</w:t>
            </w:r>
          </w:p>
          <w:p w14:paraId="0FC97281">
            <w:pPr>
              <w:widowControl/>
              <w:spacing w:line="360" w:lineRule="auto"/>
              <w:rPr>
                <w:rFonts w:hint="eastAsia" w:ascii="宋体" w:hAnsi="宋体" w:cs="宋体"/>
                <w:color w:val="auto"/>
                <w:szCs w:val="21"/>
                <w:highlight w:val="none"/>
              </w:rPr>
            </w:pPr>
            <w:r>
              <w:rPr>
                <w:rFonts w:hint="eastAsia" w:ascii="宋体" w:hAnsi="宋体" w:eastAsia="宋体" w:cs="宋体"/>
                <w:b/>
                <w:bCs/>
                <w:color w:val="auto"/>
                <w:szCs w:val="21"/>
                <w:highlight w:val="none"/>
              </w:rPr>
              <w:t>服务方案中未提供该部分内容的不得分。</w:t>
            </w:r>
          </w:p>
        </w:tc>
      </w:tr>
      <w:tr w14:paraId="36FD9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428" w:type="dxa"/>
            <w:vMerge w:val="continue"/>
            <w:vAlign w:val="center"/>
          </w:tcPr>
          <w:p w14:paraId="325ED1CC">
            <w:pPr>
              <w:tabs>
                <w:tab w:val="left" w:pos="720"/>
              </w:tabs>
              <w:snapToGrid w:val="0"/>
              <w:spacing w:line="360" w:lineRule="auto"/>
              <w:jc w:val="center"/>
              <w:rPr>
                <w:rFonts w:hint="eastAsia" w:ascii="宋体" w:hAnsi="宋体" w:eastAsia="宋体" w:cs="宋体"/>
                <w:color w:val="auto"/>
                <w:szCs w:val="21"/>
                <w:highlight w:val="none"/>
              </w:rPr>
            </w:pPr>
          </w:p>
        </w:tc>
        <w:tc>
          <w:tcPr>
            <w:tcW w:w="1063" w:type="dxa"/>
            <w:vMerge w:val="continue"/>
            <w:tcBorders>
              <w:right w:val="single" w:color="auto" w:sz="4" w:space="0"/>
            </w:tcBorders>
            <w:vAlign w:val="center"/>
          </w:tcPr>
          <w:p w14:paraId="7CEC646E">
            <w:pPr>
              <w:tabs>
                <w:tab w:val="left" w:pos="720"/>
              </w:tabs>
              <w:snapToGrid w:val="0"/>
              <w:spacing w:line="360" w:lineRule="auto"/>
              <w:jc w:val="center"/>
              <w:rPr>
                <w:rFonts w:hint="eastAsia" w:ascii="宋体" w:hAnsi="宋体" w:eastAsia="宋体" w:cs="宋体"/>
                <w:b/>
                <w:color w:val="auto"/>
                <w:szCs w:val="21"/>
                <w:highlight w:val="none"/>
              </w:rPr>
            </w:pPr>
          </w:p>
        </w:tc>
        <w:tc>
          <w:tcPr>
            <w:tcW w:w="1623" w:type="dxa"/>
            <w:gridSpan w:val="2"/>
            <w:tcBorders>
              <w:left w:val="single" w:color="auto" w:sz="4" w:space="0"/>
            </w:tcBorders>
            <w:vAlign w:val="center"/>
          </w:tcPr>
          <w:p w14:paraId="5FC4BC53">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保险服务方案（10分）</w:t>
            </w:r>
          </w:p>
        </w:tc>
        <w:tc>
          <w:tcPr>
            <w:tcW w:w="6379" w:type="dxa"/>
            <w:tcBorders>
              <w:top w:val="single" w:color="auto" w:sz="4" w:space="0"/>
            </w:tcBorders>
            <w:vAlign w:val="center"/>
          </w:tcPr>
          <w:p w14:paraId="2BD62BA6">
            <w:pPr>
              <w:pStyle w:val="11"/>
              <w:spacing w:line="360" w:lineRule="auto"/>
              <w:rPr>
                <w:rFonts w:hAnsi="宋体" w:eastAsia="宋体" w:cs="宋体"/>
                <w:color w:val="auto"/>
                <w:szCs w:val="21"/>
                <w:highlight w:val="none"/>
              </w:rPr>
            </w:pPr>
            <w:r>
              <w:rPr>
                <w:rFonts w:hAnsi="宋体" w:eastAsia="宋体" w:cs="宋体"/>
                <w:color w:val="auto"/>
                <w:szCs w:val="21"/>
                <w:highlight w:val="none"/>
              </w:rPr>
              <w:t>保险服务方案响应招标文件的各项要求，服务方案详细程度、可行程度；防灾防损机制明确程度、合理程度；理赔手续等：</w:t>
            </w:r>
          </w:p>
          <w:p w14:paraId="1DA0CBAC">
            <w:pPr>
              <w:pStyle w:val="11"/>
              <w:spacing w:line="360" w:lineRule="auto"/>
              <w:rPr>
                <w:rFonts w:hAnsi="宋体" w:eastAsia="宋体" w:cs="宋体"/>
                <w:color w:val="auto"/>
                <w:szCs w:val="21"/>
                <w:highlight w:val="none"/>
              </w:rPr>
            </w:pPr>
            <w:r>
              <w:rPr>
                <w:rFonts w:hAnsi="宋体" w:eastAsia="宋体" w:cs="宋体"/>
                <w:color w:val="auto"/>
                <w:szCs w:val="21"/>
                <w:highlight w:val="none"/>
              </w:rPr>
              <w:t>①基本分[6]分；</w:t>
            </w:r>
          </w:p>
          <w:p w14:paraId="1F5222FE">
            <w:pPr>
              <w:pStyle w:val="11"/>
              <w:spacing w:line="360" w:lineRule="auto"/>
              <w:rPr>
                <w:rFonts w:hAnsi="宋体" w:eastAsia="宋体" w:cs="宋体"/>
                <w:color w:val="auto"/>
                <w:szCs w:val="21"/>
                <w:highlight w:val="none"/>
              </w:rPr>
            </w:pPr>
            <w:r>
              <w:rPr>
                <w:rFonts w:hAnsi="宋体" w:eastAsia="宋体" w:cs="宋体"/>
                <w:color w:val="auto"/>
                <w:szCs w:val="21"/>
                <w:highlight w:val="none"/>
              </w:rPr>
              <w:t>②保险服务方案响应招标文件的各项要求，服务方案比较详细、比较可行；防灾防损机制比较明确、比较合理；理赔手续比较简便高效，得（6-8]分；</w:t>
            </w:r>
          </w:p>
          <w:p w14:paraId="608FF337">
            <w:pPr>
              <w:pStyle w:val="11"/>
              <w:spacing w:line="360" w:lineRule="auto"/>
              <w:rPr>
                <w:rFonts w:hAnsi="宋体" w:eastAsia="宋体" w:cs="宋体"/>
                <w:color w:val="auto"/>
                <w:szCs w:val="21"/>
                <w:highlight w:val="none"/>
              </w:rPr>
            </w:pPr>
            <w:r>
              <w:rPr>
                <w:rFonts w:hAnsi="宋体" w:eastAsia="宋体" w:cs="宋体"/>
                <w:color w:val="auto"/>
                <w:szCs w:val="21"/>
                <w:highlight w:val="none"/>
              </w:rPr>
              <w:t>③保险服务方案响应招标文件的各项要求，服务方案详细、可行；防灾防损机制明确、合理；理赔手续简便高效，得（8-10]分。</w:t>
            </w:r>
          </w:p>
          <w:p w14:paraId="07DA3BAA">
            <w:pPr>
              <w:pStyle w:val="11"/>
              <w:spacing w:line="360" w:lineRule="auto"/>
              <w:rPr>
                <w:rFonts w:hint="eastAsia" w:ascii="宋体" w:hAnsi="宋体" w:eastAsia="宋体" w:cs="宋体"/>
                <w:b/>
                <w:bCs/>
                <w:color w:val="auto"/>
                <w:szCs w:val="21"/>
                <w:highlight w:val="none"/>
              </w:rPr>
            </w:pPr>
            <w:r>
              <w:rPr>
                <w:rFonts w:hAnsi="宋体" w:eastAsia="宋体" w:cs="宋体"/>
                <w:b/>
                <w:bCs/>
                <w:color w:val="auto"/>
                <w:szCs w:val="21"/>
                <w:highlight w:val="none"/>
              </w:rPr>
              <w:t>服务方案中未提供该部分内容的不得分。</w:t>
            </w:r>
          </w:p>
        </w:tc>
      </w:tr>
      <w:tr w14:paraId="465E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428" w:type="dxa"/>
            <w:vMerge w:val="continue"/>
            <w:vAlign w:val="center"/>
          </w:tcPr>
          <w:p w14:paraId="76C94E5C">
            <w:pPr>
              <w:tabs>
                <w:tab w:val="left" w:pos="720"/>
              </w:tabs>
              <w:snapToGrid w:val="0"/>
              <w:spacing w:line="360" w:lineRule="auto"/>
              <w:jc w:val="center"/>
              <w:rPr>
                <w:rFonts w:hint="eastAsia" w:ascii="宋体" w:hAnsi="宋体" w:eastAsia="宋体" w:cs="宋体"/>
                <w:color w:val="auto"/>
                <w:szCs w:val="21"/>
                <w:highlight w:val="none"/>
              </w:rPr>
            </w:pPr>
          </w:p>
        </w:tc>
        <w:tc>
          <w:tcPr>
            <w:tcW w:w="1063" w:type="dxa"/>
            <w:vMerge w:val="continue"/>
            <w:tcBorders>
              <w:right w:val="single" w:color="auto" w:sz="4" w:space="0"/>
            </w:tcBorders>
            <w:vAlign w:val="center"/>
          </w:tcPr>
          <w:p w14:paraId="7062B1B6">
            <w:pPr>
              <w:tabs>
                <w:tab w:val="left" w:pos="720"/>
              </w:tabs>
              <w:snapToGrid w:val="0"/>
              <w:spacing w:line="360" w:lineRule="auto"/>
              <w:jc w:val="center"/>
              <w:rPr>
                <w:rFonts w:hint="eastAsia" w:ascii="宋体" w:hAnsi="宋体" w:eastAsia="宋体" w:cs="宋体"/>
                <w:b/>
                <w:color w:val="auto"/>
                <w:szCs w:val="21"/>
                <w:highlight w:val="none"/>
              </w:rPr>
            </w:pPr>
          </w:p>
        </w:tc>
        <w:tc>
          <w:tcPr>
            <w:tcW w:w="1623" w:type="dxa"/>
            <w:gridSpan w:val="2"/>
            <w:vAlign w:val="center"/>
          </w:tcPr>
          <w:p w14:paraId="4D2B3D4C">
            <w:pPr>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增值服务（10分）</w:t>
            </w:r>
          </w:p>
        </w:tc>
        <w:tc>
          <w:tcPr>
            <w:tcW w:w="6379" w:type="dxa"/>
            <w:vAlign w:val="center"/>
          </w:tcPr>
          <w:p w14:paraId="2ED18A6B">
            <w:pPr>
              <w:pStyle w:val="11"/>
              <w:spacing w:line="360" w:lineRule="auto"/>
              <w:rPr>
                <w:rFonts w:hAnsi="宋体" w:eastAsia="宋体" w:cs="宋体"/>
                <w:color w:val="auto"/>
                <w:szCs w:val="21"/>
                <w:highlight w:val="none"/>
              </w:rPr>
            </w:pPr>
            <w:r>
              <w:rPr>
                <w:rFonts w:hAnsi="宋体" w:eastAsia="宋体" w:cs="宋体"/>
                <w:color w:val="auto"/>
                <w:szCs w:val="21"/>
                <w:highlight w:val="none"/>
              </w:rPr>
              <w:t>根据降低免赔额、增加扩展条款，横向比较各投标人的增值服务：</w:t>
            </w:r>
          </w:p>
          <w:p w14:paraId="150C5F2A">
            <w:pPr>
              <w:pStyle w:val="11"/>
              <w:spacing w:line="360" w:lineRule="auto"/>
              <w:rPr>
                <w:rFonts w:hAnsi="宋体" w:eastAsia="宋体" w:cs="宋体"/>
                <w:color w:val="auto"/>
                <w:szCs w:val="21"/>
                <w:highlight w:val="none"/>
              </w:rPr>
            </w:pPr>
            <w:r>
              <w:rPr>
                <w:rFonts w:hAnsi="宋体" w:eastAsia="宋体" w:cs="宋体"/>
                <w:color w:val="auto"/>
                <w:szCs w:val="21"/>
                <w:highlight w:val="none"/>
              </w:rPr>
              <w:t>①免赔额、扩展条款与招标文件保险合同完全一致，得基本分[6]分；</w:t>
            </w:r>
          </w:p>
          <w:p w14:paraId="0A7D233E">
            <w:pPr>
              <w:pStyle w:val="11"/>
              <w:spacing w:line="360" w:lineRule="auto"/>
              <w:rPr>
                <w:rFonts w:hAnsi="宋体" w:eastAsia="宋体" w:cs="宋体"/>
                <w:color w:val="auto"/>
                <w:szCs w:val="21"/>
                <w:highlight w:val="none"/>
              </w:rPr>
            </w:pPr>
            <w:r>
              <w:rPr>
                <w:rFonts w:hAnsi="宋体" w:eastAsia="宋体" w:cs="宋体"/>
                <w:color w:val="auto"/>
                <w:szCs w:val="21"/>
                <w:highlight w:val="none"/>
              </w:rPr>
              <w:t>②免赔额小于招标文件保险合同，扩展条款多于招标文件保险合同，且与本项目实际情况联系较为紧密，在各投标人中属于一般水平，得（6-8]分；</w:t>
            </w:r>
          </w:p>
          <w:p w14:paraId="5E032A1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③免赔额</w:t>
            </w:r>
            <w:r>
              <w:rPr>
                <w:rFonts w:hint="eastAsia" w:hAnsi="宋体" w:eastAsia="宋体" w:cs="宋体"/>
                <w:color w:val="auto"/>
                <w:szCs w:val="21"/>
                <w:highlight w:val="none"/>
              </w:rPr>
              <w:t>小于招标文件保险合同，</w:t>
            </w:r>
            <w:r>
              <w:rPr>
                <w:rFonts w:hint="eastAsia" w:ascii="宋体" w:hAnsi="宋体" w:eastAsia="宋体" w:cs="宋体"/>
                <w:color w:val="auto"/>
                <w:szCs w:val="21"/>
                <w:highlight w:val="none"/>
              </w:rPr>
              <w:t>扩展条款</w:t>
            </w:r>
            <w:r>
              <w:rPr>
                <w:rFonts w:hint="eastAsia" w:hAnsi="宋体" w:eastAsia="宋体" w:cs="宋体"/>
                <w:color w:val="auto"/>
                <w:szCs w:val="21"/>
                <w:highlight w:val="none"/>
              </w:rPr>
              <w:t>多于招标文件保险合同，且与本项目实际情况联系非常紧密，在各投标人中属于较优水平</w:t>
            </w:r>
            <w:r>
              <w:rPr>
                <w:rFonts w:hint="eastAsia" w:ascii="宋体" w:hAnsi="宋体" w:eastAsia="宋体" w:cs="宋体"/>
                <w:color w:val="auto"/>
                <w:szCs w:val="21"/>
                <w:highlight w:val="none"/>
              </w:rPr>
              <w:t>，得（8-10]分。</w:t>
            </w:r>
          </w:p>
          <w:p w14:paraId="667AE52F">
            <w:pPr>
              <w:spacing w:line="360" w:lineRule="auto"/>
              <w:rPr>
                <w:rFonts w:hint="eastAsia" w:ascii="宋体" w:hAnsi="宋体" w:eastAsia="宋体" w:cs="宋体"/>
                <w:b/>
                <w:bCs/>
                <w:color w:val="auto"/>
                <w:szCs w:val="21"/>
                <w:highlight w:val="none"/>
              </w:rPr>
            </w:pPr>
            <w:r>
              <w:rPr>
                <w:rFonts w:hAnsi="宋体" w:eastAsia="宋体" w:cs="宋体"/>
                <w:color w:val="auto"/>
                <w:szCs w:val="21"/>
                <w:highlight w:val="none"/>
              </w:rPr>
              <w:t>免赔额</w:t>
            </w:r>
            <w:r>
              <w:rPr>
                <w:rFonts w:hint="eastAsia" w:hAnsi="宋体" w:eastAsia="宋体" w:cs="宋体"/>
                <w:color w:val="auto"/>
                <w:szCs w:val="21"/>
                <w:highlight w:val="none"/>
                <w:lang w:val="en-US" w:eastAsia="zh-CN"/>
              </w:rPr>
              <w:t>高于招标文件保险合同或</w:t>
            </w:r>
            <w:r>
              <w:rPr>
                <w:rFonts w:hAnsi="宋体" w:eastAsia="宋体" w:cs="宋体"/>
                <w:color w:val="auto"/>
                <w:szCs w:val="21"/>
                <w:highlight w:val="none"/>
              </w:rPr>
              <w:t>扩展条款</w:t>
            </w:r>
            <w:r>
              <w:rPr>
                <w:rFonts w:hint="eastAsia" w:hAnsi="宋体" w:eastAsia="宋体" w:cs="宋体"/>
                <w:color w:val="auto"/>
                <w:szCs w:val="21"/>
                <w:highlight w:val="none"/>
                <w:lang w:val="en-US" w:eastAsia="zh-CN"/>
              </w:rPr>
              <w:t>少于招标文件保险合同的，均</w:t>
            </w:r>
            <w:r>
              <w:rPr>
                <w:rFonts w:hint="eastAsia" w:ascii="宋体" w:hAnsi="宋体" w:eastAsia="宋体" w:cs="宋体"/>
                <w:b/>
                <w:bCs/>
                <w:color w:val="auto"/>
                <w:szCs w:val="21"/>
                <w:highlight w:val="none"/>
              </w:rPr>
              <w:t>不得分。</w:t>
            </w:r>
          </w:p>
        </w:tc>
      </w:tr>
      <w:tr w14:paraId="1E690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8" w:type="dxa"/>
            <w:vAlign w:val="center"/>
          </w:tcPr>
          <w:p w14:paraId="6D55AE84">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686" w:type="dxa"/>
            <w:gridSpan w:val="3"/>
            <w:vAlign w:val="center"/>
          </w:tcPr>
          <w:p w14:paraId="42361991">
            <w:pPr>
              <w:tabs>
                <w:tab w:val="left" w:pos="720"/>
              </w:tabs>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投标报价得分</w:t>
            </w:r>
          </w:p>
          <w:p w14:paraId="2E0670D4">
            <w:pPr>
              <w:tabs>
                <w:tab w:val="left" w:pos="720"/>
              </w:tabs>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（20分）</w:t>
            </w:r>
          </w:p>
        </w:tc>
        <w:tc>
          <w:tcPr>
            <w:tcW w:w="6379" w:type="dxa"/>
            <w:vAlign w:val="center"/>
          </w:tcPr>
          <w:p w14:paraId="0994ACD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以评标基准价作为计算各有效报价得分的基础，当有效投标报价等于评标基准价时得满分20分；有效投标报价与评标基准价相比，每上偏 1 %扣</w:t>
            </w:r>
            <w:r>
              <w:rPr>
                <w:rFonts w:hint="eastAsia" w:ascii="宋体" w:hAnsi="宋体" w:eastAsia="宋体" w:cs="宋体"/>
                <w:color w:val="auto"/>
                <w:szCs w:val="21"/>
                <w:highlight w:val="none"/>
                <w:u w:val="single"/>
              </w:rPr>
              <w:t xml:space="preserve"> 0.5</w:t>
            </w:r>
            <w:r>
              <w:rPr>
                <w:rFonts w:hint="eastAsia" w:ascii="宋体" w:hAnsi="宋体" w:eastAsia="宋体" w:cs="宋体"/>
                <w:color w:val="auto"/>
                <w:szCs w:val="21"/>
                <w:highlight w:val="none"/>
              </w:rPr>
              <w:t>分，每下偏 1 %扣</w:t>
            </w:r>
            <w:r>
              <w:rPr>
                <w:rFonts w:hint="eastAsia" w:ascii="宋体" w:hAnsi="宋体" w:eastAsia="宋体" w:cs="宋体"/>
                <w:color w:val="auto"/>
                <w:szCs w:val="21"/>
                <w:highlight w:val="none"/>
                <w:u w:val="single"/>
              </w:rPr>
              <w:t xml:space="preserve"> 0.3</w:t>
            </w:r>
            <w:r>
              <w:rPr>
                <w:rFonts w:hint="eastAsia" w:ascii="宋体" w:hAnsi="宋体" w:eastAsia="宋体" w:cs="宋体"/>
                <w:color w:val="auto"/>
                <w:szCs w:val="21"/>
                <w:highlight w:val="none"/>
              </w:rPr>
              <w:t>分。扣至0分为止。</w:t>
            </w:r>
          </w:p>
        </w:tc>
      </w:tr>
    </w:tbl>
    <w:p w14:paraId="089B3838">
      <w:pPr>
        <w:spacing w:before="120" w:beforeLines="50" w:line="288"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F94148F">
      <w:pPr>
        <w:spacing w:line="360" w:lineRule="auto"/>
        <w:ind w:firstLine="420" w:firstLineChars="200"/>
        <w:rPr>
          <w:rFonts w:hint="eastAsia" w:ascii="宋体" w:hAnsi="宋体" w:eastAsia="宋体" w:cs="宋体"/>
          <w:color w:val="auto"/>
          <w:kern w:val="0"/>
          <w:szCs w:val="21"/>
          <w:highlight w:val="none"/>
        </w:rPr>
      </w:pPr>
      <w:bookmarkStart w:id="95" w:name="_Hlk34384895"/>
      <w:r>
        <w:rPr>
          <w:rFonts w:hint="eastAsia" w:ascii="宋体" w:hAnsi="宋体" w:eastAsia="宋体" w:cs="宋体"/>
          <w:color w:val="auto"/>
          <w:kern w:val="0"/>
          <w:szCs w:val="21"/>
          <w:highlight w:val="none"/>
        </w:rPr>
        <w:t>1.投标人提交的文件均应合法、有效。不符合上述条件或未提供上述资料的不计分。</w:t>
      </w:r>
    </w:p>
    <w:p w14:paraId="655D96C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2.资信业绩部分、服务方案部分、投标报价部分：评分如出现小数点，则四舍五入后保留小数点后二位。</w:t>
      </w:r>
    </w:p>
    <w:p w14:paraId="3E4D570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3.汇总得分：所有评委每个分项分数汇总后的算术平均值为投标人的最终得分。分数出现小数点，保留小数点后二位小数，第三位小数四舍五入。</w:t>
      </w:r>
    </w:p>
    <w:p w14:paraId="561712FA">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b/>
          <w:color w:val="auto"/>
          <w:highlight w:val="none"/>
        </w:rPr>
        <w:t>评分范围“[ ]”表示包含区间边界数值，“（）”表示不包含区间边界数值。</w:t>
      </w:r>
      <w:bookmarkEnd w:id="95"/>
    </w:p>
    <w:bookmarkEnd w:id="94"/>
    <w:p w14:paraId="358748E3">
      <w:pPr>
        <w:rPr>
          <w:rFonts w:hint="eastAsia" w:ascii="宋体" w:hAnsi="宋体" w:eastAsia="宋体" w:cs="宋体"/>
          <w:color w:val="auto"/>
          <w:highlight w:val="none"/>
        </w:rPr>
      </w:pPr>
    </w:p>
    <w:p w14:paraId="55E0CDEE">
      <w:pPr>
        <w:rPr>
          <w:rFonts w:hint="eastAsia" w:ascii="宋体" w:hAnsi="宋体" w:eastAsia="宋体" w:cs="宋体"/>
          <w:color w:val="auto"/>
          <w:highlight w:val="none"/>
        </w:rPr>
      </w:pPr>
      <w:bookmarkStart w:id="96" w:name="_Toc532744141"/>
      <w:r>
        <w:rPr>
          <w:rFonts w:hint="eastAsia" w:ascii="宋体" w:hAnsi="宋体" w:eastAsia="宋体" w:cs="宋体"/>
          <w:color w:val="auto"/>
          <w:highlight w:val="none"/>
        </w:rPr>
        <w:br w:type="page"/>
      </w:r>
    </w:p>
    <w:p w14:paraId="4B07F22F">
      <w:pPr>
        <w:pStyle w:val="2"/>
        <w:jc w:val="left"/>
        <w:rPr>
          <w:rFonts w:hint="eastAsia" w:ascii="宋体" w:hAnsi="宋体" w:eastAsia="宋体" w:cs="宋体"/>
          <w:color w:val="auto"/>
          <w:highlight w:val="none"/>
        </w:rPr>
      </w:pPr>
      <w:r>
        <w:rPr>
          <w:rFonts w:hint="eastAsia" w:ascii="宋体" w:hAnsi="宋体" w:eastAsia="宋体" w:cs="宋体"/>
          <w:color w:val="auto"/>
          <w:highlight w:val="none"/>
        </w:rPr>
        <w:t>1. 评标方法</w:t>
      </w:r>
      <w:bookmarkEnd w:id="96"/>
    </w:p>
    <w:p w14:paraId="154197D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本次评标采用综合评估法。评标委员会对满足招标文件实质性要求的投标文件，按照本章第2.2款规定的评分标准进行打分，并</w:t>
      </w:r>
      <w:r>
        <w:rPr>
          <w:rFonts w:hint="eastAsia" w:ascii="宋体" w:hAnsi="宋体" w:eastAsia="宋体" w:cs="宋体"/>
          <w:color w:val="auto"/>
          <w:highlight w:val="none"/>
        </w:rPr>
        <w:t>按综合评分从高到低进行先后排名，如果综合评分相同的，以报价较低的排前；报价也相同的，以服务方案得分高的排前；如仍存在相同情况，由评标委员会采用记名投票方式，以得票多的优先。最终得到投标人排名。推荐</w:t>
      </w:r>
      <w:r>
        <w:rPr>
          <w:rFonts w:hint="eastAsia" w:ascii="宋体" w:hAnsi="宋体" w:eastAsia="宋体" w:cs="宋体"/>
          <w:color w:val="auto"/>
          <w:highlight w:val="none"/>
          <w:u w:val="single"/>
        </w:rPr>
        <w:t>排名的前一～二名为第一中标候选人和第二中标候选人。</w:t>
      </w:r>
    </w:p>
    <w:p w14:paraId="4E543E13">
      <w:pPr>
        <w:pStyle w:val="2"/>
        <w:rPr>
          <w:rFonts w:hint="eastAsia" w:ascii="宋体" w:hAnsi="宋体" w:eastAsia="宋体" w:cs="宋体"/>
          <w:color w:val="auto"/>
          <w:highlight w:val="none"/>
        </w:rPr>
      </w:pPr>
      <w:bookmarkStart w:id="97" w:name="_Toc532744142"/>
      <w:r>
        <w:rPr>
          <w:rFonts w:hint="eastAsia" w:ascii="宋体" w:hAnsi="宋体" w:eastAsia="宋体" w:cs="宋体"/>
          <w:color w:val="auto"/>
          <w:highlight w:val="none"/>
        </w:rPr>
        <w:t>2. 评审标准</w:t>
      </w:r>
      <w:bookmarkEnd w:id="97"/>
    </w:p>
    <w:p w14:paraId="7B3AAF3B">
      <w:pPr>
        <w:pStyle w:val="4"/>
        <w:spacing w:before="48" w:beforeLines="20" w:after="48" w:afterLines="20"/>
        <w:jc w:val="left"/>
        <w:rPr>
          <w:rFonts w:hint="eastAsia" w:ascii="宋体" w:hAnsi="宋体" w:eastAsia="宋体" w:cs="宋体"/>
          <w:color w:val="auto"/>
          <w:highlight w:val="none"/>
        </w:rPr>
      </w:pPr>
      <w:bookmarkStart w:id="98" w:name="_Toc532744143"/>
      <w:r>
        <w:rPr>
          <w:rFonts w:hint="eastAsia" w:ascii="宋体" w:hAnsi="宋体" w:eastAsia="宋体" w:cs="宋体"/>
          <w:color w:val="auto"/>
          <w:highlight w:val="none"/>
        </w:rPr>
        <w:t>2.1 初步评审标准</w:t>
      </w:r>
      <w:bookmarkEnd w:id="98"/>
    </w:p>
    <w:p w14:paraId="47C42F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 形式评审标准：见评标办法前附表。</w:t>
      </w:r>
    </w:p>
    <w:p w14:paraId="6E5F6D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资格评审标准：见评标办法前附表。</w:t>
      </w:r>
    </w:p>
    <w:p w14:paraId="22EE50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响应性评审标准：见评标办法前附表。</w:t>
      </w:r>
    </w:p>
    <w:p w14:paraId="10447AA6">
      <w:pPr>
        <w:pStyle w:val="4"/>
        <w:spacing w:before="48" w:beforeLines="20" w:after="48" w:afterLines="20"/>
        <w:jc w:val="left"/>
        <w:rPr>
          <w:rFonts w:hint="eastAsia" w:ascii="宋体" w:hAnsi="宋体" w:eastAsia="宋体" w:cs="宋体"/>
          <w:color w:val="auto"/>
          <w:highlight w:val="none"/>
        </w:rPr>
      </w:pPr>
      <w:bookmarkStart w:id="99" w:name="_Toc532744144"/>
      <w:r>
        <w:rPr>
          <w:rFonts w:hint="eastAsia" w:ascii="宋体" w:hAnsi="宋体" w:eastAsia="宋体" w:cs="宋体"/>
          <w:color w:val="auto"/>
          <w:highlight w:val="none"/>
        </w:rPr>
        <w:t>2.2 分值构成与评分标准</w:t>
      </w:r>
      <w:bookmarkEnd w:id="99"/>
    </w:p>
    <w:p w14:paraId="18AA36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2.2.1分值构成</w:t>
      </w:r>
    </w:p>
    <w:p w14:paraId="51AC1F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（1）资信业绩部分：见评标办法前附表；</w:t>
      </w:r>
    </w:p>
    <w:p w14:paraId="44F22A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（2）服务方案部分：见评标办法前附表；</w:t>
      </w:r>
    </w:p>
    <w:p w14:paraId="7A5171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（3）投标报价：见评标办法前附表；</w:t>
      </w:r>
    </w:p>
    <w:p w14:paraId="27787C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（4）其他评分因素：见评标办法前附表。</w:t>
      </w:r>
    </w:p>
    <w:p w14:paraId="748591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2.2.2评标基准价计算</w:t>
      </w:r>
    </w:p>
    <w:p w14:paraId="139CC3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评标基准价计算方法：见评标办法前附表。</w:t>
      </w:r>
    </w:p>
    <w:p w14:paraId="63C1B7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2.2.3投标报价的计算</w:t>
      </w:r>
    </w:p>
    <w:p w14:paraId="1ACCA7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投标报价的偏差率计算公式：见评标办法前附表。</w:t>
      </w:r>
    </w:p>
    <w:p w14:paraId="078987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2.2.4评分标准</w:t>
      </w:r>
    </w:p>
    <w:p w14:paraId="56D7CC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（1）资信业绩评分标准：见评标办法前附表；</w:t>
      </w:r>
    </w:p>
    <w:p w14:paraId="060341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（2）服务方案评分标准：见评标办法前附表；</w:t>
      </w:r>
    </w:p>
    <w:p w14:paraId="64E258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（3）投标报价评分标准：见评标办法前附表；</w:t>
      </w:r>
    </w:p>
    <w:p w14:paraId="73D390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（4）其他因素评分标准：见评标办法前附表。</w:t>
      </w:r>
    </w:p>
    <w:p w14:paraId="4AC4CBF6">
      <w:pPr>
        <w:pStyle w:val="2"/>
        <w:rPr>
          <w:rFonts w:hint="eastAsia" w:ascii="宋体" w:hAnsi="宋体" w:eastAsia="宋体" w:cs="宋体"/>
          <w:color w:val="auto"/>
          <w:highlight w:val="none"/>
        </w:rPr>
      </w:pPr>
      <w:bookmarkStart w:id="100" w:name="_Toc532744145"/>
      <w:r>
        <w:rPr>
          <w:rFonts w:hint="eastAsia" w:ascii="宋体" w:hAnsi="宋体" w:eastAsia="宋体" w:cs="宋体"/>
          <w:color w:val="auto"/>
          <w:highlight w:val="none"/>
        </w:rPr>
        <w:t>3. 评标程序</w:t>
      </w:r>
      <w:bookmarkEnd w:id="100"/>
    </w:p>
    <w:p w14:paraId="0CF23989">
      <w:pPr>
        <w:pStyle w:val="4"/>
        <w:spacing w:before="48" w:beforeLines="20" w:after="48" w:afterLines="20"/>
        <w:jc w:val="left"/>
        <w:rPr>
          <w:rFonts w:hint="eastAsia" w:ascii="宋体" w:hAnsi="宋体" w:eastAsia="宋体" w:cs="宋体"/>
          <w:color w:val="auto"/>
          <w:highlight w:val="none"/>
        </w:rPr>
      </w:pPr>
      <w:bookmarkStart w:id="101" w:name="_Toc532744146"/>
      <w:r>
        <w:rPr>
          <w:rFonts w:hint="eastAsia" w:ascii="宋体" w:hAnsi="宋体" w:eastAsia="宋体" w:cs="宋体"/>
          <w:color w:val="auto"/>
          <w:highlight w:val="none"/>
        </w:rPr>
        <w:t>3.1 初步评审</w:t>
      </w:r>
      <w:bookmarkEnd w:id="101"/>
    </w:p>
    <w:p w14:paraId="2ED9E7C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rFonts w:hint="eastAsia" w:ascii="宋体" w:hAnsi="宋体" w:eastAsia="宋体" w:cs="宋体"/>
          <w:color w:val="auto"/>
          <w:szCs w:val="21"/>
          <w:highlight w:val="none"/>
          <w:u w:val="single"/>
        </w:rPr>
        <w:t>若评委意见不一致时，则按少数服从多数的原则，作出评审结论。</w:t>
      </w:r>
    </w:p>
    <w:p w14:paraId="280A677F">
      <w:pPr>
        <w:tabs>
          <w:tab w:val="left" w:pos="126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 投标人有以下情形之一的，评标委员会应当否决其投标：</w:t>
      </w:r>
    </w:p>
    <w:p w14:paraId="4A856D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（1）投标文件没有对招标文件的实质性要求和条件作出响应，或者对招标文件的偏差超出招标文件规定的偏差范围或最高项数；</w:t>
      </w:r>
    </w:p>
    <w:p w14:paraId="2C96E1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（2）有串通投标、弄虚作假、行贿等违法行为。</w:t>
      </w:r>
    </w:p>
    <w:p w14:paraId="17B8C00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 投标报价有算术错误及其他错误的，评标委员会按以下原则要求投标人对投标报价进行修正，并要求投标人书面澄清确认。投标人拒不澄清确认的，评标委员会应当否决其投标：</w:t>
      </w:r>
    </w:p>
    <w:p w14:paraId="38D8D6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14:paraId="35FD3F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（2）总价金额与单价金额之和不一致的，以单价金额为准，但单价金额小数点有明显错误的除外；</w:t>
      </w:r>
    </w:p>
    <w:p w14:paraId="1C0376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（3）如果投标人的暂列金额未按招标文件规定的金额填写的，由评标委员会按照招标文件规定的金额进行修正。</w:t>
      </w:r>
    </w:p>
    <w:p w14:paraId="087322DC">
      <w:pPr>
        <w:pStyle w:val="4"/>
        <w:spacing w:before="48" w:beforeLines="20" w:after="48" w:afterLines="20"/>
        <w:jc w:val="left"/>
        <w:rPr>
          <w:rFonts w:hint="eastAsia" w:ascii="宋体" w:hAnsi="宋体" w:eastAsia="宋体" w:cs="宋体"/>
          <w:color w:val="auto"/>
          <w:highlight w:val="none"/>
        </w:rPr>
      </w:pPr>
      <w:bookmarkStart w:id="102" w:name="_Toc532744147"/>
      <w:r>
        <w:rPr>
          <w:rFonts w:hint="eastAsia" w:ascii="宋体" w:hAnsi="宋体" w:eastAsia="宋体" w:cs="宋体"/>
          <w:color w:val="auto"/>
          <w:highlight w:val="none"/>
        </w:rPr>
        <w:t>3.2 详细评审</w:t>
      </w:r>
      <w:bookmarkEnd w:id="102"/>
    </w:p>
    <w:p w14:paraId="1269BA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3.2.1评标委员会按本章第2.2款规定的量化因素和分值进行打分，并计算出综合评估得分。</w:t>
      </w:r>
    </w:p>
    <w:p w14:paraId="54C2C7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（1）按本章第2.2.4（1）目规定的评审因素和分值对资信业绩部分计算出得分A；A为各评委的评分计取的算术平均分；</w:t>
      </w:r>
    </w:p>
    <w:p w14:paraId="63735F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（2）按本章第2.2.4（2）目规定的评审因素和分值对服务方案部分计算出得分B；B为各评委的评分计取的算术平均分；</w:t>
      </w:r>
    </w:p>
    <w:p w14:paraId="685CD5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（3）按本章第2.2.4（3）目规定的评审因素和分值对投标报价计算出得分C；C为各评委的评分计取的算术平均分；</w:t>
      </w:r>
    </w:p>
    <w:p w14:paraId="046BAC1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（4）按本章第2.2.4（4）目规定的评审因素和分值对其他部分计算出得分D，</w:t>
      </w:r>
      <w:r>
        <w:rPr>
          <w:rFonts w:hint="eastAsia" w:ascii="宋体" w:hAnsi="宋体" w:eastAsia="宋体" w:cs="宋体"/>
          <w:color w:val="auto"/>
          <w:highlight w:val="none"/>
          <w:u w:val="single"/>
        </w:rPr>
        <w:t>本项目无其他因素，所以D为0，不参与详细评审和得分。</w:t>
      </w:r>
    </w:p>
    <w:p w14:paraId="7C5C0F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0B3F6B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3.2.3投标人总得分=A+B+C。</w:t>
      </w:r>
    </w:p>
    <w:p w14:paraId="34B996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89653C1">
      <w:pPr>
        <w:pStyle w:val="4"/>
        <w:spacing w:before="48" w:beforeLines="20" w:after="48" w:afterLines="20"/>
        <w:jc w:val="left"/>
        <w:rPr>
          <w:rFonts w:hint="eastAsia" w:ascii="宋体" w:hAnsi="宋体" w:eastAsia="宋体" w:cs="宋体"/>
          <w:color w:val="auto"/>
          <w:highlight w:val="none"/>
        </w:rPr>
      </w:pPr>
      <w:bookmarkStart w:id="103" w:name="_Toc532744148"/>
      <w:r>
        <w:rPr>
          <w:rFonts w:hint="eastAsia" w:ascii="宋体" w:hAnsi="宋体" w:eastAsia="宋体" w:cs="宋体"/>
          <w:color w:val="auto"/>
          <w:highlight w:val="none"/>
        </w:rPr>
        <w:t>3.3 投标文件的澄清</w:t>
      </w:r>
      <w:bookmarkEnd w:id="103"/>
    </w:p>
    <w:p w14:paraId="0440CF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E6F03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澄清、说明或补正不得超出投标文件的范围且不得改变投标文件的实质性内容，并构成投标文件的组成部分。</w:t>
      </w:r>
    </w:p>
    <w:p w14:paraId="0CD5EA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评标委员会对投标人提交的澄清、说明或补正有疑问的，可以要求投标人进一步澄清、说明或补正，直至满足评标委员会的要求。</w:t>
      </w:r>
    </w:p>
    <w:p w14:paraId="12F8DD7F">
      <w:pPr>
        <w:pStyle w:val="4"/>
        <w:spacing w:before="48" w:beforeLines="20" w:after="48" w:afterLines="20"/>
        <w:jc w:val="left"/>
        <w:rPr>
          <w:rFonts w:hint="eastAsia" w:ascii="宋体" w:hAnsi="宋体" w:eastAsia="宋体" w:cs="宋体"/>
          <w:color w:val="auto"/>
          <w:highlight w:val="none"/>
        </w:rPr>
      </w:pPr>
      <w:bookmarkStart w:id="104" w:name="_Toc532744149"/>
      <w:r>
        <w:rPr>
          <w:rFonts w:hint="eastAsia" w:ascii="宋体" w:hAnsi="宋体" w:eastAsia="宋体" w:cs="宋体"/>
          <w:color w:val="auto"/>
          <w:highlight w:val="none"/>
        </w:rPr>
        <w:t>3.4 评标结果</w:t>
      </w:r>
      <w:bookmarkEnd w:id="104"/>
    </w:p>
    <w:p w14:paraId="499090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 除第二章“投标人须知”前附表授权直接确定中标人外，评标委员会按照得分由高到低的顺序推荐中标候选人，并标明排序。</w:t>
      </w:r>
    </w:p>
    <w:p w14:paraId="405C5C9D">
      <w:pPr>
        <w:spacing w:line="276" w:lineRule="auto"/>
        <w:ind w:left="-2" w:firstLine="367"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rPr>
        <w:t>3.4.2 评标委员会完成评标后，应当向招标人提交书面评标报告和中标候选人名单。</w:t>
      </w:r>
    </w:p>
    <w:p w14:paraId="160F8B9B">
      <w:pPr>
        <w:spacing w:line="276" w:lineRule="auto"/>
        <w:ind w:left="-2"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008C3948">
      <w:pPr>
        <w:rPr>
          <w:rFonts w:hint="eastAsia" w:ascii="宋体" w:hAnsi="宋体" w:eastAsia="宋体" w:cs="宋体"/>
          <w:color w:val="auto"/>
          <w:highlight w:val="none"/>
        </w:rPr>
      </w:pPr>
      <w:bookmarkStart w:id="105" w:name="_Toc22637083"/>
      <w:bookmarkStart w:id="106" w:name="_Toc28029_WPSOffice_Level1"/>
      <w:bookmarkStart w:id="107" w:name="_Toc525063257"/>
    </w:p>
    <w:p w14:paraId="4D0F2698">
      <w:pPr>
        <w:rPr>
          <w:rFonts w:hint="eastAsia" w:ascii="宋体" w:hAnsi="宋体" w:eastAsia="宋体" w:cs="宋体"/>
          <w:color w:val="auto"/>
          <w:highlight w:val="none"/>
        </w:rPr>
      </w:pPr>
    </w:p>
    <w:p w14:paraId="13429AAF">
      <w:pPr>
        <w:rPr>
          <w:rFonts w:hint="eastAsia" w:ascii="宋体" w:hAnsi="宋体" w:eastAsia="宋体" w:cs="宋体"/>
          <w:color w:val="auto"/>
          <w:highlight w:val="none"/>
        </w:rPr>
      </w:pPr>
    </w:p>
    <w:p w14:paraId="2AE95DEF">
      <w:pPr>
        <w:rPr>
          <w:rFonts w:hint="eastAsia" w:ascii="宋体" w:hAnsi="宋体" w:eastAsia="宋体" w:cs="宋体"/>
          <w:color w:val="auto"/>
          <w:highlight w:val="none"/>
        </w:rPr>
      </w:pPr>
    </w:p>
    <w:p w14:paraId="72EF4064">
      <w:pPr>
        <w:rPr>
          <w:rFonts w:hint="eastAsia" w:ascii="宋体" w:hAnsi="宋体" w:eastAsia="宋体" w:cs="宋体"/>
          <w:color w:val="auto"/>
          <w:highlight w:val="none"/>
        </w:rPr>
      </w:pPr>
    </w:p>
    <w:p w14:paraId="1BA69B4F">
      <w:pPr>
        <w:rPr>
          <w:rFonts w:hint="eastAsia" w:ascii="宋体" w:hAnsi="宋体" w:eastAsia="宋体" w:cs="宋体"/>
          <w:color w:val="auto"/>
          <w:highlight w:val="none"/>
        </w:rPr>
      </w:pPr>
    </w:p>
    <w:p w14:paraId="119FDEFB">
      <w:pPr>
        <w:rPr>
          <w:rFonts w:hint="eastAsia" w:ascii="宋体" w:hAnsi="宋体" w:eastAsia="宋体" w:cs="宋体"/>
          <w:color w:val="auto"/>
          <w:highlight w:val="none"/>
        </w:rPr>
      </w:pPr>
    </w:p>
    <w:p w14:paraId="56E72E63">
      <w:pPr>
        <w:rPr>
          <w:rFonts w:hint="eastAsia" w:ascii="宋体" w:hAnsi="宋体" w:eastAsia="宋体" w:cs="宋体"/>
          <w:color w:val="auto"/>
          <w:highlight w:val="none"/>
        </w:rPr>
      </w:pPr>
    </w:p>
    <w:p w14:paraId="2E66E6F9">
      <w:pPr>
        <w:rPr>
          <w:rFonts w:hint="eastAsia" w:ascii="宋体" w:hAnsi="宋体" w:eastAsia="宋体" w:cs="宋体"/>
          <w:color w:val="auto"/>
          <w:highlight w:val="none"/>
        </w:rPr>
      </w:pPr>
    </w:p>
    <w:p w14:paraId="20F49D6B">
      <w:pPr>
        <w:rPr>
          <w:rFonts w:hint="eastAsia" w:ascii="宋体" w:hAnsi="宋体" w:eastAsia="宋体" w:cs="宋体"/>
          <w:color w:val="auto"/>
          <w:highlight w:val="none"/>
        </w:rPr>
      </w:pPr>
    </w:p>
    <w:p w14:paraId="7008EA40">
      <w:pPr>
        <w:rPr>
          <w:rFonts w:hint="eastAsia" w:ascii="宋体" w:hAnsi="宋体" w:eastAsia="宋体" w:cs="宋体"/>
          <w:color w:val="auto"/>
          <w:highlight w:val="none"/>
        </w:rPr>
      </w:pPr>
    </w:p>
    <w:p w14:paraId="6813B6BD">
      <w:pPr>
        <w:rPr>
          <w:rFonts w:hint="eastAsia" w:ascii="宋体" w:hAnsi="宋体" w:eastAsia="宋体" w:cs="宋体"/>
          <w:color w:val="auto"/>
          <w:highlight w:val="none"/>
        </w:rPr>
      </w:pPr>
    </w:p>
    <w:p w14:paraId="690FE8C3">
      <w:pPr>
        <w:rPr>
          <w:rFonts w:hint="eastAsia" w:ascii="宋体" w:hAnsi="宋体" w:eastAsia="宋体" w:cs="宋体"/>
          <w:color w:val="auto"/>
          <w:highlight w:val="none"/>
        </w:rPr>
      </w:pPr>
    </w:p>
    <w:p w14:paraId="76469225">
      <w:pPr>
        <w:rPr>
          <w:rFonts w:hint="eastAsia" w:ascii="宋体" w:hAnsi="宋体" w:eastAsia="宋体" w:cs="宋体"/>
          <w:color w:val="auto"/>
          <w:highlight w:val="none"/>
        </w:rPr>
      </w:pPr>
    </w:p>
    <w:p w14:paraId="2A628880">
      <w:pPr>
        <w:rPr>
          <w:rFonts w:hint="eastAsia" w:ascii="宋体" w:hAnsi="宋体" w:eastAsia="宋体" w:cs="宋体"/>
          <w:color w:val="auto"/>
          <w:highlight w:val="none"/>
        </w:rPr>
      </w:pPr>
    </w:p>
    <w:p w14:paraId="6D980EED">
      <w:pPr>
        <w:rPr>
          <w:rFonts w:hint="eastAsia" w:ascii="宋体" w:hAnsi="宋体" w:eastAsia="宋体" w:cs="宋体"/>
          <w:color w:val="auto"/>
          <w:highlight w:val="none"/>
        </w:rPr>
      </w:pPr>
    </w:p>
    <w:p w14:paraId="0C9A8858">
      <w:pPr>
        <w:pStyle w:val="3"/>
        <w:spacing w:line="240" w:lineRule="auto"/>
        <w:jc w:val="center"/>
        <w:rPr>
          <w:rFonts w:hint="eastAsia" w:ascii="宋体" w:hAnsi="宋体" w:cs="宋体"/>
          <w:color w:val="auto"/>
          <w:highlight w:val="none"/>
        </w:rPr>
      </w:pPr>
      <w:r>
        <w:rPr>
          <w:rFonts w:hint="eastAsia" w:ascii="宋体" w:hAnsi="宋体" w:cs="宋体"/>
          <w:color w:val="auto"/>
          <w:highlight w:val="none"/>
        </w:rPr>
        <w:t>第四章 合同条款及格式</w:t>
      </w:r>
      <w:bookmarkEnd w:id="105"/>
      <w:bookmarkEnd w:id="106"/>
    </w:p>
    <w:p w14:paraId="00F7EF9D">
      <w:pPr>
        <w:rPr>
          <w:rFonts w:hint="eastAsia" w:ascii="宋体" w:hAnsi="宋体" w:eastAsia="宋体" w:cs="宋体"/>
          <w:color w:val="auto"/>
          <w:highlight w:val="none"/>
        </w:rPr>
      </w:pPr>
    </w:p>
    <w:p w14:paraId="0B10FBA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（另册）</w:t>
      </w:r>
    </w:p>
    <w:bookmarkEnd w:id="107"/>
    <w:p w14:paraId="2794B6AF">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8" w:name="_Toc22637085"/>
      <w:bookmarkStart w:id="109" w:name="_Toc16479_WPSOffice_Level1"/>
    </w:p>
    <w:p w14:paraId="52210DA0">
      <w:pPr>
        <w:rPr>
          <w:rFonts w:hint="eastAsia" w:ascii="宋体" w:hAnsi="宋体" w:eastAsia="宋体" w:cs="宋体"/>
          <w:color w:val="auto"/>
          <w:highlight w:val="none"/>
        </w:rPr>
      </w:pPr>
    </w:p>
    <w:p w14:paraId="7228F9DF">
      <w:pPr>
        <w:rPr>
          <w:rFonts w:hint="eastAsia" w:ascii="宋体" w:hAnsi="宋体" w:eastAsia="宋体" w:cs="宋体"/>
          <w:color w:val="auto"/>
          <w:highlight w:val="none"/>
        </w:rPr>
      </w:pPr>
    </w:p>
    <w:p w14:paraId="6BAAB99B">
      <w:pPr>
        <w:rPr>
          <w:rFonts w:hint="eastAsia" w:ascii="宋体" w:hAnsi="宋体" w:eastAsia="宋体" w:cs="宋体"/>
          <w:color w:val="auto"/>
          <w:highlight w:val="none"/>
        </w:rPr>
      </w:pPr>
    </w:p>
    <w:p w14:paraId="6D0CC756">
      <w:pPr>
        <w:rPr>
          <w:rFonts w:hint="eastAsia" w:ascii="宋体" w:hAnsi="宋体" w:eastAsia="宋体" w:cs="宋体"/>
          <w:color w:val="auto"/>
          <w:highlight w:val="none"/>
        </w:rPr>
      </w:pPr>
    </w:p>
    <w:p w14:paraId="1424FC10">
      <w:pPr>
        <w:rPr>
          <w:rFonts w:hint="eastAsia" w:ascii="宋体" w:hAnsi="宋体" w:eastAsia="宋体" w:cs="宋体"/>
          <w:color w:val="auto"/>
          <w:highlight w:val="none"/>
        </w:rPr>
      </w:pPr>
    </w:p>
    <w:p w14:paraId="76DA0B98">
      <w:pPr>
        <w:rPr>
          <w:rFonts w:hint="eastAsia" w:ascii="宋体" w:hAnsi="宋体" w:eastAsia="宋体" w:cs="宋体"/>
          <w:color w:val="auto"/>
          <w:highlight w:val="none"/>
        </w:rPr>
      </w:pPr>
    </w:p>
    <w:p w14:paraId="6C9961E9">
      <w:pPr>
        <w:rPr>
          <w:rFonts w:hint="eastAsia" w:ascii="宋体" w:hAnsi="宋体" w:eastAsia="宋体" w:cs="宋体"/>
          <w:color w:val="auto"/>
          <w:highlight w:val="none"/>
        </w:rPr>
      </w:pPr>
    </w:p>
    <w:p w14:paraId="6B960D74">
      <w:pPr>
        <w:rPr>
          <w:rFonts w:hint="eastAsia" w:ascii="宋体" w:hAnsi="宋体" w:eastAsia="宋体" w:cs="宋体"/>
          <w:color w:val="auto"/>
          <w:highlight w:val="none"/>
        </w:rPr>
      </w:pPr>
    </w:p>
    <w:p w14:paraId="3F789B79">
      <w:pPr>
        <w:rPr>
          <w:rFonts w:hint="eastAsia" w:ascii="宋体" w:hAnsi="宋体" w:eastAsia="宋体" w:cs="宋体"/>
          <w:color w:val="auto"/>
          <w:highlight w:val="none"/>
        </w:rPr>
      </w:pPr>
    </w:p>
    <w:p w14:paraId="4AD48388">
      <w:pPr>
        <w:rPr>
          <w:rFonts w:hint="eastAsia" w:ascii="宋体" w:hAnsi="宋体" w:eastAsia="宋体" w:cs="宋体"/>
          <w:color w:val="auto"/>
          <w:highlight w:val="none"/>
        </w:rPr>
      </w:pPr>
    </w:p>
    <w:p w14:paraId="1FE9F116">
      <w:pPr>
        <w:rPr>
          <w:rFonts w:hint="eastAsia" w:ascii="宋体" w:hAnsi="宋体" w:eastAsia="宋体" w:cs="宋体"/>
          <w:color w:val="auto"/>
          <w:highlight w:val="none"/>
        </w:rPr>
      </w:pPr>
    </w:p>
    <w:p w14:paraId="569D8BFE">
      <w:pPr>
        <w:rPr>
          <w:rFonts w:hint="eastAsia" w:ascii="宋体" w:hAnsi="宋体" w:eastAsia="宋体" w:cs="宋体"/>
          <w:color w:val="auto"/>
          <w:highlight w:val="none"/>
        </w:rPr>
      </w:pPr>
    </w:p>
    <w:p w14:paraId="1F615164">
      <w:pPr>
        <w:rPr>
          <w:rFonts w:hint="eastAsia" w:ascii="宋体" w:hAnsi="宋体" w:eastAsia="宋体" w:cs="宋体"/>
          <w:color w:val="auto"/>
          <w:highlight w:val="none"/>
        </w:rPr>
      </w:pPr>
    </w:p>
    <w:p w14:paraId="33509A46">
      <w:pPr>
        <w:pStyle w:val="3"/>
        <w:spacing w:line="240" w:lineRule="auto"/>
        <w:jc w:val="center"/>
        <w:rPr>
          <w:rFonts w:hint="eastAsia" w:ascii="宋体" w:hAnsi="宋体" w:cs="宋体"/>
          <w:color w:val="auto"/>
          <w:highlight w:val="none"/>
        </w:rPr>
      </w:pPr>
      <w:r>
        <w:rPr>
          <w:rFonts w:hint="eastAsia" w:ascii="宋体" w:hAnsi="宋体" w:cs="宋体"/>
          <w:color w:val="auto"/>
          <w:highlight w:val="none"/>
        </w:rPr>
        <w:t>第五章 投标文件格式</w:t>
      </w:r>
      <w:bookmarkEnd w:id="108"/>
      <w:bookmarkEnd w:id="109"/>
    </w:p>
    <w:p w14:paraId="789EB226">
      <w:pPr>
        <w:rPr>
          <w:rFonts w:hint="eastAsia" w:ascii="宋体" w:hAnsi="宋体" w:eastAsia="宋体" w:cs="宋体"/>
          <w:color w:val="auto"/>
          <w:highlight w:val="none"/>
        </w:rPr>
      </w:pPr>
    </w:p>
    <w:p w14:paraId="6E7E91EA">
      <w:pPr>
        <w:jc w:val="center"/>
        <w:rPr>
          <w:rFonts w:hint="eastAsia" w:ascii="宋体" w:hAnsi="宋体" w:eastAsia="宋体" w:cs="宋体"/>
          <w:color w:val="auto"/>
          <w:sz w:val="32"/>
          <w:szCs w:val="32"/>
          <w:highlight w:val="none"/>
        </w:rPr>
      </w:pPr>
    </w:p>
    <w:p w14:paraId="14E9921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AA988F">
      <w:pPr>
        <w:spacing w:before="240" w:after="240"/>
        <w:ind w:left="420"/>
        <w:jc w:val="center"/>
        <w:rPr>
          <w:rFonts w:hint="eastAsia" w:ascii="宋体" w:hAnsi="宋体" w:eastAsia="宋体" w:cs="宋体"/>
          <w:color w:val="auto"/>
          <w:sz w:val="30"/>
          <w:szCs w:val="30"/>
          <w:highlight w:val="none"/>
        </w:rPr>
      </w:pPr>
    </w:p>
    <w:p w14:paraId="6AF33FD5">
      <w:pPr>
        <w:spacing w:before="240" w:after="240"/>
        <w:ind w:left="420"/>
        <w:jc w:val="center"/>
        <w:rPr>
          <w:rFonts w:hint="eastAsia" w:ascii="宋体" w:hAnsi="宋体" w:eastAsia="宋体" w:cs="宋体"/>
          <w:color w:val="auto"/>
          <w:sz w:val="30"/>
          <w:szCs w:val="30"/>
          <w:highlight w:val="none"/>
        </w:rPr>
      </w:pPr>
    </w:p>
    <w:p w14:paraId="553D83B3">
      <w:pPr>
        <w:spacing w:before="240" w:after="240" w:line="360" w:lineRule="auto"/>
        <w:ind w:left="-1" w:leftChars="-1" w:hanging="1"/>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东南西环三滘立交市政化改造工程（二期）建筑工程一切险及第三者责任险</w:t>
      </w:r>
    </w:p>
    <w:p w14:paraId="1A5F6556">
      <w:pPr>
        <w:rPr>
          <w:rFonts w:hint="eastAsia" w:ascii="宋体" w:hAnsi="宋体" w:eastAsia="宋体" w:cs="宋体"/>
          <w:color w:val="auto"/>
          <w:sz w:val="20"/>
          <w:highlight w:val="none"/>
        </w:rPr>
      </w:pPr>
    </w:p>
    <w:p w14:paraId="2C005A75">
      <w:pPr>
        <w:rPr>
          <w:rFonts w:hint="eastAsia" w:ascii="宋体" w:hAnsi="宋体" w:eastAsia="宋体" w:cs="宋体"/>
          <w:color w:val="auto"/>
          <w:sz w:val="20"/>
          <w:highlight w:val="none"/>
        </w:rPr>
      </w:pPr>
    </w:p>
    <w:p w14:paraId="01A380F3">
      <w:pPr>
        <w:rPr>
          <w:rFonts w:hint="eastAsia" w:ascii="宋体" w:hAnsi="宋体" w:eastAsia="宋体" w:cs="宋体"/>
          <w:color w:val="auto"/>
          <w:sz w:val="20"/>
          <w:highlight w:val="none"/>
        </w:rPr>
      </w:pPr>
    </w:p>
    <w:p w14:paraId="6BADE04A">
      <w:pPr>
        <w:rPr>
          <w:rFonts w:hint="eastAsia" w:ascii="宋体" w:hAnsi="宋体" w:eastAsia="宋体" w:cs="宋体"/>
          <w:color w:val="auto"/>
          <w:sz w:val="20"/>
          <w:highlight w:val="none"/>
        </w:rPr>
      </w:pPr>
    </w:p>
    <w:p w14:paraId="7BAC8A86">
      <w:pPr>
        <w:rPr>
          <w:rFonts w:hint="eastAsia" w:ascii="宋体" w:hAnsi="宋体" w:eastAsia="宋体" w:cs="宋体"/>
          <w:color w:val="auto"/>
          <w:sz w:val="20"/>
          <w:highlight w:val="none"/>
        </w:rPr>
      </w:pPr>
    </w:p>
    <w:p w14:paraId="76D480E7">
      <w:pPr>
        <w:rPr>
          <w:rFonts w:hint="eastAsia" w:ascii="宋体" w:hAnsi="宋体" w:eastAsia="宋体" w:cs="宋体"/>
          <w:color w:val="auto"/>
          <w:sz w:val="20"/>
          <w:highlight w:val="none"/>
        </w:rPr>
      </w:pPr>
    </w:p>
    <w:p w14:paraId="0E6B9A39">
      <w:pPr>
        <w:rPr>
          <w:rFonts w:hint="eastAsia" w:ascii="宋体" w:hAnsi="宋体" w:eastAsia="宋体" w:cs="宋体"/>
          <w:color w:val="auto"/>
          <w:sz w:val="20"/>
          <w:highlight w:val="none"/>
        </w:rPr>
      </w:pPr>
    </w:p>
    <w:p w14:paraId="3ABFBD77">
      <w:pPr>
        <w:rPr>
          <w:rFonts w:hint="eastAsia" w:ascii="宋体" w:hAnsi="宋体" w:eastAsia="宋体" w:cs="宋体"/>
          <w:color w:val="auto"/>
          <w:sz w:val="20"/>
          <w:highlight w:val="none"/>
        </w:rPr>
      </w:pPr>
    </w:p>
    <w:p w14:paraId="313D7FF3">
      <w:pPr>
        <w:rPr>
          <w:rFonts w:hint="eastAsia" w:ascii="宋体" w:hAnsi="宋体" w:eastAsia="宋体" w:cs="宋体"/>
          <w:color w:val="auto"/>
          <w:sz w:val="20"/>
          <w:highlight w:val="none"/>
        </w:rPr>
      </w:pPr>
    </w:p>
    <w:p w14:paraId="258A7EAF">
      <w:pPr>
        <w:rPr>
          <w:rFonts w:hint="eastAsia" w:ascii="宋体" w:hAnsi="宋体" w:eastAsia="宋体" w:cs="宋体"/>
          <w:color w:val="auto"/>
          <w:sz w:val="20"/>
          <w:highlight w:val="none"/>
        </w:rPr>
      </w:pPr>
    </w:p>
    <w:p w14:paraId="04D18303">
      <w:pPr>
        <w:rPr>
          <w:rFonts w:hint="eastAsia" w:ascii="宋体" w:hAnsi="宋体" w:eastAsia="宋体" w:cs="宋体"/>
          <w:color w:val="auto"/>
          <w:sz w:val="20"/>
          <w:highlight w:val="none"/>
        </w:rPr>
      </w:pPr>
    </w:p>
    <w:p w14:paraId="2B9A40FA">
      <w:pPr>
        <w:jc w:val="center"/>
        <w:rPr>
          <w:rFonts w:hint="eastAsia" w:ascii="宋体" w:hAnsi="宋体" w:eastAsia="宋体" w:cs="宋体"/>
          <w:color w:val="auto"/>
          <w:sz w:val="44"/>
          <w:highlight w:val="none"/>
        </w:rPr>
      </w:pPr>
      <w:bookmarkStart w:id="110" w:name="_Toc16678_WPSOffice_Level1"/>
      <w:r>
        <w:rPr>
          <w:rFonts w:hint="eastAsia" w:ascii="宋体" w:hAnsi="宋体" w:eastAsia="宋体" w:cs="宋体"/>
          <w:color w:val="auto"/>
          <w:sz w:val="44"/>
          <w:highlight w:val="none"/>
        </w:rPr>
        <w:t>投标文件</w:t>
      </w:r>
      <w:bookmarkEnd w:id="110"/>
    </w:p>
    <w:p w14:paraId="5211C33F">
      <w:pPr>
        <w:jc w:val="center"/>
        <w:rPr>
          <w:rFonts w:hint="eastAsia" w:ascii="宋体" w:hAnsi="宋体" w:eastAsia="宋体" w:cs="宋体"/>
          <w:color w:val="auto"/>
          <w:sz w:val="44"/>
          <w:highlight w:val="none"/>
        </w:rPr>
      </w:pPr>
    </w:p>
    <w:p w14:paraId="2C80D7AB">
      <w:pPr>
        <w:rPr>
          <w:rFonts w:hint="eastAsia" w:ascii="宋体" w:hAnsi="宋体" w:eastAsia="宋体" w:cs="宋体"/>
          <w:color w:val="auto"/>
          <w:sz w:val="28"/>
          <w:highlight w:val="none"/>
        </w:rPr>
      </w:pPr>
    </w:p>
    <w:p w14:paraId="53C4CAA1">
      <w:pPr>
        <w:rPr>
          <w:rFonts w:hint="eastAsia" w:ascii="宋体" w:hAnsi="宋体" w:eastAsia="宋体" w:cs="宋体"/>
          <w:color w:val="auto"/>
          <w:sz w:val="28"/>
          <w:highlight w:val="none"/>
        </w:rPr>
      </w:pPr>
    </w:p>
    <w:p w14:paraId="6C5F029E">
      <w:pPr>
        <w:rPr>
          <w:rFonts w:hint="eastAsia" w:ascii="宋体" w:hAnsi="宋体" w:eastAsia="宋体" w:cs="宋体"/>
          <w:color w:val="auto"/>
          <w:sz w:val="28"/>
          <w:highlight w:val="none"/>
        </w:rPr>
      </w:pPr>
    </w:p>
    <w:p w14:paraId="3C438B89">
      <w:pPr>
        <w:rPr>
          <w:rFonts w:hint="eastAsia" w:ascii="宋体" w:hAnsi="宋体" w:eastAsia="宋体" w:cs="宋体"/>
          <w:color w:val="auto"/>
          <w:sz w:val="28"/>
          <w:highlight w:val="none"/>
        </w:rPr>
      </w:pPr>
    </w:p>
    <w:p w14:paraId="27940E27">
      <w:pPr>
        <w:rPr>
          <w:rFonts w:hint="eastAsia" w:ascii="宋体" w:hAnsi="宋体" w:eastAsia="宋体" w:cs="宋体"/>
          <w:color w:val="auto"/>
          <w:sz w:val="28"/>
          <w:highlight w:val="none"/>
        </w:rPr>
      </w:pPr>
    </w:p>
    <w:p w14:paraId="432893CE">
      <w:pPr>
        <w:rPr>
          <w:rFonts w:hint="eastAsia" w:ascii="宋体" w:hAnsi="宋体" w:eastAsia="宋体" w:cs="宋体"/>
          <w:color w:val="auto"/>
          <w:sz w:val="28"/>
          <w:highlight w:val="none"/>
        </w:rPr>
      </w:pPr>
    </w:p>
    <w:p w14:paraId="00D166C2">
      <w:pPr>
        <w:rPr>
          <w:rFonts w:hint="eastAsia" w:ascii="宋体" w:hAnsi="宋体" w:eastAsia="宋体" w:cs="宋体"/>
          <w:color w:val="auto"/>
          <w:sz w:val="28"/>
          <w:highlight w:val="none"/>
        </w:rPr>
      </w:pPr>
    </w:p>
    <w:p w14:paraId="47260109">
      <w:pPr>
        <w:rPr>
          <w:rFonts w:hint="eastAsia" w:ascii="宋体" w:hAnsi="宋体" w:eastAsia="宋体" w:cs="宋体"/>
          <w:color w:val="auto"/>
          <w:sz w:val="28"/>
          <w:highlight w:val="none"/>
        </w:rPr>
      </w:pPr>
    </w:p>
    <w:p w14:paraId="6E649EBC">
      <w:pPr>
        <w:rPr>
          <w:rFonts w:hint="eastAsia" w:ascii="宋体" w:hAnsi="宋体" w:eastAsia="宋体" w:cs="宋体"/>
          <w:color w:val="auto"/>
          <w:sz w:val="28"/>
          <w:highlight w:val="none"/>
        </w:rPr>
      </w:pPr>
    </w:p>
    <w:p w14:paraId="4B7872A7">
      <w:pPr>
        <w:rPr>
          <w:rFonts w:hint="eastAsia" w:ascii="宋体" w:hAnsi="宋体" w:eastAsia="宋体" w:cs="宋体"/>
          <w:color w:val="auto"/>
          <w:sz w:val="28"/>
          <w:highlight w:val="none"/>
        </w:rPr>
      </w:pPr>
    </w:p>
    <w:p w14:paraId="1C0D15A3">
      <w:pPr>
        <w:rPr>
          <w:rFonts w:hint="eastAsia" w:ascii="宋体" w:hAnsi="宋体" w:eastAsia="宋体" w:cs="宋体"/>
          <w:color w:val="auto"/>
          <w:sz w:val="28"/>
          <w:highlight w:val="none"/>
        </w:rPr>
      </w:pPr>
    </w:p>
    <w:p w14:paraId="6A840929">
      <w:pPr>
        <w:spacing w:line="360" w:lineRule="auto"/>
        <w:rPr>
          <w:rFonts w:hint="eastAsia" w:ascii="宋体" w:hAnsi="宋体" w:eastAsia="宋体" w:cs="宋体"/>
          <w:color w:val="auto"/>
          <w:sz w:val="28"/>
          <w:highlight w:val="none"/>
        </w:rPr>
      </w:pPr>
    </w:p>
    <w:p w14:paraId="011AA25E">
      <w:pPr>
        <w:spacing w:line="360" w:lineRule="auto"/>
        <w:ind w:firstLine="1120" w:firstLineChars="400"/>
        <w:rPr>
          <w:rFonts w:hint="eastAsia" w:ascii="宋体" w:hAnsi="宋体" w:eastAsia="宋体" w:cs="宋体"/>
          <w:color w:val="auto"/>
          <w:sz w:val="28"/>
          <w:highlight w:val="none"/>
          <w:u w:val="single"/>
        </w:rPr>
      </w:pPr>
      <w:bookmarkStart w:id="111" w:name="_Toc877_WPSOffice_Level1"/>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（盖单位章）</w:t>
      </w:r>
      <w:bookmarkEnd w:id="111"/>
    </w:p>
    <w:p w14:paraId="79F87E2D">
      <w:pPr>
        <w:spacing w:line="360" w:lineRule="auto"/>
        <w:ind w:firstLine="1120" w:firstLineChars="400"/>
        <w:jc w:val="left"/>
        <w:rPr>
          <w:rFonts w:hint="eastAsia" w:ascii="宋体" w:hAnsi="宋体" w:eastAsia="宋体" w:cs="宋体"/>
          <w:color w:val="auto"/>
          <w:sz w:val="28"/>
          <w:highlight w:val="none"/>
        </w:rPr>
      </w:pPr>
      <w:bookmarkStart w:id="112" w:name="_Toc23021_WPSOffice_Level1"/>
      <w:r>
        <w:rPr>
          <w:rFonts w:hint="eastAsia" w:ascii="宋体" w:hAnsi="宋体" w:eastAsia="宋体" w:cs="宋体"/>
          <w:color w:val="auto"/>
          <w:sz w:val="28"/>
          <w:highlight w:val="none"/>
        </w:rPr>
        <w:t>法定代表人或其委托代理人：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w:t>
      </w:r>
      <w:bookmarkStart w:id="113" w:name="_Hlk13044278"/>
      <w:r>
        <w:rPr>
          <w:rFonts w:hint="eastAsia" w:ascii="宋体" w:hAnsi="宋体" w:eastAsia="宋体" w:cs="宋体"/>
          <w:color w:val="auto"/>
          <w:sz w:val="28"/>
          <w:highlight w:val="none"/>
        </w:rPr>
        <w:t>签字</w:t>
      </w:r>
      <w:bookmarkEnd w:id="113"/>
      <w:r>
        <w:rPr>
          <w:rFonts w:hint="eastAsia" w:ascii="宋体" w:hAnsi="宋体" w:eastAsia="宋体" w:cs="宋体"/>
          <w:color w:val="auto"/>
          <w:sz w:val="28"/>
          <w:highlight w:val="none"/>
        </w:rPr>
        <w:t>或盖章）</w:t>
      </w:r>
      <w:bookmarkEnd w:id="112"/>
    </w:p>
    <w:p w14:paraId="3C656ADF">
      <w:pPr>
        <w:jc w:val="center"/>
        <w:rPr>
          <w:rFonts w:hint="eastAsia" w:ascii="宋体" w:hAnsi="宋体" w:eastAsia="宋体" w:cs="宋体"/>
          <w:color w:val="auto"/>
          <w:sz w:val="28"/>
          <w:highlight w:val="none"/>
        </w:rPr>
      </w:pPr>
    </w:p>
    <w:p w14:paraId="39AD1825">
      <w:pPr>
        <w:spacing w:line="400" w:lineRule="exact"/>
        <w:jc w:val="center"/>
        <w:rPr>
          <w:rFonts w:hint="eastAsia" w:ascii="宋体" w:hAnsi="宋体" w:eastAsia="宋体" w:cs="宋体"/>
          <w:color w:val="auto"/>
          <w:highlight w:val="none"/>
        </w:rPr>
      </w:pPr>
      <w:bookmarkStart w:id="114" w:name="_Toc16739_WPSOffice_Level1"/>
      <w:r>
        <w:rPr>
          <w:rFonts w:hint="eastAsia" w:ascii="宋体" w:hAnsi="宋体" w:eastAsia="宋体" w:cs="宋体"/>
          <w:color w:val="auto"/>
          <w:sz w:val="28"/>
          <w:highlight w:val="none"/>
        </w:rPr>
        <w:t>年    月    日</w:t>
      </w:r>
      <w:bookmarkEnd w:id="114"/>
    </w:p>
    <w:p w14:paraId="5711FBA0">
      <w:pPr>
        <w:pStyle w:val="2"/>
        <w:jc w:val="center"/>
        <w:rPr>
          <w:rFonts w:hint="eastAsia" w:ascii="宋体" w:hAnsi="宋体" w:eastAsia="宋体" w:cs="宋体"/>
          <w:color w:val="auto"/>
          <w:highlight w:val="none"/>
        </w:rPr>
      </w:pPr>
      <w:bookmarkStart w:id="115" w:name="_Toc531360695"/>
      <w:r>
        <w:rPr>
          <w:rFonts w:hint="eastAsia" w:ascii="宋体" w:hAnsi="宋体" w:eastAsia="宋体" w:cs="宋体"/>
          <w:color w:val="auto"/>
          <w:highlight w:val="none"/>
        </w:rPr>
        <w:br w:type="page"/>
      </w:r>
      <w:bookmarkStart w:id="116" w:name="_Toc16724_WPSOffice_Level1"/>
      <w:r>
        <w:rPr>
          <w:rFonts w:hint="eastAsia" w:ascii="宋体" w:hAnsi="宋体" w:eastAsia="宋体" w:cs="宋体"/>
          <w:color w:val="auto"/>
          <w:highlight w:val="none"/>
        </w:rPr>
        <w:t>目录</w:t>
      </w:r>
      <w:bookmarkEnd w:id="115"/>
      <w:bookmarkEnd w:id="116"/>
    </w:p>
    <w:p w14:paraId="43E954D7">
      <w:pPr>
        <w:spacing w:line="540" w:lineRule="exact"/>
        <w:rPr>
          <w:rFonts w:hint="eastAsia" w:ascii="宋体" w:hAnsi="宋体" w:eastAsia="宋体" w:cs="宋体"/>
          <w:color w:val="auto"/>
          <w:highlight w:val="none"/>
        </w:rPr>
      </w:pPr>
      <w:bookmarkStart w:id="117" w:name="_Toc30966_WPSOffice_Level1"/>
      <w:r>
        <w:rPr>
          <w:rFonts w:hint="eastAsia" w:ascii="宋体" w:hAnsi="宋体" w:eastAsia="宋体" w:cs="宋体"/>
          <w:color w:val="auto"/>
          <w:highlight w:val="none"/>
        </w:rPr>
        <w:t>一、投标函</w:t>
      </w:r>
      <w:bookmarkEnd w:id="117"/>
      <w:r>
        <w:rPr>
          <w:rFonts w:hint="eastAsia" w:ascii="宋体" w:hAnsi="宋体" w:eastAsia="宋体" w:cs="宋体"/>
          <w:color w:val="auto"/>
          <w:highlight w:val="none"/>
        </w:rPr>
        <w:t>及投标函附录</w:t>
      </w:r>
    </w:p>
    <w:p w14:paraId="1923405D">
      <w:pPr>
        <w:spacing w:line="540" w:lineRule="exact"/>
        <w:rPr>
          <w:rFonts w:hint="eastAsia" w:ascii="宋体" w:hAnsi="宋体" w:eastAsia="宋体" w:cs="宋体"/>
          <w:color w:val="auto"/>
          <w:highlight w:val="none"/>
        </w:rPr>
      </w:pPr>
      <w:bookmarkStart w:id="118" w:name="_Toc23649_WPSOffice_Level1"/>
      <w:r>
        <w:rPr>
          <w:rFonts w:hint="eastAsia" w:ascii="宋体" w:hAnsi="宋体" w:eastAsia="宋体" w:cs="宋体"/>
          <w:color w:val="auto"/>
          <w:highlight w:val="none"/>
        </w:rPr>
        <w:t>二、法定代表人身份证明</w:t>
      </w:r>
      <w:bookmarkEnd w:id="118"/>
      <w:r>
        <w:rPr>
          <w:rFonts w:hint="eastAsia" w:ascii="宋体" w:hAnsi="宋体" w:eastAsia="宋体" w:cs="宋体"/>
          <w:color w:val="auto"/>
          <w:szCs w:val="21"/>
          <w:highlight w:val="none"/>
        </w:rPr>
        <w:t>或</w:t>
      </w:r>
      <w:bookmarkStart w:id="119" w:name="_Toc16664_WPSOffice_Level1"/>
      <w:r>
        <w:rPr>
          <w:rFonts w:hint="eastAsia" w:ascii="宋体" w:hAnsi="宋体" w:eastAsia="宋体" w:cs="宋体"/>
          <w:color w:val="auto"/>
          <w:highlight w:val="none"/>
        </w:rPr>
        <w:t>授权委托书（适用于有委托代理人的情况）</w:t>
      </w:r>
      <w:bookmarkEnd w:id="119"/>
    </w:p>
    <w:p w14:paraId="4FDEEF26">
      <w:pPr>
        <w:spacing w:line="540" w:lineRule="exact"/>
        <w:rPr>
          <w:rFonts w:hint="eastAsia" w:ascii="宋体" w:hAnsi="宋体" w:eastAsia="宋体" w:cs="宋体"/>
          <w:color w:val="auto"/>
          <w:highlight w:val="none"/>
        </w:rPr>
      </w:pPr>
      <w:bookmarkStart w:id="120" w:name="_Toc7888_WPSOffice_Level1"/>
      <w:r>
        <w:rPr>
          <w:rFonts w:hint="eastAsia" w:ascii="宋体" w:hAnsi="宋体" w:eastAsia="宋体" w:cs="宋体"/>
          <w:color w:val="auto"/>
          <w:highlight w:val="none"/>
        </w:rPr>
        <w:t>三、资格审查资料</w:t>
      </w:r>
      <w:bookmarkEnd w:id="120"/>
    </w:p>
    <w:p w14:paraId="4C0B4982">
      <w:pPr>
        <w:spacing w:line="540" w:lineRule="exact"/>
        <w:rPr>
          <w:rFonts w:hint="eastAsia" w:ascii="宋体" w:hAnsi="宋体" w:eastAsia="宋体" w:cs="宋体"/>
          <w:color w:val="auto"/>
          <w:highlight w:val="none"/>
        </w:rPr>
      </w:pPr>
      <w:bookmarkStart w:id="121" w:name="_Toc18368_WPSOffice_Level1"/>
      <w:r>
        <w:rPr>
          <w:rFonts w:hint="eastAsia" w:ascii="宋体" w:hAnsi="宋体" w:eastAsia="宋体" w:cs="宋体"/>
          <w:color w:val="auto"/>
          <w:highlight w:val="none"/>
        </w:rPr>
        <w:t>四、资信业绩资料</w:t>
      </w:r>
      <w:bookmarkEnd w:id="121"/>
    </w:p>
    <w:p w14:paraId="25052BDA">
      <w:pPr>
        <w:spacing w:line="540" w:lineRule="exact"/>
        <w:rPr>
          <w:rFonts w:hint="eastAsia" w:ascii="宋体" w:hAnsi="宋体" w:eastAsia="宋体" w:cs="宋体"/>
          <w:color w:val="auto"/>
          <w:highlight w:val="none"/>
        </w:rPr>
      </w:pPr>
      <w:bookmarkStart w:id="122" w:name="_Toc20906_WPSOffice_Level1"/>
      <w:r>
        <w:rPr>
          <w:rFonts w:hint="eastAsia" w:ascii="宋体" w:hAnsi="宋体" w:eastAsia="宋体" w:cs="宋体"/>
          <w:color w:val="auto"/>
          <w:highlight w:val="none"/>
        </w:rPr>
        <w:t>五、服务方案</w:t>
      </w:r>
      <w:bookmarkEnd w:id="122"/>
    </w:p>
    <w:p w14:paraId="22DE9D2B">
      <w:pPr>
        <w:spacing w:line="540" w:lineRule="exact"/>
        <w:rPr>
          <w:rFonts w:hint="eastAsia" w:ascii="宋体" w:hAnsi="宋体" w:eastAsia="宋体" w:cs="宋体"/>
          <w:color w:val="auto"/>
          <w:highlight w:val="none"/>
        </w:rPr>
      </w:pPr>
      <w:bookmarkStart w:id="123" w:name="_Toc30256_WPSOffice_Level1"/>
      <w:bookmarkStart w:id="124" w:name="_Toc352691655"/>
      <w:bookmarkStart w:id="125" w:name="_Toc369531691"/>
      <w:bookmarkStart w:id="126" w:name="_Toc7039"/>
      <w:r>
        <w:rPr>
          <w:rFonts w:hint="eastAsia" w:ascii="宋体" w:hAnsi="宋体" w:eastAsia="宋体" w:cs="宋体"/>
          <w:color w:val="auto"/>
          <w:highlight w:val="none"/>
        </w:rPr>
        <w:t>六、其他资料</w:t>
      </w:r>
      <w:bookmarkEnd w:id="123"/>
    </w:p>
    <w:p w14:paraId="07A6C79F">
      <w:pPr>
        <w:spacing w:line="540" w:lineRule="exact"/>
        <w:rPr>
          <w:rFonts w:hint="eastAsia" w:ascii="宋体" w:hAnsi="宋体" w:eastAsia="宋体" w:cs="宋体"/>
          <w:color w:val="auto"/>
          <w:sz w:val="20"/>
          <w:highlight w:val="none"/>
        </w:rPr>
      </w:pPr>
    </w:p>
    <w:p w14:paraId="0ED18542">
      <w:pPr>
        <w:spacing w:line="540" w:lineRule="exact"/>
        <w:rPr>
          <w:rFonts w:hint="eastAsia" w:ascii="宋体" w:hAnsi="宋体" w:eastAsia="宋体" w:cs="宋体"/>
          <w:color w:val="auto"/>
          <w:sz w:val="20"/>
          <w:highlight w:val="none"/>
        </w:rPr>
      </w:pPr>
    </w:p>
    <w:p w14:paraId="3DDB1DF7">
      <w:pPr>
        <w:spacing w:line="540" w:lineRule="exact"/>
        <w:rPr>
          <w:rFonts w:hint="eastAsia" w:ascii="宋体" w:hAnsi="宋体" w:eastAsia="宋体" w:cs="宋体"/>
          <w:color w:val="auto"/>
          <w:sz w:val="20"/>
          <w:highlight w:val="none"/>
        </w:rPr>
      </w:pPr>
    </w:p>
    <w:bookmarkEnd w:id="124"/>
    <w:bookmarkEnd w:id="125"/>
    <w:bookmarkEnd w:id="126"/>
    <w:p w14:paraId="11815120">
      <w:pPr>
        <w:rPr>
          <w:rFonts w:hint="eastAsia" w:ascii="宋体" w:hAnsi="宋体" w:eastAsia="宋体" w:cs="宋体"/>
          <w:color w:val="auto"/>
          <w:highlight w:val="none"/>
        </w:rPr>
      </w:pPr>
      <w:bookmarkStart w:id="127" w:name="_Toc531360696"/>
    </w:p>
    <w:p w14:paraId="5AE2584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5FE95F">
      <w:pPr>
        <w:pStyle w:val="2"/>
        <w:spacing w:before="0" w:after="0" w:line="240" w:lineRule="auto"/>
        <w:rPr>
          <w:rFonts w:hint="eastAsia" w:ascii="宋体" w:hAnsi="宋体" w:eastAsia="宋体" w:cs="宋体"/>
          <w:color w:val="auto"/>
          <w:highlight w:val="none"/>
        </w:rPr>
      </w:pPr>
      <w:bookmarkStart w:id="128" w:name="_Toc4226_WPSOffice_Level1"/>
      <w:r>
        <w:rPr>
          <w:rFonts w:hint="eastAsia" w:ascii="宋体" w:hAnsi="宋体" w:eastAsia="宋体" w:cs="宋体"/>
          <w:color w:val="auto"/>
          <w:highlight w:val="none"/>
        </w:rPr>
        <w:t>一、投标</w:t>
      </w:r>
      <w:bookmarkStart w:id="129" w:name="_Toc369531692"/>
      <w:bookmarkStart w:id="130" w:name="_Toc352691656"/>
      <w:bookmarkStart w:id="131" w:name="_Toc6931"/>
      <w:r>
        <w:rPr>
          <w:rFonts w:hint="eastAsia" w:ascii="宋体" w:hAnsi="宋体" w:eastAsia="宋体" w:cs="宋体"/>
          <w:color w:val="auto"/>
          <w:highlight w:val="none"/>
        </w:rPr>
        <w:t>函</w:t>
      </w:r>
      <w:bookmarkEnd w:id="127"/>
      <w:bookmarkEnd w:id="128"/>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投标函附录</w:t>
      </w:r>
    </w:p>
    <w:bookmarkEnd w:id="129"/>
    <w:bookmarkEnd w:id="130"/>
    <w:bookmarkEnd w:id="131"/>
    <w:p w14:paraId="7733CFB2">
      <w:pPr>
        <w:keepNext/>
        <w:keepLines/>
        <w:jc w:val="center"/>
        <w:outlineLvl w:val="2"/>
        <w:rPr>
          <w:rFonts w:hint="eastAsia" w:ascii="宋体" w:hAnsi="宋体" w:eastAsia="宋体" w:cs="宋体"/>
          <w:b/>
          <w:bCs/>
          <w:color w:val="auto"/>
          <w:kern w:val="0"/>
          <w:sz w:val="32"/>
          <w:szCs w:val="32"/>
          <w:highlight w:val="none"/>
        </w:rPr>
      </w:pPr>
      <w:bookmarkStart w:id="132" w:name="_Toc32205_WPSOffice_Level1"/>
      <w:r>
        <w:rPr>
          <w:rFonts w:hint="eastAsia" w:ascii="宋体" w:hAnsi="宋体" w:eastAsia="宋体" w:cs="宋体"/>
          <w:b/>
          <w:bCs/>
          <w:color w:val="auto"/>
          <w:kern w:val="0"/>
          <w:sz w:val="32"/>
          <w:szCs w:val="32"/>
          <w:highlight w:val="none"/>
        </w:rPr>
        <w:t>1.1 投标函</w:t>
      </w:r>
      <w:bookmarkEnd w:id="132"/>
    </w:p>
    <w:p w14:paraId="6E9FDBB6">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b/>
          <w:color w:val="auto"/>
          <w:szCs w:val="21"/>
          <w:highlight w:val="none"/>
          <w:u w:val="single"/>
        </w:rPr>
        <w:t>广州交投城市道路建设有限公司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80659E">
      <w:pPr>
        <w:spacing w:line="36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1．我方已仔细研究了</w:t>
      </w:r>
      <w:r>
        <w:rPr>
          <w:rFonts w:hint="eastAsia" w:ascii="宋体" w:hAnsi="宋体" w:eastAsia="宋体" w:cs="宋体"/>
          <w:color w:val="auto"/>
          <w:szCs w:val="21"/>
          <w:highlight w:val="none"/>
          <w:u w:val="single"/>
        </w:rPr>
        <w:t xml:space="preserve"> 东南西环三滘立交市政化改造工程（二期）建筑工程一切险及第三者责任险 </w:t>
      </w:r>
      <w:r>
        <w:rPr>
          <w:rFonts w:hint="eastAsia" w:ascii="宋体" w:hAnsi="宋体" w:eastAsia="宋体" w:cs="宋体"/>
          <w:color w:val="auto"/>
          <w:szCs w:val="21"/>
          <w:highlight w:val="none"/>
        </w:rPr>
        <w:t>招标项目招标文件的全部内容，愿意以人民币（大写）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）的投标总报价（其中，增值税税率为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），保险服务期限：</w:t>
      </w:r>
      <w:r>
        <w:rPr>
          <w:rFonts w:hint="eastAsia" w:ascii="宋体" w:hAnsi="宋体" w:eastAsia="宋体" w:cs="宋体"/>
          <w:color w:val="auto"/>
          <w:szCs w:val="21"/>
          <w:highlight w:val="none"/>
          <w:u w:val="single"/>
        </w:rPr>
        <w:t xml:space="preserve">按招标文件要求 </w:t>
      </w:r>
      <w:r>
        <w:rPr>
          <w:rFonts w:hint="eastAsia" w:ascii="宋体" w:hAnsi="宋体" w:eastAsia="宋体" w:cs="宋体"/>
          <w:color w:val="auto"/>
          <w:szCs w:val="21"/>
          <w:highlight w:val="none"/>
        </w:rPr>
        <w:t>，按合同约定完成工作。</w:t>
      </w:r>
    </w:p>
    <w:p w14:paraId="6F61E4F2">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我方的投标文件包括下列内容：</w:t>
      </w:r>
    </w:p>
    <w:p w14:paraId="3564322C">
      <w:pPr>
        <w:spacing w:line="36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r>
        <w:rPr>
          <w:rFonts w:hint="eastAsia" w:ascii="宋体" w:hAnsi="宋体" w:eastAsia="宋体" w:cs="宋体"/>
          <w:color w:val="auto"/>
          <w:szCs w:val="21"/>
          <w:highlight w:val="none"/>
          <w:lang w:val="en-US" w:eastAsia="zh-CN"/>
        </w:rPr>
        <w:t>及投标函附录</w:t>
      </w:r>
      <w:r>
        <w:rPr>
          <w:rFonts w:hint="eastAsia" w:ascii="宋体" w:hAnsi="宋体" w:eastAsia="宋体" w:cs="宋体"/>
          <w:color w:val="auto"/>
          <w:szCs w:val="21"/>
          <w:highlight w:val="none"/>
        </w:rPr>
        <w:t>；</w:t>
      </w:r>
    </w:p>
    <w:p w14:paraId="7498CF74">
      <w:pPr>
        <w:spacing w:line="36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（2）法定代表人身份证明或授权委托书；</w:t>
      </w:r>
    </w:p>
    <w:p w14:paraId="1B112F24">
      <w:pPr>
        <w:spacing w:line="36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）资格审查资料；</w:t>
      </w:r>
    </w:p>
    <w:p w14:paraId="323F6594">
      <w:pPr>
        <w:spacing w:line="36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）资信业绩</w:t>
      </w:r>
      <w:r>
        <w:rPr>
          <w:rFonts w:hint="eastAsia" w:ascii="宋体" w:hAnsi="宋体" w:eastAsia="宋体" w:cs="宋体"/>
          <w:color w:val="auto"/>
          <w:szCs w:val="21"/>
          <w:highlight w:val="none"/>
          <w:lang w:val="en-US" w:eastAsia="zh-CN"/>
        </w:rPr>
        <w:t>证明材料</w:t>
      </w:r>
      <w:r>
        <w:rPr>
          <w:rFonts w:hint="eastAsia" w:ascii="宋体" w:hAnsi="宋体" w:eastAsia="宋体" w:cs="宋体"/>
          <w:color w:val="auto"/>
          <w:szCs w:val="21"/>
          <w:highlight w:val="none"/>
        </w:rPr>
        <w:t>；</w:t>
      </w:r>
    </w:p>
    <w:p w14:paraId="17DF74C0">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）服务方案</w:t>
      </w:r>
    </w:p>
    <w:p w14:paraId="39528726">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）其他资料。</w:t>
      </w:r>
    </w:p>
    <w:p w14:paraId="4C4DFAAB">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投标文件的上述组成部分如存在内容不一致的，以投标函为准。</w:t>
      </w:r>
    </w:p>
    <w:p w14:paraId="4866B534">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3．我方承诺在招标文件规定的投标有效期内不撤销投标文件。</w:t>
      </w:r>
    </w:p>
    <w:p w14:paraId="1F633098">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4．如我方中标，我方承诺：</w:t>
      </w:r>
    </w:p>
    <w:p w14:paraId="510CE550">
      <w:pPr>
        <w:spacing w:line="360" w:lineRule="exact"/>
        <w:ind w:left="945" w:leftChars="400" w:hanging="105" w:hanging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（1）在收到中标通知书后30日内与你方签订合同；</w:t>
      </w:r>
    </w:p>
    <w:p w14:paraId="6A10A3D0">
      <w:pPr>
        <w:spacing w:line="360" w:lineRule="exact"/>
        <w:ind w:left="945" w:leftChars="400" w:hanging="105" w:hanging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（2）在签订合同时不向你方提出附加条件；</w:t>
      </w:r>
    </w:p>
    <w:p w14:paraId="0D763D66">
      <w:pPr>
        <w:spacing w:line="360" w:lineRule="exact"/>
        <w:ind w:left="945" w:leftChars="400" w:hanging="105" w:hanging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（3）按照招标文件要求提交履约保证金；</w:t>
      </w:r>
      <w:bookmarkStart w:id="133" w:name="_Toc369531694"/>
      <w:bookmarkStart w:id="134" w:name="_Toc352691658"/>
      <w:bookmarkStart w:id="135" w:name="_Toc1187"/>
    </w:p>
    <w:p w14:paraId="554C025B">
      <w:pPr>
        <w:spacing w:line="360" w:lineRule="exact"/>
        <w:ind w:left="945" w:leftChars="400" w:hanging="105" w:hanging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
        </w:rPr>
        <w:t>4</w:t>
      </w:r>
      <w:r>
        <w:rPr>
          <w:rFonts w:hint="eastAsia" w:ascii="宋体" w:hAnsi="宋体" w:eastAsia="宋体" w:cs="宋体"/>
          <w:color w:val="auto"/>
          <w:szCs w:val="21"/>
          <w:highlight w:val="none"/>
        </w:rPr>
        <w:t>）在合</w:t>
      </w:r>
      <w:bookmarkEnd w:id="133"/>
      <w:bookmarkEnd w:id="134"/>
      <w:bookmarkEnd w:id="135"/>
      <w:r>
        <w:rPr>
          <w:rFonts w:hint="eastAsia" w:ascii="宋体" w:hAnsi="宋体" w:eastAsia="宋体" w:cs="宋体"/>
          <w:color w:val="auto"/>
          <w:szCs w:val="21"/>
          <w:highlight w:val="none"/>
        </w:rPr>
        <w:t>同约定的期限内完成合同规定的全部义务。</w:t>
      </w:r>
    </w:p>
    <w:p w14:paraId="62CF67A0">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5．我方在此声明，所递交的投标文件及有关资料内容完整、真实和准确，所有证件均有效，且不存在第二章“投标人须知”</w:t>
      </w:r>
      <w:r>
        <w:rPr>
          <w:rFonts w:hint="eastAsia" w:ascii="宋体" w:hAnsi="宋体" w:eastAsia="宋体" w:cs="宋体"/>
          <w:b/>
          <w:bCs/>
          <w:color w:val="auto"/>
          <w:szCs w:val="21"/>
          <w:highlight w:val="none"/>
        </w:rPr>
        <w:t>第1.4.3项</w:t>
      </w:r>
      <w:r>
        <w:rPr>
          <w:rFonts w:hint="eastAsia" w:ascii="宋体" w:hAnsi="宋体" w:eastAsia="宋体" w:cs="宋体"/>
          <w:color w:val="auto"/>
          <w:szCs w:val="21"/>
          <w:highlight w:val="none"/>
        </w:rPr>
        <w:t>规定的任何一种情形。</w:t>
      </w:r>
    </w:p>
    <w:p w14:paraId="2862FB6D">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我方中标，我方承诺：我司提交的所有投标资料真实可靠。如投标资料弄虚作假的，我方将承担与此有关的一切责任，包括但不限于取消投标资格或中标资格（如果已取得中标）、接受行政监督部门的行政处罚等。</w:t>
      </w:r>
    </w:p>
    <w:p w14:paraId="07B1FEC0">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7.我方在此承诺：无条件地配合政府相关管理部门、招标人及招标人上级管理单位等各级纪检机构对招标业务开展的监督和检查工作。</w:t>
      </w:r>
    </w:p>
    <w:p w14:paraId="54C19885">
      <w:pPr>
        <w:spacing w:line="360" w:lineRule="exact"/>
        <w:ind w:firstLine="2520" w:firstLineChars="1200"/>
        <w:rPr>
          <w:rFonts w:hint="eastAsia" w:ascii="宋体" w:hAnsi="宋体" w:eastAsia="宋体" w:cs="宋体"/>
          <w:color w:val="auto"/>
          <w:szCs w:val="21"/>
          <w:highlight w:val="none"/>
        </w:rPr>
      </w:pPr>
      <w:bookmarkStart w:id="136" w:name="_Toc352691660"/>
      <w:bookmarkEnd w:id="136"/>
      <w:bookmarkStart w:id="137" w:name="_Toc352691659"/>
      <w:bookmarkEnd w:id="137"/>
      <w:bookmarkStart w:id="138" w:name="_Toc16824"/>
      <w:bookmarkEnd w:id="138"/>
      <w:bookmarkStart w:id="139" w:name="_Toc369531696"/>
      <w:bookmarkEnd w:id="139"/>
      <w:bookmarkStart w:id="140" w:name="_Toc369531695"/>
      <w:bookmarkEnd w:id="140"/>
      <w:bookmarkStart w:id="141" w:name="_Toc16568"/>
      <w:bookmarkEnd w:id="141"/>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5781AD46">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72B99926">
      <w:pPr>
        <w:spacing w:line="360" w:lineRule="exact"/>
        <w:ind w:firstLine="2520" w:firstLineChars="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3C0EE8A6">
      <w:pPr>
        <w:spacing w:line="360" w:lineRule="exact"/>
        <w:ind w:firstLine="2520" w:firstLineChars="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7085E915">
      <w:pPr>
        <w:spacing w:line="360" w:lineRule="exact"/>
        <w:ind w:firstLine="2520" w:firstLineChars="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3D0F0211">
      <w:pPr>
        <w:spacing w:line="360" w:lineRule="exact"/>
        <w:ind w:firstLine="2520" w:firstLineChars="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1A8C2BC4">
      <w:pPr>
        <w:spacing w:line="360" w:lineRule="exact"/>
        <w:ind w:firstLine="2520" w:firstLineChars="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50FA1E22">
      <w:pPr>
        <w:spacing w:line="360" w:lineRule="exact"/>
        <w:ind w:firstLine="4725" w:firstLineChars="22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6E46B61">
      <w:pPr>
        <w:rPr>
          <w:rFonts w:hint="eastAsia" w:ascii="宋体" w:hAnsi="宋体" w:eastAsia="宋体" w:cs="宋体"/>
          <w:b/>
          <w:bCs/>
          <w:color w:val="auto"/>
          <w:kern w:val="0"/>
          <w:sz w:val="32"/>
          <w:szCs w:val="32"/>
          <w:highlight w:val="none"/>
        </w:rPr>
      </w:pPr>
      <w:bookmarkStart w:id="142" w:name="_Toc352691661"/>
      <w:bookmarkStart w:id="143" w:name="_Toc247527827"/>
      <w:bookmarkStart w:id="144" w:name="_Toc300835209"/>
      <w:bookmarkStart w:id="145" w:name="_Toc361508752"/>
      <w:bookmarkStart w:id="146" w:name="_Toc144974856"/>
      <w:bookmarkStart w:id="147" w:name="_Toc384308375"/>
      <w:bookmarkStart w:id="148" w:name="_Toc152042576"/>
      <w:bookmarkStart w:id="149" w:name="_Toc17960"/>
      <w:bookmarkStart w:id="150" w:name="_Toc369531697"/>
      <w:bookmarkStart w:id="151" w:name="_Toc247514246"/>
      <w:bookmarkStart w:id="152" w:name="_Toc152045787"/>
      <w:bookmarkStart w:id="153" w:name="_Toc8670_WPSOffice_Level1"/>
      <w:bookmarkStart w:id="154" w:name="_Toc531360699"/>
      <w:r>
        <w:rPr>
          <w:rFonts w:hint="eastAsia" w:ascii="宋体" w:hAnsi="宋体" w:eastAsia="宋体" w:cs="宋体"/>
          <w:b/>
          <w:bCs/>
          <w:color w:val="auto"/>
          <w:kern w:val="0"/>
          <w:sz w:val="32"/>
          <w:szCs w:val="32"/>
          <w:highlight w:val="none"/>
        </w:rPr>
        <w:br w:type="page"/>
      </w:r>
    </w:p>
    <w:p w14:paraId="78391BB4">
      <w:pPr>
        <w:keepNext/>
        <w:keepLines/>
        <w:spacing w:after="260"/>
        <w:jc w:val="center"/>
        <w:outlineLvl w:val="2"/>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1.2 投标函附录：</w:t>
      </w:r>
    </w:p>
    <w:tbl>
      <w:tblPr>
        <w:tblStyle w:val="20"/>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261"/>
        <w:gridCol w:w="4110"/>
      </w:tblGrid>
      <w:tr w14:paraId="5389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EFFF62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1" w:type="dxa"/>
            <w:vAlign w:val="center"/>
          </w:tcPr>
          <w:p w14:paraId="6004E45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    目</w:t>
            </w:r>
          </w:p>
        </w:tc>
        <w:tc>
          <w:tcPr>
            <w:tcW w:w="4110" w:type="dxa"/>
            <w:vAlign w:val="center"/>
          </w:tcPr>
          <w:p w14:paraId="1E4E417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r>
      <w:tr w14:paraId="457E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2FFD521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1" w:type="dxa"/>
            <w:vAlign w:val="center"/>
          </w:tcPr>
          <w:p w14:paraId="0F049FE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保险服务期限</w:t>
            </w:r>
          </w:p>
        </w:tc>
        <w:tc>
          <w:tcPr>
            <w:tcW w:w="4110" w:type="dxa"/>
            <w:vAlign w:val="center"/>
          </w:tcPr>
          <w:p w14:paraId="4EF4A56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按招标文件要求</w:t>
            </w:r>
          </w:p>
        </w:tc>
      </w:tr>
      <w:tr w14:paraId="4C25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5F5C458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1" w:type="dxa"/>
            <w:vAlign w:val="center"/>
          </w:tcPr>
          <w:p w14:paraId="1FDCA7B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4110" w:type="dxa"/>
            <w:vAlign w:val="center"/>
          </w:tcPr>
          <w:p w14:paraId="291D13E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按招标文件要求</w:t>
            </w:r>
          </w:p>
        </w:tc>
      </w:tr>
      <w:tr w14:paraId="691D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BBF016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1" w:type="dxa"/>
            <w:vAlign w:val="center"/>
          </w:tcPr>
          <w:p w14:paraId="663BB85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4110" w:type="dxa"/>
            <w:vAlign w:val="center"/>
          </w:tcPr>
          <w:p w14:paraId="4B85BE3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90日历天（从投标截止之日算起）</w:t>
            </w:r>
          </w:p>
        </w:tc>
      </w:tr>
      <w:tr w14:paraId="7B63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4" w:type="dxa"/>
            <w:vMerge w:val="restart"/>
            <w:tcBorders>
              <w:top w:val="single" w:color="auto" w:sz="4" w:space="0"/>
              <w:left w:val="single" w:color="auto" w:sz="4" w:space="0"/>
              <w:right w:val="single" w:color="auto" w:sz="4" w:space="0"/>
            </w:tcBorders>
          </w:tcPr>
          <w:p w14:paraId="7CF36B5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1" w:type="dxa"/>
            <w:vMerge w:val="restart"/>
            <w:tcBorders>
              <w:top w:val="single" w:color="auto" w:sz="4" w:space="0"/>
              <w:left w:val="single" w:color="auto" w:sz="4" w:space="0"/>
              <w:right w:val="single" w:color="auto" w:sz="4" w:space="0"/>
            </w:tcBorders>
            <w:vAlign w:val="center"/>
          </w:tcPr>
          <w:p w14:paraId="6140FCF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4110" w:type="dxa"/>
            <w:tcBorders>
              <w:top w:val="single" w:color="auto" w:sz="4" w:space="0"/>
              <w:left w:val="single" w:color="auto" w:sz="4" w:space="0"/>
              <w:bottom w:val="single" w:color="auto" w:sz="4" w:space="0"/>
              <w:right w:val="single" w:color="auto" w:sz="4" w:space="0"/>
            </w:tcBorders>
            <w:vAlign w:val="center"/>
          </w:tcPr>
          <w:p w14:paraId="0B1CB426">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保险费报价（万元）：</w:t>
            </w:r>
            <w:r>
              <w:rPr>
                <w:rFonts w:hint="eastAsia" w:ascii="宋体" w:hAnsi="宋体" w:eastAsia="宋体" w:cs="宋体"/>
                <w:color w:val="auto"/>
                <w:szCs w:val="21"/>
                <w:highlight w:val="none"/>
                <w:u w:val="single"/>
              </w:rPr>
              <w:t xml:space="preserve">           </w:t>
            </w:r>
          </w:p>
        </w:tc>
      </w:tr>
      <w:tr w14:paraId="74C5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4" w:type="dxa"/>
            <w:vMerge w:val="continue"/>
            <w:tcBorders>
              <w:left w:val="single" w:color="auto" w:sz="4" w:space="0"/>
              <w:right w:val="single" w:color="auto" w:sz="4" w:space="0"/>
            </w:tcBorders>
          </w:tcPr>
          <w:p w14:paraId="0BA9E7BB">
            <w:pPr>
              <w:spacing w:line="400" w:lineRule="exact"/>
              <w:jc w:val="center"/>
              <w:rPr>
                <w:rFonts w:hint="eastAsia" w:ascii="宋体" w:hAnsi="宋体" w:eastAsia="宋体" w:cs="宋体"/>
                <w:color w:val="auto"/>
                <w:szCs w:val="21"/>
                <w:highlight w:val="none"/>
              </w:rPr>
            </w:pPr>
          </w:p>
        </w:tc>
        <w:tc>
          <w:tcPr>
            <w:tcW w:w="3261" w:type="dxa"/>
            <w:vMerge w:val="continue"/>
            <w:tcBorders>
              <w:left w:val="single" w:color="auto" w:sz="4" w:space="0"/>
              <w:right w:val="single" w:color="auto" w:sz="4" w:space="0"/>
            </w:tcBorders>
            <w:vAlign w:val="center"/>
          </w:tcPr>
          <w:p w14:paraId="41B50201">
            <w:pPr>
              <w:spacing w:line="400" w:lineRule="exact"/>
              <w:jc w:val="center"/>
              <w:rPr>
                <w:rFonts w:hint="eastAsia" w:ascii="宋体" w:hAnsi="宋体" w:eastAsia="宋体" w:cs="宋体"/>
                <w:color w:val="auto"/>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14:paraId="0210543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保险费费率：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%（保险费费率=保险费/本项目“投保总保险金额”×100%，本项目“投保总保险金额”为56379.90万元）</w:t>
            </w:r>
          </w:p>
        </w:tc>
      </w:tr>
    </w:tbl>
    <w:p w14:paraId="48AFE5FA">
      <w:pPr>
        <w:spacing w:line="400" w:lineRule="exact"/>
        <w:rPr>
          <w:rFonts w:hint="eastAsia" w:ascii="宋体" w:hAnsi="宋体" w:eastAsia="宋体" w:cs="宋体"/>
          <w:color w:val="auto"/>
          <w:sz w:val="24"/>
          <w:highlight w:val="none"/>
        </w:rPr>
      </w:pPr>
    </w:p>
    <w:p w14:paraId="519E84E6">
      <w:pPr>
        <w:jc w:val="center"/>
        <w:rPr>
          <w:rFonts w:hint="eastAsia" w:ascii="宋体" w:hAnsi="宋体" w:eastAsia="宋体" w:cs="宋体"/>
          <w:color w:val="auto"/>
          <w:highlight w:val="none"/>
        </w:rPr>
      </w:pPr>
    </w:p>
    <w:p w14:paraId="7B3B6026">
      <w:pPr>
        <w:pStyle w:val="26"/>
        <w:rPr>
          <w:rFonts w:hint="eastAsia" w:ascii="宋体" w:hAnsi="宋体" w:cs="宋体"/>
          <w:color w:val="auto"/>
          <w:highlight w:val="none"/>
        </w:rPr>
      </w:pPr>
    </w:p>
    <w:p w14:paraId="3B933872">
      <w:pPr>
        <w:pStyle w:val="26"/>
        <w:rPr>
          <w:rFonts w:hint="eastAsia" w:ascii="宋体" w:hAnsi="宋体" w:cs="宋体"/>
          <w:color w:val="auto"/>
          <w:highlight w:val="none"/>
        </w:rPr>
      </w:pPr>
    </w:p>
    <w:p w14:paraId="4599A9BA">
      <w:pPr>
        <w:pStyle w:val="26"/>
        <w:rPr>
          <w:rFonts w:hint="eastAsia" w:ascii="宋体" w:hAnsi="宋体" w:cs="宋体"/>
          <w:color w:val="auto"/>
          <w:highlight w:val="none"/>
        </w:rPr>
      </w:pPr>
    </w:p>
    <w:p w14:paraId="09EB6ACA">
      <w:pPr>
        <w:pStyle w:val="26"/>
        <w:rPr>
          <w:rFonts w:hint="eastAsia" w:ascii="宋体" w:hAnsi="宋体" w:cs="宋体"/>
          <w:color w:val="auto"/>
          <w:highlight w:val="none"/>
        </w:rPr>
      </w:pPr>
    </w:p>
    <w:p w14:paraId="5AD34AF5">
      <w:pPr>
        <w:pStyle w:val="26"/>
        <w:rPr>
          <w:rFonts w:hint="eastAsia" w:ascii="宋体" w:hAnsi="宋体" w:cs="宋体"/>
          <w:color w:val="auto"/>
          <w:highlight w:val="none"/>
        </w:rPr>
      </w:pPr>
    </w:p>
    <w:p w14:paraId="6527DB18">
      <w:pPr>
        <w:pStyle w:val="26"/>
        <w:rPr>
          <w:rFonts w:hint="eastAsia" w:ascii="宋体" w:hAnsi="宋体" w:cs="宋体"/>
          <w:color w:val="auto"/>
          <w:highlight w:val="none"/>
        </w:rPr>
      </w:pPr>
    </w:p>
    <w:p w14:paraId="42C921FB">
      <w:pPr>
        <w:pStyle w:val="26"/>
        <w:rPr>
          <w:rFonts w:hint="eastAsia" w:ascii="宋体" w:hAnsi="宋体" w:cs="宋体"/>
          <w:color w:val="auto"/>
          <w:highlight w:val="none"/>
        </w:rPr>
      </w:pPr>
    </w:p>
    <w:p w14:paraId="28D6EE1A">
      <w:pPr>
        <w:pStyle w:val="26"/>
        <w:rPr>
          <w:rFonts w:hint="eastAsia" w:ascii="宋体" w:hAnsi="宋体" w:cs="宋体"/>
          <w:color w:val="auto"/>
          <w:highlight w:val="none"/>
        </w:rPr>
      </w:pPr>
    </w:p>
    <w:p w14:paraId="0B70AF6F">
      <w:pPr>
        <w:widowControl/>
        <w:jc w:val="left"/>
        <w:rPr>
          <w:rFonts w:hint="eastAsia" w:ascii="宋体" w:hAnsi="宋体" w:eastAsia="宋体" w:cs="宋体"/>
          <w:b/>
          <w:color w:val="auto"/>
          <w:sz w:val="32"/>
          <w:szCs w:val="20"/>
          <w:highlight w:val="none"/>
        </w:rPr>
      </w:pPr>
      <w:r>
        <w:rPr>
          <w:rFonts w:hint="eastAsia" w:ascii="宋体" w:hAnsi="宋体" w:eastAsia="宋体" w:cs="宋体"/>
          <w:color w:val="auto"/>
          <w:highlight w:val="none"/>
        </w:rPr>
        <w:br w:type="page"/>
      </w:r>
    </w:p>
    <w:p w14:paraId="717AB668">
      <w:pPr>
        <w:pStyle w:val="2"/>
        <w:jc w:val="left"/>
        <w:rPr>
          <w:rFonts w:hint="eastAsia" w:ascii="宋体" w:hAnsi="宋体" w:eastAsia="宋体" w:cs="宋体"/>
          <w:color w:val="auto"/>
          <w:highlight w:val="none"/>
        </w:rPr>
      </w:pPr>
      <w:r>
        <w:rPr>
          <w:rFonts w:hint="eastAsia" w:ascii="宋体" w:hAnsi="宋体" w:eastAsia="宋体" w:cs="宋体"/>
          <w:color w:val="auto"/>
          <w:highlight w:val="none"/>
        </w:rPr>
        <w:t>二</w:t>
      </w:r>
      <w:bookmarkEnd w:id="142"/>
      <w:bookmarkEnd w:id="143"/>
      <w:bookmarkEnd w:id="144"/>
      <w:bookmarkEnd w:id="145"/>
      <w:bookmarkEnd w:id="146"/>
      <w:bookmarkEnd w:id="147"/>
      <w:bookmarkEnd w:id="148"/>
      <w:bookmarkEnd w:id="149"/>
      <w:bookmarkEnd w:id="150"/>
      <w:bookmarkEnd w:id="151"/>
      <w:bookmarkEnd w:id="152"/>
      <w:r>
        <w:rPr>
          <w:rFonts w:hint="eastAsia" w:ascii="宋体" w:hAnsi="宋体" w:eastAsia="宋体" w:cs="宋体"/>
          <w:color w:val="auto"/>
          <w:highlight w:val="none"/>
        </w:rPr>
        <w:t>、法定代表人身份证明</w:t>
      </w:r>
      <w:bookmarkEnd w:id="153"/>
      <w:bookmarkEnd w:id="154"/>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授权委托书</w:t>
      </w:r>
    </w:p>
    <w:p w14:paraId="3BA9695D">
      <w:pPr>
        <w:keepNext/>
        <w:keepLines/>
        <w:spacing w:after="260"/>
        <w:jc w:val="center"/>
        <w:outlineLvl w:val="2"/>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2.1 法定代表人身份证明</w:t>
      </w:r>
    </w:p>
    <w:p w14:paraId="41E3587B">
      <w:pPr>
        <w:spacing w:line="440" w:lineRule="exact"/>
        <w:rPr>
          <w:rFonts w:hint="eastAsia" w:ascii="宋体" w:hAnsi="宋体" w:eastAsia="宋体" w:cs="宋体"/>
          <w:color w:val="auto"/>
          <w:highlight w:val="none"/>
        </w:rPr>
      </w:pPr>
    </w:p>
    <w:p w14:paraId="7A42835C">
      <w:pPr>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p w14:paraId="758F6024">
      <w:pPr>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w:t>
      </w:r>
      <w:bookmarkStart w:id="155" w:name="_Toc27897"/>
      <w:bookmarkStart w:id="156" w:name="_Toc352691662"/>
      <w:bookmarkStart w:id="157" w:name="_Toc369531698"/>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bookmarkEnd w:id="155"/>
      <w:bookmarkEnd w:id="156"/>
      <w:bookmarkEnd w:id="157"/>
      <w:r>
        <w:rPr>
          <w:rFonts w:hint="eastAsia" w:ascii="宋体" w:hAnsi="宋体" w:eastAsia="宋体" w:cs="宋体"/>
          <w:color w:val="auto"/>
          <w:highlight w:val="none"/>
        </w:rPr>
        <w:t>龄</w:t>
      </w:r>
      <w:bookmarkStart w:id="158" w:name="_Toc247527829"/>
      <w:bookmarkStart w:id="159" w:name="_Toc152042578"/>
      <w:bookmarkStart w:id="160" w:name="_Toc369531699"/>
      <w:bookmarkStart w:id="161" w:name="_Toc152045789"/>
      <w:bookmarkStart w:id="162" w:name="_Toc300835211"/>
      <w:bookmarkStart w:id="163" w:name="_Toc352691663"/>
      <w:bookmarkStart w:id="164" w:name="_Toc384308377"/>
      <w:bookmarkStart w:id="165" w:name="_Toc361508754"/>
      <w:bookmarkStart w:id="166" w:name="_Toc247514248"/>
      <w:bookmarkStart w:id="167" w:name="_Toc15573"/>
      <w:bookmarkStart w:id="168" w:name="_Toc144974858"/>
      <w:r>
        <w:rPr>
          <w:rFonts w:hint="eastAsia" w:ascii="宋体" w:hAnsi="宋体" w:eastAsia="宋体" w:cs="宋体"/>
          <w:color w:val="auto"/>
          <w:highlight w:val="none"/>
        </w:rPr>
        <w:t>：</w:t>
      </w:r>
      <w:bookmarkEnd w:id="158"/>
      <w:bookmarkEnd w:id="159"/>
      <w:bookmarkEnd w:id="160"/>
      <w:bookmarkEnd w:id="161"/>
      <w:bookmarkEnd w:id="162"/>
      <w:bookmarkEnd w:id="163"/>
      <w:bookmarkEnd w:id="164"/>
      <w:bookmarkEnd w:id="165"/>
      <w:bookmarkEnd w:id="166"/>
      <w:bookmarkEnd w:id="167"/>
      <w:bookmarkEnd w:id="168"/>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19CE2DF2">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（投标人名称）         </w:t>
      </w:r>
      <w:r>
        <w:rPr>
          <w:rFonts w:hint="eastAsia" w:ascii="宋体" w:hAnsi="宋体" w:eastAsia="宋体" w:cs="宋体"/>
          <w:color w:val="auto"/>
          <w:highlight w:val="none"/>
        </w:rPr>
        <w:t xml:space="preserve"> 的法定代表人。</w:t>
      </w:r>
    </w:p>
    <w:p w14:paraId="55675685">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78FDFC8D">
      <w:pPr>
        <w:spacing w:line="440" w:lineRule="exact"/>
        <w:rPr>
          <w:rFonts w:hint="eastAsia" w:ascii="宋体" w:hAnsi="宋体" w:eastAsia="宋体" w:cs="宋体"/>
          <w:color w:val="auto"/>
          <w:highlight w:val="none"/>
        </w:rPr>
      </w:pPr>
    </w:p>
    <w:p w14:paraId="540A6682">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附：法定代表人身份证</w:t>
      </w:r>
      <w:r>
        <w:rPr>
          <w:rFonts w:hint="eastAsia" w:ascii="宋体" w:hAnsi="宋体" w:eastAsia="宋体" w:cs="宋体"/>
          <w:color w:val="auto"/>
          <w:highlight w:val="none"/>
          <w:lang w:eastAsia="zh-CN"/>
        </w:rPr>
        <w:t>扫描件</w:t>
      </w:r>
      <w:r>
        <w:rPr>
          <w:rFonts w:hint="eastAsia" w:ascii="宋体" w:hAnsi="宋体" w:eastAsia="宋体" w:cs="宋体"/>
          <w:color w:val="auto"/>
          <w:highlight w:val="none"/>
        </w:rPr>
        <w:t>。</w:t>
      </w:r>
    </w:p>
    <w:p w14:paraId="64EAEB60">
      <w:pPr>
        <w:spacing w:line="440" w:lineRule="exact"/>
        <w:rPr>
          <w:rFonts w:hint="eastAsia" w:ascii="宋体" w:hAnsi="宋体" w:eastAsia="宋体" w:cs="宋体"/>
          <w:color w:val="auto"/>
          <w:highlight w:val="none"/>
        </w:rPr>
      </w:pPr>
    </w:p>
    <w:p w14:paraId="74307DC8">
      <w:pPr>
        <w:spacing w:line="440" w:lineRule="exact"/>
        <w:rPr>
          <w:rFonts w:hint="eastAsia" w:ascii="宋体" w:hAnsi="宋体" w:eastAsia="宋体" w:cs="宋体"/>
          <w:color w:val="auto"/>
          <w:highlight w:val="none"/>
        </w:rPr>
      </w:pPr>
    </w:p>
    <w:p w14:paraId="552FB76D">
      <w:pPr>
        <w:spacing w:line="440" w:lineRule="exact"/>
        <w:rPr>
          <w:rFonts w:hint="eastAsia" w:ascii="宋体" w:hAnsi="宋体" w:eastAsia="宋体" w:cs="宋体"/>
          <w:color w:val="auto"/>
          <w:highlight w:val="none"/>
        </w:rPr>
      </w:pPr>
    </w:p>
    <w:p w14:paraId="37BA3781">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投标人：</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highlight w:val="none"/>
        </w:rPr>
        <w:t>（盖单位章）</w:t>
      </w:r>
    </w:p>
    <w:p w14:paraId="0295498D">
      <w:pPr>
        <w:spacing w:line="440" w:lineRule="exact"/>
        <w:rPr>
          <w:rFonts w:hint="eastAsia" w:ascii="宋体" w:hAnsi="宋体" w:eastAsia="宋体" w:cs="宋体"/>
          <w:color w:val="auto"/>
          <w:highlight w:val="none"/>
        </w:rPr>
      </w:pPr>
    </w:p>
    <w:p w14:paraId="4574CBC6">
      <w:pPr>
        <w:spacing w:line="440" w:lineRule="exact"/>
        <w:ind w:firstLine="5775" w:firstLineChars="275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21CDA697">
      <w:pPr>
        <w:spacing w:line="440" w:lineRule="exact"/>
        <w:rPr>
          <w:rFonts w:hint="eastAsia" w:ascii="宋体" w:hAnsi="宋体" w:eastAsia="宋体" w:cs="宋体"/>
          <w:color w:val="auto"/>
          <w:sz w:val="20"/>
          <w:highlight w:val="none"/>
        </w:rPr>
      </w:pPr>
    </w:p>
    <w:p w14:paraId="02C4ED61">
      <w:pPr>
        <w:spacing w:line="440" w:lineRule="exact"/>
        <w:rPr>
          <w:rFonts w:hint="eastAsia" w:ascii="宋体" w:hAnsi="宋体" w:eastAsia="宋体" w:cs="宋体"/>
          <w:color w:val="auto"/>
          <w:sz w:val="20"/>
          <w:highlight w:val="none"/>
        </w:rPr>
      </w:pPr>
    </w:p>
    <w:p w14:paraId="51DEAA46">
      <w:pPr>
        <w:spacing w:line="440" w:lineRule="exact"/>
        <w:rPr>
          <w:rFonts w:hint="eastAsia" w:ascii="宋体" w:hAnsi="宋体" w:eastAsia="宋体" w:cs="宋体"/>
          <w:color w:val="auto"/>
          <w:sz w:val="20"/>
          <w:highlight w:val="none"/>
        </w:rPr>
      </w:pPr>
    </w:p>
    <w:p w14:paraId="0B7C2EA4">
      <w:pPr>
        <w:spacing w:line="440" w:lineRule="exact"/>
        <w:rPr>
          <w:rFonts w:hint="eastAsia" w:ascii="宋体" w:hAnsi="宋体" w:eastAsia="宋体" w:cs="宋体"/>
          <w:color w:val="auto"/>
          <w:sz w:val="20"/>
          <w:highlight w:val="none"/>
        </w:rPr>
      </w:pPr>
    </w:p>
    <w:p w14:paraId="0D923C1F">
      <w:pPr>
        <w:spacing w:line="440" w:lineRule="exact"/>
        <w:rPr>
          <w:rFonts w:hint="eastAsia" w:ascii="宋体" w:hAnsi="宋体" w:eastAsia="宋体" w:cs="宋体"/>
          <w:color w:val="auto"/>
          <w:sz w:val="20"/>
          <w:highlight w:val="none"/>
        </w:rPr>
      </w:pPr>
    </w:p>
    <w:p w14:paraId="79E460AE">
      <w:pPr>
        <w:spacing w:line="440" w:lineRule="exact"/>
        <w:rPr>
          <w:rFonts w:hint="eastAsia" w:ascii="宋体" w:hAnsi="宋体" w:eastAsia="宋体" w:cs="宋体"/>
          <w:color w:val="auto"/>
          <w:sz w:val="20"/>
          <w:highlight w:val="none"/>
        </w:rPr>
      </w:pPr>
    </w:p>
    <w:p w14:paraId="6A11EAD0">
      <w:pPr>
        <w:spacing w:line="440" w:lineRule="exact"/>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page"/>
      </w:r>
    </w:p>
    <w:p w14:paraId="1F3A6263">
      <w:pPr>
        <w:keepNext/>
        <w:keepLines/>
        <w:spacing w:after="260"/>
        <w:jc w:val="center"/>
        <w:outlineLvl w:val="2"/>
        <w:rPr>
          <w:rFonts w:hint="eastAsia" w:ascii="宋体" w:hAnsi="宋体" w:eastAsia="宋体" w:cs="宋体"/>
          <w:b/>
          <w:bCs/>
          <w:color w:val="auto"/>
          <w:kern w:val="0"/>
          <w:sz w:val="32"/>
          <w:szCs w:val="32"/>
          <w:highlight w:val="none"/>
        </w:rPr>
      </w:pPr>
      <w:bookmarkStart w:id="169" w:name="_Toc7638_WPSOffice_Level1"/>
      <w:bookmarkStart w:id="170" w:name="_Toc531360700"/>
      <w:r>
        <w:rPr>
          <w:rFonts w:hint="eastAsia" w:ascii="宋体" w:hAnsi="宋体" w:eastAsia="宋体" w:cs="宋体"/>
          <w:b/>
          <w:bCs/>
          <w:color w:val="auto"/>
          <w:kern w:val="0"/>
          <w:sz w:val="32"/>
          <w:szCs w:val="32"/>
          <w:highlight w:val="none"/>
        </w:rPr>
        <w:t>2.2 授权委托书</w:t>
      </w:r>
      <w:bookmarkEnd w:id="169"/>
      <w:bookmarkEnd w:id="170"/>
    </w:p>
    <w:p w14:paraId="68638685">
      <w:pPr>
        <w:spacing w:line="440" w:lineRule="exact"/>
        <w:rPr>
          <w:rFonts w:hint="eastAsia" w:ascii="宋体" w:hAnsi="宋体" w:eastAsia="宋体" w:cs="宋体"/>
          <w:color w:val="auto"/>
          <w:highlight w:val="none"/>
        </w:rPr>
      </w:pPr>
    </w:p>
    <w:p w14:paraId="3DED69BF">
      <w:pPr>
        <w:topLinePunct/>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（姓名）</w:t>
      </w:r>
      <w:r>
        <w:rPr>
          <w:rFonts w:hint="eastAsia" w:ascii="宋体" w:hAnsi="宋体" w:eastAsia="宋体" w:cs="宋体"/>
          <w:color w:val="auto"/>
          <w:highlight w:val="none"/>
        </w:rPr>
        <w:t>系</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的法定代表人，现委托</w:t>
      </w:r>
      <w:r>
        <w:rPr>
          <w:rFonts w:hint="eastAsia" w:ascii="宋体" w:hAnsi="宋体" w:eastAsia="宋体" w:cs="宋体"/>
          <w:color w:val="auto"/>
          <w:highlight w:val="none"/>
          <w:u w:val="single"/>
        </w:rPr>
        <w:t>（姓名）</w:t>
      </w:r>
      <w:r>
        <w:rPr>
          <w:rFonts w:hint="eastAsia" w:ascii="宋体" w:hAnsi="宋体" w:eastAsia="宋体" w:cs="宋体"/>
          <w:color w:val="auto"/>
          <w:highlight w:val="none"/>
        </w:rPr>
        <w:t>为我方代理人。代理人根据授权，以我方名义签署、澄清确认、递交、撤回、修改</w:t>
      </w:r>
      <w:r>
        <w:rPr>
          <w:rFonts w:hint="eastAsia" w:ascii="宋体" w:hAnsi="宋体" w:eastAsia="宋体" w:cs="宋体"/>
          <w:color w:val="auto"/>
          <w:highlight w:val="none"/>
          <w:u w:val="single"/>
        </w:rPr>
        <w:t>东南西环三滘立交市政化改造工程（二期）建筑工程一切险及第三者责任险</w:t>
      </w:r>
      <w:r>
        <w:rPr>
          <w:rFonts w:hint="eastAsia" w:ascii="宋体" w:hAnsi="宋体" w:eastAsia="宋体" w:cs="宋体"/>
          <w:color w:val="auto"/>
          <w:highlight w:val="none"/>
        </w:rPr>
        <w:t>招标项目投标文件、签订合同和处理有关事宜，其法律后果由我方承担。</w:t>
      </w:r>
    </w:p>
    <w:p w14:paraId="1C82A0FB">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0A5FF1B">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459E982A">
      <w:pPr>
        <w:spacing w:line="440" w:lineRule="exact"/>
        <w:ind w:firstLine="420" w:firstLineChars="200"/>
        <w:rPr>
          <w:rFonts w:hint="eastAsia" w:ascii="宋体" w:hAnsi="宋体" w:eastAsia="宋体" w:cs="宋体"/>
          <w:color w:val="auto"/>
          <w:highlight w:val="none"/>
        </w:rPr>
      </w:pPr>
    </w:p>
    <w:p w14:paraId="7EBF1339">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附：委托代理人身份证</w:t>
      </w:r>
      <w:r>
        <w:rPr>
          <w:rFonts w:hint="eastAsia" w:ascii="宋体" w:hAnsi="宋体" w:eastAsia="宋体" w:cs="宋体"/>
          <w:color w:val="auto"/>
          <w:highlight w:val="none"/>
          <w:lang w:eastAsia="zh-CN"/>
        </w:rPr>
        <w:t>扫描件</w:t>
      </w:r>
    </w:p>
    <w:p w14:paraId="13DEAE9B">
      <w:pPr>
        <w:spacing w:line="440" w:lineRule="exact"/>
        <w:rPr>
          <w:rFonts w:hint="eastAsia" w:ascii="宋体" w:hAnsi="宋体" w:eastAsia="宋体" w:cs="宋体"/>
          <w:color w:val="auto"/>
          <w:highlight w:val="none"/>
        </w:rPr>
      </w:pPr>
    </w:p>
    <w:p w14:paraId="26FD9E53">
      <w:pPr>
        <w:spacing w:line="440" w:lineRule="exact"/>
        <w:rPr>
          <w:rFonts w:hint="eastAsia" w:ascii="宋体" w:hAnsi="宋体" w:eastAsia="宋体" w:cs="宋体"/>
          <w:color w:val="auto"/>
          <w:highlight w:val="none"/>
        </w:rPr>
      </w:pPr>
    </w:p>
    <w:p w14:paraId="11393EE7">
      <w:pPr>
        <w:spacing w:line="440" w:lineRule="exact"/>
        <w:ind w:firstLine="2692" w:firstLineChars="1282"/>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highlight w:val="none"/>
        </w:rPr>
        <w:t>（盖单位章）</w:t>
      </w:r>
    </w:p>
    <w:p w14:paraId="79D564C1">
      <w:pPr>
        <w:spacing w:line="440" w:lineRule="exact"/>
        <w:ind w:firstLine="2692" w:firstLineChars="1282"/>
        <w:rPr>
          <w:rFonts w:hint="eastAsia" w:ascii="宋体" w:hAnsi="宋体" w:eastAsia="宋体" w:cs="宋体"/>
          <w:color w:val="auto"/>
          <w:highlight w:val="none"/>
        </w:rPr>
      </w:pPr>
    </w:p>
    <w:p w14:paraId="7F1EC8C4">
      <w:pPr>
        <w:spacing w:line="440" w:lineRule="exact"/>
        <w:ind w:firstLine="2690" w:firstLineChars="1281"/>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highlight w:val="none"/>
        </w:rPr>
        <w:t>（签字或盖章）</w:t>
      </w:r>
    </w:p>
    <w:p w14:paraId="01616563">
      <w:pPr>
        <w:spacing w:line="440" w:lineRule="exact"/>
        <w:ind w:firstLine="2692" w:firstLineChars="1282"/>
        <w:rPr>
          <w:rFonts w:hint="eastAsia" w:ascii="宋体" w:hAnsi="宋体" w:eastAsia="宋体" w:cs="宋体"/>
          <w:color w:val="auto"/>
          <w:highlight w:val="none"/>
        </w:rPr>
      </w:pPr>
    </w:p>
    <w:p w14:paraId="57BFDD3A">
      <w:pPr>
        <w:spacing w:line="440" w:lineRule="exact"/>
        <w:ind w:firstLine="2692" w:firstLineChars="1282"/>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5C538189">
      <w:pPr>
        <w:spacing w:line="440" w:lineRule="exact"/>
        <w:ind w:firstLine="2692" w:firstLineChars="1282"/>
        <w:rPr>
          <w:rFonts w:hint="eastAsia" w:ascii="宋体" w:hAnsi="宋体" w:eastAsia="宋体" w:cs="宋体"/>
          <w:color w:val="auto"/>
          <w:highlight w:val="none"/>
        </w:rPr>
      </w:pPr>
    </w:p>
    <w:p w14:paraId="4629C6F1">
      <w:pPr>
        <w:spacing w:line="440" w:lineRule="exact"/>
        <w:ind w:firstLine="2692" w:firstLineChars="1282"/>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highlight w:val="none"/>
        </w:rPr>
        <w:t>（签字或盖章）</w:t>
      </w:r>
    </w:p>
    <w:p w14:paraId="1CB42DBA">
      <w:pPr>
        <w:spacing w:line="440" w:lineRule="exact"/>
        <w:ind w:firstLine="2692" w:firstLineChars="1282"/>
        <w:rPr>
          <w:rFonts w:hint="eastAsia" w:ascii="宋体" w:hAnsi="宋体" w:eastAsia="宋体" w:cs="宋体"/>
          <w:color w:val="auto"/>
          <w:highlight w:val="none"/>
        </w:rPr>
      </w:pPr>
    </w:p>
    <w:p w14:paraId="1E16F852">
      <w:pPr>
        <w:spacing w:line="440" w:lineRule="exact"/>
        <w:ind w:firstLine="2692" w:firstLineChars="1282"/>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3CC35E7D">
      <w:pPr>
        <w:spacing w:line="440" w:lineRule="exact"/>
        <w:ind w:firstLine="2692" w:firstLineChars="1282"/>
        <w:rPr>
          <w:rFonts w:hint="eastAsia" w:ascii="宋体" w:hAnsi="宋体" w:eastAsia="宋体" w:cs="宋体"/>
          <w:color w:val="auto"/>
          <w:highlight w:val="none"/>
        </w:rPr>
      </w:pPr>
    </w:p>
    <w:p w14:paraId="4B6B43F5">
      <w:pPr>
        <w:spacing w:line="440" w:lineRule="exact"/>
        <w:ind w:firstLine="2692" w:firstLineChars="1282"/>
        <w:rPr>
          <w:rFonts w:hint="eastAsia" w:ascii="宋体" w:hAnsi="宋体" w:eastAsia="宋体" w:cs="宋体"/>
          <w:color w:val="auto"/>
          <w:highlight w:val="none"/>
        </w:rPr>
      </w:pPr>
    </w:p>
    <w:p w14:paraId="3606E90F">
      <w:pPr>
        <w:wordWrap w:val="0"/>
        <w:spacing w:line="440" w:lineRule="exact"/>
        <w:ind w:right="105" w:firstLine="4057" w:firstLineChars="1932"/>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2D84E7B7">
      <w:pPr>
        <w:spacing w:line="440" w:lineRule="exact"/>
        <w:ind w:firstLine="4057" w:firstLineChars="1932"/>
        <w:jc w:val="right"/>
        <w:rPr>
          <w:rFonts w:hint="eastAsia" w:ascii="宋体" w:hAnsi="宋体" w:eastAsia="宋体" w:cs="宋体"/>
          <w:color w:val="auto"/>
          <w:highlight w:val="none"/>
        </w:rPr>
      </w:pPr>
    </w:p>
    <w:p w14:paraId="5134837A">
      <w:pPr>
        <w:rPr>
          <w:rFonts w:hint="eastAsia" w:ascii="宋体" w:hAnsi="宋体" w:eastAsia="宋体" w:cs="宋体"/>
          <w:color w:val="auto"/>
          <w:highlight w:val="none"/>
        </w:rPr>
      </w:pPr>
    </w:p>
    <w:p w14:paraId="2FC68D10">
      <w:pPr>
        <w:rPr>
          <w:rFonts w:hint="eastAsia" w:ascii="宋体" w:hAnsi="宋体" w:eastAsia="宋体" w:cs="宋体"/>
          <w:color w:val="auto"/>
          <w:highlight w:val="none"/>
        </w:rPr>
      </w:pPr>
      <w:bookmarkStart w:id="171" w:name="_Toc531360701"/>
    </w:p>
    <w:p w14:paraId="6CB10EC1">
      <w:pPr>
        <w:widowControl/>
        <w:jc w:val="left"/>
        <w:rPr>
          <w:rFonts w:hint="eastAsia" w:ascii="宋体" w:hAnsi="宋体" w:eastAsia="宋体" w:cs="宋体"/>
          <w:b/>
          <w:color w:val="auto"/>
          <w:sz w:val="32"/>
          <w:szCs w:val="20"/>
          <w:highlight w:val="none"/>
        </w:rPr>
      </w:pPr>
      <w:r>
        <w:rPr>
          <w:rFonts w:hint="eastAsia" w:ascii="宋体" w:hAnsi="宋体" w:eastAsia="宋体" w:cs="宋体"/>
          <w:color w:val="auto"/>
          <w:highlight w:val="none"/>
        </w:rPr>
        <w:br w:type="page"/>
      </w:r>
    </w:p>
    <w:bookmarkEnd w:id="171"/>
    <w:p w14:paraId="780E04AA">
      <w:pPr>
        <w:pStyle w:val="2"/>
        <w:spacing w:after="0"/>
        <w:rPr>
          <w:rFonts w:hint="eastAsia" w:ascii="宋体" w:hAnsi="宋体" w:eastAsia="宋体" w:cs="宋体"/>
          <w:color w:val="auto"/>
          <w:highlight w:val="none"/>
        </w:rPr>
      </w:pPr>
      <w:bookmarkStart w:id="172" w:name="_Toc531360703"/>
      <w:bookmarkStart w:id="173" w:name="_Toc22270_WPSOffice_Level1"/>
      <w:bookmarkStart w:id="174" w:name="_Toc361508760"/>
      <w:r>
        <w:rPr>
          <w:rFonts w:hint="eastAsia" w:ascii="宋体" w:hAnsi="宋体" w:eastAsia="宋体" w:cs="宋体"/>
          <w:color w:val="auto"/>
          <w:highlight w:val="none"/>
        </w:rPr>
        <w:t>三、资格审查资料</w:t>
      </w:r>
      <w:bookmarkEnd w:id="172"/>
      <w:bookmarkEnd w:id="173"/>
    </w:p>
    <w:p w14:paraId="2D443354">
      <w:pPr>
        <w:pStyle w:val="4"/>
        <w:spacing w:before="20"/>
        <w:ind w:firstLine="137"/>
        <w:rPr>
          <w:rFonts w:hint="eastAsia" w:ascii="宋体" w:hAnsi="宋体" w:eastAsia="宋体" w:cs="宋体"/>
          <w:color w:val="auto"/>
          <w:sz w:val="32"/>
          <w:highlight w:val="none"/>
        </w:rPr>
      </w:pPr>
      <w:r>
        <w:rPr>
          <w:rFonts w:hint="eastAsia" w:ascii="宋体" w:hAnsi="宋体" w:eastAsia="宋体" w:cs="宋体"/>
          <w:color w:val="auto"/>
          <w:sz w:val="32"/>
          <w:highlight w:val="none"/>
        </w:rPr>
        <w:t>3.1基本情况表</w:t>
      </w:r>
    </w:p>
    <w:tbl>
      <w:tblPr>
        <w:tblStyle w:val="20"/>
        <w:tblW w:w="89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5"/>
        <w:gridCol w:w="854"/>
        <w:gridCol w:w="2059"/>
        <w:gridCol w:w="1148"/>
        <w:gridCol w:w="2342"/>
      </w:tblGrid>
      <w:tr w14:paraId="0B493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55" w:type="dxa"/>
            <w:tcBorders>
              <w:top w:val="single" w:color="auto" w:sz="4" w:space="0"/>
              <w:left w:val="single" w:color="auto" w:sz="4" w:space="0"/>
              <w:bottom w:val="single" w:color="auto" w:sz="4" w:space="0"/>
              <w:right w:val="single" w:color="auto" w:sz="4" w:space="0"/>
            </w:tcBorders>
            <w:vAlign w:val="center"/>
          </w:tcPr>
          <w:p w14:paraId="20E28F74">
            <w:pPr>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6403" w:type="dxa"/>
            <w:gridSpan w:val="4"/>
            <w:tcBorders>
              <w:top w:val="single" w:color="auto" w:sz="4" w:space="0"/>
              <w:left w:val="single" w:color="auto" w:sz="4" w:space="0"/>
              <w:bottom w:val="single" w:color="auto" w:sz="4" w:space="0"/>
              <w:right w:val="single" w:color="auto" w:sz="4" w:space="0"/>
            </w:tcBorders>
            <w:vAlign w:val="center"/>
          </w:tcPr>
          <w:p w14:paraId="28E1069A">
            <w:pPr>
              <w:topLinePunct/>
              <w:spacing w:line="360" w:lineRule="auto"/>
              <w:jc w:val="center"/>
              <w:rPr>
                <w:rFonts w:hint="eastAsia" w:ascii="宋体" w:hAnsi="宋体" w:eastAsia="宋体" w:cs="宋体"/>
                <w:color w:val="auto"/>
                <w:szCs w:val="21"/>
                <w:highlight w:val="none"/>
              </w:rPr>
            </w:pPr>
          </w:p>
        </w:tc>
      </w:tr>
      <w:tr w14:paraId="0DB7A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2555" w:type="dxa"/>
            <w:tcBorders>
              <w:top w:val="single" w:color="auto" w:sz="4" w:space="0"/>
              <w:left w:val="single" w:color="auto" w:sz="4" w:space="0"/>
              <w:bottom w:val="single" w:color="auto" w:sz="4" w:space="0"/>
              <w:right w:val="single" w:color="auto" w:sz="4" w:space="0"/>
            </w:tcBorders>
            <w:vAlign w:val="center"/>
          </w:tcPr>
          <w:p w14:paraId="1D899B8A">
            <w:pPr>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2913" w:type="dxa"/>
            <w:gridSpan w:val="2"/>
            <w:tcBorders>
              <w:top w:val="single" w:color="auto" w:sz="4" w:space="0"/>
              <w:left w:val="single" w:color="auto" w:sz="4" w:space="0"/>
              <w:bottom w:val="single" w:color="auto" w:sz="4" w:space="0"/>
              <w:right w:val="single" w:color="auto" w:sz="4" w:space="0"/>
            </w:tcBorders>
            <w:vAlign w:val="center"/>
          </w:tcPr>
          <w:p w14:paraId="6A426A03">
            <w:pPr>
              <w:topLinePunct/>
              <w:spacing w:line="360" w:lineRule="auto"/>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FD9E5E5">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342" w:type="dxa"/>
            <w:tcBorders>
              <w:top w:val="single" w:color="auto" w:sz="4" w:space="0"/>
              <w:left w:val="single" w:color="auto" w:sz="4" w:space="0"/>
              <w:bottom w:val="single" w:color="auto" w:sz="4" w:space="0"/>
              <w:right w:val="single" w:color="auto" w:sz="4" w:space="0"/>
            </w:tcBorders>
            <w:vAlign w:val="center"/>
          </w:tcPr>
          <w:p w14:paraId="0553955B">
            <w:pPr>
              <w:topLinePunct/>
              <w:spacing w:line="360" w:lineRule="auto"/>
              <w:jc w:val="center"/>
              <w:rPr>
                <w:rFonts w:hint="eastAsia" w:ascii="宋体" w:hAnsi="宋体" w:eastAsia="宋体" w:cs="宋体"/>
                <w:color w:val="auto"/>
                <w:szCs w:val="21"/>
                <w:highlight w:val="none"/>
              </w:rPr>
            </w:pPr>
          </w:p>
        </w:tc>
      </w:tr>
      <w:tr w14:paraId="111E2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555" w:type="dxa"/>
            <w:vMerge w:val="restart"/>
            <w:tcBorders>
              <w:top w:val="single" w:color="auto" w:sz="4" w:space="0"/>
              <w:left w:val="single" w:color="auto" w:sz="4" w:space="0"/>
              <w:bottom w:val="single" w:color="auto" w:sz="4" w:space="0"/>
              <w:right w:val="single" w:color="auto" w:sz="4" w:space="0"/>
            </w:tcBorders>
            <w:vAlign w:val="center"/>
          </w:tcPr>
          <w:p w14:paraId="3932CC74">
            <w:pPr>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54" w:type="dxa"/>
            <w:tcBorders>
              <w:top w:val="single" w:color="auto" w:sz="4" w:space="0"/>
              <w:left w:val="single" w:color="auto" w:sz="4" w:space="0"/>
              <w:bottom w:val="single" w:color="auto" w:sz="4" w:space="0"/>
              <w:right w:val="single" w:color="auto" w:sz="4" w:space="0"/>
            </w:tcBorders>
            <w:vAlign w:val="center"/>
          </w:tcPr>
          <w:p w14:paraId="313C8AF6">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059" w:type="dxa"/>
            <w:tcBorders>
              <w:top w:val="single" w:color="auto" w:sz="4" w:space="0"/>
              <w:left w:val="single" w:color="auto" w:sz="4" w:space="0"/>
              <w:bottom w:val="single" w:color="auto" w:sz="4" w:space="0"/>
              <w:right w:val="single" w:color="auto" w:sz="4" w:space="0"/>
            </w:tcBorders>
            <w:vAlign w:val="center"/>
          </w:tcPr>
          <w:p w14:paraId="6555BCC1">
            <w:pPr>
              <w:topLinePunct/>
              <w:spacing w:line="360" w:lineRule="auto"/>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B5EAE04">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342" w:type="dxa"/>
            <w:tcBorders>
              <w:top w:val="single" w:color="auto" w:sz="4" w:space="0"/>
              <w:left w:val="single" w:color="auto" w:sz="4" w:space="0"/>
              <w:bottom w:val="single" w:color="auto" w:sz="4" w:space="0"/>
              <w:right w:val="single" w:color="auto" w:sz="4" w:space="0"/>
            </w:tcBorders>
            <w:vAlign w:val="center"/>
          </w:tcPr>
          <w:p w14:paraId="70E1E0A8">
            <w:pPr>
              <w:topLinePunct/>
              <w:spacing w:line="360" w:lineRule="auto"/>
              <w:jc w:val="center"/>
              <w:rPr>
                <w:rFonts w:hint="eastAsia" w:ascii="宋体" w:hAnsi="宋体" w:eastAsia="宋体" w:cs="宋体"/>
                <w:color w:val="auto"/>
                <w:szCs w:val="21"/>
                <w:highlight w:val="none"/>
              </w:rPr>
            </w:pPr>
          </w:p>
        </w:tc>
      </w:tr>
      <w:tr w14:paraId="55D35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55" w:type="dxa"/>
            <w:vMerge w:val="continue"/>
            <w:tcBorders>
              <w:top w:val="single" w:color="auto" w:sz="4" w:space="0"/>
              <w:left w:val="single" w:color="auto" w:sz="4" w:space="0"/>
              <w:bottom w:val="single" w:color="auto" w:sz="4" w:space="0"/>
              <w:right w:val="single" w:color="auto" w:sz="4" w:space="0"/>
            </w:tcBorders>
            <w:vAlign w:val="center"/>
          </w:tcPr>
          <w:p w14:paraId="114E6E90">
            <w:pPr>
              <w:spacing w:line="360" w:lineRule="auto"/>
              <w:jc w:val="center"/>
              <w:rPr>
                <w:rFonts w:hint="eastAsia" w:ascii="宋体" w:hAnsi="宋体" w:eastAsia="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7F9323BE">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059" w:type="dxa"/>
            <w:tcBorders>
              <w:top w:val="single" w:color="auto" w:sz="4" w:space="0"/>
              <w:left w:val="single" w:color="auto" w:sz="4" w:space="0"/>
              <w:bottom w:val="single" w:color="auto" w:sz="4" w:space="0"/>
              <w:right w:val="single" w:color="auto" w:sz="4" w:space="0"/>
            </w:tcBorders>
            <w:vAlign w:val="center"/>
          </w:tcPr>
          <w:p w14:paraId="0FEFA8CC">
            <w:pPr>
              <w:topLinePunct/>
              <w:spacing w:line="360" w:lineRule="auto"/>
              <w:jc w:val="center"/>
              <w:rPr>
                <w:rFonts w:hint="eastAsia" w:ascii="宋体" w:hAnsi="宋体" w:eastAsia="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E0C7602">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342" w:type="dxa"/>
            <w:tcBorders>
              <w:top w:val="single" w:color="auto" w:sz="4" w:space="0"/>
              <w:left w:val="single" w:color="auto" w:sz="4" w:space="0"/>
              <w:bottom w:val="single" w:color="auto" w:sz="4" w:space="0"/>
              <w:right w:val="single" w:color="auto" w:sz="4" w:space="0"/>
            </w:tcBorders>
            <w:vAlign w:val="center"/>
          </w:tcPr>
          <w:p w14:paraId="6F83AA64">
            <w:pPr>
              <w:topLinePunct/>
              <w:spacing w:line="360" w:lineRule="auto"/>
              <w:jc w:val="center"/>
              <w:rPr>
                <w:rFonts w:hint="eastAsia" w:ascii="宋体" w:hAnsi="宋体" w:eastAsia="宋体" w:cs="宋体"/>
                <w:color w:val="auto"/>
                <w:szCs w:val="21"/>
                <w:highlight w:val="none"/>
              </w:rPr>
            </w:pPr>
          </w:p>
        </w:tc>
      </w:tr>
      <w:tr w14:paraId="62776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2555" w:type="dxa"/>
            <w:tcBorders>
              <w:top w:val="single" w:color="auto" w:sz="4" w:space="0"/>
              <w:left w:val="single" w:color="auto" w:sz="4" w:space="0"/>
              <w:bottom w:val="single" w:color="auto" w:sz="4" w:space="0"/>
              <w:right w:val="single" w:color="auto" w:sz="4" w:space="0"/>
            </w:tcBorders>
            <w:vAlign w:val="center"/>
          </w:tcPr>
          <w:p w14:paraId="004575D9">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6403" w:type="dxa"/>
            <w:gridSpan w:val="4"/>
            <w:tcBorders>
              <w:top w:val="single" w:color="auto" w:sz="4" w:space="0"/>
              <w:left w:val="single" w:color="auto" w:sz="4" w:space="0"/>
              <w:bottom w:val="single" w:color="auto" w:sz="4" w:space="0"/>
              <w:right w:val="single" w:color="auto" w:sz="4" w:space="0"/>
            </w:tcBorders>
            <w:vAlign w:val="center"/>
          </w:tcPr>
          <w:p w14:paraId="0A060DC5">
            <w:pPr>
              <w:topLinePunct/>
              <w:spacing w:before="100" w:beforeAutospacing="1" w:after="100" w:afterAutospacing="1" w:line="360" w:lineRule="auto"/>
              <w:jc w:val="center"/>
              <w:rPr>
                <w:rFonts w:hint="eastAsia" w:ascii="宋体" w:hAnsi="宋体" w:eastAsia="宋体" w:cs="宋体"/>
                <w:color w:val="auto"/>
                <w:szCs w:val="21"/>
                <w:highlight w:val="none"/>
              </w:rPr>
            </w:pPr>
          </w:p>
        </w:tc>
      </w:tr>
      <w:tr w14:paraId="03623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2555" w:type="dxa"/>
            <w:tcBorders>
              <w:top w:val="single" w:color="auto" w:sz="4" w:space="0"/>
              <w:left w:val="single" w:color="auto" w:sz="4" w:space="0"/>
              <w:bottom w:val="single" w:color="auto" w:sz="4" w:space="0"/>
              <w:right w:val="single" w:color="auto" w:sz="4" w:space="0"/>
            </w:tcBorders>
            <w:vAlign w:val="center"/>
          </w:tcPr>
          <w:p w14:paraId="0E676E46">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注册资本</w:t>
            </w:r>
          </w:p>
        </w:tc>
        <w:tc>
          <w:tcPr>
            <w:tcW w:w="6403" w:type="dxa"/>
            <w:gridSpan w:val="4"/>
            <w:tcBorders>
              <w:top w:val="single" w:color="auto" w:sz="4" w:space="0"/>
              <w:left w:val="single" w:color="auto" w:sz="4" w:space="0"/>
              <w:bottom w:val="single" w:color="auto" w:sz="4" w:space="0"/>
              <w:right w:val="single" w:color="auto" w:sz="4" w:space="0"/>
            </w:tcBorders>
            <w:vAlign w:val="center"/>
          </w:tcPr>
          <w:p w14:paraId="42249037">
            <w:pPr>
              <w:topLinePunct/>
              <w:spacing w:line="360" w:lineRule="auto"/>
              <w:jc w:val="center"/>
              <w:rPr>
                <w:rFonts w:hint="eastAsia" w:ascii="宋体" w:hAnsi="宋体" w:eastAsia="宋体" w:cs="宋体"/>
                <w:color w:val="auto"/>
                <w:szCs w:val="21"/>
                <w:highlight w:val="none"/>
              </w:rPr>
            </w:pPr>
          </w:p>
        </w:tc>
      </w:tr>
      <w:tr w14:paraId="49757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2555" w:type="dxa"/>
            <w:tcBorders>
              <w:top w:val="single" w:color="auto" w:sz="4" w:space="0"/>
              <w:left w:val="single" w:color="auto" w:sz="4" w:space="0"/>
              <w:bottom w:val="single" w:color="auto" w:sz="4" w:space="0"/>
              <w:right w:val="single" w:color="auto" w:sz="4" w:space="0"/>
            </w:tcBorders>
            <w:vAlign w:val="center"/>
          </w:tcPr>
          <w:p w14:paraId="3F62FDA5">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成立日期</w:t>
            </w:r>
          </w:p>
        </w:tc>
        <w:tc>
          <w:tcPr>
            <w:tcW w:w="6403" w:type="dxa"/>
            <w:gridSpan w:val="4"/>
            <w:tcBorders>
              <w:top w:val="single" w:color="auto" w:sz="4" w:space="0"/>
              <w:left w:val="single" w:color="auto" w:sz="4" w:space="0"/>
              <w:bottom w:val="single" w:color="auto" w:sz="4" w:space="0"/>
              <w:right w:val="single" w:color="auto" w:sz="4" w:space="0"/>
            </w:tcBorders>
            <w:vAlign w:val="center"/>
          </w:tcPr>
          <w:p w14:paraId="688B2AAB">
            <w:pPr>
              <w:topLinePunct/>
              <w:spacing w:line="360" w:lineRule="auto"/>
              <w:jc w:val="center"/>
              <w:rPr>
                <w:rFonts w:hint="eastAsia" w:ascii="宋体" w:hAnsi="宋体" w:eastAsia="宋体" w:cs="宋体"/>
                <w:color w:val="auto"/>
                <w:szCs w:val="21"/>
                <w:highlight w:val="none"/>
              </w:rPr>
            </w:pPr>
          </w:p>
        </w:tc>
      </w:tr>
      <w:tr w14:paraId="3A684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2555" w:type="dxa"/>
            <w:tcBorders>
              <w:top w:val="single" w:color="auto" w:sz="4" w:space="0"/>
              <w:left w:val="single" w:color="auto" w:sz="4" w:space="0"/>
              <w:bottom w:val="single" w:color="auto" w:sz="4" w:space="0"/>
              <w:right w:val="single" w:color="auto" w:sz="4" w:space="0"/>
            </w:tcBorders>
            <w:vAlign w:val="center"/>
          </w:tcPr>
          <w:p w14:paraId="6DAAD2F7">
            <w:pPr>
              <w:topLinePunct/>
              <w:spacing w:before="100" w:beforeAutospacing="1" w:after="100" w:afterAutospacing="1"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保险许可证</w:t>
            </w:r>
          </w:p>
        </w:tc>
        <w:tc>
          <w:tcPr>
            <w:tcW w:w="6403" w:type="dxa"/>
            <w:gridSpan w:val="4"/>
            <w:tcBorders>
              <w:top w:val="single" w:color="auto" w:sz="4" w:space="0"/>
              <w:left w:val="single" w:color="auto" w:sz="4" w:space="0"/>
              <w:bottom w:val="single" w:color="auto" w:sz="4" w:space="0"/>
              <w:right w:val="single" w:color="auto" w:sz="4" w:space="0"/>
            </w:tcBorders>
            <w:vAlign w:val="center"/>
          </w:tcPr>
          <w:p w14:paraId="1D8A347F">
            <w:pPr>
              <w:topLinePunct/>
              <w:spacing w:line="360" w:lineRule="auto"/>
              <w:jc w:val="center"/>
              <w:rPr>
                <w:rFonts w:hint="eastAsia" w:ascii="宋体" w:hAnsi="宋体" w:eastAsia="宋体" w:cs="宋体"/>
                <w:color w:val="auto"/>
                <w:szCs w:val="21"/>
                <w:highlight w:val="none"/>
              </w:rPr>
            </w:pPr>
          </w:p>
        </w:tc>
      </w:tr>
      <w:tr w14:paraId="0AEAD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2555" w:type="dxa"/>
            <w:tcBorders>
              <w:top w:val="single" w:color="auto" w:sz="4" w:space="0"/>
              <w:left w:val="single" w:color="auto" w:sz="4" w:space="0"/>
              <w:bottom w:val="single" w:color="auto" w:sz="4" w:space="0"/>
              <w:right w:val="single" w:color="auto" w:sz="4" w:space="0"/>
            </w:tcBorders>
            <w:vAlign w:val="center"/>
          </w:tcPr>
          <w:p w14:paraId="1212B257">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6403" w:type="dxa"/>
            <w:gridSpan w:val="4"/>
            <w:tcBorders>
              <w:top w:val="single" w:color="auto" w:sz="4" w:space="0"/>
              <w:left w:val="single" w:color="auto" w:sz="4" w:space="0"/>
              <w:bottom w:val="single" w:color="auto" w:sz="4" w:space="0"/>
              <w:right w:val="single" w:color="auto" w:sz="4" w:space="0"/>
            </w:tcBorders>
            <w:vAlign w:val="center"/>
          </w:tcPr>
          <w:p w14:paraId="72909BFA">
            <w:pPr>
              <w:topLinePunct/>
              <w:spacing w:line="360" w:lineRule="auto"/>
              <w:jc w:val="center"/>
              <w:rPr>
                <w:rFonts w:hint="eastAsia" w:ascii="宋体" w:hAnsi="宋体" w:eastAsia="宋体" w:cs="宋体"/>
                <w:color w:val="auto"/>
                <w:szCs w:val="21"/>
                <w:highlight w:val="none"/>
              </w:rPr>
            </w:pPr>
          </w:p>
        </w:tc>
      </w:tr>
      <w:tr w14:paraId="0EF93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2555" w:type="dxa"/>
            <w:tcBorders>
              <w:top w:val="single" w:color="auto" w:sz="4" w:space="0"/>
              <w:left w:val="single" w:color="auto" w:sz="4" w:space="0"/>
              <w:bottom w:val="single" w:color="auto" w:sz="4" w:space="0"/>
              <w:right w:val="single" w:color="auto" w:sz="4" w:space="0"/>
            </w:tcBorders>
            <w:vAlign w:val="center"/>
          </w:tcPr>
          <w:p w14:paraId="44FC613C">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基本账户银行账号</w:t>
            </w:r>
          </w:p>
        </w:tc>
        <w:tc>
          <w:tcPr>
            <w:tcW w:w="6403" w:type="dxa"/>
            <w:gridSpan w:val="4"/>
            <w:tcBorders>
              <w:top w:val="single" w:color="auto" w:sz="4" w:space="0"/>
              <w:left w:val="single" w:color="auto" w:sz="4" w:space="0"/>
              <w:bottom w:val="single" w:color="auto" w:sz="4" w:space="0"/>
              <w:right w:val="single" w:color="auto" w:sz="4" w:space="0"/>
            </w:tcBorders>
            <w:vAlign w:val="center"/>
          </w:tcPr>
          <w:p w14:paraId="47632B33">
            <w:pPr>
              <w:topLinePunct/>
              <w:spacing w:line="360" w:lineRule="auto"/>
              <w:jc w:val="center"/>
              <w:rPr>
                <w:rFonts w:hint="eastAsia" w:ascii="宋体" w:hAnsi="宋体" w:eastAsia="宋体" w:cs="宋体"/>
                <w:color w:val="auto"/>
                <w:szCs w:val="21"/>
                <w:highlight w:val="none"/>
              </w:rPr>
            </w:pPr>
          </w:p>
        </w:tc>
      </w:tr>
      <w:tr w14:paraId="43FA5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2555" w:type="dxa"/>
            <w:tcBorders>
              <w:top w:val="single" w:color="auto" w:sz="4" w:space="0"/>
              <w:left w:val="single" w:color="auto" w:sz="4" w:space="0"/>
              <w:right w:val="single" w:color="auto" w:sz="4" w:space="0"/>
            </w:tcBorders>
            <w:vAlign w:val="center"/>
          </w:tcPr>
          <w:p w14:paraId="3D77CD37">
            <w:pPr>
              <w:topLinePunct/>
              <w:spacing w:before="100" w:beforeAutospacing="1" w:after="100" w:afterAutospacing="1"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6403" w:type="dxa"/>
            <w:gridSpan w:val="4"/>
            <w:tcBorders>
              <w:top w:val="single" w:color="auto" w:sz="4" w:space="0"/>
              <w:left w:val="single" w:color="auto" w:sz="4" w:space="0"/>
              <w:right w:val="single" w:color="auto" w:sz="4" w:space="0"/>
            </w:tcBorders>
            <w:vAlign w:val="center"/>
          </w:tcPr>
          <w:p w14:paraId="5D0E32F3">
            <w:pPr>
              <w:topLinePunct/>
              <w:spacing w:line="360" w:lineRule="auto"/>
              <w:jc w:val="center"/>
              <w:rPr>
                <w:rFonts w:hint="eastAsia" w:ascii="宋体" w:hAnsi="宋体" w:eastAsia="宋体" w:cs="宋体"/>
                <w:color w:val="auto"/>
                <w:szCs w:val="21"/>
                <w:highlight w:val="none"/>
              </w:rPr>
            </w:pPr>
          </w:p>
        </w:tc>
      </w:tr>
      <w:tr w14:paraId="1F02F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55" w:type="dxa"/>
            <w:tcBorders>
              <w:top w:val="single" w:color="auto" w:sz="4" w:space="0"/>
              <w:left w:val="single" w:color="auto" w:sz="4" w:space="0"/>
              <w:right w:val="single" w:color="auto" w:sz="4" w:space="0"/>
            </w:tcBorders>
            <w:vAlign w:val="center"/>
          </w:tcPr>
          <w:p w14:paraId="2269D411">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403" w:type="dxa"/>
            <w:gridSpan w:val="4"/>
            <w:tcBorders>
              <w:top w:val="single" w:color="auto" w:sz="4" w:space="0"/>
              <w:left w:val="single" w:color="auto" w:sz="4" w:space="0"/>
              <w:right w:val="single" w:color="auto" w:sz="4" w:space="0"/>
            </w:tcBorders>
            <w:vAlign w:val="center"/>
          </w:tcPr>
          <w:p w14:paraId="3A3730B0">
            <w:pPr>
              <w:topLinePunct/>
              <w:spacing w:line="360" w:lineRule="auto"/>
              <w:jc w:val="center"/>
              <w:rPr>
                <w:rFonts w:hint="eastAsia" w:ascii="宋体" w:hAnsi="宋体" w:eastAsia="宋体" w:cs="宋体"/>
                <w:color w:val="auto"/>
                <w:szCs w:val="21"/>
                <w:highlight w:val="none"/>
              </w:rPr>
            </w:pPr>
          </w:p>
        </w:tc>
      </w:tr>
      <w:tr w14:paraId="6E6BA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555" w:type="dxa"/>
            <w:tcBorders>
              <w:top w:val="single" w:color="auto" w:sz="4" w:space="0"/>
              <w:left w:val="single" w:color="auto" w:sz="4" w:space="0"/>
              <w:bottom w:val="single" w:color="auto" w:sz="4" w:space="0"/>
              <w:right w:val="single" w:color="auto" w:sz="4" w:space="0"/>
            </w:tcBorders>
            <w:vAlign w:val="center"/>
          </w:tcPr>
          <w:p w14:paraId="0BF0D14A">
            <w:pPr>
              <w:topLinePunct/>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403" w:type="dxa"/>
            <w:gridSpan w:val="4"/>
            <w:tcBorders>
              <w:top w:val="single" w:color="auto" w:sz="4" w:space="0"/>
              <w:left w:val="single" w:color="auto" w:sz="4" w:space="0"/>
              <w:bottom w:val="single" w:color="auto" w:sz="4" w:space="0"/>
              <w:right w:val="single" w:color="auto" w:sz="4" w:space="0"/>
            </w:tcBorders>
            <w:vAlign w:val="center"/>
          </w:tcPr>
          <w:p w14:paraId="6D7F3FF4">
            <w:pPr>
              <w:topLinePunct/>
              <w:spacing w:line="360" w:lineRule="auto"/>
              <w:jc w:val="center"/>
              <w:rPr>
                <w:rFonts w:hint="eastAsia" w:ascii="宋体" w:hAnsi="宋体" w:eastAsia="宋体" w:cs="宋体"/>
                <w:color w:val="auto"/>
                <w:szCs w:val="21"/>
                <w:highlight w:val="none"/>
              </w:rPr>
            </w:pPr>
          </w:p>
        </w:tc>
      </w:tr>
    </w:tbl>
    <w:p w14:paraId="34C83B1B">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注：后附资格审查资料。</w:t>
      </w:r>
    </w:p>
    <w:p w14:paraId="626F917C">
      <w:pPr>
        <w:rPr>
          <w:rFonts w:hint="eastAsia" w:ascii="宋体" w:hAnsi="宋体" w:eastAsia="宋体" w:cs="宋体"/>
          <w:color w:val="auto"/>
          <w:highlight w:val="none"/>
        </w:rPr>
      </w:pPr>
      <w:bookmarkStart w:id="175" w:name="_Toc531360705"/>
      <w:r>
        <w:rPr>
          <w:rFonts w:hint="eastAsia" w:ascii="宋体" w:hAnsi="宋体" w:eastAsia="宋体" w:cs="宋体"/>
          <w:color w:val="auto"/>
          <w:highlight w:val="none"/>
        </w:rPr>
        <w:br w:type="page"/>
      </w:r>
    </w:p>
    <w:bookmarkEnd w:id="174"/>
    <w:bookmarkEnd w:id="175"/>
    <w:p w14:paraId="71960371">
      <w:pPr>
        <w:pStyle w:val="4"/>
        <w:spacing w:before="20"/>
        <w:ind w:firstLine="137"/>
        <w:jc w:val="left"/>
        <w:rPr>
          <w:rFonts w:hint="eastAsia" w:ascii="宋体" w:hAnsi="宋体" w:eastAsia="宋体" w:cs="宋体"/>
          <w:color w:val="auto"/>
          <w:sz w:val="32"/>
          <w:highlight w:val="none"/>
        </w:rPr>
      </w:pPr>
      <w:r>
        <w:rPr>
          <w:rFonts w:hint="eastAsia" w:ascii="宋体" w:hAnsi="宋体" w:eastAsia="宋体" w:cs="宋体"/>
          <w:color w:val="auto"/>
          <w:sz w:val="32"/>
          <w:highlight w:val="none"/>
        </w:rPr>
        <w:t>（1）独家授权委托书（如有）</w:t>
      </w:r>
    </w:p>
    <w:p w14:paraId="50A2F383">
      <w:pPr>
        <w:widowControl/>
        <w:snapToGrid w:val="0"/>
        <w:spacing w:before="260" w:after="260" w:line="360" w:lineRule="auto"/>
        <w:ind w:right="38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总公司授权投标书</w:t>
      </w:r>
    </w:p>
    <w:p w14:paraId="45790063">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是我司</w:t>
      </w:r>
      <w:r>
        <w:rPr>
          <w:rFonts w:hint="eastAsia" w:ascii="宋体" w:hAnsi="宋体" w:eastAsia="宋体" w:cs="宋体"/>
          <w:color w:val="auto"/>
          <w:szCs w:val="21"/>
          <w:highlight w:val="none"/>
          <w:u w:val="single"/>
        </w:rPr>
        <w:t>（投标人总公司全称）</w:t>
      </w:r>
      <w:r>
        <w:rPr>
          <w:rFonts w:hint="eastAsia" w:ascii="宋体" w:hAnsi="宋体" w:eastAsia="宋体" w:cs="宋体"/>
          <w:color w:val="auto"/>
          <w:szCs w:val="21"/>
          <w:highlight w:val="none"/>
        </w:rPr>
        <w:t>省（地市）级或以上的分支机构。现我司正式授权</w:t>
      </w: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作为</w:t>
      </w:r>
      <w:r>
        <w:rPr>
          <w:rFonts w:hint="eastAsia" w:ascii="宋体" w:hAnsi="宋体" w:eastAsia="宋体" w:cs="宋体"/>
          <w:color w:val="auto"/>
          <w:szCs w:val="21"/>
          <w:highlight w:val="none"/>
          <w:u w:val="single"/>
        </w:rPr>
        <w:t>东南西环三滘立交市政化改造工程（二期）建筑工程一切险及第三者责任险</w:t>
      </w:r>
      <w:r>
        <w:rPr>
          <w:rFonts w:hint="eastAsia" w:ascii="宋体" w:hAnsi="宋体" w:eastAsia="宋体" w:cs="宋体"/>
          <w:color w:val="auto"/>
          <w:szCs w:val="21"/>
          <w:highlight w:val="none"/>
        </w:rPr>
        <w:t>的唯一授权分支机构，参与投标活动、提交投标文件、签订保险合同、执行和售后服务等一切与之有关的事物。</w:t>
      </w:r>
    </w:p>
    <w:p w14:paraId="36806F9F">
      <w:pPr>
        <w:spacing w:line="360" w:lineRule="auto"/>
        <w:ind w:firstLine="630" w:firstLineChars="300"/>
        <w:rPr>
          <w:rFonts w:hint="eastAsia" w:ascii="宋体" w:hAnsi="宋体" w:eastAsia="宋体" w:cs="宋体"/>
          <w:color w:val="auto"/>
          <w:szCs w:val="21"/>
          <w:highlight w:val="none"/>
          <w:u w:val="single"/>
        </w:rPr>
      </w:pPr>
    </w:p>
    <w:p w14:paraId="2F25C425">
      <w:pPr>
        <w:spacing w:line="360" w:lineRule="auto"/>
        <w:ind w:firstLine="5040" w:firstLineChars="2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投标人总公司名称：       （单位公章）</w:t>
      </w:r>
    </w:p>
    <w:p w14:paraId="228F94FC">
      <w:pPr>
        <w:spacing w:line="360" w:lineRule="auto"/>
        <w:ind w:firstLine="5040" w:firstLineChars="2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授权日期：   年   月   日</w:t>
      </w:r>
    </w:p>
    <w:p w14:paraId="7BE6CBDE">
      <w:pPr>
        <w:pStyle w:val="26"/>
        <w:rPr>
          <w:rFonts w:hint="eastAsia" w:ascii="宋体" w:hAnsi="宋体" w:cs="宋体"/>
          <w:color w:val="auto"/>
          <w:szCs w:val="21"/>
          <w:highlight w:val="none"/>
        </w:rPr>
      </w:pPr>
    </w:p>
    <w:p w14:paraId="75914151">
      <w:pPr>
        <w:pStyle w:val="26"/>
        <w:rPr>
          <w:rFonts w:hint="eastAsia" w:ascii="宋体" w:hAnsi="宋体" w:cs="宋体"/>
          <w:color w:val="auto"/>
          <w:szCs w:val="21"/>
          <w:highlight w:val="none"/>
        </w:rPr>
      </w:pPr>
    </w:p>
    <w:p w14:paraId="756DCF20">
      <w:pPr>
        <w:pStyle w:val="26"/>
        <w:rPr>
          <w:rFonts w:hint="eastAsia" w:ascii="宋体" w:hAnsi="宋体" w:cs="宋体"/>
          <w:color w:val="auto"/>
          <w:szCs w:val="21"/>
          <w:highlight w:val="none"/>
        </w:rPr>
      </w:pPr>
    </w:p>
    <w:p w14:paraId="132CFBB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注：如投标人为总公司参与投标，则不需要提交此授权投标书。</w:t>
      </w:r>
    </w:p>
    <w:p w14:paraId="55FE16ED">
      <w:pPr>
        <w:spacing w:line="360" w:lineRule="auto"/>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 w:val="32"/>
          <w:szCs w:val="32"/>
          <w:highlight w:val="none"/>
        </w:rPr>
        <w:t>（2）营业执照</w:t>
      </w:r>
    </w:p>
    <w:p w14:paraId="70D894DD">
      <w:pPr>
        <w:pStyle w:val="26"/>
        <w:rPr>
          <w:rFonts w:hint="eastAsia" w:ascii="宋体" w:hAnsi="宋体" w:cs="宋体"/>
          <w:color w:val="auto"/>
          <w:szCs w:val="21"/>
          <w:highlight w:val="none"/>
        </w:rPr>
      </w:pPr>
      <w:r>
        <w:rPr>
          <w:rFonts w:hint="eastAsia" w:ascii="宋体" w:hAnsi="宋体" w:cs="宋体"/>
          <w:color w:val="auto"/>
          <w:szCs w:val="21"/>
          <w:highlight w:val="none"/>
        </w:rPr>
        <w:t>提供总公司营业执照、分公司营业执照（如为总公司投标，则无需提供）</w:t>
      </w:r>
    </w:p>
    <w:p w14:paraId="18D93A90">
      <w:pPr>
        <w:outlineLvl w:val="2"/>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 w:val="32"/>
          <w:szCs w:val="32"/>
          <w:highlight w:val="none"/>
        </w:rPr>
        <w:t>（3）</w:t>
      </w:r>
      <w:r>
        <w:rPr>
          <w:rFonts w:hint="eastAsia" w:ascii="宋体" w:hAnsi="宋体" w:eastAsia="宋体" w:cs="宋体"/>
          <w:b/>
          <w:bCs/>
          <w:color w:val="auto"/>
          <w:sz w:val="32"/>
          <w:szCs w:val="32"/>
          <w:highlight w:val="none"/>
          <w:lang w:eastAsia="zh-CN"/>
        </w:rPr>
        <w:t>保险许可证</w:t>
      </w:r>
    </w:p>
    <w:p w14:paraId="13C94E47">
      <w:pPr>
        <w:spacing w:line="360" w:lineRule="auto"/>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 w:val="32"/>
          <w:szCs w:val="32"/>
          <w:highlight w:val="none"/>
        </w:rPr>
        <w:t>（4）投标人声明（详见招标公告附件一）</w:t>
      </w:r>
    </w:p>
    <w:p w14:paraId="5EC374A4">
      <w:pPr>
        <w:spacing w:line="400" w:lineRule="exact"/>
        <w:rPr>
          <w:rFonts w:hint="eastAsia" w:ascii="宋体" w:hAnsi="宋体" w:eastAsia="宋体" w:cs="宋体"/>
          <w:color w:val="auto"/>
          <w:szCs w:val="21"/>
          <w:highlight w:val="none"/>
        </w:rPr>
      </w:pPr>
    </w:p>
    <w:p w14:paraId="1056BB3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E57061E">
      <w:pPr>
        <w:pStyle w:val="4"/>
        <w:spacing w:before="20"/>
        <w:ind w:firstLine="137"/>
        <w:jc w:val="both"/>
        <w:rPr>
          <w:rFonts w:hint="eastAsia" w:ascii="宋体" w:hAnsi="宋体" w:eastAsia="宋体" w:cs="宋体"/>
          <w:color w:val="auto"/>
          <w:sz w:val="32"/>
          <w:highlight w:val="none"/>
        </w:rPr>
      </w:pPr>
      <w:r>
        <w:rPr>
          <w:rFonts w:hint="eastAsia" w:ascii="宋体" w:hAnsi="宋体" w:eastAsia="宋体" w:cs="宋体"/>
          <w:color w:val="auto"/>
          <w:sz w:val="32"/>
          <w:highlight w:val="none"/>
        </w:rPr>
        <w:t>（5）投标人认为有必要提供的其它材料。</w:t>
      </w:r>
    </w:p>
    <w:p w14:paraId="6FBAE555">
      <w:pPr>
        <w:rPr>
          <w:rFonts w:hint="eastAsia" w:ascii="宋体" w:hAnsi="宋体" w:eastAsia="宋体" w:cs="宋体"/>
          <w:color w:val="auto"/>
          <w:szCs w:val="21"/>
          <w:highlight w:val="none"/>
          <w:u w:val="single"/>
        </w:rPr>
      </w:pPr>
    </w:p>
    <w:p w14:paraId="09133C50">
      <w:pPr>
        <w:rPr>
          <w:rFonts w:hint="eastAsia" w:ascii="宋体" w:hAnsi="宋体" w:eastAsia="宋体" w:cs="宋体"/>
          <w:color w:val="auto"/>
          <w:highlight w:val="none"/>
        </w:rPr>
      </w:pPr>
    </w:p>
    <w:p w14:paraId="24EB532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E155CD9">
      <w:pPr>
        <w:pStyle w:val="2"/>
        <w:spacing w:after="0"/>
        <w:rPr>
          <w:rFonts w:hint="eastAsia" w:ascii="宋体" w:hAnsi="宋体" w:eastAsia="宋体" w:cs="宋体"/>
          <w:color w:val="auto"/>
          <w:highlight w:val="none"/>
        </w:rPr>
      </w:pPr>
      <w:bookmarkStart w:id="176" w:name="_Toc20751_WPSOffice_Level1"/>
      <w:r>
        <w:rPr>
          <w:rFonts w:hint="eastAsia" w:ascii="宋体" w:hAnsi="宋体" w:eastAsia="宋体" w:cs="宋体"/>
          <w:color w:val="auto"/>
          <w:highlight w:val="none"/>
        </w:rPr>
        <w:t>四、资信业绩</w:t>
      </w:r>
      <w:bookmarkEnd w:id="176"/>
      <w:r>
        <w:rPr>
          <w:rFonts w:hint="eastAsia" w:ascii="宋体" w:hAnsi="宋体" w:eastAsia="宋体" w:cs="宋体"/>
          <w:color w:val="auto"/>
          <w:highlight w:val="none"/>
        </w:rPr>
        <w:t>证明材料</w:t>
      </w:r>
    </w:p>
    <w:p w14:paraId="48D82176">
      <w:pPr>
        <w:pStyle w:val="4"/>
        <w:numPr>
          <w:ilvl w:val="2"/>
          <w:numId w:val="0"/>
        </w:numPr>
        <w:spacing w:before="20"/>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4.1投标人总公司财务状况和承保能力表（如有）</w:t>
      </w:r>
    </w:p>
    <w:tbl>
      <w:tblPr>
        <w:tblStyle w:val="20"/>
        <w:tblW w:w="892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008"/>
        <w:gridCol w:w="4120"/>
        <w:gridCol w:w="1800"/>
      </w:tblGrid>
      <w:tr w14:paraId="0996C6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1" w:hRule="atLeast"/>
        </w:trPr>
        <w:tc>
          <w:tcPr>
            <w:tcW w:w="3008" w:type="dxa"/>
            <w:vAlign w:val="center"/>
          </w:tcPr>
          <w:p w14:paraId="05CBADE4">
            <w:pPr>
              <w:pStyle w:val="37"/>
              <w:spacing w:before="180"/>
              <w:ind w:left="119"/>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评审项目</w:t>
            </w:r>
          </w:p>
        </w:tc>
        <w:tc>
          <w:tcPr>
            <w:tcW w:w="4120" w:type="dxa"/>
            <w:vAlign w:val="center"/>
          </w:tcPr>
          <w:p w14:paraId="05733D6E">
            <w:pPr>
              <w:pStyle w:val="37"/>
              <w:spacing w:before="180"/>
              <w:ind w:left="119"/>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内容或数据</w:t>
            </w:r>
          </w:p>
        </w:tc>
        <w:tc>
          <w:tcPr>
            <w:tcW w:w="1800" w:type="dxa"/>
            <w:vAlign w:val="center"/>
          </w:tcPr>
          <w:p w14:paraId="0E6EDC19">
            <w:pPr>
              <w:pStyle w:val="37"/>
              <w:spacing w:before="180"/>
              <w:ind w:left="119"/>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备注</w:t>
            </w:r>
          </w:p>
        </w:tc>
      </w:tr>
      <w:tr w14:paraId="32B500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1" w:hRule="atLeast"/>
        </w:trPr>
        <w:tc>
          <w:tcPr>
            <w:tcW w:w="3008" w:type="dxa"/>
            <w:vAlign w:val="center"/>
          </w:tcPr>
          <w:p w14:paraId="203AC413">
            <w:pPr>
              <w:pStyle w:val="37"/>
              <w:spacing w:before="180"/>
              <w:ind w:left="119"/>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投标人总公司偿付能力风险管理</w:t>
            </w:r>
            <w:r>
              <w:rPr>
                <w:rFonts w:hint="eastAsia" w:ascii="宋体" w:hAnsi="宋体" w:eastAsia="宋体" w:cs="宋体"/>
                <w:color w:val="auto"/>
                <w:szCs w:val="21"/>
                <w:highlight w:val="none"/>
              </w:rPr>
              <w:t>SARMRA评分</w:t>
            </w:r>
          </w:p>
        </w:tc>
        <w:tc>
          <w:tcPr>
            <w:tcW w:w="4120" w:type="dxa"/>
            <w:vAlign w:val="center"/>
          </w:tcPr>
          <w:p w14:paraId="47534503">
            <w:pPr>
              <w:pStyle w:val="37"/>
              <w:spacing w:before="180"/>
              <w:ind w:left="119"/>
              <w:rPr>
                <w:rFonts w:hint="eastAsia" w:ascii="宋体" w:hAnsi="宋体" w:eastAsia="宋体" w:cs="宋体"/>
                <w:bCs/>
                <w:color w:val="auto"/>
                <w:szCs w:val="21"/>
                <w:highlight w:val="none"/>
              </w:rPr>
            </w:pPr>
          </w:p>
        </w:tc>
        <w:tc>
          <w:tcPr>
            <w:tcW w:w="1800" w:type="dxa"/>
            <w:vAlign w:val="center"/>
          </w:tcPr>
          <w:p w14:paraId="5EB283B5">
            <w:pPr>
              <w:pStyle w:val="37"/>
              <w:spacing w:before="180"/>
              <w:ind w:left="119"/>
              <w:rPr>
                <w:rFonts w:hint="eastAsia" w:ascii="宋体" w:hAnsi="宋体" w:eastAsia="宋体" w:cs="宋体"/>
                <w:bCs/>
                <w:color w:val="auto"/>
                <w:szCs w:val="21"/>
                <w:highlight w:val="none"/>
              </w:rPr>
            </w:pPr>
          </w:p>
        </w:tc>
      </w:tr>
      <w:tr w14:paraId="072A62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1" w:hRule="atLeast"/>
        </w:trPr>
        <w:tc>
          <w:tcPr>
            <w:tcW w:w="3008" w:type="dxa"/>
            <w:vAlign w:val="center"/>
          </w:tcPr>
          <w:p w14:paraId="38344AC6">
            <w:pPr>
              <w:pStyle w:val="37"/>
              <w:spacing w:before="180"/>
              <w:ind w:left="119"/>
              <w:jc w:val="center"/>
              <w:rPr>
                <w:rFonts w:hint="eastAsia" w:ascii="宋体" w:hAnsi="宋体" w:eastAsia="宋体" w:cs="宋体"/>
                <w:color w:val="auto"/>
                <w:szCs w:val="21"/>
                <w:highlight w:val="none"/>
              </w:rPr>
            </w:pPr>
            <w:bookmarkStart w:id="177" w:name="_Hlk18322845"/>
            <w:r>
              <w:rPr>
                <w:rFonts w:hint="eastAsia" w:ascii="宋体" w:hAnsi="宋体" w:eastAsia="宋体" w:cs="宋体"/>
                <w:color w:val="auto"/>
                <w:szCs w:val="21"/>
                <w:highlight w:val="none"/>
              </w:rPr>
              <w:t>投标人总公司</w:t>
            </w:r>
            <w:bookmarkEnd w:id="177"/>
            <w:r>
              <w:rPr>
                <w:rFonts w:hint="eastAsia" w:ascii="宋体" w:hAnsi="宋体" w:eastAsia="宋体" w:cs="宋体"/>
                <w:color w:val="auto"/>
                <w:szCs w:val="21"/>
                <w:highlight w:val="none"/>
              </w:rPr>
              <w:t>2023年末的综合偿付能力充足率</w:t>
            </w:r>
          </w:p>
        </w:tc>
        <w:tc>
          <w:tcPr>
            <w:tcW w:w="4120" w:type="dxa"/>
            <w:vAlign w:val="center"/>
          </w:tcPr>
          <w:p w14:paraId="370C480A">
            <w:pPr>
              <w:pStyle w:val="37"/>
              <w:spacing w:before="180"/>
              <w:ind w:left="119"/>
              <w:rPr>
                <w:rFonts w:hint="eastAsia" w:ascii="宋体" w:hAnsi="宋体" w:eastAsia="宋体" w:cs="宋体"/>
                <w:bCs/>
                <w:color w:val="auto"/>
                <w:szCs w:val="21"/>
                <w:highlight w:val="none"/>
              </w:rPr>
            </w:pPr>
          </w:p>
        </w:tc>
        <w:tc>
          <w:tcPr>
            <w:tcW w:w="1800" w:type="dxa"/>
            <w:vAlign w:val="center"/>
          </w:tcPr>
          <w:p w14:paraId="54CC8403">
            <w:pPr>
              <w:pStyle w:val="37"/>
              <w:spacing w:before="180"/>
              <w:ind w:left="119"/>
              <w:rPr>
                <w:rFonts w:hint="eastAsia" w:ascii="宋体" w:hAnsi="宋体" w:eastAsia="宋体" w:cs="宋体"/>
                <w:color w:val="auto"/>
                <w:szCs w:val="21"/>
                <w:highlight w:val="none"/>
              </w:rPr>
            </w:pPr>
          </w:p>
        </w:tc>
      </w:tr>
    </w:tbl>
    <w:p w14:paraId="1D520B5F">
      <w:pPr>
        <w:rPr>
          <w:rFonts w:hint="eastAsia" w:ascii="宋体" w:hAnsi="宋体" w:eastAsia="宋体" w:cs="宋体"/>
          <w:color w:val="auto"/>
          <w:sz w:val="32"/>
          <w:highlight w:val="none"/>
        </w:rPr>
      </w:pPr>
      <w:r>
        <w:rPr>
          <w:rFonts w:hint="eastAsia" w:ascii="宋体" w:hAnsi="宋体" w:eastAsia="宋体" w:cs="宋体"/>
          <w:color w:val="auto"/>
          <w:szCs w:val="21"/>
          <w:highlight w:val="none"/>
        </w:rPr>
        <w:t>注：后附证明资料。</w:t>
      </w:r>
    </w:p>
    <w:p w14:paraId="343D532E">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06E8B9F">
      <w:pPr>
        <w:pStyle w:val="4"/>
        <w:numPr>
          <w:ilvl w:val="2"/>
          <w:numId w:val="0"/>
        </w:numPr>
        <w:spacing w:before="20"/>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4.2承保业绩汇总表（如有）</w:t>
      </w:r>
    </w:p>
    <w:tbl>
      <w:tblPr>
        <w:tblStyle w:val="20"/>
        <w:tblW w:w="8777" w:type="dxa"/>
        <w:tblInd w:w="16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9"/>
        <w:gridCol w:w="1349"/>
        <w:gridCol w:w="1020"/>
        <w:gridCol w:w="1213"/>
        <w:gridCol w:w="1134"/>
        <w:gridCol w:w="1134"/>
        <w:gridCol w:w="1134"/>
        <w:gridCol w:w="1134"/>
      </w:tblGrid>
      <w:tr w14:paraId="34A323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659" w:type="dxa"/>
            <w:tcBorders>
              <w:bottom w:val="single" w:color="000000" w:sz="6" w:space="0"/>
              <w:right w:val="single" w:color="000000" w:sz="6" w:space="0"/>
            </w:tcBorders>
          </w:tcPr>
          <w:p w14:paraId="5B212016">
            <w:pPr>
              <w:pStyle w:val="37"/>
              <w:spacing w:before="180"/>
              <w:ind w:left="11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49" w:type="dxa"/>
            <w:tcBorders>
              <w:left w:val="single" w:color="000000" w:sz="6" w:space="0"/>
              <w:bottom w:val="single" w:color="000000" w:sz="6" w:space="0"/>
              <w:right w:val="single" w:color="000000" w:sz="6" w:space="0"/>
            </w:tcBorders>
          </w:tcPr>
          <w:p w14:paraId="69F76455">
            <w:pPr>
              <w:pStyle w:val="37"/>
              <w:spacing w:before="180"/>
              <w:ind w:left="411"/>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020" w:type="dxa"/>
            <w:tcBorders>
              <w:left w:val="single" w:color="000000" w:sz="6" w:space="0"/>
              <w:bottom w:val="single" w:color="000000" w:sz="6" w:space="0"/>
              <w:right w:val="single" w:color="000000" w:sz="6" w:space="0"/>
            </w:tcBorders>
          </w:tcPr>
          <w:p w14:paraId="23CA8757">
            <w:pPr>
              <w:pStyle w:val="37"/>
              <w:spacing w:before="180"/>
              <w:ind w:left="138"/>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项目类型</w:t>
            </w:r>
          </w:p>
          <w:p w14:paraId="5673C948">
            <w:pPr>
              <w:pStyle w:val="37"/>
              <w:spacing w:before="180"/>
              <w:ind w:left="138"/>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（市政工程或公路工程）</w:t>
            </w:r>
          </w:p>
        </w:tc>
        <w:tc>
          <w:tcPr>
            <w:tcW w:w="1213" w:type="dxa"/>
            <w:tcBorders>
              <w:left w:val="single" w:color="000000" w:sz="6" w:space="0"/>
              <w:bottom w:val="single" w:color="000000" w:sz="6" w:space="0"/>
              <w:right w:val="single" w:color="000000" w:sz="6" w:space="0"/>
            </w:tcBorders>
          </w:tcPr>
          <w:p w14:paraId="4A40F85A">
            <w:pPr>
              <w:pStyle w:val="37"/>
              <w:spacing w:before="30"/>
              <w:ind w:left="115" w:right="8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保险金额</w:t>
            </w:r>
          </w:p>
          <w:p w14:paraId="52A109F9">
            <w:pPr>
              <w:pStyle w:val="37"/>
              <w:spacing w:before="31" w:line="250" w:lineRule="exact"/>
              <w:ind w:left="115" w:right="8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   亿元）</w:t>
            </w:r>
          </w:p>
        </w:tc>
        <w:tc>
          <w:tcPr>
            <w:tcW w:w="1134" w:type="dxa"/>
            <w:tcBorders>
              <w:left w:val="single" w:color="000000" w:sz="6" w:space="0"/>
              <w:bottom w:val="single" w:color="000000" w:sz="6" w:space="0"/>
              <w:right w:val="single" w:color="000000" w:sz="6" w:space="0"/>
            </w:tcBorders>
          </w:tcPr>
          <w:p w14:paraId="2C08D355">
            <w:pPr>
              <w:pStyle w:val="37"/>
              <w:spacing w:before="180"/>
              <w:ind w:left="138"/>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134" w:type="dxa"/>
            <w:tcBorders>
              <w:left w:val="single" w:color="000000" w:sz="6" w:space="0"/>
              <w:bottom w:val="single" w:color="000000" w:sz="6" w:space="0"/>
              <w:right w:val="single" w:color="000000" w:sz="6" w:space="0"/>
            </w:tcBorders>
          </w:tcPr>
          <w:p w14:paraId="4DB1E387">
            <w:pPr>
              <w:pStyle w:val="37"/>
              <w:spacing w:line="300" w:lineRule="exact"/>
              <w:ind w:left="157" w:right="122" w:firstLine="5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承保份额（%）</w:t>
            </w:r>
          </w:p>
        </w:tc>
        <w:tc>
          <w:tcPr>
            <w:tcW w:w="1134" w:type="dxa"/>
            <w:tcBorders>
              <w:left w:val="single" w:color="000000" w:sz="6" w:space="0"/>
              <w:bottom w:val="single" w:color="000000" w:sz="6" w:space="0"/>
              <w:right w:val="single" w:color="000000" w:sz="6" w:space="0"/>
            </w:tcBorders>
          </w:tcPr>
          <w:p w14:paraId="6AE6859F">
            <w:pPr>
              <w:pStyle w:val="37"/>
              <w:spacing w:before="180"/>
              <w:ind w:left="12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客户联系人及电话</w:t>
            </w:r>
          </w:p>
        </w:tc>
        <w:tc>
          <w:tcPr>
            <w:tcW w:w="1134" w:type="dxa"/>
            <w:tcBorders>
              <w:left w:val="single" w:color="000000" w:sz="6" w:space="0"/>
              <w:bottom w:val="single" w:color="000000" w:sz="6" w:space="0"/>
            </w:tcBorders>
          </w:tcPr>
          <w:p w14:paraId="3E39B6B5">
            <w:pPr>
              <w:pStyle w:val="37"/>
              <w:spacing w:before="180"/>
              <w:ind w:left="128"/>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备注</w:t>
            </w:r>
          </w:p>
        </w:tc>
      </w:tr>
      <w:tr w14:paraId="505B72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59" w:type="dxa"/>
            <w:tcBorders>
              <w:top w:val="single" w:color="000000" w:sz="6" w:space="0"/>
              <w:bottom w:val="single" w:color="000000" w:sz="6" w:space="0"/>
              <w:right w:val="single" w:color="000000" w:sz="6" w:space="0"/>
            </w:tcBorders>
          </w:tcPr>
          <w:p w14:paraId="44E04B80">
            <w:pPr>
              <w:pStyle w:val="37"/>
              <w:rPr>
                <w:rFonts w:hint="eastAsia" w:ascii="宋体" w:hAnsi="宋体" w:eastAsia="宋体" w:cs="宋体"/>
                <w:color w:val="auto"/>
                <w:szCs w:val="21"/>
                <w:highlight w:val="none"/>
              </w:rPr>
            </w:pPr>
          </w:p>
        </w:tc>
        <w:tc>
          <w:tcPr>
            <w:tcW w:w="1349" w:type="dxa"/>
            <w:tcBorders>
              <w:top w:val="single" w:color="000000" w:sz="6" w:space="0"/>
              <w:left w:val="single" w:color="000000" w:sz="6" w:space="0"/>
              <w:bottom w:val="single" w:color="000000" w:sz="6" w:space="0"/>
              <w:right w:val="single" w:color="000000" w:sz="6" w:space="0"/>
            </w:tcBorders>
          </w:tcPr>
          <w:p w14:paraId="4E331474">
            <w:pPr>
              <w:pStyle w:val="37"/>
              <w:rPr>
                <w:rFonts w:hint="eastAsia" w:ascii="宋体" w:hAnsi="宋体" w:eastAsia="宋体" w:cs="宋体"/>
                <w:color w:val="auto"/>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15E1F1CC">
            <w:pPr>
              <w:pStyle w:val="37"/>
              <w:rPr>
                <w:rFonts w:hint="eastAsia" w:ascii="宋体" w:hAnsi="宋体" w:eastAsia="宋体" w:cs="宋体"/>
                <w:color w:val="auto"/>
                <w:szCs w:val="21"/>
                <w:highlight w:val="none"/>
              </w:rPr>
            </w:pPr>
          </w:p>
        </w:tc>
        <w:tc>
          <w:tcPr>
            <w:tcW w:w="1213" w:type="dxa"/>
            <w:tcBorders>
              <w:top w:val="single" w:color="000000" w:sz="6" w:space="0"/>
              <w:left w:val="single" w:color="000000" w:sz="6" w:space="0"/>
              <w:bottom w:val="single" w:color="000000" w:sz="6" w:space="0"/>
              <w:right w:val="single" w:color="000000" w:sz="6" w:space="0"/>
            </w:tcBorders>
          </w:tcPr>
          <w:p w14:paraId="6225C203">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7F53B78">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1D3785B">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CDF7108">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tcBorders>
          </w:tcPr>
          <w:p w14:paraId="380DC61C">
            <w:pPr>
              <w:pStyle w:val="37"/>
              <w:rPr>
                <w:rFonts w:hint="eastAsia" w:ascii="宋体" w:hAnsi="宋体" w:eastAsia="宋体" w:cs="宋体"/>
                <w:color w:val="auto"/>
                <w:szCs w:val="21"/>
                <w:highlight w:val="none"/>
              </w:rPr>
            </w:pPr>
          </w:p>
        </w:tc>
      </w:tr>
      <w:tr w14:paraId="2AB153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59" w:type="dxa"/>
            <w:tcBorders>
              <w:top w:val="single" w:color="000000" w:sz="6" w:space="0"/>
              <w:bottom w:val="single" w:color="000000" w:sz="6" w:space="0"/>
              <w:right w:val="single" w:color="000000" w:sz="6" w:space="0"/>
            </w:tcBorders>
          </w:tcPr>
          <w:p w14:paraId="1C657869">
            <w:pPr>
              <w:pStyle w:val="37"/>
              <w:rPr>
                <w:rFonts w:hint="eastAsia" w:ascii="宋体" w:hAnsi="宋体" w:eastAsia="宋体" w:cs="宋体"/>
                <w:color w:val="auto"/>
                <w:szCs w:val="21"/>
                <w:highlight w:val="none"/>
              </w:rPr>
            </w:pPr>
          </w:p>
        </w:tc>
        <w:tc>
          <w:tcPr>
            <w:tcW w:w="1349" w:type="dxa"/>
            <w:tcBorders>
              <w:top w:val="single" w:color="000000" w:sz="6" w:space="0"/>
              <w:left w:val="single" w:color="000000" w:sz="6" w:space="0"/>
              <w:bottom w:val="single" w:color="000000" w:sz="6" w:space="0"/>
              <w:right w:val="single" w:color="000000" w:sz="6" w:space="0"/>
            </w:tcBorders>
          </w:tcPr>
          <w:p w14:paraId="755DAB8F">
            <w:pPr>
              <w:pStyle w:val="37"/>
              <w:rPr>
                <w:rFonts w:hint="eastAsia" w:ascii="宋体" w:hAnsi="宋体" w:eastAsia="宋体" w:cs="宋体"/>
                <w:color w:val="auto"/>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C7A9C4A">
            <w:pPr>
              <w:pStyle w:val="37"/>
              <w:rPr>
                <w:rFonts w:hint="eastAsia" w:ascii="宋体" w:hAnsi="宋体" w:eastAsia="宋体" w:cs="宋体"/>
                <w:color w:val="auto"/>
                <w:szCs w:val="21"/>
                <w:highlight w:val="none"/>
              </w:rPr>
            </w:pPr>
          </w:p>
        </w:tc>
        <w:tc>
          <w:tcPr>
            <w:tcW w:w="1213" w:type="dxa"/>
            <w:tcBorders>
              <w:top w:val="single" w:color="000000" w:sz="6" w:space="0"/>
              <w:left w:val="single" w:color="000000" w:sz="6" w:space="0"/>
              <w:bottom w:val="single" w:color="000000" w:sz="6" w:space="0"/>
              <w:right w:val="single" w:color="000000" w:sz="6" w:space="0"/>
            </w:tcBorders>
          </w:tcPr>
          <w:p w14:paraId="62FA515B">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8966351">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94EB57B">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F04E165">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tcBorders>
          </w:tcPr>
          <w:p w14:paraId="462A03C0">
            <w:pPr>
              <w:pStyle w:val="37"/>
              <w:rPr>
                <w:rFonts w:hint="eastAsia" w:ascii="宋体" w:hAnsi="宋体" w:eastAsia="宋体" w:cs="宋体"/>
                <w:color w:val="auto"/>
                <w:szCs w:val="21"/>
                <w:highlight w:val="none"/>
              </w:rPr>
            </w:pPr>
          </w:p>
        </w:tc>
      </w:tr>
      <w:tr w14:paraId="7DE0D8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59" w:type="dxa"/>
            <w:tcBorders>
              <w:top w:val="single" w:color="000000" w:sz="6" w:space="0"/>
              <w:bottom w:val="single" w:color="000000" w:sz="6" w:space="0"/>
              <w:right w:val="single" w:color="000000" w:sz="6" w:space="0"/>
            </w:tcBorders>
          </w:tcPr>
          <w:p w14:paraId="2CE288AA">
            <w:pPr>
              <w:pStyle w:val="37"/>
              <w:rPr>
                <w:rFonts w:hint="eastAsia" w:ascii="宋体" w:hAnsi="宋体" w:eastAsia="宋体" w:cs="宋体"/>
                <w:color w:val="auto"/>
                <w:szCs w:val="21"/>
                <w:highlight w:val="none"/>
              </w:rPr>
            </w:pPr>
          </w:p>
        </w:tc>
        <w:tc>
          <w:tcPr>
            <w:tcW w:w="1349" w:type="dxa"/>
            <w:tcBorders>
              <w:top w:val="single" w:color="000000" w:sz="6" w:space="0"/>
              <w:left w:val="single" w:color="000000" w:sz="6" w:space="0"/>
              <w:bottom w:val="single" w:color="000000" w:sz="6" w:space="0"/>
              <w:right w:val="single" w:color="000000" w:sz="6" w:space="0"/>
            </w:tcBorders>
          </w:tcPr>
          <w:p w14:paraId="7CE58B36">
            <w:pPr>
              <w:pStyle w:val="37"/>
              <w:rPr>
                <w:rFonts w:hint="eastAsia" w:ascii="宋体" w:hAnsi="宋体" w:eastAsia="宋体" w:cs="宋体"/>
                <w:color w:val="auto"/>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58DCEBB2">
            <w:pPr>
              <w:pStyle w:val="37"/>
              <w:rPr>
                <w:rFonts w:hint="eastAsia" w:ascii="宋体" w:hAnsi="宋体" w:eastAsia="宋体" w:cs="宋体"/>
                <w:color w:val="auto"/>
                <w:szCs w:val="21"/>
                <w:highlight w:val="none"/>
              </w:rPr>
            </w:pPr>
          </w:p>
        </w:tc>
        <w:tc>
          <w:tcPr>
            <w:tcW w:w="1213" w:type="dxa"/>
            <w:tcBorders>
              <w:top w:val="single" w:color="000000" w:sz="6" w:space="0"/>
              <w:left w:val="single" w:color="000000" w:sz="6" w:space="0"/>
              <w:bottom w:val="single" w:color="000000" w:sz="6" w:space="0"/>
              <w:right w:val="single" w:color="000000" w:sz="6" w:space="0"/>
            </w:tcBorders>
          </w:tcPr>
          <w:p w14:paraId="06FAC797">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B492A64">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C8E6E7A">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A08F93C">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tcBorders>
          </w:tcPr>
          <w:p w14:paraId="5D374D5F">
            <w:pPr>
              <w:pStyle w:val="37"/>
              <w:rPr>
                <w:rFonts w:hint="eastAsia" w:ascii="宋体" w:hAnsi="宋体" w:eastAsia="宋体" w:cs="宋体"/>
                <w:color w:val="auto"/>
                <w:szCs w:val="21"/>
                <w:highlight w:val="none"/>
              </w:rPr>
            </w:pPr>
          </w:p>
        </w:tc>
      </w:tr>
      <w:tr w14:paraId="46F667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59" w:type="dxa"/>
            <w:tcBorders>
              <w:top w:val="single" w:color="000000" w:sz="6" w:space="0"/>
              <w:bottom w:val="single" w:color="000000" w:sz="6" w:space="0"/>
              <w:right w:val="single" w:color="000000" w:sz="6" w:space="0"/>
            </w:tcBorders>
          </w:tcPr>
          <w:p w14:paraId="3BA2AC30">
            <w:pPr>
              <w:pStyle w:val="37"/>
              <w:rPr>
                <w:rFonts w:hint="eastAsia" w:ascii="宋体" w:hAnsi="宋体" w:eastAsia="宋体" w:cs="宋体"/>
                <w:color w:val="auto"/>
                <w:szCs w:val="21"/>
                <w:highlight w:val="none"/>
              </w:rPr>
            </w:pPr>
          </w:p>
        </w:tc>
        <w:tc>
          <w:tcPr>
            <w:tcW w:w="1349" w:type="dxa"/>
            <w:tcBorders>
              <w:top w:val="single" w:color="000000" w:sz="6" w:space="0"/>
              <w:left w:val="single" w:color="000000" w:sz="6" w:space="0"/>
              <w:bottom w:val="single" w:color="000000" w:sz="6" w:space="0"/>
              <w:right w:val="single" w:color="000000" w:sz="6" w:space="0"/>
            </w:tcBorders>
          </w:tcPr>
          <w:p w14:paraId="403E9881">
            <w:pPr>
              <w:pStyle w:val="37"/>
              <w:rPr>
                <w:rFonts w:hint="eastAsia" w:ascii="宋体" w:hAnsi="宋体" w:eastAsia="宋体" w:cs="宋体"/>
                <w:color w:val="auto"/>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7E131EB">
            <w:pPr>
              <w:pStyle w:val="37"/>
              <w:rPr>
                <w:rFonts w:hint="eastAsia" w:ascii="宋体" w:hAnsi="宋体" w:eastAsia="宋体" w:cs="宋体"/>
                <w:color w:val="auto"/>
                <w:szCs w:val="21"/>
                <w:highlight w:val="none"/>
              </w:rPr>
            </w:pPr>
          </w:p>
        </w:tc>
        <w:tc>
          <w:tcPr>
            <w:tcW w:w="1213" w:type="dxa"/>
            <w:tcBorders>
              <w:top w:val="single" w:color="000000" w:sz="6" w:space="0"/>
              <w:left w:val="single" w:color="000000" w:sz="6" w:space="0"/>
              <w:bottom w:val="single" w:color="000000" w:sz="6" w:space="0"/>
              <w:right w:val="single" w:color="000000" w:sz="6" w:space="0"/>
            </w:tcBorders>
          </w:tcPr>
          <w:p w14:paraId="07FD24AF">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CE83A16">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E8F7D20">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9886033">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tcBorders>
          </w:tcPr>
          <w:p w14:paraId="561F840A">
            <w:pPr>
              <w:pStyle w:val="37"/>
              <w:rPr>
                <w:rFonts w:hint="eastAsia" w:ascii="宋体" w:hAnsi="宋体" w:eastAsia="宋体" w:cs="宋体"/>
                <w:color w:val="auto"/>
                <w:szCs w:val="21"/>
                <w:highlight w:val="none"/>
              </w:rPr>
            </w:pPr>
          </w:p>
        </w:tc>
      </w:tr>
      <w:tr w14:paraId="5595B5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59" w:type="dxa"/>
            <w:tcBorders>
              <w:top w:val="single" w:color="000000" w:sz="6" w:space="0"/>
              <w:bottom w:val="single" w:color="000000" w:sz="6" w:space="0"/>
              <w:right w:val="single" w:color="000000" w:sz="6" w:space="0"/>
            </w:tcBorders>
          </w:tcPr>
          <w:p w14:paraId="204D5D46">
            <w:pPr>
              <w:pStyle w:val="37"/>
              <w:rPr>
                <w:rFonts w:hint="eastAsia" w:ascii="宋体" w:hAnsi="宋体" w:eastAsia="宋体" w:cs="宋体"/>
                <w:color w:val="auto"/>
                <w:szCs w:val="21"/>
                <w:highlight w:val="none"/>
              </w:rPr>
            </w:pPr>
          </w:p>
        </w:tc>
        <w:tc>
          <w:tcPr>
            <w:tcW w:w="1349" w:type="dxa"/>
            <w:tcBorders>
              <w:top w:val="single" w:color="000000" w:sz="6" w:space="0"/>
              <w:left w:val="single" w:color="000000" w:sz="6" w:space="0"/>
              <w:bottom w:val="single" w:color="000000" w:sz="6" w:space="0"/>
              <w:right w:val="single" w:color="000000" w:sz="6" w:space="0"/>
            </w:tcBorders>
          </w:tcPr>
          <w:p w14:paraId="46DDE4F7">
            <w:pPr>
              <w:pStyle w:val="37"/>
              <w:rPr>
                <w:rFonts w:hint="eastAsia" w:ascii="宋体" w:hAnsi="宋体" w:eastAsia="宋体" w:cs="宋体"/>
                <w:color w:val="auto"/>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D64AF50">
            <w:pPr>
              <w:pStyle w:val="37"/>
              <w:rPr>
                <w:rFonts w:hint="eastAsia" w:ascii="宋体" w:hAnsi="宋体" w:eastAsia="宋体" w:cs="宋体"/>
                <w:color w:val="auto"/>
                <w:szCs w:val="21"/>
                <w:highlight w:val="none"/>
              </w:rPr>
            </w:pPr>
          </w:p>
        </w:tc>
        <w:tc>
          <w:tcPr>
            <w:tcW w:w="1213" w:type="dxa"/>
            <w:tcBorders>
              <w:top w:val="single" w:color="000000" w:sz="6" w:space="0"/>
              <w:left w:val="single" w:color="000000" w:sz="6" w:space="0"/>
              <w:bottom w:val="single" w:color="000000" w:sz="6" w:space="0"/>
              <w:right w:val="single" w:color="000000" w:sz="6" w:space="0"/>
            </w:tcBorders>
          </w:tcPr>
          <w:p w14:paraId="2ABBF77A">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0CC5193">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8A2CBDC">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56BD3A2">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tcBorders>
          </w:tcPr>
          <w:p w14:paraId="060189D4">
            <w:pPr>
              <w:pStyle w:val="37"/>
              <w:rPr>
                <w:rFonts w:hint="eastAsia" w:ascii="宋体" w:hAnsi="宋体" w:eastAsia="宋体" w:cs="宋体"/>
                <w:color w:val="auto"/>
                <w:szCs w:val="21"/>
                <w:highlight w:val="none"/>
              </w:rPr>
            </w:pPr>
          </w:p>
        </w:tc>
      </w:tr>
      <w:tr w14:paraId="5EDDFC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59" w:type="dxa"/>
            <w:tcBorders>
              <w:top w:val="single" w:color="000000" w:sz="6" w:space="0"/>
              <w:bottom w:val="single" w:color="000000" w:sz="6" w:space="0"/>
              <w:right w:val="single" w:color="000000" w:sz="6" w:space="0"/>
            </w:tcBorders>
          </w:tcPr>
          <w:p w14:paraId="6C82A4DB">
            <w:pPr>
              <w:pStyle w:val="37"/>
              <w:rPr>
                <w:rFonts w:hint="eastAsia" w:ascii="宋体" w:hAnsi="宋体" w:eastAsia="宋体" w:cs="宋体"/>
                <w:color w:val="auto"/>
                <w:szCs w:val="21"/>
                <w:highlight w:val="none"/>
              </w:rPr>
            </w:pPr>
          </w:p>
        </w:tc>
        <w:tc>
          <w:tcPr>
            <w:tcW w:w="1349" w:type="dxa"/>
            <w:tcBorders>
              <w:top w:val="single" w:color="000000" w:sz="6" w:space="0"/>
              <w:left w:val="single" w:color="000000" w:sz="6" w:space="0"/>
              <w:bottom w:val="single" w:color="000000" w:sz="6" w:space="0"/>
              <w:right w:val="single" w:color="000000" w:sz="6" w:space="0"/>
            </w:tcBorders>
          </w:tcPr>
          <w:p w14:paraId="0C35D418">
            <w:pPr>
              <w:pStyle w:val="37"/>
              <w:rPr>
                <w:rFonts w:hint="eastAsia" w:ascii="宋体" w:hAnsi="宋体" w:eastAsia="宋体" w:cs="宋体"/>
                <w:color w:val="auto"/>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3708B28">
            <w:pPr>
              <w:pStyle w:val="37"/>
              <w:rPr>
                <w:rFonts w:hint="eastAsia" w:ascii="宋体" w:hAnsi="宋体" w:eastAsia="宋体" w:cs="宋体"/>
                <w:color w:val="auto"/>
                <w:szCs w:val="21"/>
                <w:highlight w:val="none"/>
              </w:rPr>
            </w:pPr>
          </w:p>
        </w:tc>
        <w:tc>
          <w:tcPr>
            <w:tcW w:w="1213" w:type="dxa"/>
            <w:tcBorders>
              <w:top w:val="single" w:color="000000" w:sz="6" w:space="0"/>
              <w:left w:val="single" w:color="000000" w:sz="6" w:space="0"/>
              <w:bottom w:val="single" w:color="000000" w:sz="6" w:space="0"/>
              <w:right w:val="single" w:color="000000" w:sz="6" w:space="0"/>
            </w:tcBorders>
          </w:tcPr>
          <w:p w14:paraId="40C492F1">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46003C9">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E595BB4">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F19F273">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tcBorders>
          </w:tcPr>
          <w:p w14:paraId="400F6E79">
            <w:pPr>
              <w:pStyle w:val="37"/>
              <w:rPr>
                <w:rFonts w:hint="eastAsia" w:ascii="宋体" w:hAnsi="宋体" w:eastAsia="宋体" w:cs="宋体"/>
                <w:color w:val="auto"/>
                <w:szCs w:val="21"/>
                <w:highlight w:val="none"/>
              </w:rPr>
            </w:pPr>
          </w:p>
        </w:tc>
      </w:tr>
      <w:tr w14:paraId="672B8B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59" w:type="dxa"/>
            <w:tcBorders>
              <w:top w:val="single" w:color="000000" w:sz="6" w:space="0"/>
              <w:bottom w:val="single" w:color="000000" w:sz="6" w:space="0"/>
              <w:right w:val="single" w:color="000000" w:sz="6" w:space="0"/>
            </w:tcBorders>
          </w:tcPr>
          <w:p w14:paraId="16A8E379">
            <w:pPr>
              <w:pStyle w:val="37"/>
              <w:rPr>
                <w:rFonts w:hint="eastAsia" w:ascii="宋体" w:hAnsi="宋体" w:eastAsia="宋体" w:cs="宋体"/>
                <w:color w:val="auto"/>
                <w:szCs w:val="21"/>
                <w:highlight w:val="none"/>
              </w:rPr>
            </w:pPr>
          </w:p>
        </w:tc>
        <w:tc>
          <w:tcPr>
            <w:tcW w:w="1349" w:type="dxa"/>
            <w:tcBorders>
              <w:top w:val="single" w:color="000000" w:sz="6" w:space="0"/>
              <w:left w:val="single" w:color="000000" w:sz="6" w:space="0"/>
              <w:bottom w:val="single" w:color="000000" w:sz="6" w:space="0"/>
              <w:right w:val="single" w:color="000000" w:sz="6" w:space="0"/>
            </w:tcBorders>
          </w:tcPr>
          <w:p w14:paraId="4100E1E0">
            <w:pPr>
              <w:pStyle w:val="37"/>
              <w:rPr>
                <w:rFonts w:hint="eastAsia" w:ascii="宋体" w:hAnsi="宋体" w:eastAsia="宋体" w:cs="宋体"/>
                <w:color w:val="auto"/>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4664275">
            <w:pPr>
              <w:pStyle w:val="37"/>
              <w:rPr>
                <w:rFonts w:hint="eastAsia" w:ascii="宋体" w:hAnsi="宋体" w:eastAsia="宋体" w:cs="宋体"/>
                <w:color w:val="auto"/>
                <w:szCs w:val="21"/>
                <w:highlight w:val="none"/>
              </w:rPr>
            </w:pPr>
          </w:p>
        </w:tc>
        <w:tc>
          <w:tcPr>
            <w:tcW w:w="1213" w:type="dxa"/>
            <w:tcBorders>
              <w:top w:val="single" w:color="000000" w:sz="6" w:space="0"/>
              <w:left w:val="single" w:color="000000" w:sz="6" w:space="0"/>
              <w:bottom w:val="single" w:color="000000" w:sz="6" w:space="0"/>
              <w:right w:val="single" w:color="000000" w:sz="6" w:space="0"/>
            </w:tcBorders>
          </w:tcPr>
          <w:p w14:paraId="1569FC60">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2B35A83">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17224C6">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C9F6BE3">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tcBorders>
          </w:tcPr>
          <w:p w14:paraId="16DFB702">
            <w:pPr>
              <w:pStyle w:val="37"/>
              <w:rPr>
                <w:rFonts w:hint="eastAsia" w:ascii="宋体" w:hAnsi="宋体" w:eastAsia="宋体" w:cs="宋体"/>
                <w:color w:val="auto"/>
                <w:szCs w:val="21"/>
                <w:highlight w:val="none"/>
              </w:rPr>
            </w:pPr>
          </w:p>
        </w:tc>
      </w:tr>
      <w:tr w14:paraId="36A350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59" w:type="dxa"/>
            <w:tcBorders>
              <w:top w:val="single" w:color="000000" w:sz="6" w:space="0"/>
              <w:bottom w:val="single" w:color="000000" w:sz="6" w:space="0"/>
              <w:right w:val="single" w:color="000000" w:sz="6" w:space="0"/>
            </w:tcBorders>
          </w:tcPr>
          <w:p w14:paraId="644583B8">
            <w:pPr>
              <w:pStyle w:val="37"/>
              <w:rPr>
                <w:rFonts w:hint="eastAsia" w:ascii="宋体" w:hAnsi="宋体" w:eastAsia="宋体" w:cs="宋体"/>
                <w:color w:val="auto"/>
                <w:szCs w:val="21"/>
                <w:highlight w:val="none"/>
              </w:rPr>
            </w:pPr>
          </w:p>
        </w:tc>
        <w:tc>
          <w:tcPr>
            <w:tcW w:w="1349" w:type="dxa"/>
            <w:tcBorders>
              <w:top w:val="single" w:color="000000" w:sz="6" w:space="0"/>
              <w:left w:val="single" w:color="000000" w:sz="6" w:space="0"/>
              <w:bottom w:val="single" w:color="000000" w:sz="6" w:space="0"/>
              <w:right w:val="single" w:color="000000" w:sz="6" w:space="0"/>
            </w:tcBorders>
          </w:tcPr>
          <w:p w14:paraId="6CB81825">
            <w:pPr>
              <w:pStyle w:val="37"/>
              <w:rPr>
                <w:rFonts w:hint="eastAsia" w:ascii="宋体" w:hAnsi="宋体" w:eastAsia="宋体" w:cs="宋体"/>
                <w:color w:val="auto"/>
                <w:szCs w:val="21"/>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73B9494A">
            <w:pPr>
              <w:pStyle w:val="37"/>
              <w:rPr>
                <w:rFonts w:hint="eastAsia" w:ascii="宋体" w:hAnsi="宋体" w:eastAsia="宋体" w:cs="宋体"/>
                <w:color w:val="auto"/>
                <w:szCs w:val="21"/>
                <w:highlight w:val="none"/>
              </w:rPr>
            </w:pPr>
          </w:p>
        </w:tc>
        <w:tc>
          <w:tcPr>
            <w:tcW w:w="1213" w:type="dxa"/>
            <w:tcBorders>
              <w:top w:val="single" w:color="000000" w:sz="6" w:space="0"/>
              <w:left w:val="single" w:color="000000" w:sz="6" w:space="0"/>
              <w:bottom w:val="single" w:color="000000" w:sz="6" w:space="0"/>
              <w:right w:val="single" w:color="000000" w:sz="6" w:space="0"/>
            </w:tcBorders>
          </w:tcPr>
          <w:p w14:paraId="775FFF56">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EF74F7E">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2D023AF">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48852BE">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bottom w:val="single" w:color="000000" w:sz="6" w:space="0"/>
            </w:tcBorders>
          </w:tcPr>
          <w:p w14:paraId="6965CF3C">
            <w:pPr>
              <w:pStyle w:val="37"/>
              <w:rPr>
                <w:rFonts w:hint="eastAsia" w:ascii="宋体" w:hAnsi="宋体" w:eastAsia="宋体" w:cs="宋体"/>
                <w:color w:val="auto"/>
                <w:szCs w:val="21"/>
                <w:highlight w:val="none"/>
              </w:rPr>
            </w:pPr>
          </w:p>
        </w:tc>
      </w:tr>
      <w:tr w14:paraId="13A32A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59" w:type="dxa"/>
            <w:tcBorders>
              <w:top w:val="single" w:color="000000" w:sz="6" w:space="0"/>
              <w:right w:val="single" w:color="000000" w:sz="6" w:space="0"/>
            </w:tcBorders>
          </w:tcPr>
          <w:p w14:paraId="3683A658">
            <w:pPr>
              <w:pStyle w:val="37"/>
              <w:rPr>
                <w:rFonts w:hint="eastAsia" w:ascii="宋体" w:hAnsi="宋体" w:eastAsia="宋体" w:cs="宋体"/>
                <w:color w:val="auto"/>
                <w:szCs w:val="21"/>
                <w:highlight w:val="none"/>
              </w:rPr>
            </w:pPr>
          </w:p>
        </w:tc>
        <w:tc>
          <w:tcPr>
            <w:tcW w:w="1349" w:type="dxa"/>
            <w:tcBorders>
              <w:top w:val="single" w:color="000000" w:sz="6" w:space="0"/>
              <w:left w:val="single" w:color="000000" w:sz="6" w:space="0"/>
              <w:right w:val="single" w:color="000000" w:sz="6" w:space="0"/>
            </w:tcBorders>
          </w:tcPr>
          <w:p w14:paraId="61275480">
            <w:pPr>
              <w:pStyle w:val="37"/>
              <w:rPr>
                <w:rFonts w:hint="eastAsia" w:ascii="宋体" w:hAnsi="宋体" w:eastAsia="宋体" w:cs="宋体"/>
                <w:color w:val="auto"/>
                <w:szCs w:val="21"/>
                <w:highlight w:val="none"/>
              </w:rPr>
            </w:pPr>
          </w:p>
        </w:tc>
        <w:tc>
          <w:tcPr>
            <w:tcW w:w="1020" w:type="dxa"/>
            <w:tcBorders>
              <w:top w:val="single" w:color="000000" w:sz="6" w:space="0"/>
              <w:left w:val="single" w:color="000000" w:sz="6" w:space="0"/>
              <w:right w:val="single" w:color="000000" w:sz="6" w:space="0"/>
            </w:tcBorders>
          </w:tcPr>
          <w:p w14:paraId="24DF0330">
            <w:pPr>
              <w:pStyle w:val="37"/>
              <w:rPr>
                <w:rFonts w:hint="eastAsia" w:ascii="宋体" w:hAnsi="宋体" w:eastAsia="宋体" w:cs="宋体"/>
                <w:color w:val="auto"/>
                <w:szCs w:val="21"/>
                <w:highlight w:val="none"/>
              </w:rPr>
            </w:pPr>
          </w:p>
        </w:tc>
        <w:tc>
          <w:tcPr>
            <w:tcW w:w="1213" w:type="dxa"/>
            <w:tcBorders>
              <w:top w:val="single" w:color="000000" w:sz="6" w:space="0"/>
              <w:left w:val="single" w:color="000000" w:sz="6" w:space="0"/>
              <w:right w:val="single" w:color="000000" w:sz="6" w:space="0"/>
            </w:tcBorders>
          </w:tcPr>
          <w:p w14:paraId="606FF9B5">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right w:val="single" w:color="000000" w:sz="6" w:space="0"/>
            </w:tcBorders>
          </w:tcPr>
          <w:p w14:paraId="19EAC6A0">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right w:val="single" w:color="000000" w:sz="6" w:space="0"/>
            </w:tcBorders>
          </w:tcPr>
          <w:p w14:paraId="0DDA9351">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right w:val="single" w:color="000000" w:sz="6" w:space="0"/>
            </w:tcBorders>
          </w:tcPr>
          <w:p w14:paraId="4BC233B5">
            <w:pPr>
              <w:pStyle w:val="37"/>
              <w:rPr>
                <w:rFonts w:hint="eastAsia" w:ascii="宋体" w:hAnsi="宋体" w:eastAsia="宋体" w:cs="宋体"/>
                <w:color w:val="auto"/>
                <w:szCs w:val="21"/>
                <w:highlight w:val="none"/>
              </w:rPr>
            </w:pPr>
          </w:p>
        </w:tc>
        <w:tc>
          <w:tcPr>
            <w:tcW w:w="1134" w:type="dxa"/>
            <w:tcBorders>
              <w:top w:val="single" w:color="000000" w:sz="6" w:space="0"/>
              <w:left w:val="single" w:color="000000" w:sz="6" w:space="0"/>
            </w:tcBorders>
          </w:tcPr>
          <w:p w14:paraId="401ECF81">
            <w:pPr>
              <w:pStyle w:val="37"/>
              <w:rPr>
                <w:rFonts w:hint="eastAsia" w:ascii="宋体" w:hAnsi="宋体" w:eastAsia="宋体" w:cs="宋体"/>
                <w:color w:val="auto"/>
                <w:szCs w:val="21"/>
                <w:highlight w:val="none"/>
              </w:rPr>
            </w:pPr>
          </w:p>
        </w:tc>
      </w:tr>
    </w:tbl>
    <w:p w14:paraId="6BEFBC94">
      <w:pPr>
        <w:spacing w:before="70"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注：后附证明资料。</w:t>
      </w:r>
    </w:p>
    <w:p w14:paraId="0060F566">
      <w:pPr>
        <w:widowControl/>
        <w:shd w:val="clear" w:color="auto" w:fill="FFFFFF"/>
        <w:snapToGrid w:val="0"/>
        <w:spacing w:line="360" w:lineRule="auto"/>
        <w:jc w:val="center"/>
        <w:rPr>
          <w:rFonts w:hint="eastAsia" w:ascii="宋体" w:hAnsi="宋体" w:eastAsia="宋体" w:cs="宋体"/>
          <w:b/>
          <w:bCs/>
          <w:color w:val="auto"/>
          <w:szCs w:val="21"/>
          <w:highlight w:val="none"/>
        </w:rPr>
      </w:pPr>
    </w:p>
    <w:p w14:paraId="447CF561">
      <w:pPr>
        <w:pStyle w:val="4"/>
        <w:numPr>
          <w:ilvl w:val="2"/>
          <w:numId w:val="0"/>
        </w:numPr>
        <w:spacing w:before="20"/>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4.3保险项目理赔业绩汇总（如有）</w:t>
      </w:r>
    </w:p>
    <w:tbl>
      <w:tblPr>
        <w:tblStyle w:val="20"/>
        <w:tblW w:w="8935" w:type="dxa"/>
        <w:tblInd w:w="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43"/>
        <w:gridCol w:w="1701"/>
        <w:gridCol w:w="1842"/>
        <w:gridCol w:w="1402"/>
        <w:gridCol w:w="1293"/>
        <w:gridCol w:w="1154"/>
      </w:tblGrid>
      <w:tr w14:paraId="0CDF8E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543" w:type="dxa"/>
            <w:tcBorders>
              <w:bottom w:val="single" w:color="000000" w:sz="6" w:space="0"/>
              <w:right w:val="single" w:color="000000" w:sz="6" w:space="0"/>
            </w:tcBorders>
          </w:tcPr>
          <w:p w14:paraId="6D04DC4F">
            <w:pPr>
              <w:pStyle w:val="37"/>
              <w:spacing w:before="180"/>
              <w:ind w:left="39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01" w:type="dxa"/>
            <w:tcBorders>
              <w:left w:val="single" w:color="000000" w:sz="6" w:space="0"/>
              <w:bottom w:val="single" w:color="000000" w:sz="6" w:space="0"/>
              <w:right w:val="single" w:color="000000" w:sz="6" w:space="0"/>
            </w:tcBorders>
          </w:tcPr>
          <w:p w14:paraId="135FE858">
            <w:pPr>
              <w:pStyle w:val="37"/>
              <w:spacing w:before="180"/>
              <w:ind w:left="508"/>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被保险人</w:t>
            </w:r>
          </w:p>
        </w:tc>
        <w:tc>
          <w:tcPr>
            <w:tcW w:w="1842" w:type="dxa"/>
            <w:tcBorders>
              <w:left w:val="single" w:color="000000" w:sz="6" w:space="0"/>
              <w:bottom w:val="single" w:color="000000" w:sz="6" w:space="0"/>
              <w:right w:val="single" w:color="000000" w:sz="4" w:space="0"/>
            </w:tcBorders>
            <w:vAlign w:val="center"/>
          </w:tcPr>
          <w:p w14:paraId="1292AF5E">
            <w:pPr>
              <w:pStyle w:val="37"/>
              <w:spacing w:line="300" w:lineRule="exact"/>
              <w:ind w:left="295" w:right="166" w:hanging="106"/>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事故发生原因及时间</w:t>
            </w:r>
          </w:p>
        </w:tc>
        <w:tc>
          <w:tcPr>
            <w:tcW w:w="1402" w:type="dxa"/>
            <w:tcBorders>
              <w:left w:val="single" w:color="000000" w:sz="4" w:space="0"/>
              <w:bottom w:val="single" w:color="000000" w:sz="6" w:space="0"/>
              <w:right w:val="single" w:color="000000" w:sz="4" w:space="0"/>
            </w:tcBorders>
          </w:tcPr>
          <w:p w14:paraId="7524819E">
            <w:pPr>
              <w:pStyle w:val="37"/>
              <w:spacing w:before="180"/>
              <w:ind w:left="237"/>
              <w:rPr>
                <w:rFonts w:hint="eastAsia" w:ascii="宋体" w:hAnsi="宋体" w:eastAsia="宋体" w:cs="宋体"/>
                <w:color w:val="auto"/>
                <w:szCs w:val="21"/>
                <w:highlight w:val="none"/>
              </w:rPr>
            </w:pPr>
            <w:r>
              <w:rPr>
                <w:rFonts w:hint="eastAsia" w:ascii="宋体" w:hAnsi="宋体" w:eastAsia="宋体" w:cs="宋体"/>
                <w:color w:val="auto"/>
                <w:szCs w:val="21"/>
                <w:highlight w:val="none"/>
              </w:rPr>
              <w:t>赔付金额</w:t>
            </w:r>
          </w:p>
        </w:tc>
        <w:tc>
          <w:tcPr>
            <w:tcW w:w="1293" w:type="dxa"/>
            <w:tcBorders>
              <w:left w:val="single" w:color="000000" w:sz="4" w:space="0"/>
              <w:bottom w:val="single" w:color="000000" w:sz="6" w:space="0"/>
              <w:right w:val="single" w:color="000000" w:sz="6" w:space="0"/>
            </w:tcBorders>
          </w:tcPr>
          <w:p w14:paraId="26BF19EF">
            <w:pPr>
              <w:pStyle w:val="37"/>
              <w:spacing w:before="180"/>
              <w:ind w:left="234"/>
              <w:rPr>
                <w:rFonts w:hint="eastAsia" w:ascii="宋体" w:hAnsi="宋体" w:eastAsia="宋体" w:cs="宋体"/>
                <w:color w:val="auto"/>
                <w:szCs w:val="21"/>
                <w:highlight w:val="none"/>
              </w:rPr>
            </w:pPr>
            <w:r>
              <w:rPr>
                <w:rFonts w:hint="eastAsia" w:ascii="宋体" w:hAnsi="宋体" w:eastAsia="宋体" w:cs="宋体"/>
                <w:color w:val="auto"/>
                <w:szCs w:val="21"/>
                <w:highlight w:val="none"/>
              </w:rPr>
              <w:t>赔付日期</w:t>
            </w:r>
          </w:p>
        </w:tc>
        <w:tc>
          <w:tcPr>
            <w:tcW w:w="1154" w:type="dxa"/>
            <w:tcBorders>
              <w:left w:val="single" w:color="000000" w:sz="6" w:space="0"/>
              <w:bottom w:val="single" w:color="000000" w:sz="6" w:space="0"/>
            </w:tcBorders>
          </w:tcPr>
          <w:p w14:paraId="427ECD41">
            <w:pPr>
              <w:pStyle w:val="37"/>
              <w:spacing w:line="300" w:lineRule="exact"/>
              <w:ind w:left="371" w:right="127" w:hanging="21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备注</w:t>
            </w:r>
          </w:p>
        </w:tc>
      </w:tr>
      <w:tr w14:paraId="52109D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543" w:type="dxa"/>
            <w:tcBorders>
              <w:top w:val="single" w:color="000000" w:sz="6" w:space="0"/>
              <w:bottom w:val="single" w:color="000000" w:sz="6" w:space="0"/>
              <w:right w:val="single" w:color="000000" w:sz="6" w:space="0"/>
            </w:tcBorders>
          </w:tcPr>
          <w:p w14:paraId="271249C5">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Pr>
          <w:p w14:paraId="6055D675">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bottom w:val="single" w:color="000000" w:sz="6" w:space="0"/>
              <w:right w:val="single" w:color="000000" w:sz="4" w:space="0"/>
            </w:tcBorders>
          </w:tcPr>
          <w:p w14:paraId="1AFFBF9C">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bottom w:val="single" w:color="000000" w:sz="6" w:space="0"/>
              <w:right w:val="single" w:color="000000" w:sz="4" w:space="0"/>
            </w:tcBorders>
          </w:tcPr>
          <w:p w14:paraId="2110C60C">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bottom w:val="single" w:color="000000" w:sz="6" w:space="0"/>
              <w:right w:val="single" w:color="000000" w:sz="6" w:space="0"/>
            </w:tcBorders>
          </w:tcPr>
          <w:p w14:paraId="25EC0CD6">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bottom w:val="single" w:color="000000" w:sz="6" w:space="0"/>
            </w:tcBorders>
          </w:tcPr>
          <w:p w14:paraId="1F851CA4">
            <w:pPr>
              <w:pStyle w:val="37"/>
              <w:rPr>
                <w:rFonts w:hint="eastAsia" w:ascii="宋体" w:hAnsi="宋体" w:eastAsia="宋体" w:cs="宋体"/>
                <w:color w:val="auto"/>
                <w:szCs w:val="21"/>
                <w:highlight w:val="none"/>
              </w:rPr>
            </w:pPr>
          </w:p>
        </w:tc>
      </w:tr>
      <w:tr w14:paraId="219E61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543" w:type="dxa"/>
            <w:tcBorders>
              <w:top w:val="single" w:color="000000" w:sz="6" w:space="0"/>
              <w:bottom w:val="single" w:color="000000" w:sz="6" w:space="0"/>
              <w:right w:val="single" w:color="000000" w:sz="6" w:space="0"/>
            </w:tcBorders>
          </w:tcPr>
          <w:p w14:paraId="5757A678">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Pr>
          <w:p w14:paraId="1CE9FE53">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bottom w:val="single" w:color="000000" w:sz="6" w:space="0"/>
              <w:right w:val="single" w:color="000000" w:sz="4" w:space="0"/>
            </w:tcBorders>
          </w:tcPr>
          <w:p w14:paraId="00A8E4F3">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bottom w:val="single" w:color="000000" w:sz="6" w:space="0"/>
              <w:right w:val="single" w:color="000000" w:sz="4" w:space="0"/>
            </w:tcBorders>
          </w:tcPr>
          <w:p w14:paraId="5061A127">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bottom w:val="single" w:color="000000" w:sz="6" w:space="0"/>
              <w:right w:val="single" w:color="000000" w:sz="6" w:space="0"/>
            </w:tcBorders>
          </w:tcPr>
          <w:p w14:paraId="45CCFDEB">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bottom w:val="single" w:color="000000" w:sz="6" w:space="0"/>
            </w:tcBorders>
          </w:tcPr>
          <w:p w14:paraId="1DCB1A41">
            <w:pPr>
              <w:pStyle w:val="37"/>
              <w:rPr>
                <w:rFonts w:hint="eastAsia" w:ascii="宋体" w:hAnsi="宋体" w:eastAsia="宋体" w:cs="宋体"/>
                <w:color w:val="auto"/>
                <w:szCs w:val="21"/>
                <w:highlight w:val="none"/>
              </w:rPr>
            </w:pPr>
          </w:p>
        </w:tc>
      </w:tr>
      <w:tr w14:paraId="4A9FC9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543" w:type="dxa"/>
            <w:tcBorders>
              <w:top w:val="single" w:color="000000" w:sz="6" w:space="0"/>
              <w:bottom w:val="single" w:color="000000" w:sz="6" w:space="0"/>
              <w:right w:val="single" w:color="000000" w:sz="6" w:space="0"/>
            </w:tcBorders>
          </w:tcPr>
          <w:p w14:paraId="307B1DDC">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Pr>
          <w:p w14:paraId="3B416BA3">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bottom w:val="single" w:color="000000" w:sz="6" w:space="0"/>
              <w:right w:val="single" w:color="000000" w:sz="4" w:space="0"/>
            </w:tcBorders>
          </w:tcPr>
          <w:p w14:paraId="30AFCA27">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bottom w:val="single" w:color="000000" w:sz="6" w:space="0"/>
              <w:right w:val="single" w:color="000000" w:sz="4" w:space="0"/>
            </w:tcBorders>
          </w:tcPr>
          <w:p w14:paraId="4E312257">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bottom w:val="single" w:color="000000" w:sz="6" w:space="0"/>
              <w:right w:val="single" w:color="000000" w:sz="6" w:space="0"/>
            </w:tcBorders>
          </w:tcPr>
          <w:p w14:paraId="5425B2DD">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bottom w:val="single" w:color="000000" w:sz="6" w:space="0"/>
            </w:tcBorders>
          </w:tcPr>
          <w:p w14:paraId="7EF4E68E">
            <w:pPr>
              <w:pStyle w:val="37"/>
              <w:rPr>
                <w:rFonts w:hint="eastAsia" w:ascii="宋体" w:hAnsi="宋体" w:eastAsia="宋体" w:cs="宋体"/>
                <w:color w:val="auto"/>
                <w:szCs w:val="21"/>
                <w:highlight w:val="none"/>
              </w:rPr>
            </w:pPr>
          </w:p>
        </w:tc>
      </w:tr>
      <w:tr w14:paraId="616C48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543" w:type="dxa"/>
            <w:tcBorders>
              <w:top w:val="single" w:color="000000" w:sz="6" w:space="0"/>
              <w:bottom w:val="single" w:color="000000" w:sz="6" w:space="0"/>
              <w:right w:val="single" w:color="000000" w:sz="6" w:space="0"/>
            </w:tcBorders>
          </w:tcPr>
          <w:p w14:paraId="2C1817D7">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Pr>
          <w:p w14:paraId="6B421F0B">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bottom w:val="single" w:color="000000" w:sz="6" w:space="0"/>
              <w:right w:val="single" w:color="000000" w:sz="4" w:space="0"/>
            </w:tcBorders>
          </w:tcPr>
          <w:p w14:paraId="4575B23B">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bottom w:val="single" w:color="000000" w:sz="6" w:space="0"/>
              <w:right w:val="single" w:color="000000" w:sz="4" w:space="0"/>
            </w:tcBorders>
          </w:tcPr>
          <w:p w14:paraId="40DDB176">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bottom w:val="single" w:color="000000" w:sz="6" w:space="0"/>
              <w:right w:val="single" w:color="000000" w:sz="6" w:space="0"/>
            </w:tcBorders>
          </w:tcPr>
          <w:p w14:paraId="5FB14E25">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bottom w:val="single" w:color="000000" w:sz="6" w:space="0"/>
            </w:tcBorders>
          </w:tcPr>
          <w:p w14:paraId="76ED03CA">
            <w:pPr>
              <w:pStyle w:val="37"/>
              <w:rPr>
                <w:rFonts w:hint="eastAsia" w:ascii="宋体" w:hAnsi="宋体" w:eastAsia="宋体" w:cs="宋体"/>
                <w:color w:val="auto"/>
                <w:szCs w:val="21"/>
                <w:highlight w:val="none"/>
              </w:rPr>
            </w:pPr>
          </w:p>
        </w:tc>
      </w:tr>
      <w:tr w14:paraId="078C6A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543" w:type="dxa"/>
            <w:tcBorders>
              <w:top w:val="single" w:color="000000" w:sz="6" w:space="0"/>
              <w:bottom w:val="single" w:color="000000" w:sz="6" w:space="0"/>
              <w:right w:val="single" w:color="000000" w:sz="6" w:space="0"/>
            </w:tcBorders>
          </w:tcPr>
          <w:p w14:paraId="331C1B68">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Pr>
          <w:p w14:paraId="5CC4AC68">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bottom w:val="single" w:color="000000" w:sz="6" w:space="0"/>
              <w:right w:val="single" w:color="000000" w:sz="4" w:space="0"/>
            </w:tcBorders>
          </w:tcPr>
          <w:p w14:paraId="7F66E248">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bottom w:val="single" w:color="000000" w:sz="6" w:space="0"/>
              <w:right w:val="single" w:color="000000" w:sz="4" w:space="0"/>
            </w:tcBorders>
          </w:tcPr>
          <w:p w14:paraId="31604BDF">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bottom w:val="single" w:color="000000" w:sz="6" w:space="0"/>
              <w:right w:val="single" w:color="000000" w:sz="6" w:space="0"/>
            </w:tcBorders>
          </w:tcPr>
          <w:p w14:paraId="232FC6DF">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bottom w:val="single" w:color="000000" w:sz="6" w:space="0"/>
            </w:tcBorders>
          </w:tcPr>
          <w:p w14:paraId="5580195B">
            <w:pPr>
              <w:pStyle w:val="37"/>
              <w:rPr>
                <w:rFonts w:hint="eastAsia" w:ascii="宋体" w:hAnsi="宋体" w:eastAsia="宋体" w:cs="宋体"/>
                <w:color w:val="auto"/>
                <w:szCs w:val="21"/>
                <w:highlight w:val="none"/>
              </w:rPr>
            </w:pPr>
          </w:p>
        </w:tc>
      </w:tr>
      <w:tr w14:paraId="2126BE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543" w:type="dxa"/>
            <w:tcBorders>
              <w:top w:val="single" w:color="000000" w:sz="6" w:space="0"/>
              <w:bottom w:val="single" w:color="000000" w:sz="6" w:space="0"/>
              <w:right w:val="single" w:color="000000" w:sz="6" w:space="0"/>
            </w:tcBorders>
          </w:tcPr>
          <w:p w14:paraId="71A9A7D8">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Pr>
          <w:p w14:paraId="480F710B">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bottom w:val="single" w:color="000000" w:sz="6" w:space="0"/>
              <w:right w:val="single" w:color="000000" w:sz="4" w:space="0"/>
            </w:tcBorders>
          </w:tcPr>
          <w:p w14:paraId="40ED2EFE">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bottom w:val="single" w:color="000000" w:sz="6" w:space="0"/>
              <w:right w:val="single" w:color="000000" w:sz="4" w:space="0"/>
            </w:tcBorders>
          </w:tcPr>
          <w:p w14:paraId="3132275D">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bottom w:val="single" w:color="000000" w:sz="6" w:space="0"/>
              <w:right w:val="single" w:color="000000" w:sz="6" w:space="0"/>
            </w:tcBorders>
          </w:tcPr>
          <w:p w14:paraId="513587A2">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bottom w:val="single" w:color="000000" w:sz="6" w:space="0"/>
            </w:tcBorders>
          </w:tcPr>
          <w:p w14:paraId="26B8EE56">
            <w:pPr>
              <w:pStyle w:val="37"/>
              <w:rPr>
                <w:rFonts w:hint="eastAsia" w:ascii="宋体" w:hAnsi="宋体" w:eastAsia="宋体" w:cs="宋体"/>
                <w:color w:val="auto"/>
                <w:szCs w:val="21"/>
                <w:highlight w:val="none"/>
              </w:rPr>
            </w:pPr>
          </w:p>
        </w:tc>
      </w:tr>
      <w:tr w14:paraId="60F304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543" w:type="dxa"/>
            <w:tcBorders>
              <w:top w:val="single" w:color="000000" w:sz="6" w:space="0"/>
              <w:bottom w:val="single" w:color="000000" w:sz="6" w:space="0"/>
              <w:right w:val="single" w:color="000000" w:sz="6" w:space="0"/>
            </w:tcBorders>
          </w:tcPr>
          <w:p w14:paraId="7712193B">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Pr>
          <w:p w14:paraId="660670CC">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bottom w:val="single" w:color="000000" w:sz="6" w:space="0"/>
              <w:right w:val="single" w:color="000000" w:sz="4" w:space="0"/>
            </w:tcBorders>
          </w:tcPr>
          <w:p w14:paraId="6638EA2A">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bottom w:val="single" w:color="000000" w:sz="6" w:space="0"/>
              <w:right w:val="single" w:color="000000" w:sz="4" w:space="0"/>
            </w:tcBorders>
          </w:tcPr>
          <w:p w14:paraId="0D88903B">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bottom w:val="single" w:color="000000" w:sz="6" w:space="0"/>
              <w:right w:val="single" w:color="000000" w:sz="6" w:space="0"/>
            </w:tcBorders>
          </w:tcPr>
          <w:p w14:paraId="368C2FD8">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bottom w:val="single" w:color="000000" w:sz="6" w:space="0"/>
            </w:tcBorders>
          </w:tcPr>
          <w:p w14:paraId="56064DA5">
            <w:pPr>
              <w:pStyle w:val="37"/>
              <w:rPr>
                <w:rFonts w:hint="eastAsia" w:ascii="宋体" w:hAnsi="宋体" w:eastAsia="宋体" w:cs="宋体"/>
                <w:color w:val="auto"/>
                <w:szCs w:val="21"/>
                <w:highlight w:val="none"/>
              </w:rPr>
            </w:pPr>
          </w:p>
        </w:tc>
      </w:tr>
      <w:tr w14:paraId="59F96F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543" w:type="dxa"/>
            <w:tcBorders>
              <w:top w:val="single" w:color="000000" w:sz="6" w:space="0"/>
              <w:bottom w:val="single" w:color="000000" w:sz="6" w:space="0"/>
              <w:right w:val="single" w:color="000000" w:sz="6" w:space="0"/>
            </w:tcBorders>
          </w:tcPr>
          <w:p w14:paraId="10E64BB7">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Pr>
          <w:p w14:paraId="22593F20">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bottom w:val="single" w:color="000000" w:sz="6" w:space="0"/>
              <w:right w:val="single" w:color="000000" w:sz="4" w:space="0"/>
            </w:tcBorders>
          </w:tcPr>
          <w:p w14:paraId="0150F918">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bottom w:val="single" w:color="000000" w:sz="6" w:space="0"/>
              <w:right w:val="single" w:color="000000" w:sz="4" w:space="0"/>
            </w:tcBorders>
          </w:tcPr>
          <w:p w14:paraId="4F26A395">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bottom w:val="single" w:color="000000" w:sz="6" w:space="0"/>
              <w:right w:val="single" w:color="000000" w:sz="6" w:space="0"/>
            </w:tcBorders>
          </w:tcPr>
          <w:p w14:paraId="78A07192">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bottom w:val="single" w:color="000000" w:sz="6" w:space="0"/>
            </w:tcBorders>
          </w:tcPr>
          <w:p w14:paraId="1313AA3C">
            <w:pPr>
              <w:pStyle w:val="37"/>
              <w:rPr>
                <w:rFonts w:hint="eastAsia" w:ascii="宋体" w:hAnsi="宋体" w:eastAsia="宋体" w:cs="宋体"/>
                <w:color w:val="auto"/>
                <w:szCs w:val="21"/>
                <w:highlight w:val="none"/>
              </w:rPr>
            </w:pPr>
          </w:p>
        </w:tc>
      </w:tr>
      <w:tr w14:paraId="7F9E1D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543" w:type="dxa"/>
            <w:tcBorders>
              <w:top w:val="single" w:color="000000" w:sz="6" w:space="0"/>
              <w:bottom w:val="single" w:color="000000" w:sz="6" w:space="0"/>
              <w:right w:val="single" w:color="000000" w:sz="6" w:space="0"/>
            </w:tcBorders>
          </w:tcPr>
          <w:p w14:paraId="45815C98">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bottom w:val="single" w:color="000000" w:sz="6" w:space="0"/>
              <w:right w:val="single" w:color="000000" w:sz="6" w:space="0"/>
            </w:tcBorders>
          </w:tcPr>
          <w:p w14:paraId="370FCB4C">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bottom w:val="single" w:color="000000" w:sz="6" w:space="0"/>
              <w:right w:val="single" w:color="000000" w:sz="4" w:space="0"/>
            </w:tcBorders>
          </w:tcPr>
          <w:p w14:paraId="40C8DE9E">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bottom w:val="single" w:color="000000" w:sz="6" w:space="0"/>
              <w:right w:val="single" w:color="000000" w:sz="4" w:space="0"/>
            </w:tcBorders>
          </w:tcPr>
          <w:p w14:paraId="45977790">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bottom w:val="single" w:color="000000" w:sz="6" w:space="0"/>
              <w:right w:val="single" w:color="000000" w:sz="6" w:space="0"/>
            </w:tcBorders>
          </w:tcPr>
          <w:p w14:paraId="5ED87190">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bottom w:val="single" w:color="000000" w:sz="6" w:space="0"/>
            </w:tcBorders>
          </w:tcPr>
          <w:p w14:paraId="06FE40B6">
            <w:pPr>
              <w:pStyle w:val="37"/>
              <w:rPr>
                <w:rFonts w:hint="eastAsia" w:ascii="宋体" w:hAnsi="宋体" w:eastAsia="宋体" w:cs="宋体"/>
                <w:color w:val="auto"/>
                <w:szCs w:val="21"/>
                <w:highlight w:val="none"/>
              </w:rPr>
            </w:pPr>
          </w:p>
        </w:tc>
      </w:tr>
      <w:tr w14:paraId="6B743A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543" w:type="dxa"/>
            <w:tcBorders>
              <w:top w:val="single" w:color="000000" w:sz="6" w:space="0"/>
              <w:right w:val="single" w:color="000000" w:sz="6" w:space="0"/>
            </w:tcBorders>
          </w:tcPr>
          <w:p w14:paraId="54BDE70D">
            <w:pPr>
              <w:pStyle w:val="37"/>
              <w:rPr>
                <w:rFonts w:hint="eastAsia" w:ascii="宋体" w:hAnsi="宋体" w:eastAsia="宋体" w:cs="宋体"/>
                <w:color w:val="auto"/>
                <w:szCs w:val="21"/>
                <w:highlight w:val="none"/>
              </w:rPr>
            </w:pPr>
          </w:p>
        </w:tc>
        <w:tc>
          <w:tcPr>
            <w:tcW w:w="1701" w:type="dxa"/>
            <w:tcBorders>
              <w:top w:val="single" w:color="000000" w:sz="6" w:space="0"/>
              <w:left w:val="single" w:color="000000" w:sz="6" w:space="0"/>
              <w:right w:val="single" w:color="000000" w:sz="6" w:space="0"/>
            </w:tcBorders>
          </w:tcPr>
          <w:p w14:paraId="0469E268">
            <w:pPr>
              <w:pStyle w:val="37"/>
              <w:rPr>
                <w:rFonts w:hint="eastAsia" w:ascii="宋体" w:hAnsi="宋体" w:eastAsia="宋体" w:cs="宋体"/>
                <w:color w:val="auto"/>
                <w:szCs w:val="21"/>
                <w:highlight w:val="none"/>
              </w:rPr>
            </w:pPr>
          </w:p>
        </w:tc>
        <w:tc>
          <w:tcPr>
            <w:tcW w:w="1842" w:type="dxa"/>
            <w:tcBorders>
              <w:top w:val="single" w:color="000000" w:sz="6" w:space="0"/>
              <w:left w:val="single" w:color="000000" w:sz="6" w:space="0"/>
              <w:right w:val="single" w:color="000000" w:sz="4" w:space="0"/>
            </w:tcBorders>
          </w:tcPr>
          <w:p w14:paraId="71560FE0">
            <w:pPr>
              <w:pStyle w:val="37"/>
              <w:rPr>
                <w:rFonts w:hint="eastAsia" w:ascii="宋体" w:hAnsi="宋体" w:eastAsia="宋体" w:cs="宋体"/>
                <w:color w:val="auto"/>
                <w:szCs w:val="21"/>
                <w:highlight w:val="none"/>
              </w:rPr>
            </w:pPr>
          </w:p>
        </w:tc>
        <w:tc>
          <w:tcPr>
            <w:tcW w:w="1402" w:type="dxa"/>
            <w:tcBorders>
              <w:top w:val="single" w:color="000000" w:sz="6" w:space="0"/>
              <w:left w:val="single" w:color="000000" w:sz="4" w:space="0"/>
              <w:right w:val="single" w:color="000000" w:sz="4" w:space="0"/>
            </w:tcBorders>
          </w:tcPr>
          <w:p w14:paraId="6C67D15F">
            <w:pPr>
              <w:pStyle w:val="37"/>
              <w:rPr>
                <w:rFonts w:hint="eastAsia" w:ascii="宋体" w:hAnsi="宋体" w:eastAsia="宋体" w:cs="宋体"/>
                <w:color w:val="auto"/>
                <w:szCs w:val="21"/>
                <w:highlight w:val="none"/>
              </w:rPr>
            </w:pPr>
          </w:p>
        </w:tc>
        <w:tc>
          <w:tcPr>
            <w:tcW w:w="1293" w:type="dxa"/>
            <w:tcBorders>
              <w:top w:val="single" w:color="000000" w:sz="6" w:space="0"/>
              <w:left w:val="single" w:color="000000" w:sz="4" w:space="0"/>
              <w:right w:val="single" w:color="000000" w:sz="6" w:space="0"/>
            </w:tcBorders>
          </w:tcPr>
          <w:p w14:paraId="31FFE6D9">
            <w:pPr>
              <w:pStyle w:val="37"/>
              <w:rPr>
                <w:rFonts w:hint="eastAsia" w:ascii="宋体" w:hAnsi="宋体" w:eastAsia="宋体" w:cs="宋体"/>
                <w:color w:val="auto"/>
                <w:szCs w:val="21"/>
                <w:highlight w:val="none"/>
              </w:rPr>
            </w:pPr>
          </w:p>
        </w:tc>
        <w:tc>
          <w:tcPr>
            <w:tcW w:w="1154" w:type="dxa"/>
            <w:tcBorders>
              <w:top w:val="single" w:color="000000" w:sz="6" w:space="0"/>
              <w:left w:val="single" w:color="000000" w:sz="6" w:space="0"/>
            </w:tcBorders>
          </w:tcPr>
          <w:p w14:paraId="1455C2D8">
            <w:pPr>
              <w:pStyle w:val="37"/>
              <w:rPr>
                <w:rFonts w:hint="eastAsia" w:ascii="宋体" w:hAnsi="宋体" w:eastAsia="宋体" w:cs="宋体"/>
                <w:color w:val="auto"/>
                <w:szCs w:val="21"/>
                <w:highlight w:val="none"/>
              </w:rPr>
            </w:pPr>
          </w:p>
        </w:tc>
      </w:tr>
    </w:tbl>
    <w:p w14:paraId="1AC6A935">
      <w:pPr>
        <w:spacing w:before="7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注：后附证明资料。</w:t>
      </w:r>
    </w:p>
    <w:p w14:paraId="0649BED1">
      <w:pPr>
        <w:rPr>
          <w:rFonts w:hint="eastAsia" w:ascii="宋体" w:hAnsi="宋体" w:eastAsia="宋体" w:cs="宋体"/>
          <w:color w:val="auto"/>
          <w:szCs w:val="21"/>
          <w:highlight w:val="none"/>
        </w:rPr>
        <w:sectPr>
          <w:type w:val="continuous"/>
          <w:pgSz w:w="11907" w:h="16840"/>
          <w:pgMar w:top="1418" w:right="1418" w:bottom="1418" w:left="1418" w:header="567" w:footer="567" w:gutter="0"/>
          <w:cols w:space="720" w:num="1"/>
          <w:docGrid w:linePitch="326" w:charSpace="0"/>
        </w:sectPr>
      </w:pPr>
    </w:p>
    <w:p w14:paraId="14418E66">
      <w:pPr>
        <w:pStyle w:val="4"/>
        <w:numPr>
          <w:ilvl w:val="2"/>
          <w:numId w:val="0"/>
        </w:numPr>
        <w:spacing w:before="20"/>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4.4再保证明（如有）</w:t>
      </w:r>
    </w:p>
    <w:p w14:paraId="05AD672A">
      <w:pPr>
        <w:pStyle w:val="26"/>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注：附投标人总公司与大型再保险公司签订的再保合约。</w:t>
      </w:r>
    </w:p>
    <w:p w14:paraId="4C043161">
      <w:pPr>
        <w:pStyle w:val="26"/>
        <w:rPr>
          <w:rFonts w:hint="eastAsia" w:ascii="宋体" w:hAnsi="宋体" w:cs="宋体"/>
          <w:color w:val="auto"/>
          <w:szCs w:val="21"/>
          <w:highlight w:val="none"/>
        </w:rPr>
      </w:pPr>
    </w:p>
    <w:p w14:paraId="19FB66FB">
      <w:pPr>
        <w:pStyle w:val="26"/>
        <w:rPr>
          <w:rFonts w:hint="eastAsia" w:ascii="宋体" w:hAnsi="宋体" w:cs="宋体"/>
          <w:color w:val="auto"/>
          <w:szCs w:val="21"/>
          <w:highlight w:val="none"/>
        </w:rPr>
      </w:pPr>
    </w:p>
    <w:p w14:paraId="1A454224">
      <w:pPr>
        <w:pStyle w:val="26"/>
        <w:rPr>
          <w:rFonts w:hint="eastAsia" w:ascii="宋体" w:hAnsi="宋体" w:cs="宋体"/>
          <w:color w:val="auto"/>
          <w:szCs w:val="21"/>
          <w:highlight w:val="none"/>
        </w:rPr>
      </w:pPr>
    </w:p>
    <w:p w14:paraId="21AB0087">
      <w:pPr>
        <w:pStyle w:val="26"/>
        <w:rPr>
          <w:rFonts w:hint="eastAsia" w:ascii="宋体" w:hAnsi="宋体" w:cs="宋体"/>
          <w:color w:val="auto"/>
          <w:szCs w:val="21"/>
          <w:highlight w:val="none"/>
        </w:rPr>
      </w:pPr>
    </w:p>
    <w:p w14:paraId="40D1DC9A">
      <w:pPr>
        <w:pStyle w:val="26"/>
        <w:rPr>
          <w:rFonts w:hint="eastAsia" w:ascii="宋体" w:hAnsi="宋体" w:cs="宋体"/>
          <w:color w:val="auto"/>
          <w:szCs w:val="21"/>
          <w:highlight w:val="none"/>
        </w:rPr>
      </w:pPr>
    </w:p>
    <w:p w14:paraId="79F40947">
      <w:pPr>
        <w:pStyle w:val="4"/>
        <w:numPr>
          <w:ilvl w:val="2"/>
          <w:numId w:val="0"/>
        </w:numPr>
        <w:spacing w:before="20"/>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4.5服务团队（如有）</w:t>
      </w:r>
    </w:p>
    <w:p w14:paraId="19552411">
      <w:pPr>
        <w:spacing w:line="320" w:lineRule="atLeas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项目团队成员一览表</w:t>
      </w:r>
    </w:p>
    <w:tbl>
      <w:tblPr>
        <w:tblStyle w:val="20"/>
        <w:tblW w:w="8647"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30"/>
        <w:gridCol w:w="845"/>
        <w:gridCol w:w="1125"/>
        <w:gridCol w:w="2930"/>
        <w:gridCol w:w="1417"/>
      </w:tblGrid>
      <w:tr w14:paraId="7905E9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2330" w:type="dxa"/>
            <w:tcBorders>
              <w:bottom w:val="single" w:color="000000" w:sz="6" w:space="0"/>
              <w:right w:val="single" w:color="000000" w:sz="6" w:space="0"/>
            </w:tcBorders>
            <w:vAlign w:val="center"/>
          </w:tcPr>
          <w:p w14:paraId="6C122867">
            <w:pPr>
              <w:pStyle w:val="37"/>
              <w:spacing w:before="78" w:line="360" w:lineRule="auto"/>
              <w:ind w:left="-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组内职务</w:t>
            </w:r>
          </w:p>
        </w:tc>
        <w:tc>
          <w:tcPr>
            <w:tcW w:w="845" w:type="dxa"/>
            <w:tcBorders>
              <w:left w:val="single" w:color="000000" w:sz="6" w:space="0"/>
              <w:bottom w:val="single" w:color="000000" w:sz="6" w:space="0"/>
              <w:right w:val="single" w:color="000000" w:sz="6" w:space="0"/>
            </w:tcBorders>
            <w:vAlign w:val="center"/>
          </w:tcPr>
          <w:p w14:paraId="65A2B35A">
            <w:pPr>
              <w:pStyle w:val="37"/>
              <w:spacing w:before="78" w:line="360" w:lineRule="auto"/>
              <w:ind w:left="11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1125" w:type="dxa"/>
            <w:tcBorders>
              <w:left w:val="single" w:color="000000" w:sz="6" w:space="0"/>
              <w:bottom w:val="single" w:color="000000" w:sz="6" w:space="0"/>
              <w:right w:val="single" w:color="000000" w:sz="6" w:space="0"/>
            </w:tcBorders>
            <w:vAlign w:val="center"/>
          </w:tcPr>
          <w:p w14:paraId="58696B5B">
            <w:pPr>
              <w:pStyle w:val="37"/>
              <w:spacing w:before="78" w:line="360" w:lineRule="auto"/>
              <w:ind w:left="11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公司职务</w:t>
            </w:r>
          </w:p>
        </w:tc>
        <w:tc>
          <w:tcPr>
            <w:tcW w:w="2930" w:type="dxa"/>
            <w:tcBorders>
              <w:left w:val="single" w:color="000000" w:sz="6" w:space="0"/>
              <w:bottom w:val="single" w:color="000000" w:sz="6" w:space="0"/>
              <w:right w:val="single" w:color="000000" w:sz="6" w:space="0"/>
            </w:tcBorders>
            <w:vAlign w:val="center"/>
          </w:tcPr>
          <w:p w14:paraId="0AEFFABF">
            <w:pPr>
              <w:pStyle w:val="37"/>
              <w:spacing w:before="78" w:line="360" w:lineRule="auto"/>
              <w:ind w:left="11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工作经验、服务项目简介</w:t>
            </w:r>
          </w:p>
          <w:p w14:paraId="5CA1D47C">
            <w:pPr>
              <w:pStyle w:val="37"/>
              <w:spacing w:before="78" w:line="360" w:lineRule="auto"/>
              <w:ind w:left="11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（每格限100个字）</w:t>
            </w:r>
          </w:p>
        </w:tc>
        <w:tc>
          <w:tcPr>
            <w:tcW w:w="1417" w:type="dxa"/>
            <w:tcBorders>
              <w:left w:val="single" w:color="000000" w:sz="6" w:space="0"/>
              <w:bottom w:val="single" w:color="000000" w:sz="6" w:space="0"/>
            </w:tcBorders>
            <w:vAlign w:val="center"/>
          </w:tcPr>
          <w:p w14:paraId="40EE2330">
            <w:pPr>
              <w:pStyle w:val="37"/>
              <w:spacing w:before="78" w:line="360" w:lineRule="auto"/>
              <w:ind w:left="11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联系方式</w:t>
            </w:r>
          </w:p>
        </w:tc>
      </w:tr>
      <w:tr w14:paraId="06B866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330" w:type="dxa"/>
            <w:tcBorders>
              <w:top w:val="single" w:color="000000" w:sz="6" w:space="0"/>
              <w:bottom w:val="single" w:color="000000" w:sz="6" w:space="0"/>
              <w:right w:val="single" w:color="000000" w:sz="6" w:space="0"/>
            </w:tcBorders>
          </w:tcPr>
          <w:p w14:paraId="14D80B7A">
            <w:pPr>
              <w:pStyle w:val="37"/>
              <w:spacing w:before="79" w:line="360" w:lineRule="auto"/>
              <w:ind w:left="13"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专项组长</w:t>
            </w:r>
          </w:p>
        </w:tc>
        <w:tc>
          <w:tcPr>
            <w:tcW w:w="845" w:type="dxa"/>
            <w:tcBorders>
              <w:top w:val="single" w:color="000000" w:sz="6" w:space="0"/>
              <w:left w:val="single" w:color="000000" w:sz="6" w:space="0"/>
              <w:bottom w:val="single" w:color="000000" w:sz="6" w:space="0"/>
              <w:right w:val="single" w:color="000000" w:sz="6" w:space="0"/>
            </w:tcBorders>
          </w:tcPr>
          <w:p w14:paraId="53D09BF0">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3E677AA9">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26D2BF77">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5F3ED4DC">
            <w:pPr>
              <w:pStyle w:val="37"/>
              <w:spacing w:line="360" w:lineRule="auto"/>
              <w:rPr>
                <w:rFonts w:hint="eastAsia" w:ascii="宋体" w:hAnsi="宋体" w:eastAsia="宋体" w:cs="宋体"/>
                <w:color w:val="auto"/>
                <w:szCs w:val="21"/>
                <w:highlight w:val="none"/>
              </w:rPr>
            </w:pPr>
          </w:p>
        </w:tc>
      </w:tr>
      <w:tr w14:paraId="134E8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2330" w:type="dxa"/>
            <w:tcBorders>
              <w:top w:val="single" w:color="000000" w:sz="6" w:space="0"/>
              <w:bottom w:val="single" w:color="000000" w:sz="6" w:space="0"/>
              <w:right w:val="single" w:color="000000" w:sz="6" w:space="0"/>
            </w:tcBorders>
          </w:tcPr>
          <w:p w14:paraId="7FD18D1F">
            <w:pPr>
              <w:pStyle w:val="37"/>
              <w:spacing w:before="77" w:line="360" w:lineRule="auto"/>
              <w:ind w:left="13" w:right="100"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专项副组长(主管承保)</w:t>
            </w:r>
          </w:p>
        </w:tc>
        <w:tc>
          <w:tcPr>
            <w:tcW w:w="845" w:type="dxa"/>
            <w:tcBorders>
              <w:top w:val="single" w:color="000000" w:sz="6" w:space="0"/>
              <w:left w:val="single" w:color="000000" w:sz="6" w:space="0"/>
              <w:bottom w:val="single" w:color="000000" w:sz="6" w:space="0"/>
              <w:right w:val="single" w:color="000000" w:sz="6" w:space="0"/>
            </w:tcBorders>
          </w:tcPr>
          <w:p w14:paraId="5663D4D0">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7DF27CA9">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1513A11D">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20FAA5FA">
            <w:pPr>
              <w:pStyle w:val="37"/>
              <w:spacing w:line="360" w:lineRule="auto"/>
              <w:rPr>
                <w:rFonts w:hint="eastAsia" w:ascii="宋体" w:hAnsi="宋体" w:eastAsia="宋体" w:cs="宋体"/>
                <w:color w:val="auto"/>
                <w:szCs w:val="21"/>
                <w:highlight w:val="none"/>
              </w:rPr>
            </w:pPr>
          </w:p>
        </w:tc>
      </w:tr>
      <w:tr w14:paraId="6C9568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330" w:type="dxa"/>
            <w:tcBorders>
              <w:top w:val="single" w:color="000000" w:sz="6" w:space="0"/>
              <w:bottom w:val="single" w:color="000000" w:sz="6" w:space="0"/>
              <w:right w:val="single" w:color="000000" w:sz="6" w:space="0"/>
            </w:tcBorders>
          </w:tcPr>
          <w:p w14:paraId="78CA0239">
            <w:pPr>
              <w:pStyle w:val="37"/>
              <w:spacing w:before="79" w:line="360" w:lineRule="auto"/>
              <w:ind w:left="13" w:right="90"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专项副组长(主管理赔)</w:t>
            </w:r>
          </w:p>
        </w:tc>
        <w:tc>
          <w:tcPr>
            <w:tcW w:w="845" w:type="dxa"/>
            <w:tcBorders>
              <w:top w:val="single" w:color="000000" w:sz="6" w:space="0"/>
              <w:left w:val="single" w:color="000000" w:sz="6" w:space="0"/>
              <w:bottom w:val="single" w:color="000000" w:sz="6" w:space="0"/>
              <w:right w:val="single" w:color="000000" w:sz="6" w:space="0"/>
            </w:tcBorders>
          </w:tcPr>
          <w:p w14:paraId="7F4875A7">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44A54B6F">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75F5F95F">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33B80F97">
            <w:pPr>
              <w:pStyle w:val="37"/>
              <w:spacing w:line="360" w:lineRule="auto"/>
              <w:rPr>
                <w:rFonts w:hint="eastAsia" w:ascii="宋体" w:hAnsi="宋体" w:eastAsia="宋体" w:cs="宋体"/>
                <w:color w:val="auto"/>
                <w:szCs w:val="21"/>
                <w:highlight w:val="none"/>
              </w:rPr>
            </w:pPr>
          </w:p>
        </w:tc>
      </w:tr>
      <w:tr w14:paraId="1E1D5B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2330" w:type="dxa"/>
            <w:tcBorders>
              <w:top w:val="single" w:color="000000" w:sz="6" w:space="0"/>
              <w:bottom w:val="single" w:color="000000" w:sz="6" w:space="0"/>
              <w:right w:val="single" w:color="000000" w:sz="6" w:space="0"/>
            </w:tcBorders>
          </w:tcPr>
          <w:p w14:paraId="4E5A6860">
            <w:pPr>
              <w:pStyle w:val="37"/>
              <w:spacing w:before="77" w:line="360" w:lineRule="auto"/>
              <w:ind w:left="13"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日常联系专人</w:t>
            </w:r>
          </w:p>
        </w:tc>
        <w:tc>
          <w:tcPr>
            <w:tcW w:w="845" w:type="dxa"/>
            <w:tcBorders>
              <w:top w:val="single" w:color="000000" w:sz="6" w:space="0"/>
              <w:left w:val="single" w:color="000000" w:sz="6" w:space="0"/>
              <w:bottom w:val="single" w:color="000000" w:sz="6" w:space="0"/>
              <w:right w:val="single" w:color="000000" w:sz="6" w:space="0"/>
            </w:tcBorders>
          </w:tcPr>
          <w:p w14:paraId="4E487B81">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342A3F09">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142FA158">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3E6946F9">
            <w:pPr>
              <w:pStyle w:val="37"/>
              <w:spacing w:line="360" w:lineRule="auto"/>
              <w:rPr>
                <w:rFonts w:hint="eastAsia" w:ascii="宋体" w:hAnsi="宋体" w:eastAsia="宋体" w:cs="宋体"/>
                <w:color w:val="auto"/>
                <w:szCs w:val="21"/>
                <w:highlight w:val="none"/>
              </w:rPr>
            </w:pPr>
          </w:p>
        </w:tc>
      </w:tr>
      <w:tr w14:paraId="0BE6BB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330" w:type="dxa"/>
            <w:tcBorders>
              <w:top w:val="single" w:color="000000" w:sz="6" w:space="0"/>
              <w:bottom w:val="single" w:color="000000" w:sz="6" w:space="0"/>
              <w:right w:val="single" w:color="000000" w:sz="6" w:space="0"/>
            </w:tcBorders>
          </w:tcPr>
          <w:p w14:paraId="16A406AC">
            <w:pPr>
              <w:pStyle w:val="37"/>
              <w:spacing w:before="79" w:line="360" w:lineRule="auto"/>
              <w:ind w:left="13"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防损服务专人</w:t>
            </w:r>
          </w:p>
        </w:tc>
        <w:tc>
          <w:tcPr>
            <w:tcW w:w="845" w:type="dxa"/>
            <w:tcBorders>
              <w:top w:val="single" w:color="000000" w:sz="6" w:space="0"/>
              <w:left w:val="single" w:color="000000" w:sz="6" w:space="0"/>
              <w:bottom w:val="single" w:color="000000" w:sz="6" w:space="0"/>
              <w:right w:val="single" w:color="000000" w:sz="6" w:space="0"/>
            </w:tcBorders>
          </w:tcPr>
          <w:p w14:paraId="5B96928D">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4D933242">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757DC4F0">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3FD85BEA">
            <w:pPr>
              <w:pStyle w:val="37"/>
              <w:spacing w:line="360" w:lineRule="auto"/>
              <w:rPr>
                <w:rFonts w:hint="eastAsia" w:ascii="宋体" w:hAnsi="宋体" w:eastAsia="宋体" w:cs="宋体"/>
                <w:color w:val="auto"/>
                <w:szCs w:val="21"/>
                <w:highlight w:val="none"/>
              </w:rPr>
            </w:pPr>
          </w:p>
        </w:tc>
      </w:tr>
      <w:tr w14:paraId="06D22F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2330" w:type="dxa"/>
            <w:tcBorders>
              <w:top w:val="single" w:color="000000" w:sz="6" w:space="0"/>
              <w:bottom w:val="single" w:color="000000" w:sz="6" w:space="0"/>
              <w:right w:val="single" w:color="000000" w:sz="6" w:space="0"/>
            </w:tcBorders>
          </w:tcPr>
          <w:p w14:paraId="3FCD8CD3">
            <w:pPr>
              <w:pStyle w:val="37"/>
              <w:spacing w:before="77" w:line="360" w:lineRule="auto"/>
              <w:ind w:left="13"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核保服务专人</w:t>
            </w:r>
          </w:p>
        </w:tc>
        <w:tc>
          <w:tcPr>
            <w:tcW w:w="845" w:type="dxa"/>
            <w:tcBorders>
              <w:top w:val="single" w:color="000000" w:sz="6" w:space="0"/>
              <w:left w:val="single" w:color="000000" w:sz="6" w:space="0"/>
              <w:bottom w:val="single" w:color="000000" w:sz="6" w:space="0"/>
              <w:right w:val="single" w:color="000000" w:sz="6" w:space="0"/>
            </w:tcBorders>
          </w:tcPr>
          <w:p w14:paraId="3329849A">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33ECDD3C">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164518EF">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024FE066">
            <w:pPr>
              <w:pStyle w:val="37"/>
              <w:spacing w:line="360" w:lineRule="auto"/>
              <w:rPr>
                <w:rFonts w:hint="eastAsia" w:ascii="宋体" w:hAnsi="宋体" w:eastAsia="宋体" w:cs="宋体"/>
                <w:color w:val="auto"/>
                <w:szCs w:val="21"/>
                <w:highlight w:val="none"/>
              </w:rPr>
            </w:pPr>
          </w:p>
        </w:tc>
      </w:tr>
      <w:tr w14:paraId="550BDC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330" w:type="dxa"/>
            <w:tcBorders>
              <w:top w:val="single" w:color="000000" w:sz="6" w:space="0"/>
              <w:bottom w:val="single" w:color="000000" w:sz="6" w:space="0"/>
              <w:right w:val="single" w:color="000000" w:sz="6" w:space="0"/>
            </w:tcBorders>
          </w:tcPr>
          <w:p w14:paraId="23C3FF24">
            <w:pPr>
              <w:pStyle w:val="37"/>
              <w:spacing w:before="79" w:line="360" w:lineRule="auto"/>
              <w:ind w:left="13"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核赔服务专人</w:t>
            </w:r>
          </w:p>
        </w:tc>
        <w:tc>
          <w:tcPr>
            <w:tcW w:w="845" w:type="dxa"/>
            <w:tcBorders>
              <w:top w:val="single" w:color="000000" w:sz="6" w:space="0"/>
              <w:left w:val="single" w:color="000000" w:sz="6" w:space="0"/>
              <w:bottom w:val="single" w:color="000000" w:sz="6" w:space="0"/>
              <w:right w:val="single" w:color="000000" w:sz="6" w:space="0"/>
            </w:tcBorders>
          </w:tcPr>
          <w:p w14:paraId="78A3114F">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23862F9C">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6EDA8EBA">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63AD3AFB">
            <w:pPr>
              <w:pStyle w:val="37"/>
              <w:spacing w:line="360" w:lineRule="auto"/>
              <w:rPr>
                <w:rFonts w:hint="eastAsia" w:ascii="宋体" w:hAnsi="宋体" w:eastAsia="宋体" w:cs="宋体"/>
                <w:color w:val="auto"/>
                <w:szCs w:val="21"/>
                <w:highlight w:val="none"/>
              </w:rPr>
            </w:pPr>
          </w:p>
        </w:tc>
      </w:tr>
      <w:tr w14:paraId="1D3F94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2330" w:type="dxa"/>
            <w:tcBorders>
              <w:top w:val="single" w:color="000000" w:sz="6" w:space="0"/>
              <w:bottom w:val="single" w:color="000000" w:sz="6" w:space="0"/>
              <w:right w:val="single" w:color="000000" w:sz="6" w:space="0"/>
            </w:tcBorders>
          </w:tcPr>
          <w:p w14:paraId="7DC7400B">
            <w:pPr>
              <w:pStyle w:val="37"/>
              <w:spacing w:before="77" w:line="360" w:lineRule="auto"/>
              <w:ind w:left="13"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现场理赔服务专人 1</w:t>
            </w:r>
          </w:p>
        </w:tc>
        <w:tc>
          <w:tcPr>
            <w:tcW w:w="845" w:type="dxa"/>
            <w:tcBorders>
              <w:top w:val="single" w:color="000000" w:sz="6" w:space="0"/>
              <w:left w:val="single" w:color="000000" w:sz="6" w:space="0"/>
              <w:bottom w:val="single" w:color="000000" w:sz="6" w:space="0"/>
              <w:right w:val="single" w:color="000000" w:sz="6" w:space="0"/>
            </w:tcBorders>
          </w:tcPr>
          <w:p w14:paraId="632FADA3">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2006893F">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14EB8988">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5F0CEC9C">
            <w:pPr>
              <w:pStyle w:val="37"/>
              <w:spacing w:line="360" w:lineRule="auto"/>
              <w:rPr>
                <w:rFonts w:hint="eastAsia" w:ascii="宋体" w:hAnsi="宋体" w:eastAsia="宋体" w:cs="宋体"/>
                <w:color w:val="auto"/>
                <w:szCs w:val="21"/>
                <w:highlight w:val="none"/>
              </w:rPr>
            </w:pPr>
          </w:p>
        </w:tc>
      </w:tr>
      <w:tr w14:paraId="0B25E1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2330" w:type="dxa"/>
            <w:tcBorders>
              <w:top w:val="single" w:color="000000" w:sz="6" w:space="0"/>
              <w:bottom w:val="single" w:color="000000" w:sz="6" w:space="0"/>
              <w:right w:val="single" w:color="000000" w:sz="6" w:space="0"/>
            </w:tcBorders>
          </w:tcPr>
          <w:p w14:paraId="76DC78E8">
            <w:pPr>
              <w:pStyle w:val="37"/>
              <w:spacing w:before="79" w:line="360" w:lineRule="auto"/>
              <w:ind w:left="12" w:hanging="11" w:hangingChars="6"/>
              <w:jc w:val="center"/>
              <w:rPr>
                <w:rFonts w:hint="eastAsia" w:ascii="宋体" w:hAnsi="宋体" w:eastAsia="宋体" w:cs="宋体"/>
                <w:color w:val="auto"/>
                <w:szCs w:val="21"/>
                <w:highlight w:val="none"/>
              </w:rPr>
            </w:pPr>
            <w:r>
              <w:rPr>
                <w:rFonts w:hint="eastAsia" w:ascii="宋体" w:hAnsi="宋体" w:eastAsia="宋体" w:cs="宋体"/>
                <w:color w:val="auto"/>
                <w:spacing w:val="-7"/>
                <w:szCs w:val="21"/>
                <w:highlight w:val="none"/>
              </w:rPr>
              <w:t xml:space="preserve">现场理赔服务专人 </w:t>
            </w:r>
            <w:r>
              <w:rPr>
                <w:rFonts w:hint="eastAsia" w:ascii="宋体" w:hAnsi="宋体" w:eastAsia="宋体" w:cs="宋体"/>
                <w:color w:val="auto"/>
                <w:szCs w:val="21"/>
                <w:highlight w:val="none"/>
              </w:rPr>
              <w:t>2</w:t>
            </w:r>
          </w:p>
          <w:p w14:paraId="77B25584">
            <w:pPr>
              <w:pStyle w:val="37"/>
              <w:spacing w:before="91" w:line="360" w:lineRule="auto"/>
              <w:ind w:left="13"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45" w:type="dxa"/>
            <w:tcBorders>
              <w:top w:val="single" w:color="000000" w:sz="6" w:space="0"/>
              <w:left w:val="single" w:color="000000" w:sz="6" w:space="0"/>
              <w:bottom w:val="single" w:color="000000" w:sz="6" w:space="0"/>
              <w:right w:val="single" w:color="000000" w:sz="6" w:space="0"/>
            </w:tcBorders>
          </w:tcPr>
          <w:p w14:paraId="12993A4C">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6BED9644">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7A21281A">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36BC2448">
            <w:pPr>
              <w:pStyle w:val="37"/>
              <w:spacing w:line="360" w:lineRule="auto"/>
              <w:rPr>
                <w:rFonts w:hint="eastAsia" w:ascii="宋体" w:hAnsi="宋体" w:eastAsia="宋体" w:cs="宋体"/>
                <w:color w:val="auto"/>
                <w:szCs w:val="21"/>
                <w:highlight w:val="none"/>
              </w:rPr>
            </w:pPr>
          </w:p>
        </w:tc>
      </w:tr>
      <w:tr w14:paraId="7E74AB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2330" w:type="dxa"/>
            <w:tcBorders>
              <w:top w:val="single" w:color="000000" w:sz="6" w:space="0"/>
              <w:bottom w:val="single" w:color="000000" w:sz="6" w:space="0"/>
              <w:right w:val="single" w:color="000000" w:sz="6" w:space="0"/>
            </w:tcBorders>
          </w:tcPr>
          <w:p w14:paraId="36FD1038">
            <w:pPr>
              <w:pStyle w:val="37"/>
              <w:spacing w:before="77" w:line="360" w:lineRule="auto"/>
              <w:ind w:left="13"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数据统计专人</w:t>
            </w:r>
          </w:p>
        </w:tc>
        <w:tc>
          <w:tcPr>
            <w:tcW w:w="845" w:type="dxa"/>
            <w:tcBorders>
              <w:top w:val="single" w:color="000000" w:sz="6" w:space="0"/>
              <w:left w:val="single" w:color="000000" w:sz="6" w:space="0"/>
              <w:bottom w:val="single" w:color="000000" w:sz="6" w:space="0"/>
              <w:right w:val="single" w:color="000000" w:sz="6" w:space="0"/>
            </w:tcBorders>
          </w:tcPr>
          <w:p w14:paraId="4F5E850D">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bottom w:val="single" w:color="000000" w:sz="6" w:space="0"/>
              <w:right w:val="single" w:color="000000" w:sz="6" w:space="0"/>
            </w:tcBorders>
          </w:tcPr>
          <w:p w14:paraId="3306733A">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bottom w:val="single" w:color="000000" w:sz="6" w:space="0"/>
              <w:right w:val="single" w:color="000000" w:sz="6" w:space="0"/>
            </w:tcBorders>
          </w:tcPr>
          <w:p w14:paraId="6B2D6621">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bottom w:val="single" w:color="000000" w:sz="6" w:space="0"/>
            </w:tcBorders>
          </w:tcPr>
          <w:p w14:paraId="00FD5067">
            <w:pPr>
              <w:pStyle w:val="37"/>
              <w:spacing w:line="360" w:lineRule="auto"/>
              <w:rPr>
                <w:rFonts w:hint="eastAsia" w:ascii="宋体" w:hAnsi="宋体" w:eastAsia="宋体" w:cs="宋体"/>
                <w:color w:val="auto"/>
                <w:szCs w:val="21"/>
                <w:highlight w:val="none"/>
              </w:rPr>
            </w:pPr>
          </w:p>
        </w:tc>
      </w:tr>
      <w:tr w14:paraId="2C5AE3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330" w:type="dxa"/>
            <w:tcBorders>
              <w:top w:val="single" w:color="000000" w:sz="6" w:space="0"/>
              <w:right w:val="single" w:color="000000" w:sz="6" w:space="0"/>
            </w:tcBorders>
          </w:tcPr>
          <w:p w14:paraId="7BDE2F81">
            <w:pPr>
              <w:pStyle w:val="37"/>
              <w:spacing w:before="79" w:line="360" w:lineRule="auto"/>
              <w:ind w:left="13" w:hanging="12" w:hangingChars="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45" w:type="dxa"/>
            <w:tcBorders>
              <w:top w:val="single" w:color="000000" w:sz="6" w:space="0"/>
              <w:left w:val="single" w:color="000000" w:sz="6" w:space="0"/>
              <w:right w:val="single" w:color="000000" w:sz="6" w:space="0"/>
            </w:tcBorders>
          </w:tcPr>
          <w:p w14:paraId="2C85BC59">
            <w:pPr>
              <w:pStyle w:val="37"/>
              <w:spacing w:line="360" w:lineRule="auto"/>
              <w:rPr>
                <w:rFonts w:hint="eastAsia" w:ascii="宋体" w:hAnsi="宋体" w:eastAsia="宋体" w:cs="宋体"/>
                <w:color w:val="auto"/>
                <w:szCs w:val="21"/>
                <w:highlight w:val="none"/>
              </w:rPr>
            </w:pPr>
          </w:p>
        </w:tc>
        <w:tc>
          <w:tcPr>
            <w:tcW w:w="1125" w:type="dxa"/>
            <w:tcBorders>
              <w:top w:val="single" w:color="000000" w:sz="6" w:space="0"/>
              <w:left w:val="single" w:color="000000" w:sz="6" w:space="0"/>
              <w:right w:val="single" w:color="000000" w:sz="6" w:space="0"/>
            </w:tcBorders>
          </w:tcPr>
          <w:p w14:paraId="7B7CE86D">
            <w:pPr>
              <w:pStyle w:val="37"/>
              <w:spacing w:line="360" w:lineRule="auto"/>
              <w:rPr>
                <w:rFonts w:hint="eastAsia" w:ascii="宋体" w:hAnsi="宋体" w:eastAsia="宋体" w:cs="宋体"/>
                <w:color w:val="auto"/>
                <w:szCs w:val="21"/>
                <w:highlight w:val="none"/>
              </w:rPr>
            </w:pPr>
          </w:p>
        </w:tc>
        <w:tc>
          <w:tcPr>
            <w:tcW w:w="2930" w:type="dxa"/>
            <w:tcBorders>
              <w:top w:val="single" w:color="000000" w:sz="6" w:space="0"/>
              <w:left w:val="single" w:color="000000" w:sz="6" w:space="0"/>
              <w:right w:val="single" w:color="000000" w:sz="6" w:space="0"/>
            </w:tcBorders>
          </w:tcPr>
          <w:p w14:paraId="53B586B0">
            <w:pPr>
              <w:pStyle w:val="37"/>
              <w:spacing w:line="360" w:lineRule="auto"/>
              <w:rPr>
                <w:rFonts w:hint="eastAsia" w:ascii="宋体" w:hAnsi="宋体" w:eastAsia="宋体" w:cs="宋体"/>
                <w:color w:val="auto"/>
                <w:szCs w:val="21"/>
                <w:highlight w:val="none"/>
              </w:rPr>
            </w:pPr>
          </w:p>
        </w:tc>
        <w:tc>
          <w:tcPr>
            <w:tcW w:w="1417" w:type="dxa"/>
            <w:tcBorders>
              <w:top w:val="single" w:color="000000" w:sz="6" w:space="0"/>
              <w:left w:val="single" w:color="000000" w:sz="6" w:space="0"/>
            </w:tcBorders>
          </w:tcPr>
          <w:p w14:paraId="0FDEB028">
            <w:pPr>
              <w:pStyle w:val="37"/>
              <w:spacing w:line="360" w:lineRule="auto"/>
              <w:rPr>
                <w:rFonts w:hint="eastAsia" w:ascii="宋体" w:hAnsi="宋体" w:eastAsia="宋体" w:cs="宋体"/>
                <w:color w:val="auto"/>
                <w:szCs w:val="21"/>
                <w:highlight w:val="none"/>
              </w:rPr>
            </w:pPr>
          </w:p>
        </w:tc>
      </w:tr>
    </w:tbl>
    <w:p w14:paraId="403549DB">
      <w:pPr>
        <w:pStyle w:val="26"/>
        <w:rPr>
          <w:rFonts w:hint="eastAsia" w:ascii="宋体" w:hAnsi="宋体" w:cs="宋体"/>
          <w:color w:val="auto"/>
          <w:szCs w:val="21"/>
          <w:highlight w:val="none"/>
        </w:rPr>
      </w:pPr>
      <w:r>
        <w:rPr>
          <w:rFonts w:hint="eastAsia" w:ascii="宋体" w:hAnsi="宋体" w:cs="宋体"/>
          <w:color w:val="auto"/>
          <w:szCs w:val="21"/>
          <w:highlight w:val="none"/>
        </w:rPr>
        <w:t>注：表格可根据实际情况增加人员。</w:t>
      </w:r>
    </w:p>
    <w:p w14:paraId="37BE4FA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F46DBFB">
      <w:pPr>
        <w:pStyle w:val="4"/>
        <w:numPr>
          <w:ilvl w:val="2"/>
          <w:numId w:val="0"/>
        </w:numPr>
        <w:spacing w:before="20"/>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4.6投标人认为有必要提供的其它材料</w:t>
      </w:r>
    </w:p>
    <w:p w14:paraId="6346B2BE">
      <w:pPr>
        <w:jc w:val="center"/>
        <w:rPr>
          <w:rFonts w:hint="eastAsia" w:ascii="宋体" w:hAnsi="宋体" w:eastAsia="宋体" w:cs="宋体"/>
          <w:color w:val="auto"/>
          <w:highlight w:val="none"/>
        </w:rPr>
      </w:pPr>
    </w:p>
    <w:p w14:paraId="7DA9A7E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F0FD50D">
      <w:pPr>
        <w:pStyle w:val="2"/>
        <w:jc w:val="center"/>
        <w:rPr>
          <w:rFonts w:hint="eastAsia" w:ascii="宋体" w:hAnsi="宋体" w:eastAsia="宋体" w:cs="宋体"/>
          <w:color w:val="auto"/>
          <w:highlight w:val="none"/>
        </w:rPr>
      </w:pPr>
      <w:bookmarkStart w:id="178" w:name="_Toc531360712"/>
      <w:bookmarkStart w:id="179" w:name="_Toc5426_WPSOffice_Level1"/>
      <w:bookmarkStart w:id="180" w:name="_Toc531360709"/>
      <w:bookmarkStart w:id="181" w:name="_Toc388459054"/>
      <w:bookmarkStart w:id="182" w:name="_Toc482188667"/>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w:t>
      </w:r>
      <w:bookmarkEnd w:id="178"/>
      <w:r>
        <w:rPr>
          <w:rFonts w:hint="eastAsia" w:ascii="宋体" w:hAnsi="宋体" w:eastAsia="宋体" w:cs="宋体"/>
          <w:color w:val="auto"/>
          <w:highlight w:val="none"/>
        </w:rPr>
        <w:t>服务方案</w:t>
      </w:r>
      <w:bookmarkEnd w:id="179"/>
    </w:p>
    <w:p w14:paraId="76514784">
      <w:pPr>
        <w:pStyle w:val="4"/>
        <w:ind w:left="400"/>
        <w:rPr>
          <w:rFonts w:hint="eastAsia" w:ascii="宋体" w:hAnsi="宋体" w:eastAsia="宋体" w:cs="宋体"/>
          <w:bCs w:val="0"/>
          <w:color w:val="auto"/>
          <w:sz w:val="21"/>
          <w:szCs w:val="21"/>
          <w:highlight w:val="none"/>
        </w:rPr>
      </w:pPr>
      <w:bookmarkStart w:id="183" w:name="_Hlk18315556"/>
      <w:r>
        <w:rPr>
          <w:rFonts w:hint="eastAsia" w:ascii="宋体" w:hAnsi="宋体" w:eastAsia="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rPr>
        <w:t>.1保险服务承诺函</w:t>
      </w:r>
    </w:p>
    <w:tbl>
      <w:tblPr>
        <w:tblStyle w:val="20"/>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7156"/>
      </w:tblGrid>
      <w:tr w14:paraId="40191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803" w:type="dxa"/>
            <w:vAlign w:val="center"/>
          </w:tcPr>
          <w:p w14:paraId="7C4E6ABD">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服务承诺</w:t>
            </w:r>
          </w:p>
        </w:tc>
        <w:tc>
          <w:tcPr>
            <w:tcW w:w="7156" w:type="dxa"/>
            <w:vAlign w:val="center"/>
          </w:tcPr>
          <w:p w14:paraId="20E19D82">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具体工作（包括但不限于以下内容）</w:t>
            </w:r>
          </w:p>
        </w:tc>
      </w:tr>
      <w:tr w14:paraId="4030D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803" w:type="dxa"/>
            <w:vAlign w:val="center"/>
          </w:tcPr>
          <w:p w14:paraId="32B4823D">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风险管理</w:t>
            </w:r>
          </w:p>
        </w:tc>
        <w:tc>
          <w:tcPr>
            <w:tcW w:w="7156" w:type="dxa"/>
            <w:vAlign w:val="center"/>
          </w:tcPr>
          <w:p w14:paraId="4E6C09C1">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应提供风险查勘及风险管理的详细计划，包括能够为本项目提供的风险管理服务方案，风险管理工程师资质以及工作计划安排等内容。</w:t>
            </w:r>
          </w:p>
        </w:tc>
      </w:tr>
      <w:tr w14:paraId="03751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1803" w:type="dxa"/>
            <w:vAlign w:val="center"/>
          </w:tcPr>
          <w:p w14:paraId="1DF3A096">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理赔处理</w:t>
            </w:r>
          </w:p>
        </w:tc>
        <w:tc>
          <w:tcPr>
            <w:tcW w:w="7156" w:type="dxa"/>
            <w:vAlign w:val="center"/>
          </w:tcPr>
          <w:p w14:paraId="0F3170B3">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应提供完整有效的理赔管理的机制，包括协助发包人和承包商建立快速有效的报案以及理赔处理的流程，理赔协调制度，理赔权限设置，快速处理通道，项目专门服务团队等内容。</w:t>
            </w:r>
          </w:p>
        </w:tc>
      </w:tr>
      <w:tr w14:paraId="4D865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803" w:type="dxa"/>
            <w:vAlign w:val="center"/>
          </w:tcPr>
          <w:p w14:paraId="6EC61A62">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日常服务</w:t>
            </w:r>
          </w:p>
        </w:tc>
        <w:tc>
          <w:tcPr>
            <w:tcW w:w="7156" w:type="dxa"/>
            <w:vAlign w:val="center"/>
          </w:tcPr>
          <w:p w14:paraId="30BF19A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应包括属地服务，培训计划，单证管理等内容。</w:t>
            </w:r>
          </w:p>
        </w:tc>
      </w:tr>
      <w:tr w14:paraId="28226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803" w:type="dxa"/>
            <w:vAlign w:val="center"/>
          </w:tcPr>
          <w:p w14:paraId="4CBB390A">
            <w:pPr>
              <w:pStyle w:val="6"/>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其他增值服务</w:t>
            </w:r>
          </w:p>
        </w:tc>
        <w:tc>
          <w:tcPr>
            <w:tcW w:w="7156" w:type="dxa"/>
            <w:vAlign w:val="center"/>
          </w:tcPr>
          <w:p w14:paraId="1510F999">
            <w:pPr>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由各投标人根据项目服务经验自行提供。</w:t>
            </w:r>
          </w:p>
        </w:tc>
      </w:tr>
    </w:tbl>
    <w:p w14:paraId="70F6ABC6">
      <w:pPr>
        <w:widowControl/>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注：本表格只需填写内容摘要，具体内容可作详细说明。</w:t>
      </w:r>
    </w:p>
    <w:p w14:paraId="7BAE3F50">
      <w:pPr>
        <w:adjustRightInd w:val="0"/>
        <w:snapToGrid w:val="0"/>
        <w:spacing w:line="360" w:lineRule="auto"/>
        <w:rPr>
          <w:rFonts w:hint="eastAsia" w:ascii="宋体" w:hAnsi="宋体" w:eastAsia="宋体" w:cs="宋体"/>
          <w:color w:val="auto"/>
          <w:szCs w:val="21"/>
          <w:highlight w:val="none"/>
        </w:rPr>
      </w:pPr>
    </w:p>
    <w:p w14:paraId="48135B91">
      <w:pPr>
        <w:adjustRightInd w:val="0"/>
        <w:snapToGrid w:val="0"/>
        <w:rPr>
          <w:rFonts w:hint="eastAsia" w:ascii="宋体" w:hAnsi="宋体" w:eastAsia="宋体" w:cs="宋体"/>
          <w:color w:val="auto"/>
          <w:szCs w:val="21"/>
          <w:highlight w:val="none"/>
        </w:rPr>
      </w:pPr>
    </w:p>
    <w:p w14:paraId="19253CC8">
      <w:pPr>
        <w:adjustRightInd w:val="0"/>
        <w:snapToGrid w:val="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投   标   单   位 （ 盖  章 ）：  </w:t>
      </w:r>
      <w:r>
        <w:rPr>
          <w:rFonts w:hint="eastAsia" w:ascii="宋体" w:hAnsi="宋体" w:eastAsia="宋体" w:cs="宋体"/>
          <w:color w:val="auto"/>
          <w:szCs w:val="21"/>
          <w:highlight w:val="none"/>
          <w:u w:val="single"/>
        </w:rPr>
        <w:t xml:space="preserve">                      </w:t>
      </w:r>
    </w:p>
    <w:p w14:paraId="05C2B743">
      <w:pPr>
        <w:adjustRightInd w:val="0"/>
        <w:snapToGrid w:val="0"/>
        <w:ind w:firstLine="3150" w:firstLineChars="1500"/>
        <w:rPr>
          <w:rFonts w:hint="eastAsia" w:ascii="宋体" w:hAnsi="宋体" w:eastAsia="宋体" w:cs="宋体"/>
          <w:color w:val="auto"/>
          <w:szCs w:val="21"/>
          <w:highlight w:val="none"/>
        </w:rPr>
      </w:pPr>
    </w:p>
    <w:p w14:paraId="3359E3BE">
      <w:pPr>
        <w:adjustRightInd w:val="0"/>
        <w:snapToGrid w:val="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法定代表人（负责人或其被授权人）（签字或签章）：  </w:t>
      </w:r>
      <w:r>
        <w:rPr>
          <w:rFonts w:hint="eastAsia" w:ascii="宋体" w:hAnsi="宋体" w:eastAsia="宋体" w:cs="宋体"/>
          <w:color w:val="auto"/>
          <w:szCs w:val="21"/>
          <w:highlight w:val="none"/>
          <w:u w:val="single"/>
        </w:rPr>
        <w:t xml:space="preserve">                      </w:t>
      </w:r>
    </w:p>
    <w:p w14:paraId="352443E2">
      <w:pPr>
        <w:adjustRightInd w:val="0"/>
        <w:snapToGrid w:val="0"/>
        <w:jc w:val="center"/>
        <w:rPr>
          <w:rFonts w:hint="eastAsia" w:ascii="宋体" w:hAnsi="宋体" w:eastAsia="宋体" w:cs="宋体"/>
          <w:color w:val="auto"/>
          <w:szCs w:val="21"/>
          <w:highlight w:val="none"/>
        </w:rPr>
      </w:pPr>
    </w:p>
    <w:p w14:paraId="2B812B39">
      <w:pPr>
        <w:pStyle w:val="11"/>
        <w:adjustRightInd w:val="0"/>
        <w:snapToGrid w:val="0"/>
        <w:rPr>
          <w:rFonts w:hAnsi="宋体" w:eastAsia="宋体" w:cs="宋体"/>
          <w:b/>
          <w:bCs/>
          <w:color w:val="auto"/>
          <w:szCs w:val="21"/>
          <w:highlight w:val="none"/>
        </w:rPr>
      </w:pPr>
      <w:r>
        <w:rPr>
          <w:rFonts w:hAnsi="宋体" w:eastAsia="宋体" w:cs="宋体"/>
          <w:color w:val="auto"/>
          <w:szCs w:val="21"/>
          <w:highlight w:val="none"/>
        </w:rPr>
        <w:t>日   期 ：   年   月   日</w:t>
      </w:r>
    </w:p>
    <w:p w14:paraId="0CA92A52">
      <w:pPr>
        <w:pStyle w:val="4"/>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br w:type="page"/>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.2保险服务承诺详述</w:t>
      </w:r>
    </w:p>
    <w:p w14:paraId="1DF59C31">
      <w:pPr>
        <w:tabs>
          <w:tab w:val="left" w:pos="480"/>
          <w:tab w:val="left" w:pos="2160"/>
          <w:tab w:val="left" w:pos="2760"/>
          <w:tab w:val="left" w:pos="3240"/>
        </w:tabs>
        <w:snapToGrid w:val="0"/>
        <w:ind w:firstLine="422" w:firstLineChars="200"/>
        <w:rPr>
          <w:rFonts w:hint="eastAsia" w:ascii="宋体" w:hAnsi="宋体" w:eastAsia="宋体" w:cs="宋体"/>
          <w:b/>
          <w:bCs/>
          <w:color w:val="auto"/>
          <w:szCs w:val="21"/>
          <w:highlight w:val="none"/>
        </w:rPr>
      </w:pPr>
    </w:p>
    <w:p w14:paraId="477660F5">
      <w:pPr>
        <w:pStyle w:val="38"/>
        <w:rPr>
          <w:rFonts w:hint="eastAsia" w:hAnsi="宋体" w:cs="宋体"/>
          <w:color w:val="auto"/>
          <w:szCs w:val="21"/>
          <w:highlight w:val="none"/>
        </w:rPr>
      </w:pPr>
      <w:r>
        <w:rPr>
          <w:rFonts w:hint="eastAsia" w:hAnsi="宋体" w:cs="宋体"/>
          <w:color w:val="auto"/>
          <w:szCs w:val="21"/>
          <w:highlight w:val="none"/>
        </w:rPr>
        <w:t>注：投标人应详细提供保险服务承诺，内容包括但不限于表格</w:t>
      </w:r>
      <w:r>
        <w:rPr>
          <w:rFonts w:hint="eastAsia" w:hAnsi="宋体" w:cs="宋体"/>
          <w:bCs/>
          <w:color w:val="auto"/>
          <w:szCs w:val="21"/>
          <w:highlight w:val="none"/>
        </w:rPr>
        <w:t>（一）保险服务承诺函</w:t>
      </w:r>
      <w:r>
        <w:rPr>
          <w:rFonts w:hint="eastAsia" w:hAnsi="宋体" w:cs="宋体"/>
          <w:color w:val="auto"/>
          <w:szCs w:val="21"/>
          <w:highlight w:val="none"/>
        </w:rPr>
        <w:t>的内容。</w:t>
      </w:r>
    </w:p>
    <w:p w14:paraId="095D9677">
      <w:pPr>
        <w:pStyle w:val="38"/>
        <w:rPr>
          <w:rFonts w:hint="eastAsia" w:hAnsi="宋体" w:cs="宋体"/>
          <w:color w:val="auto"/>
          <w:szCs w:val="21"/>
          <w:highlight w:val="none"/>
        </w:rPr>
      </w:pPr>
    </w:p>
    <w:p w14:paraId="33683198">
      <w:pPr>
        <w:pStyle w:val="38"/>
        <w:rPr>
          <w:rStyle w:val="39"/>
          <w:rFonts w:hint="eastAsia" w:ascii="宋体" w:hAnsi="宋体" w:eastAsia="宋体" w:cs="宋体"/>
          <w:color w:val="auto"/>
          <w:sz w:val="21"/>
          <w:szCs w:val="21"/>
          <w:highlight w:val="none"/>
        </w:rPr>
      </w:pPr>
    </w:p>
    <w:p w14:paraId="7D7E9544">
      <w:pPr>
        <w:adjustRightInd w:val="0"/>
        <w:snapToGrid w:val="0"/>
        <w:rPr>
          <w:rFonts w:hint="eastAsia" w:ascii="宋体" w:hAnsi="宋体" w:eastAsia="宋体" w:cs="宋体"/>
          <w:color w:val="auto"/>
          <w:szCs w:val="21"/>
          <w:highlight w:val="none"/>
        </w:rPr>
      </w:pPr>
    </w:p>
    <w:p w14:paraId="60DCAC54">
      <w:pPr>
        <w:outlineLvl w:val="2"/>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保险服务方案</w:t>
      </w:r>
    </w:p>
    <w:p w14:paraId="1A8CF504">
      <w:pPr>
        <w:pStyle w:val="38"/>
        <w:spacing w:line="360" w:lineRule="auto"/>
        <w:rPr>
          <w:rFonts w:hint="eastAsia" w:hAnsi="宋体" w:cs="宋体"/>
          <w:color w:val="auto"/>
          <w:szCs w:val="21"/>
          <w:highlight w:val="none"/>
        </w:rPr>
      </w:pPr>
    </w:p>
    <w:p w14:paraId="1607F8B4">
      <w:pPr>
        <w:pStyle w:val="38"/>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投标人应按以下要点项目特点编写服务方案(文字宜精练、内容具有针对性，总体控制在10000字以内)，格式自拟，包括但不限于以下内容：</w:t>
      </w:r>
    </w:p>
    <w:p w14:paraId="0A57675A">
      <w:pPr>
        <w:pStyle w:val="38"/>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 增加更有利于被保险人的服务内容及优惠条件的（如勘查时效的长短、索赔手续的时效性、可操性等）。</w:t>
      </w:r>
    </w:p>
    <w:p w14:paraId="23EC0D86">
      <w:pPr>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承保能力说明、资信、资质、再保方案等情况说明及其有效证明资料；</w:t>
      </w:r>
    </w:p>
    <w:p w14:paraId="767244FE">
      <w:pPr>
        <w:tabs>
          <w:tab w:val="left" w:pos="1680"/>
          <w:tab w:val="left" w:pos="2970"/>
          <w:tab w:val="left" w:pos="3240"/>
          <w:tab w:val="left" w:pos="5310"/>
          <w:tab w:val="left" w:pos="5460"/>
          <w:tab w:val="left" w:pos="6480"/>
          <w:tab w:val="left" w:pos="900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受理本工程赔偿的具体实施方案；</w:t>
      </w:r>
    </w:p>
    <w:p w14:paraId="3331A8A4">
      <w:pPr>
        <w:tabs>
          <w:tab w:val="left" w:pos="1680"/>
          <w:tab w:val="left" w:pos="2970"/>
          <w:tab w:val="left" w:pos="3240"/>
          <w:tab w:val="left" w:pos="5310"/>
          <w:tab w:val="left" w:pos="5460"/>
          <w:tab w:val="left" w:pos="6480"/>
          <w:tab w:val="left" w:pos="900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日常服务承诺及对招标人增加的其他附加优惠条件，包括定期提供免费现场培训、咨询服务等；</w:t>
      </w:r>
    </w:p>
    <w:p w14:paraId="697A5BE8">
      <w:pPr>
        <w:tabs>
          <w:tab w:val="left" w:pos="1680"/>
          <w:tab w:val="left" w:pos="2970"/>
          <w:tab w:val="left" w:pos="3240"/>
          <w:tab w:val="left" w:pos="5310"/>
          <w:tab w:val="left" w:pos="5460"/>
          <w:tab w:val="left" w:pos="6480"/>
          <w:tab w:val="left" w:pos="900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在本工程所在地机构的设置、职能、权限等情况说明。</w:t>
      </w:r>
    </w:p>
    <w:p w14:paraId="45E9D725">
      <w:pPr>
        <w:pStyle w:val="26"/>
        <w:rPr>
          <w:rFonts w:hint="eastAsia" w:ascii="宋体" w:hAnsi="宋体" w:cs="宋体"/>
          <w:color w:val="auto"/>
          <w:szCs w:val="21"/>
          <w:highlight w:val="none"/>
        </w:rPr>
      </w:pPr>
    </w:p>
    <w:bookmarkEnd w:id="183"/>
    <w:p w14:paraId="5340D1BE">
      <w:pPr>
        <w:pStyle w:val="26"/>
        <w:rPr>
          <w:rFonts w:hint="eastAsia" w:ascii="宋体" w:hAnsi="宋体" w:cs="宋体"/>
          <w:color w:val="auto"/>
          <w:szCs w:val="21"/>
          <w:highlight w:val="none"/>
        </w:rPr>
      </w:pPr>
    </w:p>
    <w:p w14:paraId="61CF6807">
      <w:pPr>
        <w:pStyle w:val="26"/>
        <w:rPr>
          <w:rFonts w:hint="eastAsia" w:ascii="宋体" w:hAnsi="宋体" w:cs="宋体"/>
          <w:color w:val="auto"/>
          <w:szCs w:val="21"/>
          <w:highlight w:val="none"/>
        </w:rPr>
      </w:pPr>
    </w:p>
    <w:p w14:paraId="4CADA710">
      <w:pPr>
        <w:spacing w:line="360" w:lineRule="auto"/>
        <w:ind w:firstLine="474" w:firstLineChars="226"/>
        <w:rPr>
          <w:rFonts w:hint="eastAsia" w:ascii="宋体" w:hAnsi="宋体" w:eastAsia="宋体" w:cs="宋体"/>
          <w:color w:val="auto"/>
          <w:highlight w:val="none"/>
        </w:rPr>
      </w:pPr>
    </w:p>
    <w:p w14:paraId="3A6FAFD0">
      <w:pPr>
        <w:rPr>
          <w:rFonts w:hint="eastAsia" w:ascii="宋体" w:hAnsi="宋体" w:eastAsia="宋体" w:cs="宋体"/>
          <w:color w:val="auto"/>
          <w:highlight w:val="none"/>
        </w:rPr>
      </w:pPr>
    </w:p>
    <w:p w14:paraId="3FB93400">
      <w:pPr>
        <w:rPr>
          <w:rFonts w:hint="eastAsia" w:ascii="宋体" w:hAnsi="宋体" w:eastAsia="宋体" w:cs="宋体"/>
          <w:color w:val="auto"/>
          <w:highlight w:val="none"/>
        </w:rPr>
      </w:pPr>
    </w:p>
    <w:p w14:paraId="2968693E">
      <w:pPr>
        <w:rPr>
          <w:rFonts w:hint="eastAsia" w:ascii="宋体" w:hAnsi="宋体" w:eastAsia="宋体" w:cs="宋体"/>
          <w:color w:val="auto"/>
          <w:highlight w:val="none"/>
        </w:rPr>
      </w:pPr>
    </w:p>
    <w:p w14:paraId="14936B65">
      <w:pPr>
        <w:rPr>
          <w:rFonts w:hint="eastAsia" w:ascii="宋体" w:hAnsi="宋体" w:eastAsia="宋体" w:cs="宋体"/>
          <w:color w:val="auto"/>
          <w:highlight w:val="none"/>
        </w:rPr>
      </w:pPr>
    </w:p>
    <w:p w14:paraId="419457DF">
      <w:pPr>
        <w:outlineLvl w:val="9"/>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br w:type="page"/>
      </w:r>
    </w:p>
    <w:p w14:paraId="043134F7">
      <w:pPr>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增值服务表</w:t>
      </w:r>
    </w:p>
    <w:p w14:paraId="76FBE51B">
      <w:pPr>
        <w:ind w:firstLine="422" w:firstLineChars="200"/>
        <w:rPr>
          <w:rFonts w:hint="eastAsia" w:ascii="宋体" w:hAnsi="宋体" w:eastAsia="宋体" w:cs="宋体"/>
          <w:b/>
          <w:color w:val="auto"/>
          <w:szCs w:val="21"/>
          <w:highlight w:val="none"/>
        </w:rPr>
      </w:pPr>
    </w:p>
    <w:tbl>
      <w:tblPr>
        <w:tblStyle w:val="20"/>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552"/>
        <w:gridCol w:w="4480"/>
      </w:tblGrid>
      <w:tr w14:paraId="053FC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7D3E70CD">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552" w:type="dxa"/>
            <w:vAlign w:val="center"/>
          </w:tcPr>
          <w:p w14:paraId="27D28DE5">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服务项目</w:t>
            </w:r>
          </w:p>
        </w:tc>
        <w:tc>
          <w:tcPr>
            <w:tcW w:w="4480" w:type="dxa"/>
            <w:vAlign w:val="center"/>
          </w:tcPr>
          <w:p w14:paraId="5BA88940">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增值服务方案详述</w:t>
            </w:r>
          </w:p>
          <w:p w14:paraId="14881001">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（投标人填写）</w:t>
            </w:r>
          </w:p>
        </w:tc>
      </w:tr>
      <w:tr w14:paraId="2AC78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7" w:type="dxa"/>
            <w:vAlign w:val="center"/>
          </w:tcPr>
          <w:p w14:paraId="046A3480">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552" w:type="dxa"/>
            <w:vAlign w:val="center"/>
          </w:tcPr>
          <w:p w14:paraId="4F05A3BE">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降低免赔额</w:t>
            </w:r>
          </w:p>
        </w:tc>
        <w:tc>
          <w:tcPr>
            <w:tcW w:w="4480" w:type="dxa"/>
            <w:vAlign w:val="center"/>
          </w:tcPr>
          <w:p w14:paraId="4AC31B7A">
            <w:pPr>
              <w:widowControl/>
              <w:spacing w:line="400" w:lineRule="exact"/>
              <w:jc w:val="center"/>
              <w:rPr>
                <w:rFonts w:hint="eastAsia" w:ascii="宋体" w:hAnsi="宋体" w:eastAsia="宋体" w:cs="宋体"/>
                <w:color w:val="auto"/>
                <w:szCs w:val="21"/>
                <w:highlight w:val="none"/>
              </w:rPr>
            </w:pPr>
          </w:p>
        </w:tc>
      </w:tr>
      <w:tr w14:paraId="3D89E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27" w:type="dxa"/>
            <w:vAlign w:val="center"/>
          </w:tcPr>
          <w:p w14:paraId="1FA9F4C8">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552" w:type="dxa"/>
            <w:vAlign w:val="center"/>
          </w:tcPr>
          <w:p w14:paraId="06F91C28">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增加扩展条款</w:t>
            </w:r>
          </w:p>
        </w:tc>
        <w:tc>
          <w:tcPr>
            <w:tcW w:w="4480" w:type="dxa"/>
            <w:vAlign w:val="center"/>
          </w:tcPr>
          <w:p w14:paraId="3A6BDE4F">
            <w:pPr>
              <w:widowControl/>
              <w:spacing w:line="400" w:lineRule="exact"/>
              <w:jc w:val="center"/>
              <w:rPr>
                <w:rFonts w:hint="eastAsia" w:ascii="宋体" w:hAnsi="宋体" w:eastAsia="宋体" w:cs="宋体"/>
                <w:color w:val="auto"/>
                <w:szCs w:val="21"/>
                <w:highlight w:val="none"/>
              </w:rPr>
            </w:pPr>
          </w:p>
        </w:tc>
      </w:tr>
      <w:tr w14:paraId="6BDD3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27" w:type="dxa"/>
            <w:vAlign w:val="center"/>
          </w:tcPr>
          <w:p w14:paraId="1A80A9F5">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552" w:type="dxa"/>
            <w:vAlign w:val="center"/>
          </w:tcPr>
          <w:p w14:paraId="7A422095">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其他增值服务</w:t>
            </w:r>
          </w:p>
        </w:tc>
        <w:tc>
          <w:tcPr>
            <w:tcW w:w="4480" w:type="dxa"/>
            <w:vAlign w:val="center"/>
          </w:tcPr>
          <w:p w14:paraId="112DF4D6">
            <w:pPr>
              <w:widowControl/>
              <w:spacing w:line="400" w:lineRule="exact"/>
              <w:jc w:val="center"/>
              <w:rPr>
                <w:rFonts w:hint="eastAsia" w:ascii="宋体" w:hAnsi="宋体" w:eastAsia="宋体" w:cs="宋体"/>
                <w:color w:val="auto"/>
                <w:szCs w:val="21"/>
                <w:highlight w:val="none"/>
              </w:rPr>
            </w:pPr>
          </w:p>
        </w:tc>
      </w:tr>
      <w:tr w14:paraId="67BDF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27" w:type="dxa"/>
            <w:vAlign w:val="center"/>
          </w:tcPr>
          <w:p w14:paraId="73919AC5">
            <w:pPr>
              <w:widowControl/>
              <w:spacing w:line="400" w:lineRule="exact"/>
              <w:jc w:val="center"/>
              <w:rPr>
                <w:rFonts w:hint="eastAsia" w:ascii="宋体" w:hAnsi="宋体" w:eastAsia="宋体" w:cs="宋体"/>
                <w:color w:val="auto"/>
                <w:szCs w:val="21"/>
                <w:highlight w:val="none"/>
              </w:rPr>
            </w:pPr>
          </w:p>
        </w:tc>
        <w:tc>
          <w:tcPr>
            <w:tcW w:w="3552" w:type="dxa"/>
            <w:vAlign w:val="center"/>
          </w:tcPr>
          <w:p w14:paraId="70B2D7ED">
            <w:pPr>
              <w:widowControl/>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4480" w:type="dxa"/>
            <w:vAlign w:val="center"/>
          </w:tcPr>
          <w:p w14:paraId="5E90AE41">
            <w:pPr>
              <w:widowControl/>
              <w:spacing w:line="400" w:lineRule="exact"/>
              <w:jc w:val="center"/>
              <w:rPr>
                <w:rFonts w:hint="eastAsia" w:ascii="宋体" w:hAnsi="宋体" w:eastAsia="宋体" w:cs="宋体"/>
                <w:color w:val="auto"/>
                <w:szCs w:val="21"/>
                <w:highlight w:val="none"/>
              </w:rPr>
            </w:pPr>
          </w:p>
        </w:tc>
      </w:tr>
    </w:tbl>
    <w:p w14:paraId="3C43E928">
      <w:pPr>
        <w:adjustRightInd w:val="0"/>
        <w:ind w:firstLine="502" w:firstLineChars="200"/>
        <w:rPr>
          <w:rFonts w:hint="eastAsia" w:ascii="宋体" w:hAnsi="宋体" w:eastAsia="宋体" w:cs="宋体"/>
          <w:b/>
          <w:color w:val="auto"/>
          <w:spacing w:val="20"/>
          <w:szCs w:val="21"/>
          <w:highlight w:val="none"/>
        </w:rPr>
      </w:pPr>
    </w:p>
    <w:p w14:paraId="5B66A795">
      <w:pPr>
        <w:adjustRightInd w:val="0"/>
        <w:snapToGrid w:val="0"/>
        <w:rPr>
          <w:rFonts w:hint="eastAsia" w:ascii="宋体" w:hAnsi="宋体" w:eastAsia="宋体" w:cs="宋体"/>
          <w:color w:val="auto"/>
          <w:szCs w:val="21"/>
          <w:highlight w:val="none"/>
        </w:rPr>
      </w:pPr>
    </w:p>
    <w:p w14:paraId="6BF8D6FF">
      <w:pPr>
        <w:adjustRightInd w:val="0"/>
        <w:snapToGrid w:val="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投   标   单   位 （ 盖  章 ）：  </w:t>
      </w:r>
      <w:r>
        <w:rPr>
          <w:rFonts w:hint="eastAsia" w:ascii="宋体" w:hAnsi="宋体" w:eastAsia="宋体" w:cs="宋体"/>
          <w:color w:val="auto"/>
          <w:szCs w:val="21"/>
          <w:highlight w:val="none"/>
          <w:u w:val="single"/>
        </w:rPr>
        <w:t xml:space="preserve">                      </w:t>
      </w:r>
    </w:p>
    <w:p w14:paraId="33A57195">
      <w:pPr>
        <w:adjustRightInd w:val="0"/>
        <w:snapToGrid w:val="0"/>
        <w:ind w:firstLine="3150" w:firstLineChars="1500"/>
        <w:rPr>
          <w:rFonts w:hint="eastAsia" w:ascii="宋体" w:hAnsi="宋体" w:eastAsia="宋体" w:cs="宋体"/>
          <w:color w:val="auto"/>
          <w:szCs w:val="21"/>
          <w:highlight w:val="none"/>
        </w:rPr>
      </w:pPr>
    </w:p>
    <w:p w14:paraId="4D7FA37E">
      <w:pPr>
        <w:adjustRightInd w:val="0"/>
        <w:snapToGrid w:val="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法定代表人（负责人或其被授权人）（签字或签章）：  </w:t>
      </w:r>
      <w:r>
        <w:rPr>
          <w:rFonts w:hint="eastAsia" w:ascii="宋体" w:hAnsi="宋体" w:eastAsia="宋体" w:cs="宋体"/>
          <w:color w:val="auto"/>
          <w:szCs w:val="21"/>
          <w:highlight w:val="none"/>
          <w:u w:val="single"/>
        </w:rPr>
        <w:t xml:space="preserve">                      </w:t>
      </w:r>
    </w:p>
    <w:p w14:paraId="3251E155">
      <w:pPr>
        <w:adjustRightInd w:val="0"/>
        <w:snapToGrid w:val="0"/>
        <w:jc w:val="center"/>
        <w:rPr>
          <w:rFonts w:hint="eastAsia" w:ascii="宋体" w:hAnsi="宋体" w:eastAsia="宋体" w:cs="宋体"/>
          <w:color w:val="auto"/>
          <w:szCs w:val="21"/>
          <w:highlight w:val="none"/>
        </w:rPr>
      </w:pPr>
    </w:p>
    <w:p w14:paraId="46457CC6">
      <w:pPr>
        <w:pStyle w:val="11"/>
        <w:adjustRightInd w:val="0"/>
        <w:snapToGrid w:val="0"/>
        <w:rPr>
          <w:rFonts w:hAnsi="宋体" w:eastAsia="宋体" w:cs="宋体"/>
          <w:b/>
          <w:bCs/>
          <w:color w:val="auto"/>
          <w:szCs w:val="21"/>
          <w:highlight w:val="none"/>
        </w:rPr>
      </w:pPr>
      <w:r>
        <w:rPr>
          <w:rFonts w:hAnsi="宋体" w:eastAsia="宋体" w:cs="宋体"/>
          <w:color w:val="auto"/>
          <w:szCs w:val="21"/>
          <w:highlight w:val="none"/>
        </w:rPr>
        <w:t>日   期 ：   年   月   日</w:t>
      </w:r>
    </w:p>
    <w:p w14:paraId="79A43B35">
      <w:pPr>
        <w:rPr>
          <w:rFonts w:hint="eastAsia" w:ascii="宋体" w:hAnsi="宋体" w:eastAsia="宋体" w:cs="宋体"/>
          <w:color w:val="auto"/>
          <w:highlight w:val="none"/>
        </w:rPr>
      </w:pPr>
      <w:r>
        <w:rPr>
          <w:rFonts w:hint="eastAsia" w:ascii="宋体" w:hAnsi="宋体" w:eastAsia="宋体" w:cs="宋体"/>
          <w:b/>
          <w:bCs/>
          <w:color w:val="auto"/>
          <w:szCs w:val="21"/>
          <w:highlight w:val="none"/>
        </w:rPr>
        <w:br w:type="page"/>
      </w:r>
    </w:p>
    <w:bookmarkEnd w:id="180"/>
    <w:bookmarkEnd w:id="181"/>
    <w:bookmarkEnd w:id="182"/>
    <w:p w14:paraId="559C9A33">
      <w:pPr>
        <w:pStyle w:val="2"/>
        <w:spacing w:after="0"/>
        <w:jc w:val="center"/>
        <w:rPr>
          <w:rFonts w:hint="eastAsia" w:ascii="宋体" w:hAnsi="宋体" w:eastAsia="宋体" w:cs="宋体"/>
          <w:color w:val="auto"/>
          <w:highlight w:val="none"/>
        </w:rPr>
      </w:pPr>
      <w:bookmarkStart w:id="184" w:name="_Toc11835_WPSOffice_Level1"/>
      <w:bookmarkStart w:id="185" w:name="_Toc531360713"/>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、其他资料</w:t>
      </w:r>
      <w:bookmarkEnd w:id="184"/>
      <w:bookmarkEnd w:id="185"/>
    </w:p>
    <w:p w14:paraId="1772E973">
      <w:pPr>
        <w:rPr>
          <w:rFonts w:hint="eastAsia" w:ascii="宋体" w:hAnsi="宋体" w:eastAsia="宋体" w:cs="宋体"/>
          <w:color w:val="auto"/>
          <w:highlight w:val="none"/>
        </w:rPr>
      </w:pPr>
    </w:p>
    <w:p w14:paraId="0A823B41">
      <w:pPr>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（如有，由投标人自行提供）</w:t>
      </w:r>
    </w:p>
    <w:p w14:paraId="677F6A17">
      <w:pPr>
        <w:spacing w:line="360" w:lineRule="auto"/>
        <w:rPr>
          <w:rFonts w:hint="eastAsia" w:ascii="宋体" w:hAnsi="宋体" w:eastAsia="宋体" w:cs="宋体"/>
          <w:color w:val="auto"/>
          <w:kern w:val="0"/>
          <w:sz w:val="24"/>
          <w:highlight w:val="none"/>
        </w:rPr>
      </w:pPr>
    </w:p>
    <w:p w14:paraId="37878E5F">
      <w:pPr>
        <w:spacing w:line="360" w:lineRule="auto"/>
        <w:ind w:firstLine="480" w:firstLineChars="200"/>
        <w:rPr>
          <w:rFonts w:hint="eastAsia" w:ascii="宋体" w:hAnsi="宋体" w:eastAsia="宋体" w:cs="宋体"/>
          <w:color w:val="auto"/>
          <w:kern w:val="0"/>
          <w:sz w:val="24"/>
          <w:highlight w:val="none"/>
        </w:rPr>
      </w:pPr>
    </w:p>
    <w:p w14:paraId="6BD902AE">
      <w:pPr>
        <w:spacing w:line="360" w:lineRule="auto"/>
        <w:ind w:firstLine="480" w:firstLineChars="200"/>
        <w:rPr>
          <w:rFonts w:hint="eastAsia" w:ascii="宋体" w:hAnsi="宋体" w:eastAsia="宋体" w:cs="宋体"/>
          <w:color w:val="auto"/>
          <w:kern w:val="0"/>
          <w:sz w:val="24"/>
          <w:highlight w:val="none"/>
        </w:rPr>
      </w:pPr>
    </w:p>
    <w:bookmarkEnd w:id="93"/>
    <w:p w14:paraId="6BFB65E8">
      <w:pPr>
        <w:rPr>
          <w:rFonts w:hint="eastAsia" w:ascii="宋体" w:hAnsi="宋体" w:eastAsia="宋体" w:cs="宋体"/>
          <w:color w:val="auto"/>
          <w:szCs w:val="21"/>
          <w:highlight w:val="none"/>
        </w:rPr>
      </w:pPr>
    </w:p>
    <w:p w14:paraId="0A6FAA9A">
      <w:pPr>
        <w:rPr>
          <w:rFonts w:hint="eastAsia" w:ascii="宋体" w:hAnsi="宋体" w:eastAsia="宋体" w:cs="宋体"/>
          <w:color w:val="auto"/>
          <w:highlight w:val="none"/>
        </w:rPr>
      </w:pPr>
    </w:p>
    <w:sectPr>
      <w:footerReference r:id="rId5" w:type="default"/>
      <w:type w:val="continuous"/>
      <w:pgSz w:w="11907" w:h="16840"/>
      <w:pgMar w:top="1440" w:right="1423" w:bottom="1440" w:left="1803" w:header="851" w:footer="850" w:gutter="0"/>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D5B1C">
    <w:pPr>
      <w:pStyle w:val="12"/>
      <w:jc w:val="center"/>
    </w:pPr>
  </w:p>
  <w:p w14:paraId="2EA9797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3277">
    <w:pPr>
      <w:pStyle w:val="12"/>
      <w:jc w:val="cente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p w14:paraId="74F27F3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E915">
    <w:pPr>
      <w:pStyle w:val="12"/>
      <w:jc w:val="center"/>
    </w:pPr>
    <w:r>
      <w:rPr>
        <w:lang w:val="zh-CN"/>
      </w:rPr>
      <w:fldChar w:fldCharType="begin"/>
    </w:r>
    <w:r>
      <w:rPr>
        <w:lang w:val="zh-CN"/>
      </w:rPr>
      <w:instrText xml:space="preserve">PAGE   \* MERGEFORMAT</w:instrText>
    </w:r>
    <w:r>
      <w:rPr>
        <w:lang w:val="zh-CN"/>
      </w:rPr>
      <w:fldChar w:fldCharType="separate"/>
    </w:r>
    <w:r>
      <w:rPr>
        <w:lang w:val="zh-CN"/>
      </w:rPr>
      <w:t>31</w:t>
    </w:r>
    <w:r>
      <w:rPr>
        <w:lang w:val="zh-CN"/>
      </w:rPr>
      <w:fldChar w:fldCharType="end"/>
    </w:r>
  </w:p>
  <w:p w14:paraId="3CA08EAF">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MGEwYmEzMDlhOTM1MTYzMmQ5ZGMwODJhYzc4N2EifQ=="/>
    <w:docVar w:name="KGWebUrl" w:val="http://59.41.239.234:9016/File/OfficeServer2?fileId=389106d7-5d7c-40cf-ad0b-1f64bfb8d200&amp;isRemote=false/OfficeServer"/>
    <w:docVar w:name="KSO_WPS_MARK_KEY" w:val="943bd63a-d593-47f6-b0f6-60967a030c14"/>
  </w:docVars>
  <w:rsids>
    <w:rsidRoot w:val="06224868"/>
    <w:rsid w:val="00143D81"/>
    <w:rsid w:val="00442E14"/>
    <w:rsid w:val="005B1A97"/>
    <w:rsid w:val="006103EA"/>
    <w:rsid w:val="00710E9A"/>
    <w:rsid w:val="007274BA"/>
    <w:rsid w:val="00854DE8"/>
    <w:rsid w:val="0088001E"/>
    <w:rsid w:val="009D0740"/>
    <w:rsid w:val="00CE24B4"/>
    <w:rsid w:val="00E43F94"/>
    <w:rsid w:val="01015F0A"/>
    <w:rsid w:val="012B439F"/>
    <w:rsid w:val="018112F2"/>
    <w:rsid w:val="028F54A8"/>
    <w:rsid w:val="02A04FD9"/>
    <w:rsid w:val="034C316B"/>
    <w:rsid w:val="03516DF7"/>
    <w:rsid w:val="03724537"/>
    <w:rsid w:val="03A5384B"/>
    <w:rsid w:val="03E05C76"/>
    <w:rsid w:val="04866263"/>
    <w:rsid w:val="04E56D4C"/>
    <w:rsid w:val="055F1F91"/>
    <w:rsid w:val="05712D89"/>
    <w:rsid w:val="05BA7236"/>
    <w:rsid w:val="05D36A0F"/>
    <w:rsid w:val="06187963"/>
    <w:rsid w:val="06224868"/>
    <w:rsid w:val="078B7670"/>
    <w:rsid w:val="08843074"/>
    <w:rsid w:val="088D3A1B"/>
    <w:rsid w:val="08F55D20"/>
    <w:rsid w:val="08FB02CB"/>
    <w:rsid w:val="095707E4"/>
    <w:rsid w:val="09A76BE4"/>
    <w:rsid w:val="0A6D02C7"/>
    <w:rsid w:val="0A7179F0"/>
    <w:rsid w:val="0AA364D1"/>
    <w:rsid w:val="0B871EFC"/>
    <w:rsid w:val="0BB07D38"/>
    <w:rsid w:val="0C036A44"/>
    <w:rsid w:val="0C537455"/>
    <w:rsid w:val="0C950A04"/>
    <w:rsid w:val="0CE06BC8"/>
    <w:rsid w:val="0DC71BD2"/>
    <w:rsid w:val="0DEA2FDD"/>
    <w:rsid w:val="0E2D542F"/>
    <w:rsid w:val="0E841061"/>
    <w:rsid w:val="0E8B67DF"/>
    <w:rsid w:val="0EAE205F"/>
    <w:rsid w:val="0F9925D4"/>
    <w:rsid w:val="0FAB6A21"/>
    <w:rsid w:val="0FB811CD"/>
    <w:rsid w:val="0FF439BA"/>
    <w:rsid w:val="110913B9"/>
    <w:rsid w:val="111E229E"/>
    <w:rsid w:val="11660A66"/>
    <w:rsid w:val="117A4B7B"/>
    <w:rsid w:val="125D2855"/>
    <w:rsid w:val="12A076CB"/>
    <w:rsid w:val="13162193"/>
    <w:rsid w:val="131805F5"/>
    <w:rsid w:val="13224533"/>
    <w:rsid w:val="14534E2E"/>
    <w:rsid w:val="15AD5DAA"/>
    <w:rsid w:val="15D51621"/>
    <w:rsid w:val="161738D7"/>
    <w:rsid w:val="1646482B"/>
    <w:rsid w:val="166300B6"/>
    <w:rsid w:val="168C21DF"/>
    <w:rsid w:val="16ED7D99"/>
    <w:rsid w:val="17851891"/>
    <w:rsid w:val="178F10EE"/>
    <w:rsid w:val="17CF4B01"/>
    <w:rsid w:val="1883182C"/>
    <w:rsid w:val="189A3BAD"/>
    <w:rsid w:val="18E13BCB"/>
    <w:rsid w:val="18FD7B8B"/>
    <w:rsid w:val="19334CBD"/>
    <w:rsid w:val="1A614EC9"/>
    <w:rsid w:val="1AB6256D"/>
    <w:rsid w:val="1AEB60F1"/>
    <w:rsid w:val="1AF81685"/>
    <w:rsid w:val="1B752541"/>
    <w:rsid w:val="1BC74BE3"/>
    <w:rsid w:val="1C0D1162"/>
    <w:rsid w:val="1C226C60"/>
    <w:rsid w:val="1C5FA434"/>
    <w:rsid w:val="1C85776C"/>
    <w:rsid w:val="1CDD362F"/>
    <w:rsid w:val="1D513B01"/>
    <w:rsid w:val="1E736809"/>
    <w:rsid w:val="1F0F3604"/>
    <w:rsid w:val="1FFA7D59"/>
    <w:rsid w:val="2041653B"/>
    <w:rsid w:val="20602969"/>
    <w:rsid w:val="206C3C5E"/>
    <w:rsid w:val="20972ED2"/>
    <w:rsid w:val="20B81B1C"/>
    <w:rsid w:val="2183656C"/>
    <w:rsid w:val="22B10ECB"/>
    <w:rsid w:val="22D555AF"/>
    <w:rsid w:val="235A706B"/>
    <w:rsid w:val="24040AA9"/>
    <w:rsid w:val="242F7717"/>
    <w:rsid w:val="24CC2A78"/>
    <w:rsid w:val="24EF100B"/>
    <w:rsid w:val="2505000F"/>
    <w:rsid w:val="25733F7D"/>
    <w:rsid w:val="25E76D0B"/>
    <w:rsid w:val="26283C26"/>
    <w:rsid w:val="26555BF8"/>
    <w:rsid w:val="26F7280B"/>
    <w:rsid w:val="284E6FE9"/>
    <w:rsid w:val="289331DE"/>
    <w:rsid w:val="289745CD"/>
    <w:rsid w:val="28CB414F"/>
    <w:rsid w:val="28D67531"/>
    <w:rsid w:val="28DB577C"/>
    <w:rsid w:val="293164A9"/>
    <w:rsid w:val="294C0F26"/>
    <w:rsid w:val="2A9D58B5"/>
    <w:rsid w:val="2AE149B2"/>
    <w:rsid w:val="2C8804E3"/>
    <w:rsid w:val="2CC70108"/>
    <w:rsid w:val="2D397206"/>
    <w:rsid w:val="2DF972CB"/>
    <w:rsid w:val="2E6609A2"/>
    <w:rsid w:val="2ECD0D49"/>
    <w:rsid w:val="2EE075CC"/>
    <w:rsid w:val="2F1F0C7F"/>
    <w:rsid w:val="2F271376"/>
    <w:rsid w:val="2F525940"/>
    <w:rsid w:val="2F593715"/>
    <w:rsid w:val="2F6B6AF9"/>
    <w:rsid w:val="2F8F120A"/>
    <w:rsid w:val="30082D02"/>
    <w:rsid w:val="30D910A2"/>
    <w:rsid w:val="311C7F6D"/>
    <w:rsid w:val="32C86AB9"/>
    <w:rsid w:val="333F17C2"/>
    <w:rsid w:val="334D7A49"/>
    <w:rsid w:val="33570CEA"/>
    <w:rsid w:val="33781BDB"/>
    <w:rsid w:val="346A6596"/>
    <w:rsid w:val="34735B7E"/>
    <w:rsid w:val="348D4D15"/>
    <w:rsid w:val="35296308"/>
    <w:rsid w:val="35A1370E"/>
    <w:rsid w:val="35B60065"/>
    <w:rsid w:val="38577FB8"/>
    <w:rsid w:val="38E344A3"/>
    <w:rsid w:val="394D42A6"/>
    <w:rsid w:val="39537A4B"/>
    <w:rsid w:val="395A2167"/>
    <w:rsid w:val="39AF4E8D"/>
    <w:rsid w:val="39D94326"/>
    <w:rsid w:val="39ED0A1F"/>
    <w:rsid w:val="3A97366D"/>
    <w:rsid w:val="3AD31A7F"/>
    <w:rsid w:val="3B5D719E"/>
    <w:rsid w:val="3B673668"/>
    <w:rsid w:val="3B677B08"/>
    <w:rsid w:val="3B6A1460"/>
    <w:rsid w:val="3B800BCA"/>
    <w:rsid w:val="3C51382E"/>
    <w:rsid w:val="3C9F4E62"/>
    <w:rsid w:val="3CAE0084"/>
    <w:rsid w:val="3DF24001"/>
    <w:rsid w:val="3DF40109"/>
    <w:rsid w:val="3E5A050E"/>
    <w:rsid w:val="3EAE3C1A"/>
    <w:rsid w:val="3EC47348"/>
    <w:rsid w:val="3F3DE9FD"/>
    <w:rsid w:val="3F647C1B"/>
    <w:rsid w:val="3F7050E8"/>
    <w:rsid w:val="3FC456AD"/>
    <w:rsid w:val="3FEC3708"/>
    <w:rsid w:val="40661974"/>
    <w:rsid w:val="40810A7A"/>
    <w:rsid w:val="41B1135C"/>
    <w:rsid w:val="41F826F9"/>
    <w:rsid w:val="427B1B63"/>
    <w:rsid w:val="428A552C"/>
    <w:rsid w:val="42F00D2B"/>
    <w:rsid w:val="42FA13E0"/>
    <w:rsid w:val="4334325B"/>
    <w:rsid w:val="438755BD"/>
    <w:rsid w:val="44094B15"/>
    <w:rsid w:val="444A4843"/>
    <w:rsid w:val="445C30DA"/>
    <w:rsid w:val="44C0145B"/>
    <w:rsid w:val="44E11E61"/>
    <w:rsid w:val="45A25B1B"/>
    <w:rsid w:val="463A0491"/>
    <w:rsid w:val="467D5897"/>
    <w:rsid w:val="46CC3391"/>
    <w:rsid w:val="46EB3F13"/>
    <w:rsid w:val="46EE7FED"/>
    <w:rsid w:val="471233F5"/>
    <w:rsid w:val="480D12B4"/>
    <w:rsid w:val="4AD8570B"/>
    <w:rsid w:val="4B386004"/>
    <w:rsid w:val="4B7AD0AF"/>
    <w:rsid w:val="4B856BC8"/>
    <w:rsid w:val="4C2976FB"/>
    <w:rsid w:val="4C2A105E"/>
    <w:rsid w:val="4C973E91"/>
    <w:rsid w:val="4D1B3DF5"/>
    <w:rsid w:val="4DF76A73"/>
    <w:rsid w:val="4E50159D"/>
    <w:rsid w:val="4EA33C92"/>
    <w:rsid w:val="4EB64F0A"/>
    <w:rsid w:val="50866BED"/>
    <w:rsid w:val="51050B43"/>
    <w:rsid w:val="51AA1776"/>
    <w:rsid w:val="5289716C"/>
    <w:rsid w:val="52E16BD3"/>
    <w:rsid w:val="53435031"/>
    <w:rsid w:val="53901CCB"/>
    <w:rsid w:val="54B02185"/>
    <w:rsid w:val="561136DB"/>
    <w:rsid w:val="563760E4"/>
    <w:rsid w:val="564B7328"/>
    <w:rsid w:val="56685C37"/>
    <w:rsid w:val="569E7A58"/>
    <w:rsid w:val="56AF1B83"/>
    <w:rsid w:val="57375BE9"/>
    <w:rsid w:val="57AC21FA"/>
    <w:rsid w:val="57B369BC"/>
    <w:rsid w:val="57B67D20"/>
    <w:rsid w:val="58250085"/>
    <w:rsid w:val="582C3E43"/>
    <w:rsid w:val="58692219"/>
    <w:rsid w:val="587D6558"/>
    <w:rsid w:val="58AD01F2"/>
    <w:rsid w:val="597BD55D"/>
    <w:rsid w:val="599A6D65"/>
    <w:rsid w:val="599C1A1E"/>
    <w:rsid w:val="59B64852"/>
    <w:rsid w:val="59F7F2CA"/>
    <w:rsid w:val="5B2F70D8"/>
    <w:rsid w:val="5B814B3C"/>
    <w:rsid w:val="5C8B3F4C"/>
    <w:rsid w:val="5DF5A0D8"/>
    <w:rsid w:val="5E821FE0"/>
    <w:rsid w:val="5EF4A6D2"/>
    <w:rsid w:val="5F9FCDE9"/>
    <w:rsid w:val="5FD2383A"/>
    <w:rsid w:val="5FF61B43"/>
    <w:rsid w:val="60C5530C"/>
    <w:rsid w:val="6100609E"/>
    <w:rsid w:val="61654767"/>
    <w:rsid w:val="617637B8"/>
    <w:rsid w:val="61FF7DCD"/>
    <w:rsid w:val="621779C3"/>
    <w:rsid w:val="62386AD7"/>
    <w:rsid w:val="62565FCB"/>
    <w:rsid w:val="62AE7A10"/>
    <w:rsid w:val="62CA358B"/>
    <w:rsid w:val="62E54968"/>
    <w:rsid w:val="62F455BE"/>
    <w:rsid w:val="63325899"/>
    <w:rsid w:val="63957B55"/>
    <w:rsid w:val="63E44EBD"/>
    <w:rsid w:val="65366E8D"/>
    <w:rsid w:val="6566705C"/>
    <w:rsid w:val="65B340F7"/>
    <w:rsid w:val="65CB07F5"/>
    <w:rsid w:val="66140FEB"/>
    <w:rsid w:val="66A20833"/>
    <w:rsid w:val="66B15F58"/>
    <w:rsid w:val="672C3830"/>
    <w:rsid w:val="68042402"/>
    <w:rsid w:val="682A7B97"/>
    <w:rsid w:val="683850C7"/>
    <w:rsid w:val="68757C3C"/>
    <w:rsid w:val="68811924"/>
    <w:rsid w:val="69315973"/>
    <w:rsid w:val="69CE28EE"/>
    <w:rsid w:val="69CF70CE"/>
    <w:rsid w:val="6CEE6BAB"/>
    <w:rsid w:val="6D470373"/>
    <w:rsid w:val="6DAE7F89"/>
    <w:rsid w:val="6DDF70A4"/>
    <w:rsid w:val="6DE74955"/>
    <w:rsid w:val="6E6074C5"/>
    <w:rsid w:val="6EE32604"/>
    <w:rsid w:val="6EFB930B"/>
    <w:rsid w:val="6F346E4D"/>
    <w:rsid w:val="6F445312"/>
    <w:rsid w:val="6F8B4DD6"/>
    <w:rsid w:val="6FF7C623"/>
    <w:rsid w:val="70571249"/>
    <w:rsid w:val="710C590E"/>
    <w:rsid w:val="720334A5"/>
    <w:rsid w:val="724D283F"/>
    <w:rsid w:val="72721E45"/>
    <w:rsid w:val="729D124C"/>
    <w:rsid w:val="72CF7E7D"/>
    <w:rsid w:val="73126532"/>
    <w:rsid w:val="73130456"/>
    <w:rsid w:val="736F0B89"/>
    <w:rsid w:val="74741C99"/>
    <w:rsid w:val="74AF26D2"/>
    <w:rsid w:val="7521699E"/>
    <w:rsid w:val="756D3033"/>
    <w:rsid w:val="757C27BD"/>
    <w:rsid w:val="757DF18A"/>
    <w:rsid w:val="75C04498"/>
    <w:rsid w:val="761A76AA"/>
    <w:rsid w:val="76BFC4C5"/>
    <w:rsid w:val="77B446A2"/>
    <w:rsid w:val="791A5241"/>
    <w:rsid w:val="796A6C9E"/>
    <w:rsid w:val="79C93503"/>
    <w:rsid w:val="7A266805"/>
    <w:rsid w:val="7A271D68"/>
    <w:rsid w:val="7B9614A1"/>
    <w:rsid w:val="7C611D76"/>
    <w:rsid w:val="7C615CEC"/>
    <w:rsid w:val="7C7E256E"/>
    <w:rsid w:val="7C824924"/>
    <w:rsid w:val="7D544DEE"/>
    <w:rsid w:val="7DBF543B"/>
    <w:rsid w:val="7EFFB1B4"/>
    <w:rsid w:val="7F5E1687"/>
    <w:rsid w:val="7F622843"/>
    <w:rsid w:val="7F7E494D"/>
    <w:rsid w:val="7F8C1A6B"/>
    <w:rsid w:val="7FAEDBD5"/>
    <w:rsid w:val="7FC63EA3"/>
    <w:rsid w:val="7FFC490C"/>
    <w:rsid w:val="7FFDE24F"/>
    <w:rsid w:val="7FFEFEE3"/>
    <w:rsid w:val="9D63DE5C"/>
    <w:rsid w:val="BBDF8FA1"/>
    <w:rsid w:val="BFDDD117"/>
    <w:rsid w:val="CFED4324"/>
    <w:rsid w:val="D5FFBEF9"/>
    <w:rsid w:val="D6FF7B8D"/>
    <w:rsid w:val="DBFF87A2"/>
    <w:rsid w:val="DEDF1129"/>
    <w:rsid w:val="E3FF4C2C"/>
    <w:rsid w:val="F17DB282"/>
    <w:rsid w:val="F65F0A70"/>
    <w:rsid w:val="F9D97002"/>
    <w:rsid w:val="FBFA26C1"/>
    <w:rsid w:val="FF919909"/>
    <w:rsid w:val="FFF9F88B"/>
    <w:rsid w:val="FFFFDA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Times New Roman"/>
      <w:kern w:val="2"/>
      <w:sz w:val="21"/>
      <w:szCs w:val="22"/>
      <w:lang w:val="en-US" w:eastAsia="zh-CN" w:bidi="ar-SA"/>
    </w:rPr>
  </w:style>
  <w:style w:type="paragraph" w:styleId="3">
    <w:name w:val="heading 1"/>
    <w:basedOn w:val="1"/>
    <w:next w:val="1"/>
    <w:link w:val="27"/>
    <w:qFormat/>
    <w:uiPriority w:val="0"/>
    <w:pPr>
      <w:keepNext/>
      <w:keepLines/>
      <w:spacing w:line="576" w:lineRule="auto"/>
      <w:outlineLvl w:val="0"/>
    </w:pPr>
    <w:rPr>
      <w:rFonts w:ascii="Times New Roman" w:hAnsi="Times New Roman" w:eastAsia="宋体"/>
      <w:b/>
      <w:kern w:val="44"/>
      <w:sz w:val="44"/>
      <w:szCs w:val="20"/>
    </w:rPr>
  </w:style>
  <w:style w:type="paragraph" w:styleId="2">
    <w:name w:val="heading 2"/>
    <w:basedOn w:val="1"/>
    <w:next w:val="1"/>
    <w:link w:val="39"/>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line="360" w:lineRule="auto"/>
      <w:jc w:val="center"/>
      <w:outlineLvl w:val="2"/>
    </w:pPr>
    <w:rPr>
      <w:rFonts w:ascii="Times New Roman" w:hAnsi="Times New Roman"/>
      <w:b/>
      <w:bCs/>
      <w:sz w:val="28"/>
      <w:szCs w:val="32"/>
    </w:rPr>
  </w:style>
  <w:style w:type="paragraph" w:styleId="5">
    <w:name w:val="heading 4"/>
    <w:basedOn w:val="1"/>
    <w:next w:val="1"/>
    <w:qFormat/>
    <w:uiPriority w:val="0"/>
    <w:pPr>
      <w:keepNext/>
      <w:keepLines/>
      <w:adjustRightInd w:val="0"/>
      <w:snapToGrid w:val="0"/>
      <w:spacing w:line="500" w:lineRule="exact"/>
      <w:ind w:left="426"/>
      <w:outlineLvl w:val="3"/>
    </w:pPr>
    <w:rPr>
      <w:rFonts w:ascii="Arial" w:hAnsi="Arial"/>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2"/>
    <w:qFormat/>
    <w:uiPriority w:val="99"/>
    <w:pPr>
      <w:jc w:val="left"/>
    </w:pPr>
    <w:rPr>
      <w:rFonts w:ascii="Times New Roman" w:hAnsi="Times New Roman" w:eastAsia="宋体"/>
      <w:szCs w:val="20"/>
    </w:r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rPr>
      <w:rFonts w:ascii="Times New Roman" w:hAnsi="Times New Roman" w:eastAsia="宋体"/>
      <w:szCs w:val="24"/>
    </w:rPr>
  </w:style>
  <w:style w:type="paragraph" w:styleId="9">
    <w:name w:val="Body Text Indent"/>
    <w:basedOn w:val="8"/>
    <w:next w:val="1"/>
    <w:qFormat/>
    <w:uiPriority w:val="99"/>
    <w:pPr>
      <w:ind w:left="420" w:leftChars="200"/>
    </w:pPr>
  </w:style>
  <w:style w:type="paragraph" w:styleId="10">
    <w:name w:val="Block Text"/>
    <w:basedOn w:val="1"/>
    <w:unhideWhenUsed/>
    <w:qFormat/>
    <w:uiPriority w:val="0"/>
    <w:pPr>
      <w:spacing w:line="440" w:lineRule="exact"/>
      <w:ind w:left="-540" w:leftChars="-257" w:right="-334" w:rightChars="-159" w:firstLine="1140"/>
    </w:pPr>
    <w:rPr>
      <w:rFonts w:ascii="Times New Roman" w:hAnsi="Times New Roman" w:eastAsia="宋体"/>
      <w:sz w:val="24"/>
      <w:szCs w:val="20"/>
    </w:rPr>
  </w:style>
  <w:style w:type="paragraph" w:styleId="11">
    <w:name w:val="Plain Text"/>
    <w:basedOn w:val="1"/>
    <w:qFormat/>
    <w:uiPriority w:val="0"/>
    <w:rPr>
      <w:rFonts w:hint="eastAsia" w:ascii="宋体" w:hAnsi="Courier New"/>
      <w:szCs w:val="20"/>
    </w:rPr>
  </w:style>
  <w:style w:type="paragraph" w:styleId="12">
    <w:name w:val="footer"/>
    <w:basedOn w:val="1"/>
    <w:next w:val="13"/>
    <w:qFormat/>
    <w:uiPriority w:val="99"/>
    <w:pPr>
      <w:tabs>
        <w:tab w:val="center" w:pos="4153"/>
        <w:tab w:val="right" w:pos="8306"/>
      </w:tabs>
      <w:snapToGrid w:val="0"/>
      <w:jc w:val="left"/>
    </w:pPr>
    <w:rPr>
      <w:rFonts w:ascii="Times New Roman" w:hAnsi="Times New Roman"/>
      <w:sz w:val="18"/>
      <w:szCs w:val="18"/>
    </w:rPr>
  </w:style>
  <w:style w:type="paragraph" w:customStyle="1" w:styleId="13">
    <w:name w:val="样式1"/>
    <w:basedOn w:val="5"/>
    <w:qFormat/>
    <w:uiPriority w:val="0"/>
    <w:pPr>
      <w:spacing w:before="120" w:beforeLines="50" w:line="360" w:lineRule="auto"/>
    </w:pPr>
    <w:rPr>
      <w:rFonts w:ascii="宋体" w:hAnsi="宋体"/>
    </w:rPr>
  </w:style>
  <w:style w:type="paragraph" w:styleId="14">
    <w:name w:val="envelope return"/>
    <w:basedOn w:val="1"/>
    <w:qFormat/>
    <w:uiPriority w:val="0"/>
    <w:pPr>
      <w:snapToGrid w:val="0"/>
    </w:pPr>
    <w:rPr>
      <w:rFonts w:ascii="Arial" w:hAnsi="Arial"/>
    </w:rPr>
  </w:style>
  <w:style w:type="paragraph" w:styleId="15">
    <w:name w:val="header"/>
    <w:basedOn w:val="1"/>
    <w:link w:val="41"/>
    <w:qFormat/>
    <w:uiPriority w:val="0"/>
    <w:pP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296"/>
      </w:tabs>
      <w:spacing w:beforeLines="100" w:afterLines="50"/>
    </w:pPr>
    <w:rPr>
      <w:rFonts w:ascii="Times New Roman" w:hAnsi="Times New Roman" w:eastAsia="黑体"/>
      <w:sz w:val="24"/>
      <w:szCs w:val="24"/>
    </w:rPr>
  </w:style>
  <w:style w:type="paragraph" w:styleId="17">
    <w:name w:val="annotation subject"/>
    <w:basedOn w:val="6"/>
    <w:next w:val="6"/>
    <w:link w:val="43"/>
    <w:qFormat/>
    <w:uiPriority w:val="0"/>
    <w:rPr>
      <w:rFonts w:ascii="Calibri" w:hAnsi="Calibri" w:eastAsia="楷体_GB2312"/>
      <w:b/>
      <w:bCs/>
      <w:szCs w:val="22"/>
    </w:rPr>
  </w:style>
  <w:style w:type="paragraph" w:styleId="18">
    <w:name w:val="Body Text First Indent"/>
    <w:basedOn w:val="8"/>
    <w:qFormat/>
    <w:uiPriority w:val="0"/>
    <w:pPr>
      <w:ind w:firstLine="420" w:firstLineChars="100"/>
    </w:pPr>
    <w:rPr>
      <w:rFonts w:eastAsia="楷体_GB2312"/>
      <w:kern w:val="0"/>
      <w:sz w:val="20"/>
    </w:rPr>
  </w:style>
  <w:style w:type="paragraph" w:styleId="19">
    <w:name w:val="Body Text First Indent 2"/>
    <w:basedOn w:val="9"/>
    <w:qFormat/>
    <w:uiPriority w:val="0"/>
    <w:pPr>
      <w:ind w:left="200" w:firstLine="200" w:firstLineChars="200"/>
    </w:pPr>
    <w:rPr>
      <w:rFonts w:ascii="Calibri" w:hAnsi="Calibri"/>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nhideWhenUsed/>
    <w:qFormat/>
    <w:uiPriority w:val="99"/>
    <w:rPr>
      <w:color w:val="0000FF"/>
      <w:u w:val="single"/>
    </w:rPr>
  </w:style>
  <w:style w:type="character" w:styleId="24">
    <w:name w:val="annotation reference"/>
    <w:qFormat/>
    <w:uiPriority w:val="99"/>
    <w:rPr>
      <w:rFonts w:cs="Times New Roman"/>
      <w:sz w:val="21"/>
    </w:rPr>
  </w:style>
  <w:style w:type="paragraph" w:customStyle="1" w:styleId="25">
    <w:name w:val="Normal Indent1"/>
    <w:basedOn w:val="1"/>
    <w:qFormat/>
    <w:uiPriority w:val="0"/>
    <w:pPr>
      <w:ind w:firstLine="420" w:firstLineChars="200"/>
    </w:pPr>
  </w:style>
  <w:style w:type="paragraph" w:customStyle="1" w:styleId="2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标题 1 字符"/>
    <w:link w:val="3"/>
    <w:qFormat/>
    <w:locked/>
    <w:uiPriority w:val="0"/>
    <w:rPr>
      <w:rFonts w:ascii="Times New Roman" w:hAnsi="Times New Roman" w:eastAsia="宋体"/>
      <w:b/>
      <w:kern w:val="44"/>
      <w:sz w:val="44"/>
      <w:szCs w:val="20"/>
    </w:rPr>
  </w:style>
  <w:style w:type="character" w:customStyle="1" w:styleId="28">
    <w:name w:val="font161"/>
    <w:qFormat/>
    <w:uiPriority w:val="0"/>
    <w:rPr>
      <w:b/>
      <w:sz w:val="32"/>
    </w:r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表头"/>
    <w:basedOn w:val="1"/>
    <w:qFormat/>
    <w:uiPriority w:val="0"/>
    <w:pPr>
      <w:spacing w:line="360" w:lineRule="auto"/>
      <w:jc w:val="center"/>
    </w:pPr>
    <w:rPr>
      <w:rFonts w:ascii="黑体" w:hAnsi="Times New Roman" w:eastAsia="黑体"/>
      <w:kern w:val="0"/>
      <w:sz w:val="24"/>
      <w:szCs w:val="20"/>
    </w:rPr>
  </w:style>
  <w:style w:type="paragraph" w:customStyle="1" w:styleId="31">
    <w:name w:val="列表段落1"/>
    <w:basedOn w:val="1"/>
    <w:qFormat/>
    <w:uiPriority w:val="0"/>
    <w:pPr>
      <w:widowControl/>
      <w:ind w:firstLine="420" w:firstLineChars="200"/>
      <w:jc w:val="left"/>
    </w:pPr>
    <w:rPr>
      <w:kern w:val="0"/>
      <w:sz w:val="20"/>
      <w:szCs w:val="20"/>
    </w:rPr>
  </w:style>
  <w:style w:type="paragraph" w:customStyle="1" w:styleId="32">
    <w:name w:val="p0"/>
    <w:basedOn w:val="1"/>
    <w:qFormat/>
    <w:uiPriority w:val="0"/>
    <w:pPr>
      <w:widowControl/>
    </w:pPr>
    <w:rPr>
      <w:kern w:val="0"/>
      <w:szCs w:val="21"/>
    </w:rPr>
  </w:style>
  <w:style w:type="paragraph" w:customStyle="1" w:styleId="33">
    <w:name w:val="正文缩进11"/>
    <w:basedOn w:val="34"/>
    <w:qFormat/>
    <w:uiPriority w:val="0"/>
    <w:pPr>
      <w:ind w:firstLine="624"/>
      <w:jc w:val="left"/>
    </w:pPr>
    <w:rPr>
      <w:rFonts w:hint="eastAsia" w:ascii="Times New Roman" w:hAnsi="Times New Roman"/>
    </w:rPr>
  </w:style>
  <w:style w:type="paragraph" w:customStyle="1" w:styleId="34">
    <w:name w:val="正文1"/>
    <w:basedOn w:val="1"/>
    <w:next w:val="33"/>
    <w:qFormat/>
    <w:uiPriority w:val="0"/>
    <w:pPr>
      <w:spacing w:line="400" w:lineRule="exact"/>
      <w:ind w:firstLine="480" w:firstLineChars="200"/>
    </w:pPr>
    <w:rPr>
      <w:rFonts w:eastAsia="宋体"/>
      <w:kern w:val="20"/>
      <w:sz w:val="24"/>
      <w:szCs w:val="24"/>
    </w:rPr>
  </w:style>
  <w:style w:type="paragraph" w:customStyle="1" w:styleId="35">
    <w:name w:val="1"/>
    <w:basedOn w:val="1"/>
    <w:qFormat/>
    <w:uiPriority w:val="0"/>
    <w:rPr>
      <w:rFonts w:hint="eastAsia" w:ascii="宋体" w:hAnsi="Courier New" w:eastAsia="宋体"/>
      <w:szCs w:val="21"/>
    </w:rPr>
  </w:style>
  <w:style w:type="character" w:customStyle="1" w:styleId="36">
    <w:name w:val="15"/>
    <w:basedOn w:val="22"/>
    <w:qFormat/>
    <w:uiPriority w:val="0"/>
    <w:rPr>
      <w:rFonts w:hint="default" w:ascii="Times New Roman" w:hAnsi="Times New Roman" w:cs="Times New Roman"/>
    </w:rPr>
  </w:style>
  <w:style w:type="paragraph" w:customStyle="1" w:styleId="37">
    <w:name w:val="Table Paragraph"/>
    <w:basedOn w:val="1"/>
    <w:unhideWhenUsed/>
    <w:qFormat/>
    <w:uiPriority w:val="1"/>
  </w:style>
  <w:style w:type="paragraph" w:customStyle="1" w:styleId="38">
    <w:name w:val="2"/>
    <w:basedOn w:val="1"/>
    <w:next w:val="11"/>
    <w:qFormat/>
    <w:uiPriority w:val="0"/>
    <w:rPr>
      <w:rFonts w:ascii="宋体" w:hAnsi="Courier New" w:eastAsia="宋体"/>
      <w:szCs w:val="20"/>
    </w:rPr>
  </w:style>
  <w:style w:type="character" w:customStyle="1" w:styleId="39">
    <w:name w:val="标题 2 字符"/>
    <w:link w:val="2"/>
    <w:qFormat/>
    <w:locked/>
    <w:uiPriority w:val="0"/>
    <w:rPr>
      <w:rFonts w:ascii="Arial" w:hAnsi="Arial" w:eastAsia="黑体"/>
      <w:b/>
      <w:sz w:val="32"/>
      <w:szCs w:val="20"/>
    </w:rPr>
  </w:style>
  <w:style w:type="paragraph" w:customStyle="1" w:styleId="40">
    <w:name w:val="Revision"/>
    <w:hidden/>
    <w:unhideWhenUsed/>
    <w:qFormat/>
    <w:uiPriority w:val="99"/>
    <w:rPr>
      <w:rFonts w:ascii="Calibri" w:hAnsi="Calibri" w:eastAsia="楷体_GB2312" w:cs="Times New Roman"/>
      <w:kern w:val="2"/>
      <w:sz w:val="21"/>
      <w:szCs w:val="22"/>
      <w:lang w:val="en-US" w:eastAsia="zh-CN" w:bidi="ar-SA"/>
    </w:rPr>
  </w:style>
  <w:style w:type="character" w:customStyle="1" w:styleId="41">
    <w:name w:val="页眉 字符"/>
    <w:basedOn w:val="22"/>
    <w:link w:val="15"/>
    <w:qFormat/>
    <w:uiPriority w:val="0"/>
    <w:rPr>
      <w:rFonts w:ascii="Calibri" w:hAnsi="Calibri" w:eastAsia="楷体_GB2312"/>
      <w:kern w:val="2"/>
      <w:sz w:val="18"/>
      <w:szCs w:val="18"/>
    </w:rPr>
  </w:style>
  <w:style w:type="character" w:customStyle="1" w:styleId="42">
    <w:name w:val="批注文字 字符"/>
    <w:basedOn w:val="22"/>
    <w:link w:val="6"/>
    <w:qFormat/>
    <w:uiPriority w:val="99"/>
    <w:rPr>
      <w:kern w:val="2"/>
      <w:sz w:val="21"/>
    </w:rPr>
  </w:style>
  <w:style w:type="character" w:customStyle="1" w:styleId="43">
    <w:name w:val="批注主题 字符"/>
    <w:basedOn w:val="42"/>
    <w:link w:val="17"/>
    <w:qFormat/>
    <w:uiPriority w:val="0"/>
    <w:rPr>
      <w:rFonts w:ascii="Calibri" w:hAnsi="Calibri" w:eastAsia="楷体_GB2312"/>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Words>21614</Words>
  <Characters>23156</Characters>
  <Lines>1</Lines>
  <Paragraphs>1</Paragraphs>
  <TotalTime>0</TotalTime>
  <ScaleCrop>false</ScaleCrop>
  <LinksUpToDate>false</LinksUpToDate>
  <CharactersWithSpaces>24395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2023-12-12T09:46:00Z</dcterms:created>
  <dc:creator>风轻轻的吹</dc:creator>
  <cp:lastModifiedBy>风轻轻的吹</cp:lastModifiedBy>
  <cp:lastPrinted>2024-06-06T08:53:00Z</cp:lastPrinted>
  <dcterms:modified xsi:type="dcterms:W3CDTF">2024-10-10T03:55:06Z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3761BD51C6C244B98246333A059767F7</vt:lpwstr>
  </property>
</Properties>
</file>