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p>
    <w:p>
      <w:pPr>
        <w:spacing w:line="360" w:lineRule="auto"/>
        <w:ind w:left="359" w:leftChars="171"/>
        <w:jc w:val="left"/>
        <w:rPr>
          <w:rFonts w:ascii="宋体"/>
          <w:b/>
          <w:bCs/>
          <w:color w:val="auto"/>
          <w:spacing w:val="40"/>
          <w:sz w:val="44"/>
          <w:szCs w:val="44"/>
          <w:highlight w:val="none"/>
        </w:rPr>
      </w:pPr>
    </w:p>
    <w:p>
      <w:pPr>
        <w:spacing w:line="360" w:lineRule="auto"/>
        <w:rPr>
          <w:rFonts w:ascii="宋体"/>
          <w:b/>
          <w:bCs/>
          <w:color w:val="auto"/>
          <w:spacing w:val="40"/>
          <w:sz w:val="44"/>
          <w:szCs w:val="44"/>
          <w:highlight w:val="none"/>
        </w:rPr>
      </w:pPr>
    </w:p>
    <w:p>
      <w:pPr>
        <w:spacing w:line="360" w:lineRule="auto"/>
        <w:ind w:left="359" w:leftChars="171"/>
        <w:jc w:val="center"/>
        <w:rPr>
          <w:color w:val="auto"/>
          <w:sz w:val="48"/>
          <w:szCs w:val="48"/>
          <w:highlight w:val="none"/>
        </w:rPr>
      </w:pPr>
      <w:r>
        <w:rPr>
          <w:rFonts w:hint="eastAsia"/>
          <w:color w:val="auto"/>
          <w:sz w:val="48"/>
          <w:szCs w:val="48"/>
          <w:highlight w:val="none"/>
        </w:rPr>
        <w:t>海龙科创区起步区周边道路建设工程</w:t>
      </w:r>
    </w:p>
    <w:p>
      <w:pPr>
        <w:spacing w:line="360" w:lineRule="auto"/>
        <w:ind w:left="359" w:leftChars="171"/>
        <w:jc w:val="center"/>
        <w:rPr>
          <w:rFonts w:ascii="宋体"/>
          <w:b/>
          <w:bCs/>
          <w:color w:val="auto"/>
          <w:spacing w:val="40"/>
          <w:sz w:val="44"/>
          <w:szCs w:val="44"/>
          <w:highlight w:val="none"/>
        </w:rPr>
      </w:pPr>
      <w:r>
        <w:rPr>
          <w:rFonts w:hint="eastAsia"/>
          <w:color w:val="auto"/>
          <w:sz w:val="48"/>
          <w:szCs w:val="48"/>
          <w:highlight w:val="none"/>
        </w:rPr>
        <w:t>施工总承包</w:t>
      </w:r>
    </w:p>
    <w:p>
      <w:pPr>
        <w:spacing w:line="360" w:lineRule="auto"/>
        <w:jc w:val="center"/>
        <w:rPr>
          <w:color w:val="auto"/>
          <w:sz w:val="36"/>
          <w:highlight w:val="none"/>
          <w:u w:val="single"/>
        </w:rPr>
      </w:pPr>
    </w:p>
    <w:p>
      <w:pPr>
        <w:pStyle w:val="34"/>
        <w:ind w:left="420" w:firstLine="720"/>
        <w:rPr>
          <w:color w:val="auto"/>
          <w:sz w:val="36"/>
          <w:highlight w:val="none"/>
          <w:u w:val="single"/>
        </w:rPr>
      </w:pPr>
    </w:p>
    <w:p>
      <w:pPr>
        <w:pStyle w:val="34"/>
        <w:ind w:left="420" w:firstLine="720"/>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招标单位：</w:t>
      </w:r>
      <w:r>
        <w:rPr>
          <w:rFonts w:hint="eastAsia"/>
          <w:color w:val="auto"/>
          <w:sz w:val="30"/>
          <w:szCs w:val="30"/>
          <w:highlight w:val="none"/>
          <w:u w:val="single"/>
        </w:rPr>
        <w:t>广州市荔湾区建设工程项目代建中心</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广东科信工程管理有限公司</w:t>
      </w:r>
    </w:p>
    <w:p>
      <w:pPr>
        <w:spacing w:line="360" w:lineRule="auto"/>
        <w:ind w:firstLine="945"/>
        <w:rPr>
          <w:color w:val="auto"/>
          <w:sz w:val="32"/>
          <w:highlight w:val="none"/>
        </w:rPr>
      </w:pPr>
      <w:r>
        <w:rPr>
          <w:rFonts w:hint="eastAsia"/>
          <w:color w:val="auto"/>
          <w:sz w:val="32"/>
          <w:highlight w:val="none"/>
        </w:rPr>
        <w:t>日期：</w:t>
      </w:r>
      <w:r>
        <w:rPr>
          <w:rFonts w:hint="eastAsia"/>
          <w:color w:val="auto"/>
          <w:sz w:val="32"/>
          <w:highlight w:val="none"/>
          <w:u w:val="single"/>
        </w:rPr>
        <w:t>2022</w:t>
      </w:r>
      <w:r>
        <w:rPr>
          <w:rFonts w:hint="eastAsia"/>
          <w:color w:val="auto"/>
          <w:sz w:val="32"/>
          <w:highlight w:val="none"/>
        </w:rPr>
        <w:t>年</w:t>
      </w:r>
      <w:r>
        <w:rPr>
          <w:rFonts w:hint="eastAsia"/>
          <w:color w:val="auto"/>
          <w:sz w:val="32"/>
          <w:highlight w:val="none"/>
          <w:u w:val="single"/>
        </w:rPr>
        <w:t>5</w:t>
      </w:r>
      <w:r>
        <w:rPr>
          <w:rFonts w:hint="eastAsia"/>
          <w:color w:val="auto"/>
          <w:sz w:val="32"/>
          <w:highlight w:val="none"/>
        </w:rPr>
        <w:t>月</w:t>
      </w:r>
      <w:r>
        <w:rPr>
          <w:rFonts w:hint="eastAsia"/>
          <w:color w:val="auto"/>
          <w:sz w:val="32"/>
          <w:highlight w:val="none"/>
          <w:u w:val="single"/>
          <w:lang w:val="en-US" w:eastAsia="zh-CN"/>
        </w:rPr>
        <w:t xml:space="preserve"> </w:t>
      </w:r>
      <w:r>
        <w:rPr>
          <w:rFonts w:hint="eastAsia"/>
          <w:color w:val="auto"/>
          <w:sz w:val="32"/>
          <w:highlight w:val="none"/>
        </w:rPr>
        <w:t>日</w:t>
      </w:r>
    </w:p>
    <w:p>
      <w:pPr>
        <w:jc w:val="center"/>
        <w:rPr>
          <w:rFonts w:ascii="宋体" w:hAnsi="宋体"/>
          <w:b/>
          <w:caps/>
          <w:color w:val="auto"/>
          <w:kern w:val="0"/>
          <w:highlight w:val="none"/>
        </w:rPr>
      </w:pPr>
      <w:r>
        <w:rPr>
          <w:rStyle w:val="42"/>
          <w:b/>
          <w:bCs/>
          <w:color w:val="auto"/>
          <w:highlight w:val="none"/>
        </w:rPr>
        <w:br w:type="page"/>
      </w:r>
      <w:r>
        <w:rPr>
          <w:rStyle w:val="42"/>
          <w:rFonts w:hint="eastAsia"/>
          <w:b/>
          <w:bCs/>
          <w:color w:val="auto"/>
          <w:sz w:val="28"/>
          <w:szCs w:val="28"/>
          <w:highlight w:val="none"/>
        </w:rPr>
        <w:t>目录</w:t>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2"/>
          <w:color w:val="auto"/>
          <w:highlight w:val="none"/>
        </w:rPr>
        <w:t>第一章  投标须知</w:t>
      </w:r>
      <w:r>
        <w:rPr>
          <w:color w:val="auto"/>
          <w:highlight w:val="none"/>
        </w:rPr>
        <w:tab/>
      </w:r>
      <w:r>
        <w:rPr>
          <w:rFonts w:hint="eastAsia"/>
          <w:color w:val="auto"/>
          <w:highlight w:val="none"/>
        </w:rPr>
        <w:t>3</w:t>
      </w:r>
      <w:r>
        <w:rPr>
          <w:rFonts w:hint="eastAsia"/>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2"/>
          <w:color w:val="auto"/>
          <w:highlight w:val="none"/>
        </w:rPr>
        <w:t>一、投标须知前附表</w:t>
      </w:r>
      <w:r>
        <w:rPr>
          <w:color w:val="auto"/>
          <w:highlight w:val="none"/>
        </w:rPr>
        <w:tab/>
      </w:r>
      <w:r>
        <w:rPr>
          <w:rFonts w:hint="eastAsia"/>
          <w:color w:val="auto"/>
          <w:highlight w:val="none"/>
        </w:rPr>
        <w:t>3</w:t>
      </w:r>
      <w:r>
        <w:rPr>
          <w:rFonts w:hint="eastAsia"/>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2"/>
          <w:color w:val="auto"/>
          <w:highlight w:val="none"/>
        </w:rPr>
        <w:t>二、投标须知修改表</w:t>
      </w:r>
      <w:r>
        <w:rPr>
          <w:color w:val="auto"/>
          <w:highlight w:val="none"/>
        </w:rPr>
        <w:tab/>
      </w:r>
      <w:r>
        <w:rPr>
          <w:rFonts w:hint="eastAsia"/>
          <w:color w:val="auto"/>
          <w:highlight w:val="none"/>
        </w:rPr>
        <w:t>8</w:t>
      </w:r>
      <w:r>
        <w:rPr>
          <w:rFonts w:hint="eastAsia"/>
          <w:color w:val="auto"/>
          <w:highlight w:val="none"/>
        </w:rPr>
        <w:fldChar w:fldCharType="end"/>
      </w:r>
    </w:p>
    <w:p>
      <w:pPr>
        <w:pStyle w:val="3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2"/>
          <w:color w:val="auto"/>
          <w:highlight w:val="none"/>
        </w:rPr>
        <w:t>三、投标须知通用条款</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pPr>
        <w:pStyle w:val="20"/>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2"/>
          <w:color w:val="auto"/>
          <w:highlight w:val="none"/>
        </w:rPr>
        <w:t>（一）总则</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pPr>
        <w:pStyle w:val="20"/>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2"/>
          <w:color w:val="auto"/>
          <w:highlight w:val="none"/>
        </w:rPr>
        <w:t>（二）招标文件</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6</w:t>
      </w:r>
    </w:p>
    <w:p>
      <w:pPr>
        <w:pStyle w:val="20"/>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2"/>
          <w:color w:val="auto"/>
          <w:highlight w:val="none"/>
        </w:rPr>
        <w:t>（三）投标文件的编制</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7</w:t>
      </w:r>
    </w:p>
    <w:p>
      <w:pPr>
        <w:pStyle w:val="20"/>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2"/>
          <w:color w:val="auto"/>
          <w:highlight w:val="none"/>
        </w:rPr>
        <w:t>（四）投标文件的提交</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4</w:t>
      </w:r>
    </w:p>
    <w:p>
      <w:pPr>
        <w:pStyle w:val="20"/>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2"/>
          <w:color w:val="auto"/>
          <w:highlight w:val="none"/>
        </w:rPr>
        <w:t>（五）开标、评标、定标及合同签定</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5</w:t>
      </w:r>
    </w:p>
    <w:p>
      <w:pPr>
        <w:pStyle w:val="27"/>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2"/>
          <w:color w:val="auto"/>
          <w:highlight w:val="none"/>
        </w:rPr>
        <w:t>第二章  开标、评标及定标办法</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8</w:t>
      </w:r>
    </w:p>
    <w:p>
      <w:pPr>
        <w:pStyle w:val="3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2"/>
          <w:color w:val="auto"/>
          <w:highlight w:val="none"/>
        </w:rPr>
        <w:t>一、开标、评标及定标办法修改表</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8</w:t>
      </w:r>
    </w:p>
    <w:p>
      <w:pPr>
        <w:pStyle w:val="3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2"/>
          <w:color w:val="auto"/>
          <w:highlight w:val="none"/>
        </w:rPr>
        <w:t>二、开标、评标及定标办法通用条款</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3</w:t>
      </w:r>
    </w:p>
    <w:p>
      <w:pPr>
        <w:pStyle w:val="20"/>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2"/>
          <w:color w:val="auto"/>
          <w:highlight w:val="none"/>
        </w:rPr>
        <w:t>（一）总则</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3</w:t>
      </w:r>
    </w:p>
    <w:p>
      <w:pPr>
        <w:pStyle w:val="20"/>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2"/>
          <w:color w:val="auto"/>
          <w:highlight w:val="none"/>
        </w:rPr>
        <w:t>（二）开标评标办法程序和细则</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5</w:t>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"_Toc21525503" </w:instrText>
      </w:r>
      <w:r>
        <w:rPr>
          <w:color w:val="auto"/>
          <w:highlight w:val="none"/>
        </w:rPr>
        <w:fldChar w:fldCharType="separate"/>
      </w:r>
      <w:r>
        <w:rPr>
          <w:rStyle w:val="42"/>
          <w:color w:val="auto"/>
          <w:highlight w:val="none"/>
        </w:rPr>
        <w:t>可选办法一（适合综合评分法一，技术标与经济标先后分别开启）</w:t>
      </w:r>
      <w:r>
        <w:rPr>
          <w:color w:val="auto"/>
          <w:highlight w:val="none"/>
        </w:rPr>
        <w:tab/>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"_Toc21525504" </w:instrText>
      </w:r>
      <w:r>
        <w:rPr>
          <w:color w:val="auto"/>
          <w:highlight w:val="none"/>
        </w:rPr>
        <w:fldChar w:fldCharType="separate"/>
      </w:r>
      <w:r>
        <w:rPr>
          <w:rStyle w:val="42"/>
          <w:color w:val="auto"/>
          <w:highlight w:val="none"/>
        </w:rPr>
        <w:t>可选办法二（适合综合评分法一，技术标与经济标同时开启）</w:t>
      </w:r>
      <w:r>
        <w:rPr>
          <w:color w:val="auto"/>
          <w:highlight w:val="none"/>
        </w:rPr>
        <w:tab/>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"_Toc21525505" </w:instrText>
      </w:r>
      <w:r>
        <w:rPr>
          <w:color w:val="auto"/>
          <w:highlight w:val="none"/>
        </w:rPr>
        <w:fldChar w:fldCharType="separate"/>
      </w:r>
      <w:r>
        <w:rPr>
          <w:rStyle w:val="42"/>
          <w:color w:val="auto"/>
          <w:highlight w:val="none"/>
        </w:rPr>
        <w:t>可选办法三（适合综合评分法二，技术标与经济标先后分别开启）</w:t>
      </w:r>
      <w:r>
        <w:rPr>
          <w:color w:val="auto"/>
          <w:highlight w:val="none"/>
        </w:rPr>
        <w:tab/>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"_Toc21525506" </w:instrText>
      </w:r>
      <w:r>
        <w:rPr>
          <w:color w:val="auto"/>
          <w:highlight w:val="none"/>
        </w:rPr>
        <w:fldChar w:fldCharType="separate"/>
      </w:r>
      <w:r>
        <w:rPr>
          <w:rStyle w:val="42"/>
          <w:color w:val="auto"/>
          <w:highlight w:val="none"/>
        </w:rPr>
        <w:t>可选办法四（适合综合评分法二，技术标与经济标同时开启）</w:t>
      </w:r>
      <w:r>
        <w:rPr>
          <w:color w:val="auto"/>
          <w:highlight w:val="none"/>
        </w:rPr>
        <w:tab/>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"_Toc21525507" </w:instrText>
      </w:r>
      <w:r>
        <w:rPr>
          <w:color w:val="auto"/>
          <w:highlight w:val="none"/>
        </w:rPr>
        <w:fldChar w:fldCharType="separate"/>
      </w:r>
      <w:r>
        <w:rPr>
          <w:rStyle w:val="42"/>
          <w:color w:val="auto"/>
          <w:highlight w:val="none"/>
        </w:rPr>
        <w:t>可选办法五（适合综合评分法三，技术标与经济标先后分别开启）</w:t>
      </w:r>
      <w:r>
        <w:rPr>
          <w:color w:val="auto"/>
          <w:highlight w:val="none"/>
        </w:rPr>
        <w:tab/>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"_Toc21525508" </w:instrText>
      </w:r>
      <w:r>
        <w:rPr>
          <w:color w:val="auto"/>
          <w:highlight w:val="none"/>
        </w:rPr>
        <w:fldChar w:fldCharType="separate"/>
      </w:r>
      <w:r>
        <w:rPr>
          <w:rStyle w:val="42"/>
          <w:color w:val="auto"/>
          <w:highlight w:val="none"/>
        </w:rPr>
        <w:t>可选办法六（适合综合评分法三，技术标与经济标同时开启）</w:t>
      </w:r>
      <w:r>
        <w:rPr>
          <w:color w:val="auto"/>
          <w:highlight w:val="none"/>
        </w:rPr>
        <w:tab/>
      </w:r>
      <w:r>
        <w:rPr>
          <w:color w:val="auto"/>
          <w:highlight w:val="none"/>
        </w:rPr>
        <w:fldChar w:fldCharType="end"/>
      </w:r>
    </w:p>
    <w:p>
      <w:pPr>
        <w:pStyle w:val="20"/>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2"/>
          <w:color w:val="auto"/>
          <w:highlight w:val="none"/>
        </w:rPr>
        <w:t>可选办法七（适合综合评分法四，技术标与经济标同时开启）</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5</w:t>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"_Toc21525510" </w:instrText>
      </w:r>
      <w:r>
        <w:rPr>
          <w:color w:val="auto"/>
          <w:highlight w:val="none"/>
        </w:rPr>
        <w:fldChar w:fldCharType="separate"/>
      </w:r>
      <w:r>
        <w:rPr>
          <w:rStyle w:val="42"/>
          <w:color w:val="auto"/>
          <w:highlight w:val="none"/>
        </w:rPr>
        <w:t>可选办法八（适合经评审的最低投标价法，技术标与经济标同时开启）</w:t>
      </w:r>
      <w:r>
        <w:rPr>
          <w:color w:val="auto"/>
          <w:highlight w:val="none"/>
        </w:rPr>
        <w:tab/>
      </w:r>
      <w:r>
        <w:rPr>
          <w:color w:val="auto"/>
          <w:highlight w:val="none"/>
        </w:rPr>
        <w:fldChar w:fldCharType="end"/>
      </w:r>
    </w:p>
    <w:p>
      <w:pPr>
        <w:pStyle w:val="27"/>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2"/>
          <w:color w:val="auto"/>
          <w:highlight w:val="none"/>
        </w:rPr>
        <w:t>第三章  合同条款</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3</w:t>
      </w:r>
    </w:p>
    <w:p>
      <w:pPr>
        <w:pStyle w:val="27"/>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2"/>
          <w:color w:val="auto"/>
          <w:highlight w:val="none"/>
        </w:rPr>
        <w:t>第四章  投标文件格式</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4</w:t>
      </w:r>
    </w:p>
    <w:p>
      <w:pPr>
        <w:pStyle w:val="27"/>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2"/>
          <w:color w:val="auto"/>
          <w:highlight w:val="none"/>
        </w:rPr>
        <w:t>第五章  技术条件（工程建设标准）</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0</w:t>
      </w:r>
    </w:p>
    <w:p>
      <w:pPr>
        <w:pStyle w:val="27"/>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2"/>
          <w:color w:val="auto"/>
          <w:highlight w:val="none"/>
        </w:rPr>
        <w:t>第六章  图纸及勘察资料</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1</w:t>
      </w:r>
    </w:p>
    <w:p>
      <w:pPr>
        <w:pStyle w:val="27"/>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2"/>
          <w:color w:val="auto"/>
          <w:highlight w:val="none"/>
        </w:rPr>
        <w:t>第七章  工程量清单</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2</w:t>
      </w:r>
    </w:p>
    <w:p>
      <w:pPr>
        <w:pStyle w:val="27"/>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2"/>
          <w:color w:val="auto"/>
          <w:highlight w:val="none"/>
        </w:rPr>
        <w:t>第八章  最高投标限价</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3</w:t>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end"/>
      </w:r>
    </w:p>
    <w:p>
      <w:pPr>
        <w:pStyle w:val="3"/>
        <w:rPr>
          <w:color w:val="auto"/>
          <w:highlight w:val="none"/>
        </w:rPr>
      </w:pPr>
      <w:r>
        <w:rPr>
          <w:color w:val="auto"/>
          <w:highlight w:val="none"/>
        </w:rPr>
        <w:fldChar w:fldCharType="end"/>
      </w:r>
      <w:bookmarkStart w:id="0" w:name="_Toc2272545"/>
      <w:bookmarkStart w:id="1" w:name="_Toc21525489"/>
      <w:r>
        <w:rPr>
          <w:rFonts w:hint="eastAsia"/>
          <w:color w:val="auto"/>
          <w:highlight w:val="none"/>
        </w:rPr>
        <w:t>第一章投标须知</w:t>
      </w:r>
      <w:bookmarkEnd w:id="0"/>
      <w:bookmarkEnd w:id="1"/>
    </w:p>
    <w:p>
      <w:pPr>
        <w:pStyle w:val="7"/>
        <w:rPr>
          <w:color w:val="auto"/>
          <w:highlight w:val="none"/>
        </w:rPr>
      </w:pPr>
      <w:bookmarkStart w:id="2" w:name="_Toc21525490"/>
      <w:bookmarkStart w:id="3" w:name="_Toc2272546"/>
      <w:r>
        <w:rPr>
          <w:rFonts w:hint="eastAsia"/>
          <w:color w:val="auto"/>
          <w:highlight w:val="none"/>
        </w:rPr>
        <w:t>一、投标须知前附表</w:t>
      </w:r>
      <w:bookmarkEnd w:id="2"/>
      <w:bookmarkEnd w:id="3"/>
    </w:p>
    <w:p>
      <w:pPr>
        <w:pStyle w:val="8"/>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 xml:space="preserve"> 广州市荔湾区建设工程项目代建中心</w:t>
            </w:r>
          </w:p>
          <w:p>
            <w:pPr>
              <w:rPr>
                <w:rFonts w:ascii="宋体" w:hAnsi="宋体"/>
                <w:color w:val="auto"/>
                <w:szCs w:val="21"/>
                <w:highlight w:val="none"/>
              </w:rPr>
            </w:pPr>
            <w:r>
              <w:rPr>
                <w:rFonts w:hint="eastAsia" w:ascii="宋体" w:hAnsi="宋体"/>
                <w:color w:val="auto"/>
                <w:szCs w:val="21"/>
                <w:highlight w:val="none"/>
              </w:rPr>
              <w:t>项目建设管理单位：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广东科信工程管理有限公司</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天津市政工程设计研究总院有限公司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海龙科创区起步区周边道路建设工程施工总承包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广州市荔湾区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由承包人按照本合同约定范围和图纸内容实行工程施工总承包，包括但不限于包工、包料（甲供材料设备除外）、包质量、包安全生产、包文明施工、包工期、包承包范围内工程验收通过、包移交、包结算、包创优工程的组织实施工作和资料整理、（ 包施工总承包管理和现场整体组织、包专业协调及配合）、包承包人应当购买的保险、包配合竣工图编制（须满足规划等各专项验收要求）等，同时，招标内容和建安费同时包含施工临水和临电工程的设计、报批、施工、开通和相关水电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施工总期：</w:t>
            </w:r>
            <w:r>
              <w:rPr>
                <w:rFonts w:hint="eastAsia" w:ascii="宋体" w:hAnsi="宋体"/>
                <w:color w:val="auto"/>
                <w:szCs w:val="21"/>
                <w:highlight w:val="none"/>
                <w:u w:val="single"/>
              </w:rPr>
              <w:t>365</w:t>
            </w:r>
            <w:r>
              <w:rPr>
                <w:rFonts w:hint="eastAsia" w:ascii="宋体" w:hAnsi="宋体"/>
                <w:color w:val="auto"/>
                <w:szCs w:val="21"/>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color w:val="auto"/>
                <w:highlight w:val="none"/>
              </w:rPr>
            </w:pPr>
            <w:r>
              <w:rPr>
                <w:rFonts w:hint="eastAsia"/>
                <w:color w:val="auto"/>
                <w:highlight w:val="none"/>
                <w:u w:val="single"/>
              </w:rPr>
              <w:t>15万</w:t>
            </w:r>
            <w:r>
              <w:rPr>
                <w:rFonts w:hint="eastAsia"/>
                <w:color w:val="auto"/>
                <w:highlight w:val="none"/>
              </w:rPr>
              <w:t>元人民币，缴纳时间在</w:t>
            </w:r>
            <w:r>
              <w:rPr>
                <w:rFonts w:hint="eastAsia" w:ascii="宋体" w:hAnsi="宋体"/>
                <w:color w:val="auto"/>
                <w:szCs w:val="21"/>
                <w:highlight w:val="none"/>
                <w:u w:val="single"/>
              </w:rPr>
              <w:t>投标文件递交截止时间</w:t>
            </w:r>
            <w:r>
              <w:rPr>
                <w:rFonts w:hint="eastAsia"/>
                <w:color w:val="auto"/>
                <w:highlight w:val="none"/>
              </w:rPr>
              <w:t>之前。</w:t>
            </w:r>
          </w:p>
          <w:p>
            <w:pPr>
              <w:rPr>
                <w:rFonts w:ascii="宋体" w:hAnsi="宋体" w:cs="宋体"/>
                <w:color w:val="auto"/>
                <w:szCs w:val="21"/>
                <w:highlight w:val="none"/>
              </w:rPr>
            </w:pPr>
            <w:r>
              <w:rPr>
                <w:rFonts w:hint="eastAsia" w:ascii="宋体" w:hAnsi="宋体" w:cs="宋体"/>
                <w:color w:val="auto"/>
                <w:szCs w:val="21"/>
                <w:highlight w:val="none"/>
              </w:rPr>
              <w:t>投标保证金有效期：与投标有效期一致。</w:t>
            </w:r>
          </w:p>
          <w:p>
            <w:pPr>
              <w:rPr>
                <w:rFonts w:ascii="宋体" w:hAnsi="宋体" w:cs="宋体"/>
                <w:color w:val="auto"/>
                <w:szCs w:val="21"/>
                <w:highlight w:val="none"/>
              </w:rPr>
            </w:pPr>
            <w:r>
              <w:rPr>
                <w:rFonts w:hint="eastAsia" w:ascii="宋体" w:hAnsi="宋体" w:cs="宋体"/>
                <w:color w:val="auto"/>
                <w:szCs w:val="21"/>
                <w:highlight w:val="none"/>
              </w:rPr>
              <w:t>1．投标保证金的形式：投标保证金可采用现金、支票、投标保证保险、投标保函（银行或专业担保公司出具）的形式，须在递交投标文件截止时间前完成缴纳。</w:t>
            </w:r>
          </w:p>
          <w:p>
            <w:pPr>
              <w:rPr>
                <w:rFonts w:ascii="宋体" w:hAnsi="宋体" w:cs="宋体"/>
                <w:color w:val="auto"/>
                <w:szCs w:val="21"/>
                <w:highlight w:val="none"/>
              </w:rPr>
            </w:pPr>
            <w:r>
              <w:rPr>
                <w:rFonts w:hint="eastAsia" w:ascii="宋体" w:hAnsi="宋体" w:cs="宋体"/>
                <w:color w:val="auto"/>
                <w:szCs w:val="21"/>
                <w:highlight w:val="none"/>
              </w:rPr>
              <w:t>2．如采用现金或者支票方式提交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rPr>
                <w:rFonts w:ascii="宋体" w:hAnsi="宋体" w:cs="宋体"/>
                <w:color w:val="auto"/>
                <w:szCs w:val="21"/>
                <w:highlight w:val="none"/>
              </w:rPr>
            </w:pPr>
            <w:r>
              <w:rPr>
                <w:rFonts w:hint="eastAsia" w:ascii="宋体" w:hAnsi="宋体" w:cs="宋体"/>
                <w:color w:val="auto"/>
                <w:szCs w:val="21"/>
                <w:highlight w:val="none"/>
              </w:rPr>
              <w:t>3．如采用投标保函或投标保证保险的方式提交的，投标保</w:t>
            </w:r>
          </w:p>
          <w:p>
            <w:pPr>
              <w:rPr>
                <w:rFonts w:ascii="宋体" w:hAnsi="宋体" w:cs="宋体"/>
                <w:color w:val="auto"/>
                <w:szCs w:val="21"/>
                <w:highlight w:val="none"/>
              </w:rPr>
            </w:pPr>
            <w:r>
              <w:rPr>
                <w:rFonts w:hint="eastAsia" w:ascii="宋体" w:hAnsi="宋体" w:cs="宋体"/>
                <w:color w:val="auto"/>
                <w:szCs w:val="21"/>
                <w:highlight w:val="none"/>
              </w:rPr>
              <w:t>函需开具给招标人；保证保险需开具给招标人（受益人也必</w:t>
            </w:r>
          </w:p>
          <w:p>
            <w:pPr>
              <w:rPr>
                <w:rFonts w:ascii="宋体" w:hAnsi="宋体" w:cs="宋体"/>
                <w:color w:val="auto"/>
                <w:szCs w:val="21"/>
                <w:highlight w:val="none"/>
              </w:rPr>
            </w:pPr>
            <w:r>
              <w:rPr>
                <w:rFonts w:hint="eastAsia" w:ascii="宋体" w:hAnsi="宋体" w:cs="宋体"/>
                <w:color w:val="auto"/>
                <w:szCs w:val="21"/>
                <w:highlight w:val="none"/>
              </w:rPr>
              <w:t>须是招标人）。在开标前不需要提交纸质原件，投标人应在</w:t>
            </w:r>
          </w:p>
          <w:p>
            <w:pPr>
              <w:rPr>
                <w:rFonts w:ascii="宋体" w:hAnsi="宋体" w:cs="宋体"/>
                <w:color w:val="auto"/>
                <w:szCs w:val="21"/>
                <w:highlight w:val="none"/>
              </w:rPr>
            </w:pPr>
            <w:r>
              <w:rPr>
                <w:rFonts w:hint="eastAsia" w:ascii="宋体" w:hAnsi="宋体" w:cs="宋体"/>
                <w:color w:val="auto"/>
                <w:szCs w:val="21"/>
                <w:highlight w:val="none"/>
              </w:rPr>
              <w:t>投标文件中提交投标保函或投标保险等的扫描件并加盖投</w:t>
            </w:r>
          </w:p>
          <w:p>
            <w:pPr>
              <w:rPr>
                <w:rFonts w:ascii="宋体" w:hAnsi="宋体" w:cs="宋体"/>
                <w:color w:val="auto"/>
                <w:szCs w:val="21"/>
                <w:highlight w:val="none"/>
              </w:rPr>
            </w:pPr>
            <w:r>
              <w:rPr>
                <w:rFonts w:hint="eastAsia" w:ascii="宋体" w:hAnsi="宋体" w:cs="宋体"/>
                <w:color w:val="auto"/>
                <w:szCs w:val="21"/>
                <w:highlight w:val="none"/>
              </w:rPr>
              <w:t>标人电子印章。完成评标后，由中标候选人在中标候选人公</w:t>
            </w:r>
          </w:p>
          <w:p>
            <w:pPr>
              <w:rPr>
                <w:rFonts w:ascii="宋体" w:hAnsi="宋体" w:cs="宋体"/>
                <w:color w:val="auto"/>
                <w:szCs w:val="21"/>
                <w:highlight w:val="none"/>
              </w:rPr>
            </w:pPr>
            <w:r>
              <w:rPr>
                <w:rFonts w:hint="eastAsia" w:ascii="宋体" w:hAnsi="宋体" w:cs="宋体"/>
                <w:color w:val="auto"/>
                <w:szCs w:val="21"/>
                <w:highlight w:val="none"/>
              </w:rPr>
              <w:t>示前提交纸质原件给招标代理单位，纸质原件将在网上公</w:t>
            </w:r>
          </w:p>
          <w:p>
            <w:pPr>
              <w:rPr>
                <w:rFonts w:ascii="宋体" w:hAnsi="宋体" w:cs="宋体"/>
                <w:color w:val="auto"/>
                <w:szCs w:val="21"/>
                <w:highlight w:val="none"/>
              </w:rPr>
            </w:pPr>
            <w:r>
              <w:rPr>
                <w:rFonts w:hint="eastAsia" w:ascii="宋体" w:hAnsi="宋体" w:cs="宋体"/>
                <w:color w:val="auto"/>
                <w:szCs w:val="21"/>
                <w:highlight w:val="none"/>
              </w:rPr>
              <w:t>示。若以交易系统支持的电子保函或电子投标保证保险递交</w:t>
            </w:r>
          </w:p>
          <w:p>
            <w:pPr>
              <w:rPr>
                <w:rFonts w:ascii="宋体" w:hAnsi="宋体" w:cs="宋体"/>
                <w:color w:val="auto"/>
                <w:szCs w:val="21"/>
                <w:highlight w:val="none"/>
              </w:rPr>
            </w:pPr>
            <w:r>
              <w:rPr>
                <w:rFonts w:hint="eastAsia" w:ascii="宋体" w:hAnsi="宋体" w:cs="宋体"/>
                <w:color w:val="auto"/>
                <w:szCs w:val="21"/>
                <w:highlight w:val="none"/>
              </w:rPr>
              <w:t>的，到账情况以开标时广州公共资源交易中心数据库查询信</w:t>
            </w:r>
          </w:p>
          <w:p>
            <w:pPr>
              <w:rPr>
                <w:color w:val="auto"/>
                <w:highlight w:val="none"/>
              </w:rPr>
            </w:pPr>
            <w:r>
              <w:rPr>
                <w:rFonts w:hint="eastAsia" w:ascii="宋体" w:hAnsi="宋体" w:cs="宋体"/>
                <w:color w:val="auto"/>
                <w:szCs w:val="21"/>
                <w:highlight w:val="none"/>
              </w:rPr>
              <w:t xml:space="preserve">息为准。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rPr>
                <w:rFonts w:ascii="宋体" w:hAnsi="宋体"/>
                <w:color w:val="auto"/>
                <w:szCs w:val="21"/>
                <w:highlight w:val="none"/>
              </w:rPr>
            </w:pPr>
            <w:r>
              <w:rPr>
                <w:rFonts w:hint="eastAsia" w:ascii="宋体" w:hAnsi="宋体"/>
                <w:color w:val="auto"/>
                <w:szCs w:val="21"/>
                <w:highlight w:val="non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疑问提交时间：年月日时前</w:t>
            </w:r>
            <w:r>
              <w:rPr>
                <w:rFonts w:hint="eastAsia" w:ascii="宋体" w:hAnsi="宋体"/>
                <w:color w:val="auto"/>
                <w:szCs w:val="21"/>
                <w:highlight w:val="none"/>
                <w:u w:val="single"/>
              </w:rPr>
              <w:t>（投标人在递交投标文件截止时间18天前提出）</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Cs w:val="21"/>
                <w:highlight w:val="none"/>
              </w:rPr>
              <w:t>提交。</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 w:val="24"/>
                <w:szCs w:val="24"/>
                <w:highlight w:val="none"/>
                <w:u w:val="single"/>
              </w:rPr>
              <w:t>广州公共资源交易中心，首页→服务指南→办事指引→建设工程《房屋建筑和市政基础设施工程全流程电子化项目专章》</w:t>
            </w:r>
            <w:r>
              <w:rPr>
                <w:rFonts w:hint="eastAsia" w:ascii="宋体" w:hAnsi="宋体"/>
                <w:color w:val="auto"/>
                <w:szCs w:val="21"/>
                <w:highlight w:val="none"/>
              </w:rPr>
              <w:t>。 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rPr>
              <w:t>年月日时（北京时间）。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1、开标开始时间：年月日时分（与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广州公共资源交易中心第  开标室</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2、递交投标文件备用光盘时间：年月日时分至年月日时分；递交地点：</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olor w:val="auto"/>
                <w:szCs w:val="21"/>
                <w:highlight w:val="none"/>
                <w:u w:val="single"/>
              </w:rPr>
              <w:t>七 （综合评分法四，技术标与经济标同时开启）</w:t>
            </w:r>
            <w:r>
              <w:rPr>
                <w:rFonts w:hint="eastAsia" w:ascii="宋体" w:hAnsi="宋体"/>
                <w:color w:val="auto"/>
                <w:szCs w:val="21"/>
                <w:highlight w:val="none"/>
              </w:rPr>
              <w:t>；</w:t>
            </w:r>
          </w:p>
          <w:p>
            <w:pPr>
              <w:pStyle w:val="5"/>
              <w:ind w:firstLine="0"/>
              <w:rPr>
                <w:rFonts w:ascii="宋体" w:hAnsi="宋体"/>
                <w:color w:val="auto"/>
                <w:szCs w:val="21"/>
                <w:highlight w:val="none"/>
                <w:u w:val="single"/>
              </w:rPr>
            </w:pPr>
            <w:r>
              <w:rPr>
                <w:rFonts w:hint="eastAsia" w:ascii="宋体" w:hAnsi="宋体"/>
                <w:color w:val="auto"/>
                <w:szCs w:val="21"/>
                <w:highlight w:val="none"/>
                <w:u w:val="single"/>
              </w:rPr>
              <w:t>投标人总得分=[技术得分（满分20分）＋经济得分（满分100分）×经济得分权重（80%）]。总得分四舍五入保留两位小数。总得分相同情况下的排序方式：总得分相同的投标文件，以技术分高的排前；技术分均相同的投标文件，按报价低者排前的原则，若报价亦一致的，由评标委员会采用记名投票方式，确定其排序。</w:t>
            </w:r>
          </w:p>
          <w:p>
            <w:pPr>
              <w:pStyle w:val="5"/>
              <w:ind w:firstLine="0"/>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p>
            <w:pPr>
              <w:pStyle w:val="5"/>
              <w:spacing w:after="0"/>
              <w:ind w:firstLine="0"/>
              <w:rPr>
                <w:rFonts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s="宋体"/>
                <w:color w:val="auto"/>
                <w:sz w:val="24"/>
                <w:highlight w:val="none"/>
                <w:u w:val="single"/>
              </w:rPr>
              <w:t>16248843.08</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s="宋体"/>
                <w:color w:val="auto"/>
                <w:sz w:val="24"/>
                <w:szCs w:val="24"/>
                <w:highlight w:val="none"/>
                <w:u w:val="single"/>
              </w:rPr>
              <w:t xml:space="preserve">496772.21 </w:t>
            </w:r>
            <w:r>
              <w:rPr>
                <w:rFonts w:hint="eastAsia" w:ascii="宋体" w:hAnsi="宋体"/>
                <w:color w:val="auto"/>
                <w:szCs w:val="21"/>
                <w:highlight w:val="none"/>
              </w:rPr>
              <w:t>元，暂列金额为</w:t>
            </w:r>
            <w:r>
              <w:rPr>
                <w:rFonts w:hint="eastAsia" w:ascii="宋体" w:hAnsi="宋体" w:cs="宋体"/>
                <w:color w:val="auto"/>
                <w:sz w:val="24"/>
                <w:szCs w:val="24"/>
                <w:highlight w:val="none"/>
                <w:u w:val="single"/>
              </w:rPr>
              <w:t xml:space="preserve">1249286.49 </w:t>
            </w:r>
            <w:r>
              <w:rPr>
                <w:rFonts w:hint="eastAsia" w:ascii="宋体" w:hAnsi="宋体"/>
                <w:color w:val="auto"/>
                <w:szCs w:val="21"/>
                <w:highlight w:val="none"/>
              </w:rPr>
              <w:t>元，暂估价为</w:t>
            </w:r>
            <w:r>
              <w:rPr>
                <w:rFonts w:hint="eastAsia" w:ascii="宋体" w:hAnsi="宋体"/>
                <w:color w:val="auto"/>
                <w:szCs w:val="21"/>
                <w:highlight w:val="none"/>
                <w:u w:val="single"/>
              </w:rPr>
              <w:t>0</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15436400.93</w:t>
            </w:r>
            <w:r>
              <w:rPr>
                <w:rFonts w:hint="eastAsia" w:ascii="宋体" w:hAnsi="宋体"/>
                <w:color w:val="auto"/>
                <w:szCs w:val="21"/>
                <w:highlight w:val="none"/>
                <w:u w:val="single"/>
              </w:rPr>
              <w:t xml:space="preserve"> </w:t>
            </w:r>
            <w:r>
              <w:rPr>
                <w:rFonts w:hint="eastAsia" w:ascii="宋体" w:hAnsi="宋体"/>
                <w:color w:val="auto"/>
                <w:szCs w:val="21"/>
                <w:highlight w:val="none"/>
              </w:rPr>
              <w:t>元（招标控制价的95%）。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val="en-US" w:eastAsia="zh-CN"/>
              </w:rPr>
            </w:pPr>
            <w:r>
              <w:rPr>
                <w:rFonts w:hint="eastAsia" w:ascii="宋体" w:hAnsi="宋体"/>
                <w:color w:val="auto"/>
                <w:szCs w:val="21"/>
                <w:highlight w:val="none"/>
              </w:rPr>
              <w:t>本款不适用。</w:t>
            </w:r>
            <w:r>
              <w:rPr>
                <w:rFonts w:hint="eastAsia" w:ascii="宋体" w:hAnsi="宋体"/>
                <w:color w:val="auto"/>
                <w:szCs w:val="21"/>
                <w:highlight w:val="none"/>
                <w:lang w:val="en-US" w:eastAsia="zh-CN"/>
              </w:rPr>
              <w:t xml:space="preserve"> </w:t>
            </w:r>
            <w:bookmarkStart w:id="42" w:name="_GoBack"/>
            <w:bookmarkEnd w:id="42"/>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r>
              <w:rPr>
                <w:rFonts w:hint="eastAsia" w:ascii="宋体" w:hAnsi="宋体"/>
                <w:color w:val="auto"/>
                <w:szCs w:val="21"/>
                <w:highlight w:val="none"/>
                <w:u w:val="single"/>
              </w:rPr>
              <w:t>专家5人。评标专家从相应合法的评标专家库中抽取。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w:char="00FE"/>
            </w:r>
            <w:r>
              <w:rPr>
                <w:rFonts w:hint="eastAsia" w:ascii="宋体" w:hAnsi="宋体"/>
                <w:color w:val="auto"/>
                <w:kern w:val="0"/>
                <w:szCs w:val="21"/>
                <w:highlight w:val="none"/>
                <w:lang w:val="zh-CN"/>
              </w:rPr>
              <w:t>允许：分包内容要要求：</w:t>
            </w:r>
            <w:r>
              <w:rPr>
                <w:rFonts w:hint="eastAsia" w:ascii="宋体" w:hAnsi="宋体"/>
                <w:color w:val="auto"/>
                <w:kern w:val="0"/>
                <w:szCs w:val="21"/>
                <w:highlight w:val="none"/>
                <w:u w:val="single"/>
                <w:lang w:val="zh-CN"/>
              </w:rPr>
              <w:t>分包内容要要求：中标人按照合同约定或者经招标人同意，可以将中标项目的部分非主体、非关键性工作分包给具有相应资质的单位完成。</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olor w:val="auto"/>
                <w:kern w:val="0"/>
                <w:szCs w:val="21"/>
                <w:highlight w:val="none"/>
                <w:u w:val="single"/>
                <w:lang w:val="zh-CN"/>
              </w:rPr>
              <w:t>根据实际情况确定。</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olor w:val="auto"/>
                <w:kern w:val="0"/>
                <w:szCs w:val="21"/>
                <w:highlight w:val="none"/>
                <w:u w:val="single"/>
                <w:lang w:val="zh-CN"/>
              </w:rPr>
              <w:t>接受分包的单位应当具备相应的资质条件，并不得再次分包。</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Courier New"/>
                <w:color w:val="auto"/>
                <w:szCs w:val="21"/>
                <w:highlight w:val="none"/>
                <w:u w:val="single"/>
              </w:rPr>
              <w:t>广州公共资源交易中心，首页→服务指南→办事指引→建设工程《房屋建筑和市政基础设施工程全流程电子化项目专章》。</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r>
              <w:rPr>
                <w:rFonts w:hint="eastAsia" w:ascii="宋体" w:hAnsi="宋体" w:cs="Courier New"/>
                <w:color w:val="auto"/>
                <w:szCs w:val="21"/>
                <w:highlight w:val="none"/>
                <w:u w:val="single"/>
              </w:rPr>
              <w:t>递交投标文件光盘备用时需提供法定人代表人证明书及授权委托书。</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color w:val="auto"/>
                <w:szCs w:val="21"/>
                <w:highlight w:val="none"/>
                <w:u w:val="single"/>
              </w:rPr>
              <w:t>中标人代缴公共资源交易服务费，其费用包含在中标人投标报价中，交易中心向中标人开具增值税发票。</w:t>
            </w:r>
          </w:p>
        </w:tc>
      </w:tr>
    </w:tbl>
    <w:p>
      <w:pPr>
        <w:spacing w:line="480" w:lineRule="auto"/>
        <w:rPr>
          <w:rFonts w:ascii="宋体"/>
          <w:color w:val="auto"/>
          <w:sz w:val="24"/>
          <w:highlight w:val="none"/>
        </w:rPr>
      </w:pPr>
      <w:r>
        <w:rPr>
          <w:rFonts w:hint="eastAsia" w:ascii="宋体" w:hAnsi="宋体"/>
          <w:color w:val="auto"/>
          <w:sz w:val="24"/>
          <w:highlight w:val="none"/>
        </w:rPr>
        <w:t>注：企业</w:t>
      </w:r>
      <w:r>
        <w:rPr>
          <w:rFonts w:hint="eastAsia" w:ascii="宋体" w:hAnsi="宋体" w:cs="宋体"/>
          <w:color w:val="auto"/>
          <w:kern w:val="0"/>
          <w:sz w:val="24"/>
          <w:highlight w:val="none"/>
        </w:rPr>
        <w:t>综合诚信评价得分即</w:t>
      </w:r>
      <w:r>
        <w:rPr>
          <w:rFonts w:hint="eastAsia" w:ascii="宋体" w:hAnsi="宋体"/>
          <w:color w:val="auto"/>
          <w:sz w:val="24"/>
          <w:highlight w:val="none"/>
        </w:rPr>
        <w:t>企业</w:t>
      </w:r>
      <w:r>
        <w:rPr>
          <w:rFonts w:hint="eastAsia" w:ascii="宋体" w:hAnsi="宋体" w:cs="宋体"/>
          <w:color w:val="auto"/>
          <w:kern w:val="0"/>
          <w:sz w:val="24"/>
          <w:highlight w:val="none"/>
        </w:rPr>
        <w:t>综合诚信评价</w:t>
      </w:r>
      <w:r>
        <w:rPr>
          <w:rFonts w:ascii="宋体" w:hAnsi="宋体" w:cs="宋体"/>
          <w:color w:val="auto"/>
          <w:kern w:val="0"/>
          <w:sz w:val="24"/>
          <w:highlight w:val="none"/>
        </w:rPr>
        <w:t>60</w:t>
      </w:r>
      <w:r>
        <w:rPr>
          <w:rFonts w:hint="eastAsia" w:ascii="宋体" w:hAnsi="宋体" w:cs="宋体"/>
          <w:color w:val="auto"/>
          <w:kern w:val="0"/>
          <w:sz w:val="24"/>
          <w:highlight w:val="none"/>
        </w:rPr>
        <w:t>日诚信分，以下同。</w:t>
      </w:r>
    </w:p>
    <w:p>
      <w:pPr>
        <w:pStyle w:val="7"/>
        <w:rPr>
          <w:color w:val="auto"/>
          <w:highlight w:val="none"/>
        </w:rPr>
      </w:pPr>
      <w:r>
        <w:rPr>
          <w:color w:val="auto"/>
          <w:highlight w:val="none"/>
        </w:rPr>
        <w:br w:type="page"/>
      </w:r>
      <w:bookmarkStart w:id="4" w:name="_Toc21525491"/>
      <w:bookmarkStart w:id="5" w:name="_Toc2272547"/>
      <w:r>
        <w:rPr>
          <w:rFonts w:hint="eastAsia"/>
          <w:color w:val="auto"/>
          <w:highlight w:val="none"/>
        </w:rPr>
        <w:t>二、投标须知修改表</w:t>
      </w:r>
      <w:bookmarkEnd w:id="4"/>
      <w:bookmarkEnd w:id="5"/>
    </w:p>
    <w:p>
      <w:pPr>
        <w:pStyle w:val="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color w:val="auto"/>
          <w:szCs w:val="21"/>
          <w:highlight w:val="none"/>
        </w:rPr>
        <w:t>http://www.gzcc.gov.cn/</w:t>
      </w:r>
      <w:r>
        <w:rPr>
          <w:rFonts w:hint="eastAsia"/>
          <w:b/>
          <w:color w:val="auto"/>
          <w:szCs w:val="21"/>
          <w:highlight w:val="none"/>
        </w:rPr>
        <w:t>）下载查阅。</w:t>
      </w:r>
    </w:p>
    <w:p>
      <w:pPr>
        <w:pStyle w:val="5"/>
        <w:spacing w:line="360" w:lineRule="auto"/>
        <w:rPr>
          <w:b/>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Cs/>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bCs/>
          <w:color w:val="auto"/>
          <w:szCs w:val="21"/>
          <w:highlight w:val="none"/>
        </w:rPr>
        <w:t>一旦中标，这种考察即被认为其结果已在中标文件中得到充分反映。考察现场的费用由投标人自己承担。</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8.1 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8.1</w:t>
      </w:r>
      <w:r>
        <w:rPr>
          <w:rFonts w:hint="eastAsia" w:ascii="宋体" w:hAnsi="宋体" w:cs="宋体"/>
          <w:bCs/>
          <w:color w:val="auto"/>
          <w:szCs w:val="21"/>
          <w:highlight w:val="none"/>
          <w:u w:val="single"/>
        </w:rPr>
        <w:t>招标答疑采用网上答疑方式进行。投标人若对招标文件（包括招标图纸、工程量清单、招标控制价、合同条款）有疑问的，可在规定的时间内通过广州公共资源交易中心网站进入提问区域将问题提交给招标人或招标代理人，提交问题时一律不得署名。</w:t>
      </w:r>
      <w:r>
        <w:rPr>
          <w:rFonts w:hint="eastAsia" w:ascii="宋体" w:hAnsi="宋体"/>
          <w:color w:val="auto"/>
          <w:szCs w:val="21"/>
          <w:highlight w:val="none"/>
          <w:u w:val="single"/>
        </w:rPr>
        <w:t>网上答疑的操作指南为：登陆广州公共资源交易中心网站→进入“项目招标答疑”专区→通过项目编号或名称找到所需的项目→在上述的答疑时间内点击“提问”→提出问题以及查看所有的问题</w:t>
      </w:r>
      <w:r>
        <w:rPr>
          <w:rFonts w:hint="eastAsia" w:ascii="宋体" w:hAnsi="宋体" w:cs="宋体"/>
          <w:bCs/>
          <w:color w:val="auto"/>
          <w:szCs w:val="21"/>
          <w:highlight w:val="none"/>
          <w:u w:val="singl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w:t>
      </w:r>
      <w:r>
        <w:rPr>
          <w:rFonts w:hint="eastAsia" w:ascii="宋体" w:hAnsi="宋体" w:cs="宋体"/>
          <w:bCs/>
          <w:color w:val="auto"/>
          <w:szCs w:val="21"/>
          <w:highlight w:val="none"/>
          <w:u w:val="single"/>
        </w:rPr>
        <w:t>“建设工程-项目查询（日程安排、答疑纪要）”</w:t>
      </w:r>
      <w:r>
        <w:rPr>
          <w:rFonts w:hint="eastAsia" w:ascii="宋体" w:hAnsi="宋体" w:cs="宋体"/>
          <w:bCs/>
          <w:color w:val="auto"/>
          <w:szCs w:val="21"/>
          <w:highlight w:val="none"/>
        </w:rPr>
        <w:t>公开发布。答疑纪要一经在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交易平台发布，视作已发放给所有投标人。</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原文：8.4</w:t>
      </w:r>
      <w:r>
        <w:rPr>
          <w:rFonts w:hint="eastAsia" w:ascii="宋体" w:hAnsi="宋体" w:cs="宋体"/>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现文：8.4</w:t>
      </w:r>
      <w:r>
        <w:rPr>
          <w:rFonts w:hint="eastAsia" w:ascii="宋体" w:hAnsi="宋体" w:cs="宋体"/>
          <w:color w:val="auto"/>
          <w:szCs w:val="21"/>
          <w:highlight w:val="none"/>
        </w:rPr>
        <w:t>若招标答疑会会议纪要与招标文件有矛盾，以</w:t>
      </w:r>
      <w:r>
        <w:rPr>
          <w:rFonts w:hint="eastAsia" w:ascii="宋体" w:hAnsi="宋体" w:cs="宋体"/>
          <w:color w:val="auto"/>
          <w:szCs w:val="21"/>
          <w:highlight w:val="none"/>
          <w:u w:val="single"/>
        </w:rPr>
        <w:t>广州公共资源交易中心交易平台最后发布的答疑纪要为准。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原文：9.2</w:t>
      </w:r>
      <w:r>
        <w:rPr>
          <w:rFonts w:hint="eastAsia" w:ascii="宋体" w:hAnsi="宋体" w:cs="宋体"/>
          <w:color w:val="auto"/>
          <w:szCs w:val="21"/>
          <w:highlight w:val="none"/>
        </w:rPr>
        <w:t>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u w:val="single"/>
        </w:rPr>
        <w:t>“建设工程-项目查询（日程安排、答疑纪要）”</w:t>
      </w:r>
      <w:r>
        <w:rPr>
          <w:rFonts w:hint="eastAsia" w:ascii="宋体" w:hAnsi="宋体" w:cs="宋体"/>
          <w:color w:val="auto"/>
          <w:szCs w:val="21"/>
          <w:highlight w:val="none"/>
        </w:rPr>
        <w:t>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原文：9.4</w:t>
      </w:r>
      <w:r>
        <w:rPr>
          <w:rFonts w:hint="eastAsia" w:ascii="宋体" w:hAnsi="宋体" w:cs="宋体"/>
          <w:color w:val="auto"/>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现文：9.4</w:t>
      </w:r>
      <w:r>
        <w:rPr>
          <w:rFonts w:hint="eastAsia" w:ascii="宋体" w:hAnsi="宋体" w:cs="宋体"/>
          <w:color w:val="auto"/>
          <w:szCs w:val="21"/>
          <w:highlight w:val="none"/>
        </w:rPr>
        <w:t>招标文件的澄清或修改以</w:t>
      </w:r>
      <w:r>
        <w:rPr>
          <w:rFonts w:hint="eastAsia" w:ascii="宋体" w:hAnsi="宋体" w:cs="宋体"/>
          <w:color w:val="auto"/>
          <w:szCs w:val="21"/>
          <w:highlight w:val="none"/>
          <w:u w:val="single"/>
        </w:rPr>
        <w:t>广州公共资源交易中心交易平台最后发布的答疑纪要为准。</w:t>
      </w:r>
      <w:r>
        <w:rPr>
          <w:rFonts w:hint="eastAsia" w:ascii="宋体" w:hAnsi="宋体" w:cs="宋体"/>
          <w:color w:val="auto"/>
          <w:szCs w:val="21"/>
          <w:highlight w:val="none"/>
        </w:rPr>
        <w:t>当招标文件的澄清、修改、补充等在同一内容的表述不一致时，以最后发出的文件为准。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条款号：11.2.2             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原文：11.2.2</w:t>
      </w:r>
      <w:r>
        <w:rPr>
          <w:rFonts w:hint="eastAsia" w:ascii="宋体" w:hAnsi="宋体" w:cs="宋体"/>
          <w:bCs/>
          <w:color w:val="auto"/>
          <w:szCs w:val="21"/>
          <w:highlight w:val="none"/>
        </w:rPr>
        <w:t xml:space="preserve">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kern w:val="0"/>
          <w:szCs w:val="21"/>
          <w:highlight w:val="none"/>
        </w:rPr>
        <w:t>（取自平台内上传件）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kern w:val="0"/>
          <w:szCs w:val="21"/>
          <w:highlight w:val="none"/>
        </w:rPr>
        <w:t>（取自平台内上传件）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kern w:val="0"/>
          <w:szCs w:val="21"/>
          <w:highlight w:val="none"/>
        </w:rPr>
        <w:t>（取自平台内上传件）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（9）拟委派项目负责人的建造师证书或二级注册建造师电子注册证书或小型项目负责人相关证明（取自平台内上传件）</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（10）</w:t>
      </w:r>
      <w:r>
        <w:rPr>
          <w:rFonts w:hint="eastAsia" w:ascii="宋体" w:hAnsi="宋体" w:cs="宋体"/>
          <w:bCs/>
          <w:color w:val="auto"/>
          <w:kern w:val="0"/>
          <w:szCs w:val="21"/>
          <w:highlight w:val="none"/>
        </w:rPr>
        <w:t>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（11）</w:t>
      </w:r>
      <w:r>
        <w:rPr>
          <w:rFonts w:hint="eastAsia" w:ascii="宋体" w:hAnsi="宋体" w:cs="宋体"/>
          <w:bCs/>
          <w:color w:val="auto"/>
          <w:kern w:val="0"/>
          <w:szCs w:val="21"/>
          <w:highlight w:val="none"/>
        </w:rPr>
        <w:t>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w:t>
      </w:r>
      <w:r>
        <w:rPr>
          <w:rFonts w:hint="eastAsia" w:ascii="宋体" w:hAnsi="宋体" w:cs="宋体"/>
          <w:bCs/>
          <w:color w:val="auto"/>
          <w:kern w:val="0"/>
          <w:szCs w:val="21"/>
          <w:highlight w:val="none"/>
        </w:rPr>
        <w:t>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（14）</w:t>
      </w:r>
      <w:r>
        <w:rPr>
          <w:rFonts w:hint="eastAsia" w:ascii="宋体" w:hAnsi="宋体" w:cs="宋体"/>
          <w:bCs/>
          <w:color w:val="auto"/>
          <w:kern w:val="0"/>
          <w:szCs w:val="21"/>
          <w:highlight w:val="none"/>
        </w:rPr>
        <w:t>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r>
        <w:rPr>
          <w:rFonts w:hint="eastAsia" w:ascii="宋体" w:hAnsi="宋体" w:cs="宋体"/>
          <w:color w:val="auto"/>
          <w:szCs w:val="21"/>
          <w:highlight w:val="none"/>
        </w:rPr>
        <w:t>。</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现文：11.2.2</w:t>
      </w:r>
      <w:r>
        <w:rPr>
          <w:rFonts w:hint="eastAsia" w:ascii="宋体" w:hAnsi="宋体" w:cs="宋体"/>
          <w:bCs/>
          <w:color w:val="auto"/>
          <w:szCs w:val="21"/>
          <w:highlight w:val="none"/>
        </w:rPr>
        <w:t xml:space="preserve">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（8）拟委托技术负责人的</w:t>
      </w:r>
      <w:r>
        <w:rPr>
          <w:rFonts w:hint="eastAsia" w:ascii="宋体" w:hAnsi="宋体" w:cs="宋体"/>
          <w:bCs/>
          <w:color w:val="auto"/>
          <w:szCs w:val="21"/>
          <w:highlight w:val="none"/>
          <w:u w:val="single"/>
        </w:rPr>
        <w:t>市政工程相关专业工程师或以上职称相关证书</w:t>
      </w:r>
      <w:r>
        <w:rPr>
          <w:rFonts w:hint="eastAsia" w:ascii="宋体" w:hAnsi="宋体" w:cs="宋体"/>
          <w:bCs/>
          <w:color w:val="auto"/>
          <w:szCs w:val="21"/>
          <w:highlight w:val="none"/>
        </w:rPr>
        <w:t>扫描件；</w:t>
      </w:r>
    </w:p>
    <w:p>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（9）</w:t>
      </w:r>
      <w:r>
        <w:rPr>
          <w:rFonts w:hint="eastAsia" w:ascii="宋体" w:hAnsi="宋体" w:cs="宋体"/>
          <w:bCs/>
          <w:color w:val="auto"/>
          <w:szCs w:val="21"/>
          <w:highlight w:val="none"/>
          <w:u w:val="single"/>
        </w:rPr>
        <w:t>拟委派项目负责人的注册建造师证相关证明</w:t>
      </w:r>
      <w:r>
        <w:rPr>
          <w:rFonts w:hint="eastAsia" w:ascii="宋体" w:hAnsi="宋体" w:cs="宋体"/>
          <w:bCs/>
          <w:color w:val="auto"/>
          <w:szCs w:val="21"/>
          <w:highlight w:val="none"/>
        </w:rPr>
        <w:t>（取自库内上传件）</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w:t>
      </w:r>
      <w:r>
        <w:rPr>
          <w:rFonts w:ascii="宋体" w:hAnsi="宋体" w:cs="宋体"/>
          <w:bCs/>
          <w:color w:val="auto"/>
          <w:szCs w:val="21"/>
          <w:highlight w:val="none"/>
        </w:rPr>
        <w:t>B类）或建筑施工企业项目负责人安全生产考核合格证书</w:t>
      </w:r>
      <w:r>
        <w:rPr>
          <w:rFonts w:hint="eastAsia" w:ascii="宋体" w:hAnsi="宋体" w:cs="宋体"/>
          <w:bCs/>
          <w:color w:val="auto"/>
          <w:szCs w:val="21"/>
          <w:highlight w:val="none"/>
        </w:rPr>
        <w:t>（取自库内上传件）；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w:t>
      </w:r>
      <w:r>
        <w:rPr>
          <w:rFonts w:ascii="宋体" w:hAnsi="宋体" w:cs="宋体"/>
          <w:bCs/>
          <w:color w:val="auto"/>
          <w:szCs w:val="21"/>
          <w:highlight w:val="none"/>
        </w:rPr>
        <w:t>C类）或建筑施工企业专职安全生产管理人员安全生产考核合格证书</w:t>
      </w:r>
      <w:r>
        <w:rPr>
          <w:rFonts w:hint="eastAsia" w:ascii="宋体" w:hAnsi="宋体" w:cs="宋体"/>
          <w:bCs/>
          <w:color w:val="auto"/>
          <w:szCs w:val="21"/>
          <w:highlight w:val="none"/>
        </w:rPr>
        <w:t>（取自库内上传件）</w:t>
      </w:r>
      <w:r>
        <w:rPr>
          <w:rFonts w:hint="eastAsia" w:ascii="宋体" w:hAnsi="宋体" w:cs="宋体"/>
          <w:color w:val="auto"/>
          <w:szCs w:val="21"/>
          <w:highlight w:val="none"/>
        </w:rPr>
        <w:t>，</w:t>
      </w:r>
      <w:r>
        <w:rPr>
          <w:rFonts w:hint="eastAsia" w:ascii="宋体" w:hAnsi="宋体" w:cs="宋体"/>
          <w:color w:val="auto"/>
          <w:szCs w:val="21"/>
          <w:highlight w:val="none"/>
          <w:u w:val="single"/>
        </w:rPr>
        <w:t>项目负责人和专职安全员不为同一人</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u w:val="single"/>
        </w:rPr>
        <w:t>（12）</w:t>
      </w:r>
      <w:r>
        <w:rPr>
          <w:rFonts w:hint="eastAsia" w:ascii="宋体" w:hAnsi="宋体" w:cs="宋体"/>
          <w:color w:val="auto"/>
          <w:szCs w:val="21"/>
          <w:highlight w:val="none"/>
        </w:rPr>
        <w:t>资格审查前，</w:t>
      </w:r>
      <w:r>
        <w:rPr>
          <w:rFonts w:hint="eastAsia" w:ascii="宋体" w:hAnsi="宋体" w:cs="宋体"/>
          <w:color w:val="auto"/>
          <w:szCs w:val="21"/>
          <w:highlight w:val="none"/>
          <w:u w:val="single"/>
        </w:rPr>
        <w:t>投标人须在广州公共资源交易中心办理企业信息登记，及拟担任本工程项目负责人、专职安全员须是本企业在广州公共资源交易中心企业信息登记中的在册人员。</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u w:val="single"/>
        </w:rPr>
        <w:t>（13）关于联合体投标：本项目不接受联合体投标</w:t>
      </w:r>
      <w:r>
        <w:rPr>
          <w:rFonts w:hint="eastAsia" w:ascii="宋体" w:hAnsi="宋体" w:cs="宋体"/>
          <w:color w:val="auto"/>
          <w:szCs w:val="21"/>
          <w:highlight w:val="none"/>
        </w:rPr>
        <w:t>。</w:t>
      </w:r>
    </w:p>
    <w:p>
      <w:pPr>
        <w:pBdr>
          <w:bottom w:val="single" w:color="auto" w:sz="6" w:space="1"/>
        </w:pBdr>
        <w:spacing w:line="360" w:lineRule="auto"/>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条款号：11.2.4             修改类型：删除</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pBdr>
          <w:bottom w:val="single" w:color="auto" w:sz="6" w:space="1"/>
        </w:pBdr>
        <w:spacing w:line="360" w:lineRule="auto"/>
        <w:ind w:firstLine="525" w:firstLineChars="250"/>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条款号：11.2.5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11.2.5施工组织设计或施工方案。</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11.2.5施工组织设计或施工方案提供《响应招标文件所附施工组织设计要点的承诺书》</w:t>
      </w:r>
      <w:r>
        <w:rPr>
          <w:rFonts w:hint="eastAsia" w:ascii="宋体" w:hAnsi="宋体" w:cs="宋体"/>
          <w:bCs/>
          <w:color w:val="auto"/>
          <w:szCs w:val="21"/>
          <w:highlight w:val="none"/>
          <w:u w:val="single"/>
        </w:rPr>
        <w:t>（格式见第四章）</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条款号：11.2.7             修改类型：增加</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11.2.7 投</w:t>
      </w:r>
      <w:r>
        <w:rPr>
          <w:rFonts w:hint="eastAsia" w:ascii="宋体" w:hAnsi="宋体" w:cs="宋体"/>
          <w:color w:val="auto"/>
          <w:szCs w:val="21"/>
          <w:highlight w:val="none"/>
          <w:u w:val="single"/>
        </w:rPr>
        <w:t>标人认为应该提供的其他资料。</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w:t>
      </w:r>
      <w:r>
        <w:rPr>
          <w:rFonts w:hint="eastAsia" w:ascii="宋体" w:hAnsi="宋体"/>
          <w:color w:val="auto"/>
          <w:szCs w:val="21"/>
          <w:highlight w:val="none"/>
          <w:u w:val="single"/>
        </w:rPr>
        <w:t>手签或盖章</w:t>
      </w:r>
      <w:r>
        <w:rPr>
          <w:rFonts w:hint="eastAsia" w:ascii="宋体" w:hAnsi="宋体"/>
          <w:color w:val="auto"/>
          <w:szCs w:val="21"/>
          <w:highlight w:val="none"/>
        </w:rPr>
        <w:t>后扫描上传。</w:t>
      </w:r>
      <w:r>
        <w:rPr>
          <w:rFonts w:hint="eastAsia" w:ascii="宋体" w:hAnsi="宋体"/>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按照交易平台关于全流程电子化项目的相关指南进行操作。详见：</w:t>
      </w:r>
      <w:r>
        <w:rPr>
          <w:rFonts w:hint="eastAsia" w:ascii="宋体" w:hAnsi="宋体"/>
          <w:color w:val="auto"/>
          <w:szCs w:val="21"/>
          <w:highlight w:val="none"/>
          <w:u w:val="single"/>
        </w:rPr>
        <w:t>【全流程电子化项目】电子招投标操作手册（无纸化）</w:t>
      </w:r>
      <w:r>
        <w:rPr>
          <w:rFonts w:hint="eastAsia" w:ascii="宋体" w:hAnsi="宋体"/>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12.3 投标文件应按照交易平台关于全流程电子化项目的相关指南进行编制，详见：。</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广州公共资源交易中心，首页→服务指南→办事指引→建设工程《房屋建筑和市政基础设施工程全流程电子化项目专章》。</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13.1 本</w:t>
      </w:r>
      <w:r>
        <w:rPr>
          <w:rFonts w:hint="eastAsia" w:ascii="宋体" w:hAnsi="宋体" w:cs="宋体"/>
          <w:color w:val="auto"/>
          <w:szCs w:val="21"/>
          <w:highlight w:val="none"/>
        </w:rPr>
        <w:t>工程的投标报价采用投标须知前附表第12项所规定的方式。投标报价（含单价及总价）精确到“分”。</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13.513.5.113.5.213.5.313.5.4</w:t>
      </w:r>
      <w:r>
        <w:rPr>
          <w:rFonts w:hint="eastAsia" w:ascii="宋体" w:hAnsi="宋体" w:cs="宋体"/>
          <w:b/>
          <w:color w:val="auto"/>
          <w:szCs w:val="21"/>
          <w:highlight w:val="none"/>
        </w:rPr>
        <w:t xml:space="preserve">             修改类型：修改</w:t>
      </w:r>
    </w:p>
    <w:p>
      <w:pPr>
        <w:pStyle w:val="5"/>
        <w:spacing w:after="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pPr>
        <w:pStyle w:val="5"/>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470" w:firstLineChars="224"/>
        <w:rPr>
          <w:rFonts w:ascii="宋体" w:hAnsi="宋体" w:cs="宋体"/>
          <w:b/>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变更结算方式按招标文件及施工合同相关规定执行。</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条款号：16.5.3修改类型：删除</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16.5.3按招标文件要求免于提供投标保证金的投标人存在16.4条款所列情形，且未按招标人要求补交投标保证金的；</w:t>
      </w:r>
    </w:p>
    <w:p>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注：16.5.3款由招标人二选一，需在招标文件中明确。</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 。</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color w:val="auto"/>
          <w:szCs w:val="21"/>
          <w:highlight w:val="none"/>
          <w:u w:val="single"/>
        </w:rPr>
        <w:t>广州公共资源交易中心，首页→服务指南→办事指引→建设工程《房屋建筑和市政基础设施工程全流程电子化项目专章》</w:t>
      </w:r>
      <w:r>
        <w:rPr>
          <w:rFonts w:hint="eastAsia" w:ascii="宋体" w:hAnsi="宋体" w:cs="宋体"/>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 。</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广州公共资源交易中心，首页→服务指南→办事指引→建设工程《房屋建筑和市政基础设施工程全流程电子化项目专章》</w:t>
      </w:r>
      <w:r>
        <w:rPr>
          <w:rFonts w:hint="eastAsia" w:ascii="宋体" w:hAnsi="宋体" w:cs="宋体"/>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18.2 未按要求加密的投标文件，</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条款号：19.1  19.2  19.3              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19.1投标人通过</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rPr>
        <w:t>交易平台将予以拒收。</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19.1投标人通过</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6" w:space="1"/>
        </w:pBdr>
        <w:spacing w:line="360" w:lineRule="auto"/>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条款号：19.5             修改类型：删除</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19.5如技术标和经济标先后分别开启，交易平台将按招标文件规定的时间分别开启技术标和经济标。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条款号：19.6             修改类型：删除</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Bdr>
          <w:bottom w:val="single" w:color="auto" w:sz="6" w:space="1"/>
        </w:pBdr>
        <w:spacing w:line="360" w:lineRule="auto"/>
        <w:ind w:firstLine="525" w:firstLineChars="250"/>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 到投标截止时间止，招标人收到的投标文件少于3家的，招标人将重新组织招标。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72" w:firstLineChars="224"/>
        <w:contextualSpacing/>
        <w:rPr>
          <w:rFonts w:ascii="宋体" w:hAnsi="宋体" w:cs="宋体"/>
          <w:b/>
          <w:color w:val="auto"/>
          <w:szCs w:val="21"/>
          <w:highlight w:val="none"/>
        </w:rPr>
      </w:pPr>
      <w:r>
        <w:rPr>
          <w:rFonts w:hint="eastAsia" w:ascii="宋体" w:hAnsi="宋体" w:cs="宋体"/>
          <w:b/>
          <w:color w:val="auto"/>
          <w:szCs w:val="21"/>
          <w:highlight w:val="none"/>
        </w:rPr>
        <w:t>原文：27.1</w:t>
      </w:r>
      <w:r>
        <w:rPr>
          <w:rFonts w:hint="eastAsia" w:ascii="宋体" w:hAnsi="宋体" w:cs="宋体"/>
          <w:bCs/>
          <w:color w:val="auto"/>
          <w:szCs w:val="21"/>
          <w:highlight w:val="none"/>
        </w:rPr>
        <w:t>招标人将在交易平台、广东省招标投标监管网和中国招标投标公共服务平台公示中标候选人，公示期为三天。</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现文：27.1</w:t>
      </w:r>
      <w:r>
        <w:rPr>
          <w:rFonts w:hint="eastAsia" w:ascii="宋体" w:hAnsi="宋体" w:cs="宋体"/>
          <w:bCs/>
          <w:color w:val="auto"/>
          <w:szCs w:val="21"/>
          <w:highlight w:val="none"/>
        </w:rPr>
        <w:t>招标人将在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交易平台、广东省招标投标监管网和中国招标投标公共服务平台公示中标候选人，公示期为三天。</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在产生中标候选人后，招标人将中标候选人的投标文件商务部分文件的所有内容（包括人员、业绩、奖项等资料）在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交易平台和广东省招标投标监管网公开。</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6" w:name="_Toc21525492"/>
      <w:bookmarkStart w:id="7" w:name="_Toc2272548"/>
      <w:r>
        <w:rPr>
          <w:rFonts w:hint="eastAsia"/>
          <w:color w:val="auto"/>
          <w:highlight w:val="none"/>
        </w:rPr>
        <w:t>三、投标须知通用条款</w:t>
      </w:r>
      <w:bookmarkEnd w:id="6"/>
      <w:bookmarkEnd w:id="7"/>
    </w:p>
    <w:p>
      <w:pPr>
        <w:pStyle w:val="9"/>
        <w:spacing w:before="156" w:after="156"/>
        <w:rPr>
          <w:color w:val="auto"/>
          <w:highlight w:val="none"/>
        </w:rPr>
      </w:pPr>
      <w:bookmarkStart w:id="8" w:name="_Toc2272549"/>
      <w:bookmarkStart w:id="9" w:name="_Toc21525493"/>
      <w:r>
        <w:rPr>
          <w:rFonts w:hint="eastAsia"/>
          <w:color w:val="auto"/>
          <w:highlight w:val="none"/>
        </w:rPr>
        <w:t>（一）总则</w:t>
      </w:r>
      <w:bookmarkEnd w:id="8"/>
      <w:bookmarkEnd w:id="9"/>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9"/>
        <w:spacing w:before="156" w:after="156"/>
        <w:rPr>
          <w:color w:val="auto"/>
          <w:highlight w:val="none"/>
        </w:rPr>
      </w:pPr>
      <w:bookmarkStart w:id="10" w:name="_Toc2272550"/>
      <w:bookmarkStart w:id="11" w:name="_Toc21525494"/>
      <w:r>
        <w:rPr>
          <w:rFonts w:hint="eastAsia"/>
          <w:color w:val="auto"/>
          <w:highlight w:val="none"/>
        </w:rPr>
        <w:t>（二）招标文件</w:t>
      </w:r>
      <w:bookmarkEnd w:id="10"/>
      <w:bookmarkEnd w:id="11"/>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hint="eastAsia" w:ascii="宋体" w:hAnsi="宋体"/>
          <w:color w:val="auto"/>
          <w:sz w:val="24"/>
          <w:highlight w:val="none"/>
        </w:rPr>
        <w:t>投标须知</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hint="eastAsia" w:ascii="宋体" w:hAnsi="宋体"/>
          <w:color w:val="auto"/>
          <w:sz w:val="24"/>
          <w:highlight w:val="none"/>
        </w:rPr>
        <w:t>开标、评标及定标办法</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第三章合同条款</w:t>
      </w:r>
    </w:p>
    <w:p>
      <w:pPr>
        <w:pStyle w:val="5"/>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hint="eastAsia" w:ascii="宋体" w:hAnsi="宋体"/>
          <w:color w:val="auto"/>
          <w:sz w:val="24"/>
          <w:highlight w:val="none"/>
        </w:rPr>
        <w:t>投标文件格式</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hint="eastAsia" w:ascii="宋体" w:hAnsi="宋体"/>
          <w:color w:val="auto"/>
          <w:sz w:val="24"/>
          <w:highlight w:val="none"/>
        </w:rPr>
        <w:t>技术条件（工程建设标准）（另册）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hint="eastAsia" w:ascii="宋体" w:hAnsi="宋体"/>
          <w:color w:val="auto"/>
          <w:sz w:val="24"/>
          <w:highlight w:val="none"/>
        </w:rPr>
        <w:t>图纸及勘察资料（另册）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第七章招标</w:t>
      </w:r>
      <w:r>
        <w:rPr>
          <w:rFonts w:hint="eastAsia" w:ascii="宋体" w:hAnsi="宋体"/>
          <w:color w:val="auto"/>
          <w:sz w:val="24"/>
          <w:highlight w:val="none"/>
        </w:rPr>
        <w:t>工程量清单（另册）</w:t>
      </w:r>
    </w:p>
    <w:p>
      <w:pPr>
        <w:pStyle w:val="5"/>
        <w:spacing w:after="0" w:line="360" w:lineRule="auto"/>
        <w:ind w:left="-2" w:firstLine="480" w:firstLineChars="200"/>
        <w:rPr>
          <w:rFonts w:ascii="宋体"/>
          <w:color w:val="auto"/>
          <w:sz w:val="24"/>
          <w:highlight w:val="none"/>
        </w:rPr>
      </w:pPr>
      <w:r>
        <w:rPr>
          <w:rFonts w:hint="eastAsia" w:ascii="宋体" w:hAnsi="宋体"/>
          <w:color w:val="auto"/>
          <w:sz w:val="24"/>
          <w:highlight w:val="none"/>
        </w:rPr>
        <w:t>第八章最高投标限价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rPr>
          <w:color w:val="auto"/>
          <w:highlight w:val="none"/>
        </w:rPr>
      </w:pPr>
      <w:bookmarkStart w:id="12" w:name="_Toc21525495"/>
      <w:bookmarkStart w:id="13" w:name="_Toc2272551"/>
      <w:r>
        <w:rPr>
          <w:rFonts w:hint="eastAsia"/>
          <w:color w:val="auto"/>
          <w:highlight w:val="none"/>
        </w:rPr>
        <w:t>（三）投标文件的编制</w:t>
      </w:r>
      <w:bookmarkEnd w:id="12"/>
      <w:bookmarkEnd w:id="13"/>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 。</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 xml:space="preserve">照交易平台关于全流程电子化项目的相关指南进行编制，详见：。               </w:t>
      </w:r>
    </w:p>
    <w:p>
      <w:pPr>
        <w:pStyle w:val="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9"/>
        <w:spacing w:before="156" w:after="156"/>
        <w:rPr>
          <w:color w:val="auto"/>
          <w:highlight w:val="none"/>
        </w:rPr>
      </w:pPr>
      <w:bookmarkStart w:id="14" w:name="_Toc2272552"/>
      <w:bookmarkStart w:id="15" w:name="_Toc21525496"/>
      <w:r>
        <w:rPr>
          <w:rFonts w:hint="eastAsia"/>
          <w:color w:val="auto"/>
          <w:highlight w:val="none"/>
        </w:rPr>
        <w:t>（四）投标文件的提交</w:t>
      </w:r>
      <w:bookmarkEnd w:id="14"/>
      <w:bookmarkEnd w:id="15"/>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hint="eastAsia" w:ascii="宋体"/>
          <w:bCs/>
          <w:color w:val="auto"/>
          <w:sz w:val="24"/>
          <w:highlight w:val="none"/>
        </w:rPr>
        <w:t>未按要求加密的投标文件，</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color w:val="auto"/>
          <w:sz w:val="24"/>
          <w:highlight w:val="none"/>
        </w:rPr>
      </w:pPr>
      <w:r>
        <w:rPr>
          <w:rFonts w:ascii="宋体" w:hAnsi="宋体"/>
          <w:color w:val="auto"/>
          <w:sz w:val="24"/>
          <w:szCs w:val="24"/>
          <w:highlight w:val="none"/>
        </w:rPr>
        <w:t>19.6</w:t>
      </w:r>
      <w:r>
        <w:rPr>
          <w:rFonts w:hint="eastAsia" w:ascii="宋体" w:hAnsi="宋体"/>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color w:val="auto"/>
          <w:sz w:val="24"/>
          <w:highlight w:val="none"/>
        </w:rPr>
        <w:t>该投标文件将不能参与资格审查和评标</w:t>
      </w:r>
      <w:r>
        <w:rPr>
          <w:rFonts w:hint="eastAsia" w:ascii="宋体" w:hAnsi="宋体"/>
          <w:color w:val="auto"/>
          <w:sz w:val="24"/>
          <w:szCs w:val="24"/>
          <w:highlight w:val="none"/>
        </w:rPr>
        <w:t>（选择性条款）。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4在投标截止时间之后，投标人不得补充、修改和更换投标文件。</w:t>
      </w:r>
    </w:p>
    <w:p>
      <w:pPr>
        <w:pStyle w:val="9"/>
        <w:spacing w:before="156" w:after="156"/>
        <w:rPr>
          <w:color w:val="auto"/>
          <w:highlight w:val="none"/>
        </w:rPr>
      </w:pPr>
      <w:bookmarkStart w:id="16" w:name="_Toc21525497"/>
      <w:bookmarkStart w:id="17" w:name="_Toc2272553"/>
      <w:r>
        <w:rPr>
          <w:rFonts w:hint="eastAsia"/>
          <w:color w:val="auto"/>
          <w:highlight w:val="none"/>
        </w:rPr>
        <w:t>（五）开标、评标、定标及合同签定</w:t>
      </w:r>
      <w:bookmarkEnd w:id="16"/>
      <w:bookmarkEnd w:id="17"/>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27.4在产生中标候选人后，招标人将中标候选人的投标文件商务部分文件的所有内容（包括报价清单、人员、业绩、奖项等资料）在</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color w:val="auto"/>
          <w:sz w:val="24"/>
          <w:highlight w:val="none"/>
        </w:rPr>
      </w:pPr>
      <w:r>
        <w:rPr>
          <w:rFonts w:hint="eastAsia" w:ascii="宋体"/>
          <w:b/>
          <w:color w:val="auto"/>
          <w:sz w:val="24"/>
          <w:highlight w:val="none"/>
        </w:rPr>
        <w:t>33.</w:t>
      </w:r>
      <w:r>
        <w:rPr>
          <w:rFonts w:hint="eastAsia" w:ascii="宋体" w:hAnsi="宋体"/>
          <w:b/>
          <w:color w:val="auto"/>
          <w:sz w:val="24"/>
          <w:highlight w:val="none"/>
        </w:rPr>
        <w:t xml:space="preserve"> 投标人信誉的要求</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存在下列情形之一的，招标人可以限制其投标（需在招标文件中明确评定方法）</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（1）被住房城乡建设行政主管部门在全国建筑市场监管一体化工作平台列入建筑市场主体“黑名单”；</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p>
      <w:pPr>
        <w:pStyle w:val="3"/>
        <w:rPr>
          <w:color w:val="auto"/>
          <w:highlight w:val="none"/>
        </w:rPr>
      </w:pPr>
      <w:r>
        <w:rPr>
          <w:rFonts w:ascii="宋体"/>
          <w:color w:val="auto"/>
          <w:sz w:val="24"/>
          <w:highlight w:val="none"/>
        </w:rPr>
        <w:br w:type="page"/>
      </w:r>
      <w:bookmarkStart w:id="18" w:name="_Toc2272554"/>
      <w:bookmarkStart w:id="19" w:name="_Toc21525498"/>
      <w:r>
        <w:rPr>
          <w:rFonts w:hint="eastAsia"/>
          <w:color w:val="auto"/>
          <w:highlight w:val="none"/>
        </w:rPr>
        <w:t>第二章开标、评标及定标办法</w:t>
      </w:r>
      <w:bookmarkEnd w:id="18"/>
      <w:bookmarkEnd w:id="19"/>
    </w:p>
    <w:p>
      <w:pPr>
        <w:pStyle w:val="7"/>
        <w:rPr>
          <w:color w:val="auto"/>
          <w:highlight w:val="none"/>
        </w:rPr>
      </w:pPr>
      <w:bookmarkStart w:id="20" w:name="_Toc2272555"/>
      <w:bookmarkStart w:id="21" w:name="_Toc21525499"/>
      <w:r>
        <w:rPr>
          <w:rFonts w:hint="eastAsia"/>
          <w:color w:val="auto"/>
          <w:sz w:val="28"/>
          <w:szCs w:val="28"/>
          <w:highlight w:val="none"/>
        </w:rPr>
        <w:t>一、</w:t>
      </w:r>
      <w:r>
        <w:rPr>
          <w:rFonts w:hint="eastAsia"/>
          <w:color w:val="auto"/>
          <w:highlight w:val="none"/>
        </w:rPr>
        <w:t>开标、评标及定标办法修改表</w:t>
      </w:r>
      <w:bookmarkEnd w:id="20"/>
      <w:bookmarkEnd w:id="21"/>
    </w:p>
    <w:p>
      <w:pPr>
        <w:pStyle w:val="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2"/>
          <w:b/>
          <w:color w:val="auto"/>
          <w:szCs w:val="21"/>
          <w:highlight w:val="none"/>
        </w:rPr>
        <w:t>http://www.gzcc.gov.cn/</w:t>
      </w:r>
      <w:r>
        <w:rPr>
          <w:rStyle w:val="42"/>
          <w:rFonts w:hint="eastAsia"/>
          <w:b/>
          <w:color w:val="auto"/>
          <w:szCs w:val="21"/>
          <w:highlight w:val="none"/>
        </w:rPr>
        <w:t>）下载GZZB2018-3</w:t>
      </w:r>
      <w:r>
        <w:rPr>
          <w:rStyle w:val="42"/>
          <w:rFonts w:hint="eastAsia"/>
          <w:b/>
          <w:color w:val="auto"/>
          <w:szCs w:val="21"/>
          <w:highlight w:val="none"/>
        </w:rPr>
        <w:fldChar w:fldCharType="end"/>
      </w:r>
      <w:r>
        <w:rPr>
          <w:rFonts w:hint="eastAsia"/>
          <w:b/>
          <w:color w:val="auto"/>
          <w:szCs w:val="21"/>
          <w:highlight w:val="none"/>
        </w:rPr>
        <w:t>范本查阅。</w:t>
      </w:r>
    </w:p>
    <w:p>
      <w:pPr>
        <w:pStyle w:val="5"/>
        <w:spacing w:after="0" w:line="360" w:lineRule="auto"/>
        <w:rPr>
          <w:b/>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36.1</w:t>
      </w:r>
      <w:r>
        <w:rPr>
          <w:rFonts w:hint="eastAsia" w:ascii="宋体" w:hAnsi="宋体" w:cs="宋体"/>
          <w:color w:val="auto"/>
          <w:szCs w:val="21"/>
          <w:highlight w:val="none"/>
        </w:rPr>
        <w:t xml:space="preserve">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 xml:space="preserve">36.1 </w:t>
      </w:r>
      <w:r>
        <w:rPr>
          <w:rFonts w:hint="eastAsia" w:ascii="宋体" w:hAnsi="宋体" w:cs="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36.3</w:t>
      </w:r>
      <w:r>
        <w:rPr>
          <w:rFonts w:hint="eastAsia" w:ascii="宋体" w:hAnsi="宋体" w:cs="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pBdr>
          <w:bottom w:val="single" w:color="auto" w:sz="6" w:space="1"/>
        </w:pBdr>
        <w:spacing w:line="360" w:lineRule="auto"/>
        <w:ind w:firstLine="525" w:firstLineChars="250"/>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36.4</w:t>
      </w:r>
      <w:r>
        <w:rPr>
          <w:rFonts w:hint="eastAsia" w:ascii="宋体" w:hAnsi="宋体" w:cs="宋体"/>
          <w:color w:val="auto"/>
          <w:szCs w:val="21"/>
          <w:highlight w:val="none"/>
        </w:rPr>
        <w:t>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36.4</w:t>
      </w:r>
      <w:r>
        <w:rPr>
          <w:rFonts w:hint="eastAsia" w:ascii="宋体" w:hAnsi="宋体" w:cs="宋体"/>
          <w:color w:val="auto"/>
          <w:szCs w:val="21"/>
          <w:highlight w:val="none"/>
        </w:rPr>
        <w:t>若递交投标文件的投标人不足3家，则重新组织招标。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36.5.1</w:t>
      </w:r>
      <w:r>
        <w:rPr>
          <w:rFonts w:hint="eastAsia" w:ascii="宋体" w:hAnsi="宋体" w:cs="宋体"/>
          <w:color w:val="auto"/>
          <w:szCs w:val="21"/>
          <w:highlight w:val="none"/>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36.5.1</w:t>
      </w:r>
      <w:r>
        <w:rPr>
          <w:rFonts w:hint="eastAsia" w:ascii="宋体" w:hAnsi="宋体" w:cs="宋体"/>
          <w:color w:val="auto"/>
          <w:szCs w:val="21"/>
          <w:highlight w:val="none"/>
        </w:rPr>
        <w:t>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472" w:firstLineChars="224"/>
        <w:rPr>
          <w:b/>
          <w:color w:val="auto"/>
          <w:szCs w:val="21"/>
          <w:highlight w:val="none"/>
        </w:rPr>
      </w:pPr>
      <w:r>
        <w:rPr>
          <w:rFonts w:hint="eastAsia"/>
          <w:b/>
          <w:color w:val="auto"/>
          <w:szCs w:val="21"/>
          <w:highlight w:val="none"/>
        </w:rPr>
        <w:t>条款号：可选办法一修改类型：删除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可选办法一（适合综合评分法一，技术标与经济标先后分别开启）</w:t>
      </w:r>
    </w:p>
    <w:p>
      <w:pPr>
        <w:spacing w:line="360" w:lineRule="auto"/>
        <w:ind w:firstLine="472" w:firstLineChars="224"/>
        <w:rPr>
          <w:b/>
          <w:color w:val="auto"/>
          <w:szCs w:val="21"/>
          <w:highlight w:val="none"/>
        </w:rPr>
      </w:pPr>
      <w:r>
        <w:rPr>
          <w:rFonts w:hint="eastAsia"/>
          <w:b/>
          <w:color w:val="auto"/>
          <w:szCs w:val="21"/>
          <w:highlight w:val="none"/>
        </w:rPr>
        <w:t>条款号：可选办法二修改类型：删除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可选办法二（适合综合评分法一，技术标与经济标同时开启）</w:t>
      </w:r>
    </w:p>
    <w:p>
      <w:pPr>
        <w:spacing w:line="360" w:lineRule="auto"/>
        <w:ind w:firstLine="472" w:firstLineChars="224"/>
        <w:rPr>
          <w:b/>
          <w:color w:val="auto"/>
          <w:szCs w:val="21"/>
          <w:highlight w:val="none"/>
        </w:rPr>
      </w:pPr>
      <w:r>
        <w:rPr>
          <w:rFonts w:hint="eastAsia"/>
          <w:b/>
          <w:color w:val="auto"/>
          <w:szCs w:val="21"/>
          <w:highlight w:val="none"/>
        </w:rPr>
        <w:t>条款号：可选办法三修改类型：删除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可选办法三</w:t>
      </w:r>
    </w:p>
    <w:p>
      <w:pPr>
        <w:spacing w:line="360" w:lineRule="auto"/>
        <w:ind w:firstLine="472" w:firstLineChars="224"/>
        <w:rPr>
          <w:b/>
          <w:color w:val="auto"/>
          <w:szCs w:val="21"/>
          <w:highlight w:val="none"/>
        </w:rPr>
      </w:pPr>
      <w:r>
        <w:rPr>
          <w:rFonts w:hint="eastAsia"/>
          <w:b/>
          <w:color w:val="auto"/>
          <w:szCs w:val="21"/>
          <w:highlight w:val="none"/>
        </w:rPr>
        <w:t>条款号：可选办法四修改类型：删除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可选办法四（适合综合评分法二，技术标与经济标同时开启）</w:t>
      </w:r>
    </w:p>
    <w:p>
      <w:pPr>
        <w:spacing w:line="360" w:lineRule="auto"/>
        <w:ind w:firstLine="472" w:firstLineChars="224"/>
        <w:rPr>
          <w:b/>
          <w:color w:val="auto"/>
          <w:szCs w:val="21"/>
          <w:highlight w:val="none"/>
        </w:rPr>
      </w:pPr>
      <w:r>
        <w:rPr>
          <w:rFonts w:hint="eastAsia"/>
          <w:b/>
          <w:color w:val="auto"/>
          <w:szCs w:val="21"/>
          <w:highlight w:val="none"/>
        </w:rPr>
        <w:t>条款号：可选办法五修改类型：删除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可选办法五（适合综合评分法三，技术标与经济标先后分别开启）</w:t>
      </w:r>
    </w:p>
    <w:p>
      <w:pPr>
        <w:spacing w:line="360" w:lineRule="auto"/>
        <w:ind w:firstLine="472" w:firstLineChars="224"/>
        <w:rPr>
          <w:b/>
          <w:color w:val="auto"/>
          <w:szCs w:val="21"/>
          <w:highlight w:val="none"/>
        </w:rPr>
      </w:pPr>
      <w:r>
        <w:rPr>
          <w:rFonts w:hint="eastAsia"/>
          <w:b/>
          <w:color w:val="auto"/>
          <w:szCs w:val="21"/>
          <w:highlight w:val="none"/>
        </w:rPr>
        <w:t>条款号：可选办法六修改类型：删除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可选办法六（适合综合评分法三，技术标与经济标同时开启）</w:t>
      </w:r>
    </w:p>
    <w:p>
      <w:pPr>
        <w:spacing w:line="360" w:lineRule="auto"/>
        <w:ind w:firstLine="472" w:firstLineChars="224"/>
        <w:rPr>
          <w:b/>
          <w:color w:val="auto"/>
          <w:szCs w:val="21"/>
          <w:highlight w:val="none"/>
        </w:rPr>
      </w:pPr>
      <w:r>
        <w:rPr>
          <w:rFonts w:hint="eastAsia"/>
          <w:b/>
          <w:color w:val="auto"/>
          <w:szCs w:val="21"/>
          <w:highlight w:val="none"/>
        </w:rPr>
        <w:t>条款号：可选办法八修改类型：删除</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可选办法八（适合经评审的最低投标价法，技术标与经济标同时开启）</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原文：41.1</w:t>
      </w:r>
      <w:r>
        <w:rPr>
          <w:rFonts w:hint="eastAsia" w:ascii="宋体" w:hAnsi="宋体"/>
          <w:color w:val="auto"/>
          <w:sz w:val="24"/>
          <w:szCs w:val="24"/>
          <w:highlight w:val="none"/>
        </w:rPr>
        <w:t>开标由招标人主持</w:t>
      </w:r>
      <w:r>
        <w:rPr>
          <w:rFonts w:hint="eastAsia" w:ascii="宋体" w:hAnsi="宋体" w:cs="宋体"/>
          <w:bCs/>
          <w:color w:val="auto"/>
          <w:szCs w:val="21"/>
          <w:highlight w:val="none"/>
        </w:rPr>
        <w:t>。</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现文：41.1</w:t>
      </w:r>
      <w:r>
        <w:rPr>
          <w:rFonts w:hint="eastAsia" w:ascii="宋体" w:hAnsi="宋体"/>
          <w:color w:val="auto"/>
          <w:sz w:val="24"/>
          <w:szCs w:val="24"/>
          <w:highlight w:val="none"/>
        </w:rPr>
        <w:t>开标由招标人</w:t>
      </w:r>
      <w:r>
        <w:rPr>
          <w:rFonts w:hint="eastAsia" w:ascii="宋体" w:hAnsi="宋体"/>
          <w:color w:val="auto"/>
          <w:sz w:val="24"/>
          <w:szCs w:val="24"/>
          <w:highlight w:val="none"/>
          <w:u w:val="single"/>
        </w:rPr>
        <w:t>或招标代理</w:t>
      </w:r>
      <w:r>
        <w:rPr>
          <w:rFonts w:hint="eastAsia" w:ascii="宋体" w:hAnsi="宋体"/>
          <w:color w:val="auto"/>
          <w:sz w:val="24"/>
          <w:szCs w:val="24"/>
          <w:highlight w:val="none"/>
        </w:rPr>
        <w:t>主持</w:t>
      </w:r>
      <w:r>
        <w:rPr>
          <w:rFonts w:hint="eastAsia" w:ascii="宋体" w:hAnsi="宋体" w:cs="宋体"/>
          <w:bCs/>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原文：41.2.1</w:t>
      </w:r>
      <w:r>
        <w:rPr>
          <w:rFonts w:hint="eastAsia" w:ascii="宋体" w:hAnsi="宋体" w:cs="宋体"/>
          <w:bCs/>
          <w:color w:val="auto"/>
          <w:szCs w:val="21"/>
          <w:highlight w:val="none"/>
        </w:rPr>
        <w:t>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现文：41.2.1</w:t>
      </w:r>
      <w:r>
        <w:rPr>
          <w:rFonts w:hint="eastAsia" w:ascii="宋体" w:hAnsi="宋体" w:cs="宋体"/>
          <w:bCs/>
          <w:color w:val="auto"/>
          <w:szCs w:val="21"/>
          <w:highlight w:val="none"/>
        </w:rPr>
        <w:t>投标截止期前，各投标人递交投标文件（包括技术标投标文件、经济标投标文件）至</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交易平台。有关投标文件提交的事项详见第一章投标须知。</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527" w:firstLineChars="250"/>
        <w:rPr>
          <w:rFonts w:ascii="宋体" w:hAnsi="宋体" w:cs="宋体"/>
          <w:bCs/>
          <w:color w:val="auto"/>
          <w:szCs w:val="21"/>
          <w:highlight w:val="none"/>
        </w:rPr>
      </w:pPr>
      <w:r>
        <w:rPr>
          <w:rFonts w:hint="eastAsia" w:ascii="宋体" w:hAnsi="宋体" w:cs="宋体"/>
          <w:b/>
          <w:color w:val="auto"/>
          <w:szCs w:val="21"/>
          <w:highlight w:val="none"/>
        </w:rPr>
        <w:t>原文：41.2.2</w:t>
      </w:r>
      <w:r>
        <w:rPr>
          <w:rFonts w:hint="eastAsia" w:ascii="宋体" w:hAnsi="宋体" w:cs="宋体"/>
          <w:bCs/>
          <w:color w:val="auto"/>
          <w:szCs w:val="21"/>
          <w:highlight w:val="none"/>
        </w:rPr>
        <w:t>开标前，首先由招标人随机抽取确定该工程计算评标参考价的等分点值X。</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一：评标委员会为综合评标委员会，负责资格审查及评标工作。评标委员会</w:t>
      </w:r>
      <w:r>
        <w:rPr>
          <w:rFonts w:hint="eastAsia" w:ascii="宋体" w:hAnsi="宋体"/>
          <w:color w:val="auto"/>
          <w:szCs w:val="21"/>
          <w:highlight w:val="none"/>
          <w:u w:val="single"/>
        </w:rPr>
        <w:t>均由广东省综合评标评审专家库随机抽取，评标委员会人数为五人。</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条款号：43.6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43.6</w:t>
      </w:r>
      <w:r>
        <w:rPr>
          <w:rFonts w:hint="eastAsia" w:ascii="宋体" w:hAnsi="宋体" w:cs="宋体"/>
          <w:color w:val="auto"/>
          <w:szCs w:val="21"/>
          <w:highlight w:val="none"/>
        </w:rPr>
        <w:t>资格审查合格的投标人少于3名的（当N个标段同时招标且不允许兼中时，资格审查合格的投标人少于N+2名），则本项目招标失败。</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42.6</w:t>
      </w:r>
      <w:r>
        <w:rPr>
          <w:rFonts w:hint="eastAsia" w:ascii="宋体" w:hAnsi="宋体" w:cs="宋体"/>
          <w:color w:val="auto"/>
          <w:szCs w:val="21"/>
          <w:highlight w:val="none"/>
        </w:rPr>
        <w:t>资格审查合格的投标人少于3名的，则本项目招标失败。</w:t>
      </w:r>
    </w:p>
    <w:p>
      <w:pPr>
        <w:pBdr>
          <w:bottom w:val="single" w:color="auto" w:sz="6" w:space="1"/>
        </w:pBdr>
        <w:spacing w:line="360" w:lineRule="auto"/>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条款号：44.1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44.1</w:t>
      </w:r>
      <w:r>
        <w:rPr>
          <w:rFonts w:hint="eastAsia" w:ascii="宋体" w:hAnsi="宋体" w:cs="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44.1</w:t>
      </w:r>
      <w:r>
        <w:rPr>
          <w:rFonts w:hint="eastAsia" w:ascii="宋体" w:hAnsi="宋体" w:cs="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则本项目招标失败。</w:t>
      </w:r>
    </w:p>
    <w:p>
      <w:pPr>
        <w:pBdr>
          <w:bottom w:val="single" w:color="auto" w:sz="6" w:space="1"/>
        </w:pBdr>
        <w:spacing w:line="360" w:lineRule="auto"/>
        <w:rPr>
          <w:rFonts w:ascii="宋体" w:hAnsi="宋体" w:cs="宋体"/>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条款号：4</w:t>
      </w:r>
      <w:r>
        <w:rPr>
          <w:b/>
          <w:color w:val="auto"/>
          <w:szCs w:val="21"/>
          <w:highlight w:val="none"/>
        </w:rPr>
        <w:t xml:space="preserve">5.1             </w:t>
      </w:r>
      <w:r>
        <w:rPr>
          <w:rFonts w:hint="eastAsia"/>
          <w:b/>
          <w:color w:val="auto"/>
          <w:szCs w:val="21"/>
          <w:highlight w:val="none"/>
        </w:rPr>
        <w:t>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若通过技术标有效性审查的投标人中所有投标报价均大于等于最高投标限价*D%（D的取值范围为[94,100],由招标人自主确定）的（具体金额为：元），则本项目招标失败，由招标人依法重新招标。</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w:t>
      </w:r>
      <w:r>
        <w:rPr>
          <w:rFonts w:ascii="宋体" w:hAnsi="宋体"/>
          <w:b/>
          <w:color w:val="auto"/>
          <w:szCs w:val="21"/>
          <w:highlight w:val="none"/>
        </w:rPr>
        <w:t xml:space="preserve">5.2          </w:t>
      </w:r>
      <w:r>
        <w:rPr>
          <w:rFonts w:hint="eastAsia" w:ascii="宋体" w:hAnsi="宋体"/>
          <w:b/>
          <w:color w:val="auto"/>
          <w:szCs w:val="21"/>
          <w:highlight w:val="none"/>
        </w:rPr>
        <w:t>修改类型：修改</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原文</w:t>
      </w:r>
      <w:r>
        <w:rPr>
          <w:rFonts w:hint="eastAsia" w:ascii="宋体" w:hAnsi="宋体"/>
          <w:b/>
          <w:color w:val="auto"/>
          <w:highlight w:val="none"/>
        </w:rPr>
        <w:t>：</w:t>
      </w:r>
      <w:r>
        <w:rPr>
          <w:rFonts w:hint="eastAsia" w:ascii="宋体" w:hAnsi="宋体"/>
          <w:color w:val="auto"/>
          <w:highlight w:val="none"/>
        </w:rPr>
        <w:t>4</w:t>
      </w:r>
      <w:r>
        <w:rPr>
          <w:rFonts w:ascii="宋体" w:hAnsi="宋体"/>
          <w:color w:val="auto"/>
          <w:highlight w:val="none"/>
        </w:rPr>
        <w:t>5.2</w:t>
      </w:r>
      <w:r>
        <w:rPr>
          <w:rFonts w:hint="eastAsia" w:ascii="宋体" w:hAnsi="宋体"/>
          <w:color w:val="auto"/>
          <w:highlight w:val="none"/>
        </w:rPr>
        <w:t>按方法计算评标参考价：</w:t>
      </w:r>
    </w:p>
    <w:p>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方法一：加权平均法</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技术标或技术标加诚信得分或技术入围得分（具体由招标人自定）前</w:t>
      </w:r>
      <w:r>
        <w:rPr>
          <w:rFonts w:ascii="宋体" w:hAnsi="宋体"/>
          <w:color w:val="auto"/>
          <w:highlight w:val="none"/>
        </w:rPr>
        <w:t>N</w:t>
      </w:r>
      <w:r>
        <w:rPr>
          <w:rFonts w:hint="eastAsia" w:ascii="宋体" w:hAnsi="宋体"/>
          <w:color w:val="auto"/>
          <w:highlight w:val="none"/>
        </w:rPr>
        <w:t>名（N≥5，具体由招标人自定）的经济报价加权平均，计算评标参考价。公式如下：</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评标参考价</w:t>
      </w:r>
      <w:r>
        <w:rPr>
          <w:rFonts w:ascii="宋体" w:hAnsi="宋体"/>
          <w:color w:val="auto"/>
          <w:highlight w:val="none"/>
        </w:rPr>
        <w:t>=</w:t>
      </w:r>
      <w:r>
        <w:rPr>
          <w:rFonts w:hint="eastAsia" w:ascii="宋体" w:hAnsi="宋体"/>
          <w:color w:val="auto"/>
          <w:highlight w:val="none"/>
        </w:rPr>
        <w:t>Σ（投标人的投标报价</w:t>
      </w:r>
      <w:r>
        <w:rPr>
          <w:rFonts w:ascii="宋体" w:hAnsi="宋体"/>
          <w:color w:val="auto"/>
          <w:highlight w:val="none"/>
        </w:rPr>
        <w:t>*</w:t>
      </w:r>
      <w:r>
        <w:rPr>
          <w:rFonts w:hint="eastAsia" w:ascii="宋体" w:hAnsi="宋体"/>
          <w:color w:val="auto"/>
          <w:highlight w:val="none"/>
        </w:rPr>
        <w:t>报价权重）。</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其中：报价权重的计算方法为：将</w:t>
      </w:r>
      <w:r>
        <w:rPr>
          <w:rFonts w:ascii="宋体" w:hAnsi="宋体"/>
          <w:color w:val="auto"/>
          <w:highlight w:val="none"/>
        </w:rPr>
        <w:t>N</w:t>
      </w:r>
      <w:r>
        <w:rPr>
          <w:rFonts w:hint="eastAsia" w:ascii="宋体" w:hAnsi="宋体"/>
          <w:color w:val="auto"/>
          <w:highlight w:val="none"/>
        </w:rPr>
        <w:t>名投标人按技术分由高至低进行排序，第一名投标人的权重为（</w:t>
      </w:r>
      <w:r>
        <w:rPr>
          <w:rFonts w:ascii="宋体" w:hAnsi="宋体"/>
          <w:color w:val="auto"/>
          <w:highlight w:val="none"/>
        </w:rPr>
        <w:fldChar w:fldCharType="begin"/>
      </w:r>
      <w:r>
        <w:rPr>
          <w:rFonts w:ascii="宋体" w:hAnsi="宋体"/>
          <w:color w:val="auto"/>
          <w:highlight w:val="none"/>
        </w:rPr>
        <w:instrText xml:space="preserve"> QUOTE </w:instrText>
      </w:r>
      <w:r>
        <w:rPr>
          <w:rFonts w:ascii="宋体" w:hAnsi="宋体"/>
          <w:color w:val="auto"/>
          <w:highlight w:val="none"/>
        </w:rPr>
        <w:drawing>
          <wp:inline distT="0" distB="0" distL="114300" distR="114300">
            <wp:extent cx="381000" cy="450850"/>
            <wp:effectExtent l="0" t="0" r="0" b="635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50850"/>
                    </a:xfrm>
                    <a:prstGeom prst="rect">
                      <a:avLst/>
                    </a:prstGeom>
                    <a:noFill/>
                    <a:ln>
                      <a:noFill/>
                    </a:ln>
                  </pic:spPr>
                </pic:pic>
              </a:graphicData>
            </a:graphic>
          </wp:inline>
        </w:drawing>
      </w:r>
      <w:r>
        <w:rPr>
          <w:rFonts w:ascii="宋体" w:hAnsi="宋体"/>
          <w:color w:val="auto"/>
          <w:highlight w:val="none"/>
        </w:rPr>
        <w:instrText xml:space="preserve"> \* MERGEFORMAT </w:instrText>
      </w:r>
      <w:r>
        <w:rPr>
          <w:rFonts w:ascii="宋体" w:hAnsi="宋体"/>
          <w:color w:val="auto"/>
          <w:highlight w:val="none"/>
        </w:rPr>
        <w:fldChar w:fldCharType="separate"/>
      </w:r>
      <w:r>
        <w:rPr>
          <w:rFonts w:ascii="宋体" w:hAnsi="宋体"/>
          <w:color w:val="auto"/>
          <w:highlight w:val="none"/>
        </w:rPr>
        <w:drawing>
          <wp:inline distT="0" distB="0" distL="114300" distR="114300">
            <wp:extent cx="215900" cy="255270"/>
            <wp:effectExtent l="0" t="0" r="12700" b="1143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15900" cy="255270"/>
                    </a:xfrm>
                    <a:prstGeom prst="rect">
                      <a:avLst/>
                    </a:prstGeom>
                    <a:noFill/>
                    <a:ln>
                      <a:noFill/>
                    </a:ln>
                  </pic:spPr>
                </pic:pic>
              </a:graphicData>
            </a:graphic>
          </wp:inline>
        </w:drawing>
      </w:r>
      <w:r>
        <w:rPr>
          <w:rFonts w:ascii="宋体" w:hAnsi="宋体"/>
          <w:color w:val="auto"/>
          <w:highlight w:val="none"/>
        </w:rPr>
        <w:fldChar w:fldCharType="end"/>
      </w:r>
      <w:r>
        <w:rPr>
          <w:rFonts w:hint="eastAsia" w:ascii="宋体" w:hAnsi="宋体"/>
          <w:color w:val="auto"/>
          <w:highlight w:val="none"/>
        </w:rPr>
        <w:t>），第二名投标人的权重为（</w:t>
      </w:r>
      <w:r>
        <w:rPr>
          <w:rFonts w:ascii="宋体" w:hAnsi="宋体"/>
          <w:color w:val="auto"/>
          <w:highlight w:val="none"/>
        </w:rPr>
        <w:fldChar w:fldCharType="begin"/>
      </w:r>
      <w:r>
        <w:rPr>
          <w:rFonts w:ascii="宋体" w:hAnsi="宋体"/>
          <w:color w:val="auto"/>
          <w:highlight w:val="none"/>
        </w:rPr>
        <w:instrText xml:space="preserve"> QUOTE </w:instrText>
      </w:r>
      <w:r>
        <w:rPr>
          <w:rFonts w:ascii="宋体" w:hAnsi="宋体"/>
          <w:color w:val="auto"/>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highlight w:val="none"/>
        </w:rPr>
        <w:instrText xml:space="preserve"> \* MERGEFORMAT </w:instrText>
      </w:r>
      <w:r>
        <w:rPr>
          <w:rFonts w:ascii="宋体" w:hAnsi="宋体"/>
          <w:color w:val="auto"/>
          <w:highlight w:val="none"/>
        </w:rPr>
        <w:fldChar w:fldCharType="separate"/>
      </w:r>
      <w:r>
        <w:rPr>
          <w:rFonts w:ascii="宋体" w:hAnsi="宋体"/>
          <w:color w:val="auto"/>
          <w:highlight w:val="none"/>
        </w:rPr>
        <w:drawing>
          <wp:inline distT="0" distB="0" distL="114300" distR="114300">
            <wp:extent cx="209550" cy="259080"/>
            <wp:effectExtent l="0" t="0" r="0" b="6985"/>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209550" cy="259080"/>
                    </a:xfrm>
                    <a:prstGeom prst="rect">
                      <a:avLst/>
                    </a:prstGeom>
                    <a:noFill/>
                    <a:ln>
                      <a:noFill/>
                    </a:ln>
                  </pic:spPr>
                </pic:pic>
              </a:graphicData>
            </a:graphic>
          </wp:inline>
        </w:drawing>
      </w:r>
      <w:r>
        <w:rPr>
          <w:rFonts w:ascii="宋体" w:hAnsi="宋体"/>
          <w:color w:val="auto"/>
          <w:highlight w:val="none"/>
        </w:rPr>
        <w:fldChar w:fldCharType="end"/>
      </w:r>
      <w:r>
        <w:rPr>
          <w:rFonts w:hint="eastAsia" w:ascii="宋体" w:hAnsi="宋体"/>
          <w:color w:val="auto"/>
          <w:highlight w:val="none"/>
        </w:rPr>
        <w:t>），以此类推，最后一名投标人的权重为（</w:t>
      </w:r>
      <w:r>
        <w:rPr>
          <w:rFonts w:ascii="宋体" w:hAnsi="宋体"/>
          <w:color w:val="auto"/>
          <w:highlight w:val="none"/>
        </w:rPr>
        <w:fldChar w:fldCharType="begin"/>
      </w:r>
      <w:r>
        <w:rPr>
          <w:rFonts w:ascii="宋体" w:hAnsi="宋体"/>
          <w:color w:val="auto"/>
          <w:highlight w:val="none"/>
        </w:rPr>
        <w:instrText xml:space="preserve"> QUOTE </w:instrText>
      </w:r>
      <w:r>
        <w:rPr>
          <w:rFonts w:ascii="宋体" w:hAnsi="宋体"/>
          <w:color w:val="auto"/>
          <w:highlight w:val="none"/>
        </w:rPr>
        <w:drawing>
          <wp:inline distT="0" distB="0" distL="114300" distR="114300">
            <wp:extent cx="323850" cy="400050"/>
            <wp:effectExtent l="0" t="0" r="0" b="0"/>
            <wp:docPr id="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highlight w:val="none"/>
        </w:rPr>
        <w:instrText xml:space="preserve"> \* MERGEFORMAT </w:instrText>
      </w:r>
      <w:r>
        <w:rPr>
          <w:rFonts w:ascii="宋体" w:hAnsi="宋体"/>
          <w:color w:val="auto"/>
          <w:highlight w:val="none"/>
        </w:rPr>
        <w:fldChar w:fldCharType="separate"/>
      </w:r>
      <w:r>
        <w:rPr>
          <w:rFonts w:ascii="宋体" w:hAnsi="宋体"/>
          <w:color w:val="auto"/>
          <w:highlight w:val="none"/>
        </w:rPr>
        <w:drawing>
          <wp:inline distT="0" distB="0" distL="114300" distR="114300">
            <wp:extent cx="226060" cy="279400"/>
            <wp:effectExtent l="0" t="0" r="2540" b="5715"/>
            <wp:docPr id="3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26060" cy="279400"/>
                    </a:xfrm>
                    <a:prstGeom prst="rect">
                      <a:avLst/>
                    </a:prstGeom>
                    <a:noFill/>
                    <a:ln>
                      <a:noFill/>
                    </a:ln>
                  </pic:spPr>
                </pic:pic>
              </a:graphicData>
            </a:graphic>
          </wp:inline>
        </w:drawing>
      </w:r>
      <w:r>
        <w:rPr>
          <w:rFonts w:ascii="宋体" w:hAnsi="宋体"/>
          <w:color w:val="auto"/>
          <w:highlight w:val="none"/>
        </w:rPr>
        <w:fldChar w:fldCharType="end"/>
      </w:r>
      <w:r>
        <w:rPr>
          <w:rFonts w:hint="eastAsia" w:ascii="宋体" w:hAnsi="宋体"/>
          <w:color w:val="auto"/>
          <w:highlight w:val="none"/>
        </w:rPr>
        <w:t>）。</w:t>
      </w:r>
    </w:p>
    <w:p>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方法二：区间抽取法</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设立入围合格分数线（技术标或技术标加诚信得分或技术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评标参考价</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Q</w:t>
      </w:r>
      <w:r>
        <w:rPr>
          <w:rFonts w:hint="eastAsia" w:ascii="宋体" w:hAnsi="宋体"/>
          <w:color w:val="auto"/>
          <w:highlight w:val="none"/>
        </w:rPr>
        <w:t>高</w:t>
      </w:r>
      <w:r>
        <w:rPr>
          <w:rFonts w:ascii="宋体" w:hAnsi="宋体"/>
          <w:color w:val="auto"/>
          <w:highlight w:val="none"/>
        </w:rPr>
        <w:t>-Q</w:t>
      </w:r>
      <w:r>
        <w:rPr>
          <w:rFonts w:hint="eastAsia" w:ascii="宋体" w:hAnsi="宋体"/>
          <w:color w:val="auto"/>
          <w:highlight w:val="none"/>
        </w:rPr>
        <w:t>低）</w:t>
      </w:r>
      <w:r>
        <w:rPr>
          <w:rFonts w:ascii="宋体" w:hAnsi="宋体"/>
          <w:color w:val="auto"/>
          <w:highlight w:val="none"/>
        </w:rPr>
        <w:t>/100*</w:t>
      </w:r>
      <w:r>
        <w:rPr>
          <w:rFonts w:hint="eastAsia" w:ascii="宋体" w:hAnsi="宋体"/>
          <w:color w:val="auto"/>
          <w:highlight w:val="none"/>
        </w:rPr>
        <w:t>Ｘ</w:t>
      </w:r>
      <w:r>
        <w:rPr>
          <w:rFonts w:ascii="宋体" w:hAnsi="宋体"/>
          <w:color w:val="auto"/>
          <w:highlight w:val="none"/>
        </w:rPr>
        <w:t>+Q</w:t>
      </w:r>
      <w:r>
        <w:rPr>
          <w:rFonts w:hint="eastAsia" w:ascii="宋体" w:hAnsi="宋体"/>
          <w:color w:val="auto"/>
          <w:highlight w:val="none"/>
        </w:rPr>
        <w:t>低</w:t>
      </w:r>
    </w:p>
    <w:p>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低：为达到或超过技术标及格分数线的投标人最低报价与工程成本警示价两者中的较高值；</w:t>
      </w:r>
    </w:p>
    <w:p>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高：为（最高投标限价</w:t>
      </w:r>
      <w:r>
        <w:rPr>
          <w:rFonts w:ascii="宋体" w:hAnsi="宋体"/>
          <w:color w:val="auto"/>
          <w:highlight w:val="none"/>
        </w:rPr>
        <w:t>*D%</w:t>
      </w:r>
      <w:r>
        <w:rPr>
          <w:rFonts w:hint="eastAsia" w:ascii="宋体" w:hAnsi="宋体"/>
          <w:color w:val="auto"/>
          <w:highlight w:val="none"/>
        </w:rPr>
        <w:t>）（</w:t>
      </w:r>
      <w:r>
        <w:rPr>
          <w:rFonts w:ascii="宋体" w:hAnsi="宋体"/>
          <w:color w:val="auto"/>
          <w:highlight w:val="none"/>
        </w:rPr>
        <w:t>D</w:t>
      </w:r>
      <w:r>
        <w:rPr>
          <w:rFonts w:hint="eastAsia" w:ascii="宋体" w:hAnsi="宋体"/>
          <w:color w:val="auto"/>
          <w:highlight w:val="none"/>
        </w:rPr>
        <w:t>的取值范围为</w:t>
      </w:r>
      <w:r>
        <w:rPr>
          <w:rFonts w:ascii="宋体" w:hAnsi="宋体"/>
          <w:color w:val="auto"/>
          <w:highlight w:val="none"/>
        </w:rPr>
        <w:t>[94,100],</w:t>
      </w:r>
      <w:r>
        <w:rPr>
          <w:rFonts w:hint="eastAsia" w:ascii="宋体" w:hAnsi="宋体"/>
          <w:color w:val="auto"/>
          <w:highlight w:val="none"/>
        </w:rPr>
        <w:t>由招标人自定）</w:t>
      </w:r>
    </w:p>
    <w:p>
      <w:pPr>
        <w:pBdr>
          <w:bottom w:val="single" w:color="auto" w:sz="6" w:space="1"/>
        </w:pBdr>
        <w:spacing w:line="360" w:lineRule="auto"/>
        <w:ind w:firstLine="525" w:firstLineChars="250"/>
        <w:rPr>
          <w:rFonts w:ascii="宋体" w:hAnsi="宋体" w:cs="仿宋"/>
          <w:color w:val="auto"/>
          <w:sz w:val="24"/>
          <w:szCs w:val="24"/>
          <w:highlight w:val="none"/>
        </w:rPr>
      </w:pPr>
      <w:r>
        <w:rPr>
          <w:rFonts w:ascii="宋体" w:hAnsi="宋体"/>
          <w:color w:val="auto"/>
          <w:highlight w:val="none"/>
        </w:rPr>
        <w:t>X:</w:t>
      </w:r>
      <w:r>
        <w:rPr>
          <w:rFonts w:hint="eastAsia" w:ascii="宋体" w:hAnsi="宋体"/>
          <w:color w:val="auto"/>
          <w:highlight w:val="none"/>
        </w:rPr>
        <w:t>为等分点值，从</w:t>
      </w:r>
      <w:r>
        <w:rPr>
          <w:rFonts w:ascii="宋体" w:hAnsi="宋体"/>
          <w:color w:val="auto"/>
          <w:highlight w:val="none"/>
        </w:rPr>
        <w:t>[0,100]</w:t>
      </w:r>
      <w:r>
        <w:rPr>
          <w:rFonts w:hint="eastAsia" w:ascii="宋体" w:hAnsi="宋体"/>
          <w:color w:val="auto"/>
          <w:highlight w:val="none"/>
        </w:rPr>
        <w:t>整数中随机抽取</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highlight w:val="none"/>
        </w:rPr>
        <w:t>4</w:t>
      </w:r>
      <w:r>
        <w:rPr>
          <w:rFonts w:ascii="宋体" w:hAnsi="宋体"/>
          <w:color w:val="auto"/>
          <w:highlight w:val="none"/>
        </w:rPr>
        <w:t>5.2</w:t>
      </w:r>
      <w:r>
        <w:rPr>
          <w:rFonts w:hint="eastAsia" w:ascii="宋体" w:hAnsi="宋体"/>
          <w:color w:val="auto"/>
          <w:highlight w:val="none"/>
        </w:rPr>
        <w:t>按方法</w:t>
      </w:r>
      <w:r>
        <w:rPr>
          <w:rFonts w:hint="eastAsia" w:ascii="宋体" w:hAnsi="宋体"/>
          <w:color w:val="auto"/>
          <w:highlight w:val="none"/>
          <w:u w:val="single"/>
        </w:rPr>
        <w:t xml:space="preserve">  一  </w:t>
      </w:r>
      <w:r>
        <w:rPr>
          <w:rFonts w:hint="eastAsia" w:ascii="宋体" w:hAnsi="宋体"/>
          <w:color w:val="auto"/>
          <w:highlight w:val="none"/>
        </w:rPr>
        <w:t>计算评标参考价：</w:t>
      </w:r>
    </w:p>
    <w:p>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方法一：加权平均法</w:t>
      </w:r>
    </w:p>
    <w:p>
      <w:pPr>
        <w:pBdr>
          <w:bottom w:val="single" w:color="auto" w:sz="6" w:space="1"/>
        </w:pBdr>
        <w:spacing w:line="360" w:lineRule="auto"/>
        <w:ind w:firstLine="525" w:firstLineChars="250"/>
        <w:rPr>
          <w:rFonts w:ascii="宋体" w:hAnsi="宋体"/>
          <w:color w:val="auto"/>
          <w:highlight w:val="none"/>
          <w:u w:val="single"/>
        </w:rPr>
      </w:pPr>
      <w:r>
        <w:rPr>
          <w:rFonts w:ascii="宋体" w:hAnsi="宋体"/>
          <w:color w:val="auto"/>
          <w:highlight w:val="none"/>
          <w:u w:val="single"/>
        </w:rPr>
        <w:t>①若通过</w:t>
      </w:r>
      <w:r>
        <w:rPr>
          <w:rFonts w:hint="eastAsia" w:ascii="宋体" w:hAnsi="宋体"/>
          <w:color w:val="auto"/>
          <w:highlight w:val="none"/>
          <w:u w:val="single"/>
        </w:rPr>
        <w:t>技术标有效性审查</w:t>
      </w:r>
      <w:r>
        <w:rPr>
          <w:rFonts w:ascii="宋体" w:hAnsi="宋体"/>
          <w:color w:val="auto"/>
          <w:highlight w:val="none"/>
          <w:u w:val="single"/>
        </w:rPr>
        <w:t>的投标人大于5家的，将通过技术标有效性审查的投标人按</w:t>
      </w:r>
      <w:r>
        <w:rPr>
          <w:rFonts w:hint="eastAsia" w:ascii="宋体" w:hAnsi="宋体"/>
          <w:color w:val="auto"/>
          <w:highlight w:val="none"/>
          <w:u w:val="single"/>
        </w:rPr>
        <w:t>技术</w:t>
      </w:r>
      <w:r>
        <w:rPr>
          <w:rFonts w:ascii="宋体" w:hAnsi="宋体"/>
          <w:color w:val="auto"/>
          <w:highlight w:val="none"/>
          <w:u w:val="single"/>
        </w:rPr>
        <w:t>得分由高至低排序前5名投标人（</w:t>
      </w:r>
      <w:r>
        <w:rPr>
          <w:rFonts w:hint="eastAsia" w:ascii="宋体" w:hAnsi="宋体"/>
          <w:color w:val="auto"/>
          <w:highlight w:val="none"/>
          <w:u w:val="single"/>
        </w:rPr>
        <w:t>若前5名中有得分相同的单位，按报价低者排前的原则，若报价亦一致的，由评标委员会采用记名投票方式，确定其排序</w:t>
      </w:r>
      <w:r>
        <w:rPr>
          <w:rFonts w:ascii="宋体" w:hAnsi="宋体"/>
          <w:color w:val="auto"/>
          <w:highlight w:val="none"/>
          <w:u w:val="single"/>
        </w:rPr>
        <w:t>）的经济报价加权平均计算评标参考价。</w:t>
      </w:r>
    </w:p>
    <w:p>
      <w:pPr>
        <w:pBdr>
          <w:bottom w:val="single" w:color="auto" w:sz="6" w:space="1"/>
        </w:pBdr>
        <w:spacing w:line="360" w:lineRule="auto"/>
        <w:ind w:firstLine="525" w:firstLineChars="250"/>
        <w:rPr>
          <w:rFonts w:ascii="宋体" w:hAnsi="宋体"/>
          <w:color w:val="auto"/>
          <w:highlight w:val="none"/>
          <w:u w:val="single"/>
        </w:rPr>
      </w:pPr>
      <w:r>
        <w:rPr>
          <w:rFonts w:ascii="宋体" w:hAnsi="宋体"/>
          <w:color w:val="auto"/>
          <w:highlight w:val="none"/>
          <w:u w:val="single"/>
        </w:rPr>
        <w:t>②若通过技术标有效性审查的投标人家数在[3, 5]中的，将所有通过技术标有效性审查的投标人的经济报价加权平均计算评标参考价</w:t>
      </w:r>
      <w:r>
        <w:rPr>
          <w:rFonts w:hint="eastAsia" w:ascii="宋体" w:hAnsi="宋体"/>
          <w:color w:val="auto"/>
          <w:highlight w:val="none"/>
          <w:u w:val="single"/>
        </w:rPr>
        <w:t>（若前5名中有得分相同的单位，按报价低者排前的原则，若报价亦一致的，由评标委员会采用记名投票方式，确定其排序）</w:t>
      </w:r>
      <w:r>
        <w:rPr>
          <w:rFonts w:ascii="宋体" w:hAnsi="宋体"/>
          <w:color w:val="auto"/>
          <w:highlight w:val="none"/>
          <w:u w:val="single"/>
        </w:rPr>
        <w:t>。</w:t>
      </w:r>
    </w:p>
    <w:p>
      <w:pPr>
        <w:pBdr>
          <w:bottom w:val="single" w:color="auto" w:sz="6" w:space="1"/>
        </w:pBdr>
        <w:spacing w:line="360" w:lineRule="auto"/>
        <w:ind w:firstLine="525" w:firstLineChars="250"/>
        <w:rPr>
          <w:rFonts w:ascii="宋体" w:hAnsi="宋体"/>
          <w:strike/>
          <w:color w:val="auto"/>
          <w:highlight w:val="none"/>
        </w:rPr>
      </w:pPr>
      <w:r>
        <w:rPr>
          <w:rFonts w:ascii="宋体" w:hAnsi="宋体"/>
          <w:color w:val="auto"/>
          <w:highlight w:val="none"/>
          <w:u w:val="single"/>
        </w:rPr>
        <w:t>即：假设参与评标参考价计算的投标人共有N名，评标参考价=Σ（投标人的投标报价×报价权重）。前N名的投标人的报价权重按其</w:t>
      </w:r>
      <w:r>
        <w:rPr>
          <w:rFonts w:hint="eastAsia" w:ascii="宋体" w:hAnsi="宋体"/>
          <w:color w:val="auto"/>
          <w:highlight w:val="none"/>
          <w:u w:val="single"/>
        </w:rPr>
        <w:t>技术</w:t>
      </w:r>
      <w:r>
        <w:rPr>
          <w:rFonts w:ascii="宋体" w:hAnsi="宋体"/>
          <w:color w:val="auto"/>
          <w:highlight w:val="none"/>
          <w:u w:val="single"/>
        </w:rPr>
        <w:t>得分高低确定，得分越高，权重越大。具体计算方法为：将N名投标人按</w:t>
      </w:r>
      <w:r>
        <w:rPr>
          <w:rFonts w:hint="eastAsia" w:ascii="宋体" w:hAnsi="宋体"/>
          <w:color w:val="auto"/>
          <w:highlight w:val="none"/>
          <w:u w:val="single"/>
        </w:rPr>
        <w:t>技术得分</w:t>
      </w:r>
      <w:r>
        <w:rPr>
          <w:rFonts w:ascii="宋体" w:hAnsi="宋体"/>
          <w:color w:val="auto"/>
          <w:highlight w:val="none"/>
          <w:u w:val="single"/>
        </w:rPr>
        <w:t>由高至低进行排序，第一名投标人的权重为（</w:t>
      </w:r>
      <m:oMath>
        <m:f>
          <m:fPr>
            <m:ctrlPr>
              <w:rPr>
                <w:rFonts w:ascii="Cambria Math" w:hAnsi="Cambria Math"/>
                <w:color w:val="auto"/>
                <w:szCs w:val="21"/>
                <w:highlight w:val="none"/>
              </w:rPr>
            </m:ctrlPr>
          </m:fPr>
          <m:num>
            <m:r>
              <m:rPr/>
              <w:rPr>
                <w:rFonts w:ascii="Cambria Math" w:hAnsi="Cambria Math"/>
                <w:color w:val="auto"/>
                <w:szCs w:val="21"/>
                <w:highlight w:val="none"/>
              </w:rPr>
              <m:t>N</m:t>
            </m:r>
            <m:ctrlPr>
              <w:rPr>
                <w:rFonts w:ascii="Cambria Math" w:hAnsi="Cambria Math"/>
                <w:color w:val="auto"/>
                <w:szCs w:val="21"/>
                <w:highlight w:val="none"/>
              </w:rPr>
            </m:ctrlPr>
          </m:num>
          <m:den>
            <m:nary>
              <m:naryPr>
                <m:chr m:val="∑"/>
                <m:limLoc m:val="subSup"/>
                <m:ctrlPr>
                  <w:rPr>
                    <w:rFonts w:ascii="Cambria Math" w:hAnsi="Cambria Math"/>
                    <w:i/>
                    <w:color w:val="auto"/>
                    <w:szCs w:val="21"/>
                    <w:highlight w:val="none"/>
                  </w:rPr>
                </m:ctrlPr>
              </m:naryPr>
              <m:sub>
                <m:r>
                  <m:rPr/>
                  <w:rPr>
                    <w:rFonts w:ascii="Cambria Math" w:hAnsi="Cambria Math"/>
                    <w:color w:val="auto"/>
                    <w:szCs w:val="21"/>
                    <w:highlight w:val="none"/>
                  </w:rPr>
                  <m:t>1</m:t>
                </m:r>
                <m:ctrlPr>
                  <w:rPr>
                    <w:rFonts w:ascii="Cambria Math" w:hAnsi="Cambria Math"/>
                    <w:i/>
                    <w:color w:val="auto"/>
                    <w:szCs w:val="21"/>
                    <w:highlight w:val="none"/>
                  </w:rPr>
                </m:ctrlPr>
              </m:sub>
              <m:sup>
                <m:r>
                  <m:rPr/>
                  <w:rPr>
                    <w:rFonts w:ascii="Cambria Math" w:hAnsi="Cambria Math"/>
                    <w:color w:val="auto"/>
                    <w:szCs w:val="21"/>
                    <w:highlight w:val="none"/>
                  </w:rPr>
                  <m:t>N</m:t>
                </m:r>
                <m:ctrlPr>
                  <w:rPr>
                    <w:rFonts w:ascii="Cambria Math" w:hAnsi="Cambria Math"/>
                    <w:i/>
                    <w:color w:val="auto"/>
                    <w:szCs w:val="21"/>
                    <w:highlight w:val="none"/>
                  </w:rPr>
                </m:ctrlPr>
              </m:sup>
              <m:e>
                <m:r>
                  <m:rPr/>
                  <w:rPr>
                    <w:rFonts w:ascii="Cambria Math" w:hAnsi="Cambria Math"/>
                    <w:color w:val="auto"/>
                    <w:szCs w:val="21"/>
                    <w:highlight w:val="none"/>
                  </w:rPr>
                  <m:t>n</m:t>
                </m:r>
                <m:ctrlPr>
                  <w:rPr>
                    <w:rFonts w:ascii="Cambria Math" w:hAnsi="Cambria Math"/>
                    <w:i/>
                    <w:color w:val="auto"/>
                    <w:szCs w:val="21"/>
                    <w:highlight w:val="none"/>
                  </w:rPr>
                </m:ctrlPr>
              </m:e>
            </m:nary>
            <m:ctrlPr>
              <w:rPr>
                <w:rFonts w:ascii="Cambria Math" w:hAnsi="Cambria Math"/>
                <w:color w:val="auto"/>
                <w:szCs w:val="21"/>
                <w:highlight w:val="none"/>
              </w:rPr>
            </m:ctrlPr>
          </m:den>
        </m:f>
      </m:oMath>
      <w:r>
        <w:rPr>
          <w:rFonts w:ascii="宋体" w:hAnsi="宋体"/>
          <w:color w:val="auto"/>
          <w:highlight w:val="none"/>
          <w:u w:val="single"/>
        </w:rPr>
        <w:t>）,第二名投标人的权重为（</w:t>
      </w:r>
      <m:oMath>
        <m:f>
          <m:fPr>
            <m:ctrlPr>
              <w:rPr>
                <w:rFonts w:ascii="Cambria Math" w:hAnsi="Cambria Math"/>
                <w:color w:val="auto"/>
                <w:szCs w:val="21"/>
                <w:highlight w:val="none"/>
              </w:rPr>
            </m:ctrlPr>
          </m:fPr>
          <m:num>
            <m:r>
              <m:rPr/>
              <w:rPr>
                <w:rFonts w:ascii="Cambria Math" w:hAnsi="Cambria Math"/>
                <w:color w:val="auto"/>
                <w:szCs w:val="21"/>
                <w:highlight w:val="none"/>
              </w:rPr>
              <m:t>N−1</m:t>
            </m:r>
            <m:ctrlPr>
              <w:rPr>
                <w:rFonts w:ascii="Cambria Math" w:hAnsi="Cambria Math"/>
                <w:color w:val="auto"/>
                <w:szCs w:val="21"/>
                <w:highlight w:val="none"/>
              </w:rPr>
            </m:ctrlPr>
          </m:num>
          <m:den>
            <m:nary>
              <m:naryPr>
                <m:chr m:val="∑"/>
                <m:limLoc m:val="subSup"/>
                <m:ctrlPr>
                  <w:rPr>
                    <w:rFonts w:ascii="Cambria Math" w:hAnsi="Cambria Math"/>
                    <w:i/>
                    <w:color w:val="auto"/>
                    <w:szCs w:val="21"/>
                    <w:highlight w:val="none"/>
                  </w:rPr>
                </m:ctrlPr>
              </m:naryPr>
              <m:sub>
                <m:r>
                  <m:rPr/>
                  <w:rPr>
                    <w:rFonts w:ascii="Cambria Math" w:hAnsi="Cambria Math"/>
                    <w:color w:val="auto"/>
                    <w:szCs w:val="21"/>
                    <w:highlight w:val="none"/>
                  </w:rPr>
                  <m:t>1</m:t>
                </m:r>
                <m:ctrlPr>
                  <w:rPr>
                    <w:rFonts w:ascii="Cambria Math" w:hAnsi="Cambria Math"/>
                    <w:i/>
                    <w:color w:val="auto"/>
                    <w:szCs w:val="21"/>
                    <w:highlight w:val="none"/>
                  </w:rPr>
                </m:ctrlPr>
              </m:sub>
              <m:sup>
                <m:r>
                  <m:rPr/>
                  <w:rPr>
                    <w:rFonts w:ascii="Cambria Math" w:hAnsi="Cambria Math"/>
                    <w:color w:val="auto"/>
                    <w:szCs w:val="21"/>
                    <w:highlight w:val="none"/>
                  </w:rPr>
                  <m:t>N</m:t>
                </m:r>
                <m:ctrlPr>
                  <w:rPr>
                    <w:rFonts w:ascii="Cambria Math" w:hAnsi="Cambria Math"/>
                    <w:i/>
                    <w:color w:val="auto"/>
                    <w:szCs w:val="21"/>
                    <w:highlight w:val="none"/>
                  </w:rPr>
                </m:ctrlPr>
              </m:sup>
              <m:e>
                <m:r>
                  <m:rPr/>
                  <w:rPr>
                    <w:rFonts w:ascii="Cambria Math" w:hAnsi="Cambria Math"/>
                    <w:color w:val="auto"/>
                    <w:szCs w:val="21"/>
                    <w:highlight w:val="none"/>
                  </w:rPr>
                  <m:t>n</m:t>
                </m:r>
                <m:ctrlPr>
                  <w:rPr>
                    <w:rFonts w:ascii="Cambria Math" w:hAnsi="Cambria Math"/>
                    <w:i/>
                    <w:color w:val="auto"/>
                    <w:szCs w:val="21"/>
                    <w:highlight w:val="none"/>
                  </w:rPr>
                </m:ctrlPr>
              </m:e>
            </m:nary>
            <m:ctrlPr>
              <w:rPr>
                <w:rFonts w:ascii="Cambria Math" w:hAnsi="Cambria Math"/>
                <w:color w:val="auto"/>
                <w:szCs w:val="21"/>
                <w:highlight w:val="none"/>
              </w:rPr>
            </m:ctrlPr>
          </m:den>
        </m:f>
      </m:oMath>
      <w:r>
        <w:rPr>
          <w:rFonts w:ascii="宋体" w:hAnsi="宋体"/>
          <w:color w:val="auto"/>
          <w:highlight w:val="none"/>
          <w:u w:val="single"/>
        </w:rPr>
        <w:t>），以此类推，最后一名投标人的权重为（</w:t>
      </w:r>
      <m:oMath>
        <m:f>
          <m:fPr>
            <m:ctrlPr>
              <w:rPr>
                <w:rFonts w:ascii="Cambria Math" w:hAnsi="Cambria Math"/>
                <w:color w:val="auto"/>
                <w:szCs w:val="21"/>
                <w:highlight w:val="none"/>
              </w:rPr>
            </m:ctrlPr>
          </m:fPr>
          <m:num>
            <m:r>
              <m:rPr/>
              <w:rPr>
                <w:rFonts w:ascii="Cambria Math" w:hAnsi="Cambria Math"/>
                <w:color w:val="auto"/>
                <w:szCs w:val="21"/>
                <w:highlight w:val="none"/>
              </w:rPr>
              <m:t>1</m:t>
            </m:r>
            <m:ctrlPr>
              <w:rPr>
                <w:rFonts w:ascii="Cambria Math" w:hAnsi="Cambria Math"/>
                <w:color w:val="auto"/>
                <w:szCs w:val="21"/>
                <w:highlight w:val="none"/>
              </w:rPr>
            </m:ctrlPr>
          </m:num>
          <m:den>
            <m:nary>
              <m:naryPr>
                <m:chr m:val="∑"/>
                <m:limLoc m:val="subSup"/>
                <m:ctrlPr>
                  <w:rPr>
                    <w:rFonts w:ascii="Cambria Math" w:hAnsi="Cambria Math"/>
                    <w:i/>
                    <w:color w:val="auto"/>
                    <w:szCs w:val="21"/>
                    <w:highlight w:val="none"/>
                  </w:rPr>
                </m:ctrlPr>
              </m:naryPr>
              <m:sub>
                <m:r>
                  <m:rPr/>
                  <w:rPr>
                    <w:rFonts w:ascii="Cambria Math" w:hAnsi="Cambria Math"/>
                    <w:color w:val="auto"/>
                    <w:szCs w:val="21"/>
                    <w:highlight w:val="none"/>
                  </w:rPr>
                  <m:t>1</m:t>
                </m:r>
                <m:ctrlPr>
                  <w:rPr>
                    <w:rFonts w:ascii="Cambria Math" w:hAnsi="Cambria Math"/>
                    <w:i/>
                    <w:color w:val="auto"/>
                    <w:szCs w:val="21"/>
                    <w:highlight w:val="none"/>
                  </w:rPr>
                </m:ctrlPr>
              </m:sub>
              <m:sup>
                <m:r>
                  <m:rPr/>
                  <w:rPr>
                    <w:rFonts w:ascii="Cambria Math" w:hAnsi="Cambria Math"/>
                    <w:color w:val="auto"/>
                    <w:szCs w:val="21"/>
                    <w:highlight w:val="none"/>
                  </w:rPr>
                  <m:t>N</m:t>
                </m:r>
                <m:ctrlPr>
                  <w:rPr>
                    <w:rFonts w:ascii="Cambria Math" w:hAnsi="Cambria Math"/>
                    <w:i/>
                    <w:color w:val="auto"/>
                    <w:szCs w:val="21"/>
                    <w:highlight w:val="none"/>
                  </w:rPr>
                </m:ctrlPr>
              </m:sup>
              <m:e>
                <m:r>
                  <m:rPr/>
                  <w:rPr>
                    <w:rFonts w:ascii="Cambria Math" w:hAnsi="Cambria Math"/>
                    <w:color w:val="auto"/>
                    <w:szCs w:val="21"/>
                    <w:highlight w:val="none"/>
                  </w:rPr>
                  <m:t>n</m:t>
                </m:r>
                <m:ctrlPr>
                  <w:rPr>
                    <w:rFonts w:ascii="Cambria Math" w:hAnsi="Cambria Math"/>
                    <w:i/>
                    <w:color w:val="auto"/>
                    <w:szCs w:val="21"/>
                    <w:highlight w:val="none"/>
                  </w:rPr>
                </m:ctrlPr>
              </m:e>
            </m:nary>
            <m:ctrlPr>
              <w:rPr>
                <w:rFonts w:ascii="Cambria Math" w:hAnsi="Cambria Math"/>
                <w:color w:val="auto"/>
                <w:szCs w:val="21"/>
                <w:highlight w:val="none"/>
              </w:rPr>
            </m:ctrlPr>
          </m:den>
        </m:f>
      </m:oMath>
      <w:r>
        <w:rPr>
          <w:rFonts w:ascii="宋体" w:hAnsi="宋体"/>
          <w:color w:val="auto"/>
          <w:highlight w:val="none"/>
          <w:u w:val="singl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条款号：45.3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现文：45.3</w:t>
      </w:r>
      <w:r>
        <w:rPr>
          <w:rFonts w:hint="eastAsia" w:ascii="宋体" w:hAnsi="宋体" w:cs="宋体"/>
          <w:bCs/>
          <w:color w:val="auto"/>
          <w:kern w:val="0"/>
          <w:szCs w:val="21"/>
          <w:highlight w:val="none"/>
        </w:rPr>
        <w:t>当</w:t>
      </w:r>
      <w:r>
        <w:rPr>
          <w:rFonts w:hint="eastAsia" w:ascii="宋体" w:hAnsi="宋体" w:cs="宋体"/>
          <w:color w:val="auto"/>
          <w:kern w:val="0"/>
          <w:szCs w:val="21"/>
          <w:highlight w:val="none"/>
        </w:rPr>
        <w:t>标价等于评标参考价时得100分，标价每高于评标参考价1%，扣</w:t>
      </w:r>
      <w:r>
        <w:rPr>
          <w:rFonts w:hint="eastAsia" w:ascii="宋体" w:hAnsi="宋体" w:cs="宋体"/>
          <w:color w:val="auto"/>
          <w:kern w:val="0"/>
          <w:szCs w:val="21"/>
          <w:highlight w:val="none"/>
          <w:u w:val="single"/>
        </w:rPr>
        <w:t>0.2</w:t>
      </w:r>
      <w:r>
        <w:rPr>
          <w:rFonts w:hint="eastAsia" w:ascii="宋体" w:hAnsi="宋体" w:cs="宋体"/>
          <w:color w:val="auto"/>
          <w:kern w:val="0"/>
          <w:szCs w:val="21"/>
          <w:highlight w:val="none"/>
        </w:rPr>
        <w:t>分，每低于评标参考价1%，扣</w:t>
      </w:r>
      <w:r>
        <w:rPr>
          <w:rFonts w:hint="eastAsia" w:ascii="宋体" w:hAnsi="宋体" w:cs="宋体"/>
          <w:color w:val="auto"/>
          <w:kern w:val="0"/>
          <w:szCs w:val="21"/>
          <w:highlight w:val="none"/>
          <w:u w:val="single"/>
        </w:rPr>
        <w:t>0.1</w:t>
      </w:r>
      <w:r>
        <w:rPr>
          <w:rFonts w:hint="eastAsia" w:ascii="宋体" w:hAnsi="宋体" w:cs="宋体"/>
          <w:color w:val="auto"/>
          <w:kern w:val="0"/>
          <w:szCs w:val="21"/>
          <w:highlight w:val="none"/>
        </w:rPr>
        <w:t>分，扣至0分为止，得出经济分，精确到小数点后两位。</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45.4</w:t>
      </w:r>
      <w:r>
        <w:rPr>
          <w:rFonts w:hint="eastAsia" w:ascii="宋体" w:hAnsi="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45.4</w:t>
      </w:r>
      <w:r>
        <w:rPr>
          <w:rFonts w:hint="eastAsia" w:ascii="宋体" w:hAnsi="宋体" w:cs="宋体"/>
          <w:color w:val="auto"/>
          <w:szCs w:val="21"/>
          <w:highlight w:val="none"/>
          <w:u w:val="single"/>
        </w:rPr>
        <w:t>计算通过技术标有效性审查的投标人总得分。投标人总得分=[技术得分（满分20分）＋经济得分（满分100分）×经济得分权重（80%）]。总得分四舍五入保留两位小数。总得分相同情况下的排序方式：总得分相同的投标文件，以技术分高的排前；技术分均相同的投标文件，</w:t>
      </w:r>
      <w:r>
        <w:rPr>
          <w:rFonts w:hint="eastAsia"/>
          <w:color w:val="auto"/>
          <w:szCs w:val="21"/>
          <w:highlight w:val="none"/>
          <w:u w:val="single"/>
        </w:rPr>
        <w:t>按报价低者排前的原则，若报价亦一致的，由评标委员会采用记名投票方式，确定其排序</w:t>
      </w:r>
      <w:r>
        <w:rPr>
          <w:rFonts w:hint="eastAsia" w:ascii="宋体" w:hAnsi="宋体" w:cs="宋体"/>
          <w:color w:val="auto"/>
          <w:szCs w:val="21"/>
          <w:highlight w:val="none"/>
          <w:u w:val="singl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条款号：49.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49.</w:t>
      </w:r>
      <w:r>
        <w:rPr>
          <w:rFonts w:hint="eastAsia" w:ascii="宋体" w:hAnsi="宋体" w:cs="宋体"/>
          <w:color w:val="auto"/>
          <w:szCs w:val="21"/>
          <w:highlight w:val="none"/>
        </w:rPr>
        <w:t>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49.</w:t>
      </w:r>
      <w:r>
        <w:rPr>
          <w:rFonts w:hint="eastAsia" w:ascii="宋体" w:hAnsi="宋体" w:cs="宋体"/>
          <w:color w:val="auto"/>
          <w:szCs w:val="21"/>
          <w:highlight w:val="none"/>
        </w:rPr>
        <w:t>若通过经济标有效性审查的投标人不足三家，应当依法重新招标。</w:t>
      </w:r>
    </w:p>
    <w:p>
      <w:pPr>
        <w:spacing w:line="360" w:lineRule="auto"/>
        <w:ind w:firstLine="472" w:firstLineChars="224"/>
        <w:rPr>
          <w:b/>
          <w:color w:val="auto"/>
          <w:szCs w:val="21"/>
          <w:highlight w:val="none"/>
        </w:rPr>
      </w:pPr>
      <w:r>
        <w:rPr>
          <w:rFonts w:hint="eastAsia"/>
          <w:b/>
          <w:color w:val="auto"/>
          <w:szCs w:val="21"/>
          <w:highlight w:val="none"/>
        </w:rPr>
        <w:t>条款号：附表一修改类型：修改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《资格审查表》</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详见修改《资格审查表》</w:t>
      </w:r>
    </w:p>
    <w:p>
      <w:pPr>
        <w:spacing w:line="360" w:lineRule="auto"/>
        <w:ind w:firstLine="472" w:firstLineChars="224"/>
        <w:rPr>
          <w:b/>
          <w:color w:val="auto"/>
          <w:szCs w:val="21"/>
          <w:highlight w:val="none"/>
        </w:rPr>
      </w:pPr>
      <w:r>
        <w:rPr>
          <w:rFonts w:hint="eastAsia"/>
          <w:b/>
          <w:color w:val="auto"/>
          <w:szCs w:val="21"/>
          <w:highlight w:val="none"/>
        </w:rPr>
        <w:t>条款号：附表二修改类型：修改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《技术标有效性审查表》</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详见修改《技术标有效性审查表》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             修改类型：修改</w:t>
      </w:r>
    </w:p>
    <w:p>
      <w:pPr>
        <w:spacing w:line="360" w:lineRule="auto"/>
        <w:ind w:firstLine="472" w:firstLineChars="224"/>
        <w:rPr>
          <w:color w:val="auto"/>
          <w:szCs w:val="21"/>
          <w:highlight w:val="none"/>
        </w:rPr>
      </w:pPr>
      <w:r>
        <w:rPr>
          <w:rFonts w:hint="eastAsia" w:ascii="宋体" w:hAnsi="宋体" w:cs="宋体"/>
          <w:b/>
          <w:color w:val="auto"/>
          <w:szCs w:val="21"/>
          <w:highlight w:val="none"/>
        </w:rPr>
        <w:t>原文：</w:t>
      </w:r>
      <w:r>
        <w:rPr>
          <w:rFonts w:hint="eastAsia"/>
          <w:color w:val="auto"/>
          <w:szCs w:val="21"/>
          <w:highlight w:val="none"/>
        </w:rPr>
        <w:t>《经济标有效性审查表》</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详见修改《经济标有效性审查表》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条款号：附表四             修改类型：修改</w:t>
      </w:r>
    </w:p>
    <w:p>
      <w:pPr>
        <w:spacing w:line="360" w:lineRule="auto"/>
        <w:ind w:firstLine="472" w:firstLineChars="224"/>
        <w:rPr>
          <w:color w:val="auto"/>
          <w:szCs w:val="21"/>
          <w:highlight w:val="none"/>
        </w:rPr>
      </w:pPr>
      <w:r>
        <w:rPr>
          <w:rFonts w:hint="eastAsia" w:ascii="宋体" w:hAnsi="宋体" w:cs="宋体"/>
          <w:b/>
          <w:color w:val="auto"/>
          <w:szCs w:val="21"/>
          <w:highlight w:val="none"/>
        </w:rPr>
        <w:t>原文：</w:t>
      </w:r>
      <w:r>
        <w:rPr>
          <w:rFonts w:hint="eastAsia"/>
          <w:color w:val="auto"/>
          <w:szCs w:val="21"/>
          <w:highlight w:val="none"/>
        </w:rPr>
        <w:t>《技术标详细审查评分表》</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详见修改《技术标详细审查评分表》</w:t>
      </w:r>
    </w:p>
    <w:p>
      <w:pPr>
        <w:spacing w:line="360" w:lineRule="auto"/>
        <w:ind w:firstLine="211" w:firstLineChars="100"/>
        <w:rPr>
          <w:b/>
          <w:color w:val="auto"/>
          <w:szCs w:val="21"/>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8"/>
        <w:spacing w:line="360" w:lineRule="auto"/>
        <w:rPr>
          <w:color w:val="auto"/>
          <w:highlight w:val="none"/>
        </w:rPr>
      </w:pPr>
      <w:r>
        <w:rPr>
          <w:color w:val="auto"/>
          <w:highlight w:val="none"/>
        </w:rPr>
        <w:br w:type="page"/>
      </w:r>
    </w:p>
    <w:p>
      <w:pPr>
        <w:pStyle w:val="7"/>
        <w:ind w:firstLine="525"/>
        <w:rPr>
          <w:color w:val="auto"/>
          <w:highlight w:val="none"/>
        </w:rPr>
      </w:pPr>
      <w:bookmarkStart w:id="22" w:name="_Toc21525500"/>
      <w:bookmarkStart w:id="23" w:name="_Toc2272556"/>
      <w:r>
        <w:rPr>
          <w:rFonts w:hint="eastAsia"/>
          <w:color w:val="auto"/>
          <w:highlight w:val="none"/>
        </w:rPr>
        <w:t>二、开标、评标及定标办法</w:t>
      </w:r>
      <w:r>
        <w:rPr>
          <w:rFonts w:hint="eastAsia"/>
          <w:color w:val="auto"/>
          <w:szCs w:val="30"/>
          <w:highlight w:val="none"/>
        </w:rPr>
        <w:t>通用条款</w:t>
      </w:r>
      <w:bookmarkEnd w:id="22"/>
      <w:bookmarkEnd w:id="23"/>
    </w:p>
    <w:p>
      <w:pPr>
        <w:pStyle w:val="9"/>
        <w:spacing w:before="156" w:after="156"/>
        <w:ind w:firstLine="540" w:firstLineChars="200"/>
        <w:rPr>
          <w:color w:val="auto"/>
          <w:highlight w:val="none"/>
        </w:rPr>
      </w:pPr>
      <w:bookmarkStart w:id="24" w:name="_Toc2272557"/>
      <w:bookmarkStart w:id="25" w:name="_Toc21525501"/>
      <w:r>
        <w:rPr>
          <w:rFonts w:hint="eastAsia"/>
          <w:color w:val="auto"/>
          <w:highlight w:val="none"/>
        </w:rPr>
        <w:t>（一）总则</w:t>
      </w:r>
      <w:bookmarkEnd w:id="24"/>
      <w:bookmarkEnd w:id="25"/>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540" w:firstLineChars="200"/>
        <w:rPr>
          <w:color w:val="auto"/>
          <w:highlight w:val="none"/>
        </w:rPr>
      </w:pPr>
      <w:bookmarkStart w:id="26" w:name="_Toc21525502"/>
      <w:bookmarkStart w:id="27" w:name="_Toc2272558"/>
      <w:r>
        <w:rPr>
          <w:rFonts w:hint="eastAsia"/>
          <w:color w:val="auto"/>
          <w:highlight w:val="none"/>
        </w:rPr>
        <w:t>（二）开标评标办法程序和细则</w:t>
      </w:r>
      <w:bookmarkEnd w:id="26"/>
      <w:bookmarkEnd w:id="27"/>
    </w:p>
    <w:p>
      <w:pPr>
        <w:pStyle w:val="9"/>
        <w:spacing w:before="156" w:after="156"/>
        <w:ind w:firstLine="540" w:firstLineChars="200"/>
        <w:rPr>
          <w:color w:val="auto"/>
          <w:highlight w:val="none"/>
        </w:rPr>
      </w:pPr>
      <w:bookmarkStart w:id="28" w:name="_Toc2272564"/>
      <w:bookmarkStart w:id="29" w:name="_Toc21525509"/>
      <w:r>
        <w:rPr>
          <w:rFonts w:hint="eastAsia"/>
          <w:color w:val="auto"/>
          <w:highlight w:val="none"/>
        </w:rPr>
        <w:t>可选办法七（适合综合评分法四，技术标与经济标同时开启）</w:t>
      </w:r>
      <w:bookmarkEnd w:id="28"/>
      <w:bookmarkEnd w:id="29"/>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34"/>
        <w:ind w:left="420" w:firstLine="480"/>
        <w:rPr>
          <w:rFonts w:ascii="宋体" w:hAnsi="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营业执照在广州公共资源交易中心企业库内上传件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资质证书及安全生产许可证在广州公共资源交易中心企业库内上传件</w:t>
            </w:r>
          </w:p>
          <w:p>
            <w:pPr>
              <w:spacing w:before="120" w:after="60"/>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color w:val="auto"/>
                <w:highlight w:val="none"/>
              </w:rPr>
            </w:pPr>
            <w:r>
              <w:rPr>
                <w:rFonts w:hint="eastAsia" w:ascii="宋体" w:hAnsi="宋体"/>
                <w:color w:val="auto"/>
                <w:szCs w:val="21"/>
                <w:highlight w:val="none"/>
              </w:rPr>
              <w:t>使用有效期内的注册建造师注册证书在广州公共资源交易中心企业库内上传件</w:t>
            </w:r>
            <w:r>
              <w:rPr>
                <w:rFonts w:hint="eastAsia"/>
                <w:color w:val="auto"/>
                <w:highlight w:val="none"/>
              </w:rPr>
              <w:t>。</w:t>
            </w:r>
          </w:p>
          <w:p>
            <w:pPr>
              <w:spacing w:before="120" w:after="60"/>
              <w:jc w:val="center"/>
              <w:rPr>
                <w:rFonts w:ascii="宋体" w:hAnsi="宋体"/>
                <w:color w:val="auto"/>
                <w:szCs w:val="21"/>
                <w:highlight w:val="none"/>
              </w:rPr>
            </w:pPr>
            <w:r>
              <w:rPr>
                <w:rFonts w:hint="eastAsia" w:hAnsi="宋体"/>
                <w:color w:val="auto"/>
                <w:szCs w:val="21"/>
                <w:highlight w:val="none"/>
              </w:rPr>
              <w:t>（</w:t>
            </w:r>
            <w:r>
              <w:rPr>
                <w:rFonts w:hint="eastAsia" w:ascii="宋体" w:hAnsi="宋体"/>
                <w:color w:val="auto"/>
                <w:szCs w:val="21"/>
                <w:highlight w:val="none"/>
              </w:rPr>
              <w:t>注：打印建造师电子证书后，应在个人签名处手写本人签名再上传广州公共资源交易中心企业库，上传件未手写签名或与签名图像笔迹不一致的，该电子证书无效</w:t>
            </w:r>
            <w:r>
              <w:rPr>
                <w:rFonts w:hint="eastAsia" w:hAnsi="宋体"/>
                <w:color w:val="auto"/>
                <w:szCs w:val="21"/>
                <w:highlight w:val="none"/>
              </w:rPr>
              <w:t>。）</w:t>
            </w:r>
          </w:p>
          <w:p>
            <w:pPr>
              <w:spacing w:before="120" w:after="60"/>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持有项目负责人安全培训考核合格证（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项目负责人安全培训考核合格证（B证）或建筑施工企业项目负责人安全生产考核合格证在广州公共资源交易中心企业库内上传件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拟委托技术负责人的相关职称证书、资料扫描件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证）或建筑施工企业专职安全生产管理人员安全生产考核合格证在广州公共资源交易中心企业库内上传件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（按招标公告的要求填写）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非联合体投标。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广州公共资源交易中心办理企业信息登记及拟担任本工程项目负责人、专职安全员须是本企业中的在册人员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投标人在广州公共资源交易中心企业库的企业和人员信息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未被纳入失信联合惩戒名单</w:t>
            </w:r>
            <w:r>
              <w:rPr>
                <w:rFonts w:hint="eastAsia" w:ascii="宋体" w:hAnsi="宋体" w:cs="宋体"/>
                <w:color w:val="auto"/>
                <w:kern w:val="0"/>
                <w:sz w:val="22"/>
                <w:highlight w:val="none"/>
              </w:rPr>
              <w:t>且被限制参与相关项目投标的</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p>
    <w:p>
      <w:pPr>
        <w:spacing w:line="48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rPr>
          <w:color w:val="auto"/>
          <w:highlight w:val="none"/>
        </w:rPr>
        <w:sectPr>
          <w:endnotePr>
            <w:numFmt w:val="decimal"/>
          </w:endnotePr>
          <w:pgSz w:w="11906" w:h="16838"/>
          <w:pgMar w:top="1134" w:right="1418" w:bottom="1247" w:left="1418"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《广州建设工程施工招标投标书》中的总工期不符合招标文件要求的</w:t>
            </w:r>
            <w:r>
              <w:rPr>
                <w:rFonts w:hint="eastAsia" w:ascii="宋体" w:hAnsi="宋体"/>
                <w:color w:val="auto"/>
                <w:szCs w:val="21"/>
                <w:highlight w:val="none"/>
              </w:rPr>
              <w:t>；</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《广州建设工程施工招标投标书》中的工程质量标准不符合招标文件要求的</w:t>
            </w:r>
            <w:r>
              <w:rPr>
                <w:rFonts w:hint="eastAsia" w:ascii="宋体" w:hAnsi="宋体"/>
                <w:color w:val="auto"/>
                <w:szCs w:val="21"/>
                <w:highlight w:val="none"/>
              </w:rPr>
              <w:t>；</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（投标人的报价明显低于其他投标报价，使得其投标报价可能低于其个别成本，又不能合理说明或者不能提供相关证明材料的，由评标委员会认定该投标人以低于成本报价竞标的）</w:t>
            </w:r>
            <w:r>
              <w:rPr>
                <w:rFonts w:hint="eastAsia" w:ascii="宋体" w:hAnsi="宋体"/>
                <w:color w:val="auto"/>
                <w:szCs w:val="21"/>
                <w:highlight w:val="none"/>
              </w:rPr>
              <w:t>；</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35"/>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655"/>
        <w:gridCol w:w="567"/>
        <w:gridCol w:w="1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1251" w:type="dxa"/>
            <w:shd w:val="clear" w:color="auto" w:fill="FFFFFF"/>
            <w:vAlign w:val="center"/>
          </w:tcPr>
          <w:p>
            <w:pPr>
              <w:pStyle w:val="119"/>
              <w:snapToGrid w:val="0"/>
              <w:spacing w:line="240" w:lineRule="auto"/>
              <w:jc w:val="center"/>
              <w:rPr>
                <w:color w:val="auto"/>
                <w:sz w:val="21"/>
                <w:szCs w:val="21"/>
                <w:highlight w:val="none"/>
              </w:rPr>
            </w:pPr>
            <w:r>
              <w:rPr>
                <w:rStyle w:val="120"/>
                <w:rFonts w:hint="eastAsia" w:cs="Times New Roman"/>
                <w:b/>
                <w:color w:val="auto"/>
                <w:spacing w:val="-10"/>
                <w:sz w:val="21"/>
                <w:szCs w:val="21"/>
                <w:highlight w:val="none"/>
              </w:rPr>
              <w:t>评分</w:t>
            </w:r>
            <w:r>
              <w:rPr>
                <w:rStyle w:val="120"/>
                <w:rFonts w:cs="Times New Roman"/>
                <w:b/>
                <w:color w:val="auto"/>
                <w:spacing w:val="-10"/>
                <w:sz w:val="21"/>
                <w:szCs w:val="21"/>
                <w:highlight w:val="none"/>
              </w:rPr>
              <w:t>项目</w:t>
            </w:r>
          </w:p>
        </w:tc>
        <w:tc>
          <w:tcPr>
            <w:tcW w:w="1655" w:type="dxa"/>
            <w:shd w:val="clear" w:color="auto" w:fill="FFFFFF"/>
            <w:vAlign w:val="center"/>
          </w:tcPr>
          <w:p>
            <w:pPr>
              <w:pStyle w:val="119"/>
              <w:shd w:val="clear" w:color="auto" w:fill="auto"/>
              <w:snapToGrid w:val="0"/>
              <w:spacing w:line="240" w:lineRule="auto"/>
              <w:jc w:val="center"/>
              <w:rPr>
                <w:color w:val="auto"/>
                <w:sz w:val="21"/>
                <w:szCs w:val="21"/>
                <w:highlight w:val="none"/>
              </w:rPr>
            </w:pPr>
            <w:r>
              <w:rPr>
                <w:rStyle w:val="120"/>
                <w:rFonts w:cs="Times New Roman"/>
                <w:b/>
                <w:color w:val="auto"/>
                <w:spacing w:val="-10"/>
                <w:sz w:val="21"/>
                <w:szCs w:val="21"/>
                <w:highlight w:val="none"/>
              </w:rPr>
              <w:t>评分内容</w:t>
            </w:r>
          </w:p>
        </w:tc>
        <w:tc>
          <w:tcPr>
            <w:tcW w:w="567" w:type="dxa"/>
            <w:shd w:val="clear" w:color="auto" w:fill="FFFFFF"/>
            <w:vAlign w:val="center"/>
          </w:tcPr>
          <w:p>
            <w:pPr>
              <w:pStyle w:val="119"/>
              <w:shd w:val="clear" w:color="auto" w:fill="auto"/>
              <w:snapToGrid w:val="0"/>
              <w:spacing w:line="240" w:lineRule="auto"/>
              <w:jc w:val="center"/>
              <w:rPr>
                <w:color w:val="auto"/>
                <w:sz w:val="21"/>
                <w:szCs w:val="21"/>
                <w:highlight w:val="none"/>
              </w:rPr>
            </w:pPr>
            <w:r>
              <w:rPr>
                <w:rStyle w:val="120"/>
                <w:rFonts w:cs="Times New Roman"/>
                <w:b/>
                <w:color w:val="auto"/>
                <w:spacing w:val="-10"/>
                <w:sz w:val="21"/>
                <w:szCs w:val="21"/>
                <w:highlight w:val="none"/>
              </w:rPr>
              <w:t>分值</w:t>
            </w:r>
          </w:p>
        </w:tc>
        <w:tc>
          <w:tcPr>
            <w:tcW w:w="11896" w:type="dxa"/>
            <w:shd w:val="clear" w:color="auto" w:fill="FFFFFF"/>
            <w:vAlign w:val="center"/>
          </w:tcPr>
          <w:p>
            <w:pPr>
              <w:pStyle w:val="119"/>
              <w:shd w:val="clear" w:color="auto" w:fill="auto"/>
              <w:snapToGrid w:val="0"/>
              <w:spacing w:line="240" w:lineRule="auto"/>
              <w:jc w:val="center"/>
              <w:rPr>
                <w:rStyle w:val="120"/>
                <w:rFonts w:cs="Times New Roman"/>
                <w:color w:val="auto"/>
                <w:sz w:val="21"/>
                <w:szCs w:val="21"/>
                <w:highlight w:val="none"/>
              </w:rPr>
            </w:pPr>
            <w:r>
              <w:rPr>
                <w:rStyle w:val="120"/>
                <w:rFonts w:cs="Times New Roman"/>
                <w:b/>
                <w:color w:val="auto"/>
                <w:spacing w:val="-1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4" w:hRule="atLeast"/>
          <w:jc w:val="center"/>
        </w:trPr>
        <w:tc>
          <w:tcPr>
            <w:tcW w:w="1251" w:type="dxa"/>
            <w:vMerge w:val="restart"/>
            <w:shd w:val="clear" w:color="auto" w:fill="FFFFFF"/>
            <w:vAlign w:val="center"/>
          </w:tcPr>
          <w:p>
            <w:pPr>
              <w:pStyle w:val="119"/>
              <w:shd w:val="clear" w:color="auto" w:fill="auto"/>
              <w:snapToGrid w:val="0"/>
              <w:spacing w:line="240" w:lineRule="auto"/>
              <w:jc w:val="center"/>
              <w:rPr>
                <w:color w:val="auto"/>
                <w:sz w:val="21"/>
                <w:szCs w:val="21"/>
                <w:highlight w:val="none"/>
              </w:rPr>
            </w:pPr>
            <w:r>
              <w:rPr>
                <w:rStyle w:val="120"/>
                <w:rFonts w:hint="eastAsia"/>
                <w:color w:val="auto"/>
                <w:sz w:val="21"/>
                <w:szCs w:val="21"/>
                <w:highlight w:val="none"/>
                <w:lang w:val="en-US"/>
              </w:rPr>
              <w:t>一、</w:t>
            </w:r>
            <w:r>
              <w:rPr>
                <w:rStyle w:val="120"/>
                <w:color w:val="auto"/>
                <w:sz w:val="21"/>
                <w:szCs w:val="21"/>
                <w:highlight w:val="none"/>
              </w:rPr>
              <w:t>企业资信</w:t>
            </w:r>
            <w:r>
              <w:rPr>
                <w:rStyle w:val="121"/>
                <w:rFonts w:ascii="宋体" w:hAnsi="宋体" w:eastAsia="宋体"/>
                <w:b w:val="0"/>
                <w:color w:val="auto"/>
                <w:sz w:val="21"/>
                <w:szCs w:val="21"/>
                <w:highlight w:val="none"/>
              </w:rPr>
              <w:t>(</w:t>
            </w:r>
            <w:r>
              <w:rPr>
                <w:rStyle w:val="121"/>
                <w:rFonts w:hint="eastAsia" w:ascii="宋体" w:hAnsi="宋体" w:eastAsia="宋体" w:cs="宋体"/>
                <w:b w:val="0"/>
                <w:color w:val="auto"/>
                <w:sz w:val="21"/>
                <w:szCs w:val="21"/>
                <w:highlight w:val="none"/>
              </w:rPr>
              <w:t>6</w:t>
            </w:r>
            <w:r>
              <w:rPr>
                <w:rStyle w:val="120"/>
                <w:color w:val="auto"/>
                <w:sz w:val="21"/>
                <w:szCs w:val="21"/>
                <w:highlight w:val="none"/>
              </w:rPr>
              <w:t>分</w:t>
            </w:r>
            <w:r>
              <w:rPr>
                <w:rStyle w:val="121"/>
                <w:rFonts w:ascii="宋体" w:hAnsi="宋体" w:eastAsia="宋体"/>
                <w:b w:val="0"/>
                <w:color w:val="auto"/>
                <w:sz w:val="21"/>
                <w:szCs w:val="21"/>
                <w:highlight w:val="none"/>
              </w:rPr>
              <w:t>)</w:t>
            </w:r>
          </w:p>
        </w:tc>
        <w:tc>
          <w:tcPr>
            <w:tcW w:w="1655" w:type="dxa"/>
            <w:shd w:val="clear" w:color="auto" w:fill="FFFFFF"/>
            <w:vAlign w:val="center"/>
          </w:tcPr>
          <w:p>
            <w:pPr>
              <w:pStyle w:val="119"/>
              <w:shd w:val="clear" w:color="auto" w:fill="auto"/>
              <w:snapToGrid w:val="0"/>
              <w:spacing w:line="240" w:lineRule="auto"/>
              <w:jc w:val="center"/>
              <w:rPr>
                <w:rStyle w:val="120"/>
                <w:color w:val="auto"/>
                <w:sz w:val="21"/>
                <w:szCs w:val="21"/>
                <w:highlight w:val="none"/>
              </w:rPr>
            </w:pPr>
            <w:r>
              <w:rPr>
                <w:rStyle w:val="120"/>
                <w:rFonts w:hint="eastAsia"/>
                <w:color w:val="auto"/>
                <w:sz w:val="21"/>
                <w:szCs w:val="21"/>
                <w:highlight w:val="none"/>
              </w:rPr>
              <w:t>投标人业绩情况</w:t>
            </w:r>
          </w:p>
        </w:tc>
        <w:tc>
          <w:tcPr>
            <w:tcW w:w="567" w:type="dxa"/>
            <w:shd w:val="clear" w:color="auto" w:fill="FFFFFF"/>
            <w:vAlign w:val="center"/>
          </w:tcPr>
          <w:p>
            <w:pPr>
              <w:pStyle w:val="119"/>
              <w:shd w:val="clear" w:color="auto" w:fill="auto"/>
              <w:snapToGrid w:val="0"/>
              <w:spacing w:line="240" w:lineRule="auto"/>
              <w:jc w:val="center"/>
              <w:rPr>
                <w:rStyle w:val="120"/>
                <w:color w:val="auto"/>
                <w:sz w:val="21"/>
                <w:szCs w:val="21"/>
                <w:highlight w:val="none"/>
                <w:lang w:val="en-US"/>
              </w:rPr>
            </w:pPr>
            <w:r>
              <w:rPr>
                <w:rStyle w:val="120"/>
                <w:rFonts w:hint="eastAsia"/>
                <w:color w:val="auto"/>
                <w:sz w:val="21"/>
                <w:szCs w:val="21"/>
                <w:highlight w:val="none"/>
                <w:lang w:val="en-US"/>
              </w:rPr>
              <w:t>0.3</w:t>
            </w:r>
          </w:p>
        </w:tc>
        <w:tc>
          <w:tcPr>
            <w:tcW w:w="11896" w:type="dxa"/>
            <w:shd w:val="clear" w:color="auto" w:fill="FFFFFF"/>
            <w:vAlign w:val="center"/>
          </w:tcPr>
          <w:p>
            <w:pPr>
              <w:pStyle w:val="119"/>
              <w:shd w:val="clear" w:color="auto" w:fill="auto"/>
              <w:snapToGrid w:val="0"/>
              <w:spacing w:line="240" w:lineRule="auto"/>
              <w:rPr>
                <w:rStyle w:val="120"/>
                <w:color w:val="auto"/>
                <w:sz w:val="21"/>
                <w:szCs w:val="21"/>
                <w:highlight w:val="none"/>
                <w:lang w:val="en-US"/>
              </w:rPr>
            </w:pPr>
            <w:r>
              <w:rPr>
                <w:rStyle w:val="120"/>
                <w:rFonts w:hint="eastAsia"/>
                <w:color w:val="auto"/>
                <w:sz w:val="21"/>
                <w:szCs w:val="21"/>
                <w:highlight w:val="none"/>
              </w:rPr>
              <w:t>投标人自201</w:t>
            </w:r>
            <w:r>
              <w:rPr>
                <w:rStyle w:val="120"/>
                <w:rFonts w:hint="eastAsia"/>
                <w:color w:val="auto"/>
                <w:sz w:val="21"/>
                <w:szCs w:val="21"/>
                <w:highlight w:val="none"/>
                <w:lang w:val="en-US"/>
              </w:rPr>
              <w:t>9</w:t>
            </w:r>
            <w:r>
              <w:rPr>
                <w:rStyle w:val="120"/>
                <w:rFonts w:hint="eastAsia"/>
                <w:color w:val="auto"/>
                <w:sz w:val="21"/>
                <w:szCs w:val="21"/>
                <w:highlight w:val="none"/>
              </w:rPr>
              <w:t>年1月1日至今，完成过质量合格的中标金额等于或大于</w:t>
            </w:r>
            <w:r>
              <w:rPr>
                <w:rStyle w:val="120"/>
                <w:rFonts w:hint="eastAsia"/>
                <w:color w:val="auto"/>
                <w:sz w:val="21"/>
                <w:szCs w:val="21"/>
                <w:highlight w:val="none"/>
                <w:lang w:val="en-US"/>
              </w:rPr>
              <w:t>1000</w:t>
            </w:r>
            <w:r>
              <w:rPr>
                <w:rStyle w:val="120"/>
                <w:rFonts w:hint="eastAsia"/>
                <w:color w:val="auto"/>
                <w:sz w:val="21"/>
                <w:szCs w:val="21"/>
                <w:highlight w:val="none"/>
              </w:rPr>
              <w:t>万元的市政公用工程施工总承包业绩，每项得0.</w:t>
            </w:r>
            <w:r>
              <w:rPr>
                <w:rStyle w:val="120"/>
                <w:rFonts w:hint="eastAsia"/>
                <w:color w:val="auto"/>
                <w:sz w:val="21"/>
                <w:szCs w:val="21"/>
                <w:highlight w:val="none"/>
                <w:lang w:val="en-US"/>
              </w:rPr>
              <w:t>1</w:t>
            </w:r>
            <w:r>
              <w:rPr>
                <w:rStyle w:val="120"/>
                <w:rFonts w:hint="eastAsia"/>
                <w:color w:val="auto"/>
                <w:sz w:val="21"/>
                <w:szCs w:val="21"/>
                <w:highlight w:val="none"/>
              </w:rPr>
              <w:t>分；本项最高得分为</w:t>
            </w:r>
            <w:r>
              <w:rPr>
                <w:rStyle w:val="120"/>
                <w:rFonts w:hint="eastAsia"/>
                <w:color w:val="auto"/>
                <w:sz w:val="21"/>
                <w:szCs w:val="21"/>
                <w:highlight w:val="none"/>
                <w:lang w:val="en-US"/>
              </w:rPr>
              <w:t>0.3</w:t>
            </w:r>
            <w:r>
              <w:rPr>
                <w:rStyle w:val="120"/>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5" w:hRule="atLeast"/>
          <w:jc w:val="center"/>
        </w:trPr>
        <w:tc>
          <w:tcPr>
            <w:tcW w:w="1251" w:type="dxa"/>
            <w:vMerge w:val="continue"/>
            <w:shd w:val="clear" w:color="auto" w:fill="FFFFFF"/>
            <w:vAlign w:val="center"/>
          </w:tcPr>
          <w:p>
            <w:pPr>
              <w:pStyle w:val="119"/>
              <w:shd w:val="clear" w:color="auto" w:fill="auto"/>
              <w:snapToGrid w:val="0"/>
              <w:spacing w:line="240" w:lineRule="auto"/>
              <w:jc w:val="center"/>
              <w:rPr>
                <w:rStyle w:val="120"/>
                <w:color w:val="auto"/>
                <w:sz w:val="21"/>
                <w:szCs w:val="21"/>
                <w:highlight w:val="none"/>
                <w:lang w:val="en-US"/>
              </w:rPr>
            </w:pPr>
          </w:p>
        </w:tc>
        <w:tc>
          <w:tcPr>
            <w:tcW w:w="1655" w:type="dxa"/>
            <w:shd w:val="clear" w:color="auto" w:fill="FFFFFF"/>
            <w:vAlign w:val="center"/>
          </w:tcPr>
          <w:p>
            <w:pPr>
              <w:tabs>
                <w:tab w:val="center" w:pos="4153"/>
                <w:tab w:val="right" w:pos="8306"/>
              </w:tabs>
              <w:spacing w:line="240" w:lineRule="exact"/>
              <w:jc w:val="center"/>
              <w:rPr>
                <w:rFonts w:ascii="宋体" w:hAnsi="宋体" w:cs="宋体"/>
                <w:color w:val="auto"/>
                <w:szCs w:val="21"/>
                <w:highlight w:val="none"/>
                <w:shd w:val="clear" w:color="auto" w:fill="FFFFFF"/>
                <w:lang w:val="zh-TW"/>
              </w:rPr>
            </w:pPr>
            <w:r>
              <w:rPr>
                <w:rStyle w:val="120"/>
                <w:rFonts w:hint="eastAsia"/>
                <w:color w:val="auto"/>
                <w:sz w:val="21"/>
                <w:szCs w:val="21"/>
                <w:highlight w:val="none"/>
              </w:rPr>
              <w:t>财务状况</w:t>
            </w:r>
          </w:p>
        </w:tc>
        <w:tc>
          <w:tcPr>
            <w:tcW w:w="567" w:type="dxa"/>
            <w:shd w:val="clear" w:color="auto" w:fill="FFFFFF"/>
            <w:vAlign w:val="center"/>
          </w:tcPr>
          <w:p>
            <w:pPr>
              <w:spacing w:line="240" w:lineRule="exact"/>
              <w:jc w:val="center"/>
              <w:rPr>
                <w:rFonts w:ascii="宋体" w:hAnsi="宋体" w:cs="宋体"/>
                <w:color w:val="auto"/>
                <w:szCs w:val="21"/>
                <w:highlight w:val="none"/>
                <w:shd w:val="clear" w:color="auto" w:fill="FFFFFF"/>
              </w:rPr>
            </w:pPr>
            <w:r>
              <w:rPr>
                <w:rStyle w:val="120"/>
                <w:rFonts w:hint="eastAsia"/>
                <w:color w:val="auto"/>
                <w:sz w:val="21"/>
                <w:szCs w:val="21"/>
                <w:highlight w:val="none"/>
                <w:lang w:val="en-US"/>
              </w:rPr>
              <w:t>1.2</w:t>
            </w:r>
          </w:p>
        </w:tc>
        <w:tc>
          <w:tcPr>
            <w:tcW w:w="11896" w:type="dxa"/>
            <w:shd w:val="clear" w:color="auto" w:fill="FFFFFF"/>
            <w:vAlign w:val="center"/>
          </w:tcPr>
          <w:p>
            <w:pPr>
              <w:pStyle w:val="2"/>
              <w:spacing w:line="320" w:lineRule="exact"/>
              <w:rPr>
                <w:rFonts w:hAnsi="宋体" w:cs="宋体"/>
                <w:color w:val="auto"/>
                <w:szCs w:val="21"/>
                <w:highlight w:val="none"/>
                <w:shd w:val="clear" w:color="auto" w:fill="FFFFFF"/>
              </w:rPr>
            </w:pPr>
            <w:r>
              <w:rPr>
                <w:rStyle w:val="120"/>
                <w:rFonts w:hint="eastAsia"/>
                <w:color w:val="auto"/>
                <w:sz w:val="21"/>
                <w:szCs w:val="21"/>
                <w:highlight w:val="none"/>
              </w:rPr>
              <w:t>投标人</w:t>
            </w:r>
            <w:r>
              <w:rPr>
                <w:rStyle w:val="120"/>
                <w:rFonts w:hint="eastAsia"/>
                <w:color w:val="auto"/>
                <w:sz w:val="21"/>
                <w:szCs w:val="21"/>
                <w:highlight w:val="none"/>
                <w:lang w:val="en-US"/>
              </w:rPr>
              <w:t>自2014年1月1日</w:t>
            </w:r>
            <w:r>
              <w:rPr>
                <w:rStyle w:val="120"/>
                <w:rFonts w:hint="eastAsia"/>
                <w:color w:val="auto"/>
                <w:sz w:val="21"/>
                <w:szCs w:val="21"/>
                <w:highlight w:val="none"/>
              </w:rPr>
              <w:t>至今连续</w:t>
            </w:r>
            <w:r>
              <w:rPr>
                <w:rStyle w:val="120"/>
                <w:rFonts w:hint="eastAsia"/>
                <w:color w:val="auto"/>
                <w:sz w:val="21"/>
                <w:szCs w:val="21"/>
                <w:highlight w:val="none"/>
                <w:lang w:val="en-US"/>
              </w:rPr>
              <w:t>5</w:t>
            </w:r>
            <w:r>
              <w:rPr>
                <w:rStyle w:val="120"/>
                <w:rFonts w:hint="eastAsia"/>
                <w:color w:val="auto"/>
                <w:sz w:val="21"/>
                <w:szCs w:val="21"/>
                <w:highlight w:val="none"/>
              </w:rPr>
              <w:t>年以上（</w:t>
            </w:r>
            <w:r>
              <w:rPr>
                <w:rStyle w:val="120"/>
                <w:rFonts w:hint="eastAsia"/>
                <w:color w:val="auto"/>
                <w:sz w:val="21"/>
                <w:szCs w:val="21"/>
                <w:highlight w:val="none"/>
                <w:lang w:val="en-US"/>
              </w:rPr>
              <w:t>不含</w:t>
            </w:r>
            <w:r>
              <w:rPr>
                <w:rStyle w:val="120"/>
                <w:rFonts w:hint="eastAsia"/>
                <w:color w:val="auto"/>
                <w:sz w:val="21"/>
                <w:szCs w:val="21"/>
                <w:highlight w:val="none"/>
              </w:rPr>
              <w:t>）获得纳税信用A级评价的得</w:t>
            </w:r>
            <w:r>
              <w:rPr>
                <w:rStyle w:val="120"/>
                <w:rFonts w:hint="eastAsia"/>
                <w:color w:val="auto"/>
                <w:sz w:val="21"/>
                <w:szCs w:val="21"/>
                <w:highlight w:val="none"/>
                <w:lang w:val="en-US"/>
              </w:rPr>
              <w:t>1.2</w:t>
            </w:r>
            <w:r>
              <w:rPr>
                <w:rStyle w:val="120"/>
                <w:rFonts w:hint="eastAsia"/>
                <w:color w:val="auto"/>
                <w:sz w:val="21"/>
                <w:szCs w:val="21"/>
                <w:highlight w:val="none"/>
              </w:rPr>
              <w:t>分；连续</w:t>
            </w:r>
            <w:r>
              <w:rPr>
                <w:rStyle w:val="120"/>
                <w:rFonts w:hint="eastAsia"/>
                <w:color w:val="auto"/>
                <w:sz w:val="21"/>
                <w:szCs w:val="21"/>
                <w:highlight w:val="none"/>
                <w:lang w:val="en-US"/>
              </w:rPr>
              <w:t>3</w:t>
            </w:r>
            <w:r>
              <w:rPr>
                <w:rStyle w:val="120"/>
                <w:rFonts w:hint="eastAsia"/>
                <w:color w:val="auto"/>
                <w:sz w:val="21"/>
                <w:szCs w:val="21"/>
                <w:highlight w:val="none"/>
              </w:rPr>
              <w:t>年</w:t>
            </w:r>
            <w:r>
              <w:rPr>
                <w:rStyle w:val="120"/>
                <w:rFonts w:hint="eastAsia"/>
                <w:color w:val="auto"/>
                <w:sz w:val="21"/>
                <w:szCs w:val="21"/>
                <w:highlight w:val="none"/>
                <w:lang w:val="en-US"/>
              </w:rPr>
              <w:t>至5年</w:t>
            </w:r>
            <w:r>
              <w:rPr>
                <w:rStyle w:val="120"/>
                <w:rFonts w:hint="eastAsia"/>
                <w:color w:val="auto"/>
                <w:sz w:val="21"/>
                <w:szCs w:val="21"/>
                <w:highlight w:val="none"/>
              </w:rPr>
              <w:t>获得纳税信用A级评价的得</w:t>
            </w:r>
            <w:r>
              <w:rPr>
                <w:rStyle w:val="120"/>
                <w:rFonts w:hint="eastAsia"/>
                <w:color w:val="auto"/>
                <w:sz w:val="21"/>
                <w:szCs w:val="21"/>
                <w:highlight w:val="none"/>
                <w:lang w:val="en-US"/>
              </w:rPr>
              <w:t>0.6</w:t>
            </w:r>
            <w:r>
              <w:rPr>
                <w:rStyle w:val="120"/>
                <w:rFonts w:hint="eastAsia"/>
                <w:color w:val="auto"/>
                <w:sz w:val="21"/>
                <w:szCs w:val="21"/>
                <w:highlight w:val="none"/>
              </w:rPr>
              <w:t>分；连续</w:t>
            </w:r>
            <w:r>
              <w:rPr>
                <w:rStyle w:val="120"/>
                <w:rFonts w:hint="eastAsia"/>
                <w:color w:val="auto"/>
                <w:sz w:val="21"/>
                <w:szCs w:val="21"/>
                <w:highlight w:val="none"/>
                <w:lang w:val="en-US"/>
              </w:rPr>
              <w:t>1</w:t>
            </w:r>
            <w:r>
              <w:rPr>
                <w:rStyle w:val="120"/>
                <w:rFonts w:hint="eastAsia"/>
                <w:color w:val="auto"/>
                <w:sz w:val="21"/>
                <w:szCs w:val="21"/>
                <w:highlight w:val="none"/>
              </w:rPr>
              <w:t>年</w:t>
            </w:r>
            <w:r>
              <w:rPr>
                <w:rStyle w:val="120"/>
                <w:rFonts w:hint="eastAsia"/>
                <w:color w:val="auto"/>
                <w:sz w:val="21"/>
                <w:szCs w:val="21"/>
                <w:highlight w:val="none"/>
                <w:lang w:val="en-US"/>
              </w:rPr>
              <w:t>至2年</w:t>
            </w:r>
            <w:r>
              <w:rPr>
                <w:rStyle w:val="120"/>
                <w:rFonts w:hint="eastAsia"/>
                <w:color w:val="auto"/>
                <w:sz w:val="21"/>
                <w:szCs w:val="21"/>
                <w:highlight w:val="none"/>
              </w:rPr>
              <w:t>获得纳税信用A级评价的得</w:t>
            </w:r>
            <w:r>
              <w:rPr>
                <w:rStyle w:val="120"/>
                <w:rFonts w:hint="eastAsia"/>
                <w:color w:val="auto"/>
                <w:sz w:val="21"/>
                <w:szCs w:val="21"/>
                <w:highlight w:val="none"/>
                <w:lang w:val="en-US"/>
              </w:rPr>
              <w:t>0.1</w:t>
            </w:r>
            <w:r>
              <w:rPr>
                <w:rStyle w:val="120"/>
                <w:rFonts w:hint="eastAsia"/>
                <w:color w:val="auto"/>
                <w:sz w:val="21"/>
                <w:szCs w:val="21"/>
                <w:highlight w:val="none"/>
              </w:rPr>
              <w:t>分；不满足以上条件者，得0分；</w:t>
            </w:r>
            <w:r>
              <w:rPr>
                <w:rStyle w:val="120"/>
                <w:rFonts w:hint="eastAsia"/>
                <w:color w:val="auto"/>
                <w:sz w:val="21"/>
                <w:szCs w:val="21"/>
                <w:highlight w:val="none"/>
                <w:lang w:val="en-US"/>
              </w:rPr>
              <w:t>本项最多得1.2分。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0"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pStyle w:val="119"/>
              <w:shd w:val="clear" w:color="auto" w:fill="auto"/>
              <w:snapToGrid w:val="0"/>
              <w:spacing w:line="240" w:lineRule="auto"/>
              <w:jc w:val="center"/>
              <w:rPr>
                <w:rStyle w:val="120"/>
                <w:color w:val="auto"/>
                <w:sz w:val="21"/>
                <w:szCs w:val="21"/>
                <w:highlight w:val="none"/>
              </w:rPr>
            </w:pPr>
            <w:r>
              <w:rPr>
                <w:rStyle w:val="120"/>
                <w:rFonts w:hint="eastAsia"/>
                <w:color w:val="auto"/>
                <w:sz w:val="21"/>
                <w:szCs w:val="21"/>
                <w:highlight w:val="none"/>
              </w:rPr>
              <w:t>工程获奖情况</w:t>
            </w:r>
          </w:p>
        </w:tc>
        <w:tc>
          <w:tcPr>
            <w:tcW w:w="567" w:type="dxa"/>
            <w:shd w:val="clear" w:color="auto" w:fill="FFFFFF"/>
            <w:vAlign w:val="center"/>
          </w:tcPr>
          <w:p>
            <w:pPr>
              <w:pStyle w:val="119"/>
              <w:shd w:val="clear" w:color="auto" w:fill="auto"/>
              <w:snapToGrid w:val="0"/>
              <w:spacing w:line="240" w:lineRule="auto"/>
              <w:jc w:val="center"/>
              <w:rPr>
                <w:rStyle w:val="120"/>
                <w:color w:val="auto"/>
                <w:sz w:val="21"/>
                <w:szCs w:val="21"/>
                <w:highlight w:val="none"/>
                <w:lang w:val="en-US"/>
              </w:rPr>
            </w:pPr>
            <w:r>
              <w:rPr>
                <w:rStyle w:val="120"/>
                <w:rFonts w:hint="eastAsia"/>
                <w:color w:val="auto"/>
                <w:sz w:val="21"/>
                <w:szCs w:val="21"/>
                <w:highlight w:val="none"/>
                <w:lang w:val="en-US"/>
              </w:rPr>
              <w:t>1.5</w:t>
            </w:r>
          </w:p>
        </w:tc>
        <w:tc>
          <w:tcPr>
            <w:tcW w:w="11896" w:type="dxa"/>
            <w:shd w:val="clear" w:color="auto" w:fill="FFFFFF"/>
            <w:vAlign w:val="center"/>
          </w:tcPr>
          <w:p>
            <w:pPr>
              <w:pStyle w:val="119"/>
              <w:shd w:val="clear" w:color="auto" w:fill="auto"/>
              <w:snapToGrid w:val="0"/>
              <w:spacing w:line="240" w:lineRule="auto"/>
              <w:rPr>
                <w:rStyle w:val="120"/>
                <w:color w:val="auto"/>
                <w:sz w:val="21"/>
                <w:szCs w:val="21"/>
                <w:highlight w:val="none"/>
                <w:lang w:val="en-US"/>
              </w:rPr>
            </w:pPr>
            <w:r>
              <w:rPr>
                <w:rStyle w:val="120"/>
                <w:rFonts w:hint="eastAsia"/>
                <w:color w:val="auto"/>
                <w:sz w:val="21"/>
                <w:szCs w:val="21"/>
                <w:highlight w:val="none"/>
                <w:lang w:val="en-US"/>
              </w:rPr>
              <w:t>投标人完成过的市政公用工程自2019年1月1日至今获得过市级或以上工程质量奖30项及以上的，得1.5分；</w:t>
            </w:r>
          </w:p>
          <w:p>
            <w:pPr>
              <w:pStyle w:val="119"/>
              <w:shd w:val="clear" w:color="auto" w:fill="auto"/>
              <w:snapToGrid w:val="0"/>
              <w:spacing w:line="240" w:lineRule="auto"/>
              <w:rPr>
                <w:rStyle w:val="120"/>
                <w:color w:val="auto"/>
                <w:sz w:val="21"/>
                <w:szCs w:val="21"/>
                <w:highlight w:val="none"/>
                <w:lang w:val="en-US"/>
              </w:rPr>
            </w:pPr>
            <w:r>
              <w:rPr>
                <w:rStyle w:val="120"/>
                <w:rFonts w:hint="eastAsia"/>
                <w:color w:val="auto"/>
                <w:sz w:val="21"/>
                <w:szCs w:val="21"/>
                <w:highlight w:val="none"/>
                <w:lang w:val="en-US"/>
              </w:rPr>
              <w:t>投标人完成过的市政公用工程自2019年1月1日至今获得过市级或以上工程质量奖15-29项的，得0.75分；</w:t>
            </w:r>
          </w:p>
          <w:p>
            <w:pPr>
              <w:pStyle w:val="119"/>
              <w:shd w:val="clear" w:color="auto" w:fill="auto"/>
              <w:snapToGrid w:val="0"/>
              <w:spacing w:line="240" w:lineRule="auto"/>
              <w:rPr>
                <w:rStyle w:val="120"/>
                <w:color w:val="auto"/>
                <w:sz w:val="21"/>
                <w:szCs w:val="21"/>
                <w:highlight w:val="none"/>
                <w:lang w:val="en-US"/>
              </w:rPr>
            </w:pPr>
            <w:r>
              <w:rPr>
                <w:rStyle w:val="120"/>
                <w:rFonts w:hint="eastAsia"/>
                <w:color w:val="auto"/>
                <w:sz w:val="21"/>
                <w:szCs w:val="21"/>
                <w:highlight w:val="none"/>
                <w:lang w:val="en-US"/>
              </w:rPr>
              <w:t>投标人完成过的市政公用工程自2019年1月1日至今获得过市级或以上工程质量奖1-14项的，得0.1分；</w:t>
            </w:r>
          </w:p>
          <w:p>
            <w:pPr>
              <w:pStyle w:val="119"/>
              <w:shd w:val="clear" w:color="auto" w:fill="auto"/>
              <w:snapToGrid w:val="0"/>
              <w:spacing w:line="240" w:lineRule="auto"/>
              <w:rPr>
                <w:rStyle w:val="120"/>
                <w:color w:val="auto"/>
                <w:sz w:val="21"/>
                <w:szCs w:val="21"/>
                <w:highlight w:val="none"/>
                <w:lang w:val="en-US"/>
              </w:rPr>
            </w:pPr>
          </w:p>
          <w:p>
            <w:pPr>
              <w:pStyle w:val="119"/>
              <w:shd w:val="clear" w:color="auto" w:fill="auto"/>
              <w:snapToGrid w:val="0"/>
              <w:spacing w:line="240" w:lineRule="auto"/>
              <w:rPr>
                <w:rStyle w:val="120"/>
                <w:color w:val="auto"/>
                <w:sz w:val="21"/>
                <w:szCs w:val="21"/>
                <w:highlight w:val="none"/>
                <w:lang w:val="en-US"/>
              </w:rPr>
            </w:pPr>
            <w:r>
              <w:rPr>
                <w:rStyle w:val="120"/>
                <w:rFonts w:hint="eastAsia"/>
                <w:color w:val="auto"/>
                <w:sz w:val="21"/>
                <w:szCs w:val="21"/>
                <w:highlight w:val="none"/>
                <w:lang w:val="en-US"/>
              </w:rPr>
              <w:t>本项累计最多得1.5分。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5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pStyle w:val="119"/>
              <w:shd w:val="clear" w:color="auto" w:fill="auto"/>
              <w:snapToGrid w:val="0"/>
              <w:spacing w:line="240" w:lineRule="auto"/>
              <w:jc w:val="center"/>
              <w:rPr>
                <w:color w:val="auto"/>
                <w:sz w:val="21"/>
                <w:szCs w:val="21"/>
                <w:highlight w:val="none"/>
                <w:shd w:val="clear" w:color="auto" w:fill="FFFFFF"/>
                <w:lang w:val="zh-TW"/>
              </w:rPr>
            </w:pPr>
            <w:r>
              <w:rPr>
                <w:rStyle w:val="120"/>
                <w:rFonts w:hint="eastAsia"/>
                <w:color w:val="auto"/>
                <w:sz w:val="21"/>
                <w:szCs w:val="21"/>
                <w:highlight w:val="none"/>
              </w:rPr>
              <w:t>第三方评价</w:t>
            </w:r>
          </w:p>
        </w:tc>
        <w:tc>
          <w:tcPr>
            <w:tcW w:w="567" w:type="dxa"/>
            <w:shd w:val="clear" w:color="auto" w:fill="FFFFFF"/>
            <w:vAlign w:val="center"/>
          </w:tcPr>
          <w:p>
            <w:pPr>
              <w:pStyle w:val="119"/>
              <w:shd w:val="clear" w:color="auto" w:fill="auto"/>
              <w:snapToGrid w:val="0"/>
              <w:spacing w:line="240" w:lineRule="auto"/>
              <w:jc w:val="center"/>
              <w:rPr>
                <w:color w:val="auto"/>
                <w:sz w:val="21"/>
                <w:szCs w:val="21"/>
                <w:highlight w:val="none"/>
                <w:shd w:val="clear" w:color="auto" w:fill="FFFFFF"/>
              </w:rPr>
            </w:pPr>
            <w:r>
              <w:rPr>
                <w:rStyle w:val="120"/>
                <w:rFonts w:hint="eastAsia"/>
                <w:color w:val="auto"/>
                <w:sz w:val="21"/>
                <w:szCs w:val="21"/>
                <w:highlight w:val="none"/>
                <w:lang w:val="en-US"/>
              </w:rPr>
              <w:t>1.2</w:t>
            </w:r>
          </w:p>
        </w:tc>
        <w:tc>
          <w:tcPr>
            <w:tcW w:w="11896" w:type="dxa"/>
            <w:shd w:val="clear" w:color="auto" w:fill="FFFFFF"/>
            <w:vAlign w:val="center"/>
          </w:tcPr>
          <w:p>
            <w:pPr>
              <w:pStyle w:val="119"/>
              <w:shd w:val="clear" w:color="auto" w:fill="auto"/>
              <w:snapToGrid w:val="0"/>
              <w:spacing w:line="240" w:lineRule="auto"/>
              <w:rPr>
                <w:rStyle w:val="120"/>
                <w:color w:val="auto"/>
                <w:sz w:val="21"/>
                <w:szCs w:val="21"/>
                <w:highlight w:val="none"/>
                <w:lang w:val="en-US"/>
              </w:rPr>
            </w:pPr>
            <w:r>
              <w:rPr>
                <w:rStyle w:val="120"/>
                <w:rFonts w:hint="eastAsia"/>
                <w:color w:val="auto"/>
                <w:sz w:val="21"/>
                <w:szCs w:val="21"/>
                <w:highlight w:val="none"/>
                <w:lang w:val="en-US"/>
              </w:rPr>
              <w:t>投标人获得省级或以上市政行业协会颁发的企业诚信评价称号证书的：AAAAA级得1.2分；AAAA级得0.6分；AAA级得0.1分；其他不得分。本小项满分1.2分。</w:t>
            </w:r>
          </w:p>
          <w:p>
            <w:pPr>
              <w:pStyle w:val="119"/>
              <w:shd w:val="clear" w:color="auto" w:fill="auto"/>
              <w:snapToGrid w:val="0"/>
              <w:spacing w:line="240" w:lineRule="auto"/>
              <w:rPr>
                <w:rStyle w:val="120"/>
                <w:color w:val="auto"/>
                <w:sz w:val="21"/>
                <w:szCs w:val="21"/>
                <w:highlight w:val="none"/>
                <w:lang w:val="en-US"/>
              </w:rPr>
            </w:pPr>
          </w:p>
          <w:p>
            <w:pPr>
              <w:pStyle w:val="119"/>
              <w:shd w:val="clear" w:color="auto" w:fill="auto"/>
              <w:snapToGrid w:val="0"/>
              <w:spacing w:line="240" w:lineRule="auto"/>
              <w:rPr>
                <w:color w:val="auto"/>
                <w:sz w:val="21"/>
                <w:szCs w:val="21"/>
                <w:highlight w:val="none"/>
                <w:shd w:val="clear" w:color="auto" w:fill="FFFFFF"/>
              </w:rPr>
            </w:pPr>
            <w:r>
              <w:rPr>
                <w:rStyle w:val="120"/>
                <w:rFonts w:hint="eastAsia"/>
                <w:color w:val="auto"/>
                <w:sz w:val="21"/>
                <w:szCs w:val="21"/>
                <w:highlight w:val="none"/>
              </w:rPr>
              <w:t>本项最多得</w:t>
            </w:r>
            <w:r>
              <w:rPr>
                <w:rStyle w:val="120"/>
                <w:rFonts w:hint="eastAsia"/>
                <w:color w:val="auto"/>
                <w:sz w:val="21"/>
                <w:szCs w:val="21"/>
                <w:highlight w:val="none"/>
                <w:lang w:val="en-US"/>
              </w:rPr>
              <w:t>1.2</w:t>
            </w:r>
            <w:r>
              <w:rPr>
                <w:rStyle w:val="120"/>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pStyle w:val="119"/>
              <w:shd w:val="clear" w:color="auto" w:fill="auto"/>
              <w:snapToGrid w:val="0"/>
              <w:spacing w:line="240" w:lineRule="auto"/>
              <w:jc w:val="center"/>
              <w:rPr>
                <w:rStyle w:val="120"/>
                <w:color w:val="auto"/>
                <w:sz w:val="21"/>
                <w:szCs w:val="21"/>
                <w:highlight w:val="none"/>
              </w:rPr>
            </w:pPr>
            <w:r>
              <w:rPr>
                <w:rStyle w:val="120"/>
                <w:rFonts w:hint="eastAsia"/>
                <w:color w:val="auto"/>
                <w:sz w:val="21"/>
                <w:szCs w:val="21"/>
                <w:highlight w:val="none"/>
              </w:rPr>
              <w:t>工程研发能力</w:t>
            </w:r>
          </w:p>
        </w:tc>
        <w:tc>
          <w:tcPr>
            <w:tcW w:w="567" w:type="dxa"/>
            <w:shd w:val="clear" w:color="auto" w:fill="FFFFFF"/>
            <w:vAlign w:val="center"/>
          </w:tcPr>
          <w:p>
            <w:pPr>
              <w:pStyle w:val="119"/>
              <w:shd w:val="clear" w:color="auto" w:fill="auto"/>
              <w:snapToGrid w:val="0"/>
              <w:spacing w:line="240" w:lineRule="auto"/>
              <w:jc w:val="center"/>
              <w:rPr>
                <w:rStyle w:val="120"/>
                <w:color w:val="auto"/>
                <w:sz w:val="21"/>
                <w:szCs w:val="21"/>
                <w:highlight w:val="none"/>
                <w:lang w:val="en-US"/>
              </w:rPr>
            </w:pPr>
            <w:r>
              <w:rPr>
                <w:rStyle w:val="120"/>
                <w:rFonts w:hint="eastAsia"/>
                <w:color w:val="auto"/>
                <w:sz w:val="21"/>
                <w:szCs w:val="21"/>
                <w:highlight w:val="none"/>
                <w:lang w:val="en-US"/>
              </w:rPr>
              <w:t>1.8</w:t>
            </w:r>
          </w:p>
        </w:tc>
        <w:tc>
          <w:tcPr>
            <w:tcW w:w="11896" w:type="dxa"/>
            <w:shd w:val="clear" w:color="auto" w:fill="FFFFFF"/>
            <w:vAlign w:val="center"/>
          </w:tcPr>
          <w:p>
            <w:pPr>
              <w:pStyle w:val="119"/>
              <w:shd w:val="clear" w:color="auto" w:fill="auto"/>
              <w:snapToGrid w:val="0"/>
              <w:spacing w:line="240" w:lineRule="auto"/>
              <w:rPr>
                <w:rStyle w:val="120"/>
                <w:color w:val="auto"/>
                <w:sz w:val="21"/>
                <w:szCs w:val="21"/>
                <w:highlight w:val="none"/>
              </w:rPr>
            </w:pPr>
            <w:r>
              <w:rPr>
                <w:rStyle w:val="120"/>
                <w:rFonts w:hint="eastAsia"/>
                <w:color w:val="auto"/>
                <w:sz w:val="21"/>
                <w:szCs w:val="21"/>
                <w:highlight w:val="none"/>
              </w:rPr>
              <w:t>投标人自201</w:t>
            </w:r>
            <w:r>
              <w:rPr>
                <w:rStyle w:val="120"/>
                <w:rFonts w:hint="eastAsia"/>
                <w:color w:val="auto"/>
                <w:sz w:val="21"/>
                <w:szCs w:val="21"/>
                <w:highlight w:val="none"/>
                <w:lang w:val="en-US"/>
              </w:rPr>
              <w:t>9</w:t>
            </w:r>
            <w:r>
              <w:rPr>
                <w:rStyle w:val="120"/>
                <w:rFonts w:hint="eastAsia"/>
                <w:color w:val="auto"/>
                <w:sz w:val="21"/>
                <w:szCs w:val="21"/>
                <w:highlight w:val="none"/>
              </w:rPr>
              <w:t>年1月1日至今（以证书颁发时间为准）获得“</w:t>
            </w:r>
            <w:r>
              <w:rPr>
                <w:rStyle w:val="120"/>
                <w:rFonts w:hint="eastAsia"/>
                <w:color w:val="auto"/>
                <w:sz w:val="21"/>
                <w:szCs w:val="21"/>
                <w:highlight w:val="none"/>
                <w:lang w:val="en-US"/>
              </w:rPr>
              <w:t>国家</w:t>
            </w:r>
            <w:r>
              <w:rPr>
                <w:rStyle w:val="120"/>
                <w:rFonts w:hint="eastAsia"/>
                <w:color w:val="auto"/>
                <w:sz w:val="21"/>
                <w:szCs w:val="21"/>
                <w:highlight w:val="none"/>
              </w:rPr>
              <w:t>市政工程科学技术奖”</w:t>
            </w:r>
            <w:r>
              <w:rPr>
                <w:rStyle w:val="120"/>
                <w:rFonts w:hint="eastAsia"/>
                <w:color w:val="auto"/>
                <w:sz w:val="21"/>
                <w:szCs w:val="21"/>
                <w:highlight w:val="none"/>
                <w:lang w:val="en-US"/>
              </w:rPr>
              <w:t>每项得0.3分</w:t>
            </w:r>
            <w:r>
              <w:rPr>
                <w:rStyle w:val="120"/>
                <w:rFonts w:hint="eastAsia"/>
                <w:color w:val="auto"/>
                <w:sz w:val="21"/>
                <w:szCs w:val="21"/>
                <w:highlight w:val="none"/>
              </w:rPr>
              <w:t>，</w:t>
            </w:r>
            <w:r>
              <w:rPr>
                <w:rStyle w:val="120"/>
                <w:rFonts w:hint="eastAsia"/>
                <w:color w:val="auto"/>
                <w:sz w:val="21"/>
                <w:szCs w:val="21"/>
                <w:highlight w:val="none"/>
                <w:lang w:val="en-US"/>
              </w:rPr>
              <w:t>最多</w:t>
            </w:r>
            <w:r>
              <w:rPr>
                <w:rStyle w:val="120"/>
                <w:rFonts w:hint="eastAsia"/>
                <w:color w:val="auto"/>
                <w:sz w:val="21"/>
                <w:szCs w:val="21"/>
                <w:highlight w:val="none"/>
              </w:rPr>
              <w:t>得</w:t>
            </w:r>
            <w:r>
              <w:rPr>
                <w:rStyle w:val="120"/>
                <w:rFonts w:hint="eastAsia"/>
                <w:color w:val="auto"/>
                <w:sz w:val="21"/>
                <w:szCs w:val="21"/>
                <w:highlight w:val="none"/>
                <w:lang w:val="en-US"/>
              </w:rPr>
              <w:t>1.8</w:t>
            </w:r>
            <w:r>
              <w:rPr>
                <w:rStyle w:val="120"/>
                <w:rFonts w:hint="eastAsia"/>
                <w:color w:val="auto"/>
                <w:sz w:val="21"/>
                <w:szCs w:val="21"/>
                <w:highlight w:val="none"/>
              </w:rPr>
              <w:t>分；</w:t>
            </w:r>
          </w:p>
          <w:p>
            <w:pPr>
              <w:pStyle w:val="119"/>
              <w:shd w:val="clear" w:color="auto" w:fill="auto"/>
              <w:snapToGrid w:val="0"/>
              <w:spacing w:line="240" w:lineRule="auto"/>
              <w:rPr>
                <w:rStyle w:val="120"/>
                <w:color w:val="auto"/>
                <w:sz w:val="21"/>
                <w:szCs w:val="21"/>
                <w:highlight w:val="none"/>
              </w:rPr>
            </w:pPr>
            <w:r>
              <w:rPr>
                <w:rStyle w:val="120"/>
                <w:rFonts w:hint="eastAsia"/>
                <w:color w:val="auto"/>
                <w:sz w:val="21"/>
                <w:szCs w:val="21"/>
                <w:highlight w:val="none"/>
              </w:rPr>
              <w:t>投标人自201</w:t>
            </w:r>
            <w:r>
              <w:rPr>
                <w:rStyle w:val="120"/>
                <w:rFonts w:hint="eastAsia"/>
                <w:color w:val="auto"/>
                <w:sz w:val="21"/>
                <w:szCs w:val="21"/>
                <w:highlight w:val="none"/>
                <w:lang w:val="en-US"/>
              </w:rPr>
              <w:t>9</w:t>
            </w:r>
            <w:r>
              <w:rPr>
                <w:rStyle w:val="120"/>
                <w:rFonts w:hint="eastAsia"/>
                <w:color w:val="auto"/>
                <w:sz w:val="21"/>
                <w:szCs w:val="21"/>
                <w:highlight w:val="none"/>
              </w:rPr>
              <w:t>年1月1日至今（以证书颁发时间为准）获得“</w:t>
            </w:r>
            <w:r>
              <w:rPr>
                <w:rStyle w:val="120"/>
                <w:rFonts w:hint="eastAsia"/>
                <w:color w:val="auto"/>
                <w:sz w:val="21"/>
                <w:szCs w:val="21"/>
                <w:highlight w:val="none"/>
                <w:lang w:val="en-US"/>
              </w:rPr>
              <w:t>市级或省级</w:t>
            </w:r>
            <w:r>
              <w:rPr>
                <w:rStyle w:val="120"/>
                <w:rFonts w:hint="eastAsia"/>
                <w:color w:val="auto"/>
                <w:sz w:val="21"/>
                <w:szCs w:val="21"/>
                <w:highlight w:val="none"/>
              </w:rPr>
              <w:t>市政工程科学技术奖”</w:t>
            </w:r>
            <w:r>
              <w:rPr>
                <w:rStyle w:val="120"/>
                <w:rFonts w:hint="eastAsia"/>
                <w:color w:val="auto"/>
                <w:sz w:val="21"/>
                <w:szCs w:val="21"/>
                <w:highlight w:val="none"/>
                <w:lang w:val="en-US"/>
              </w:rPr>
              <w:t>每项得0.1分</w:t>
            </w:r>
            <w:r>
              <w:rPr>
                <w:rStyle w:val="120"/>
                <w:rFonts w:hint="eastAsia"/>
                <w:color w:val="auto"/>
                <w:sz w:val="21"/>
                <w:szCs w:val="21"/>
                <w:highlight w:val="none"/>
              </w:rPr>
              <w:t>，</w:t>
            </w:r>
            <w:r>
              <w:rPr>
                <w:rStyle w:val="120"/>
                <w:rFonts w:hint="eastAsia"/>
                <w:color w:val="auto"/>
                <w:sz w:val="21"/>
                <w:szCs w:val="21"/>
                <w:highlight w:val="none"/>
                <w:lang w:val="en-US"/>
              </w:rPr>
              <w:t>最多</w:t>
            </w:r>
            <w:r>
              <w:rPr>
                <w:rStyle w:val="120"/>
                <w:rFonts w:hint="eastAsia"/>
                <w:color w:val="auto"/>
                <w:sz w:val="21"/>
                <w:szCs w:val="21"/>
                <w:highlight w:val="none"/>
              </w:rPr>
              <w:t>得</w:t>
            </w:r>
            <w:r>
              <w:rPr>
                <w:rStyle w:val="120"/>
                <w:rFonts w:hint="eastAsia"/>
                <w:color w:val="auto"/>
                <w:sz w:val="21"/>
                <w:szCs w:val="21"/>
                <w:highlight w:val="none"/>
                <w:lang w:val="en-US"/>
              </w:rPr>
              <w:t>0.9</w:t>
            </w:r>
            <w:r>
              <w:rPr>
                <w:rStyle w:val="120"/>
                <w:rFonts w:hint="eastAsia"/>
                <w:color w:val="auto"/>
                <w:sz w:val="21"/>
                <w:szCs w:val="21"/>
                <w:highlight w:val="none"/>
              </w:rPr>
              <w:t>分</w:t>
            </w:r>
          </w:p>
          <w:p>
            <w:pPr>
              <w:pStyle w:val="119"/>
              <w:shd w:val="clear" w:color="auto" w:fill="auto"/>
              <w:snapToGrid w:val="0"/>
              <w:spacing w:line="240" w:lineRule="auto"/>
              <w:rPr>
                <w:rStyle w:val="120"/>
                <w:color w:val="auto"/>
                <w:sz w:val="21"/>
                <w:szCs w:val="21"/>
                <w:highlight w:val="none"/>
                <w:lang w:val="en-US"/>
              </w:rPr>
            </w:pPr>
            <w:r>
              <w:rPr>
                <w:rStyle w:val="120"/>
                <w:rFonts w:hint="eastAsia"/>
                <w:color w:val="auto"/>
                <w:sz w:val="21"/>
                <w:szCs w:val="21"/>
                <w:highlight w:val="none"/>
              </w:rPr>
              <w:t>不满足上述要求的，不得分，本项最多得</w:t>
            </w:r>
            <w:r>
              <w:rPr>
                <w:rStyle w:val="120"/>
                <w:rFonts w:hint="eastAsia"/>
                <w:color w:val="auto"/>
                <w:sz w:val="21"/>
                <w:szCs w:val="21"/>
                <w:highlight w:val="none"/>
                <w:lang w:val="en-US"/>
              </w:rPr>
              <w:t>1.8</w:t>
            </w:r>
            <w:r>
              <w:rPr>
                <w:rStyle w:val="120"/>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2" w:hRule="atLeast"/>
          <w:jc w:val="center"/>
        </w:trPr>
        <w:tc>
          <w:tcPr>
            <w:tcW w:w="1251" w:type="dxa"/>
            <w:vMerge w:val="restart"/>
            <w:shd w:val="clear" w:color="auto" w:fill="FFFFFF"/>
            <w:vAlign w:val="center"/>
          </w:tcPr>
          <w:p>
            <w:pPr>
              <w:snapToGrid w:val="0"/>
              <w:jc w:val="center"/>
              <w:rPr>
                <w:rFonts w:ascii="宋体" w:hAnsi="宋体" w:cs="宋体"/>
                <w:color w:val="auto"/>
                <w:highlight w:val="none"/>
              </w:rPr>
            </w:pPr>
            <w:r>
              <w:rPr>
                <w:rFonts w:hint="eastAsia" w:ascii="宋体" w:hAnsi="宋体" w:cs="宋体"/>
                <w:color w:val="auto"/>
                <w:highlight w:val="none"/>
              </w:rPr>
              <w:t>二、项目管理机构能力</w:t>
            </w:r>
          </w:p>
          <w:p>
            <w:pPr>
              <w:pStyle w:val="2"/>
              <w:jc w:val="center"/>
              <w:rPr>
                <w:color w:val="auto"/>
                <w:highlight w:val="none"/>
              </w:rPr>
            </w:pPr>
            <w:r>
              <w:rPr>
                <w:rFonts w:hint="eastAsia" w:hAnsi="宋体" w:cs="宋体"/>
                <w:color w:val="auto"/>
                <w:highlight w:val="none"/>
              </w:rPr>
              <w:t>（14分）</w:t>
            </w:r>
          </w:p>
        </w:tc>
        <w:tc>
          <w:tcPr>
            <w:tcW w:w="1655" w:type="dxa"/>
            <w:shd w:val="clear" w:color="auto" w:fill="FFFFFF"/>
            <w:vAlign w:val="center"/>
          </w:tcPr>
          <w:p>
            <w:pPr>
              <w:jc w:val="center"/>
              <w:rPr>
                <w:rFonts w:ascii="宋体" w:hAnsi="宋体" w:cstheme="minorBidi"/>
                <w:color w:val="auto"/>
                <w:szCs w:val="21"/>
                <w:highlight w:val="none"/>
              </w:rPr>
            </w:pPr>
            <w:r>
              <w:rPr>
                <w:rFonts w:hint="eastAsia" w:ascii="宋体" w:hAnsi="宋体"/>
                <w:color w:val="auto"/>
                <w:szCs w:val="21"/>
                <w:highlight w:val="none"/>
              </w:rPr>
              <w:t>技术</w:t>
            </w:r>
            <w:r>
              <w:rPr>
                <w:rFonts w:ascii="宋体" w:hAnsi="宋体"/>
                <w:color w:val="auto"/>
                <w:szCs w:val="21"/>
                <w:highlight w:val="none"/>
              </w:rPr>
              <w:t>负责</w:t>
            </w:r>
            <w:r>
              <w:rPr>
                <w:rFonts w:hint="eastAsia" w:ascii="宋体" w:hAnsi="宋体"/>
                <w:color w:val="auto"/>
                <w:szCs w:val="21"/>
                <w:highlight w:val="none"/>
              </w:rPr>
              <w:t>人</w:t>
            </w:r>
          </w:p>
        </w:tc>
        <w:tc>
          <w:tcPr>
            <w:tcW w:w="567" w:type="dxa"/>
            <w:shd w:val="clear" w:color="auto" w:fill="FFFFFF"/>
            <w:vAlign w:val="center"/>
          </w:tcPr>
          <w:p>
            <w:pPr>
              <w:jc w:val="center"/>
              <w:rPr>
                <w:rFonts w:ascii="宋体" w:hAnsi="宋体" w:cstheme="minorBidi"/>
                <w:bCs/>
                <w:color w:val="auto"/>
                <w:szCs w:val="21"/>
                <w:highlight w:val="none"/>
              </w:rPr>
            </w:pPr>
            <w:r>
              <w:rPr>
                <w:rFonts w:hint="eastAsia" w:ascii="宋体" w:hAnsi="宋体"/>
                <w:bCs/>
                <w:color w:val="auto"/>
                <w:szCs w:val="21"/>
                <w:highlight w:val="none"/>
              </w:rPr>
              <w:t>2</w:t>
            </w:r>
          </w:p>
        </w:tc>
        <w:tc>
          <w:tcPr>
            <w:tcW w:w="11896" w:type="dxa"/>
            <w:shd w:val="clear" w:color="auto" w:fill="FFFFFF"/>
            <w:vAlign w:val="center"/>
          </w:tcPr>
          <w:p>
            <w:pPr>
              <w:rPr>
                <w:rFonts w:ascii="宋体" w:hAnsi="宋体" w:cstheme="minorBidi"/>
                <w:color w:val="auto"/>
                <w:szCs w:val="21"/>
                <w:highlight w:val="none"/>
              </w:rPr>
            </w:pPr>
            <w:r>
              <w:rPr>
                <w:rFonts w:hint="eastAsia" w:ascii="宋体" w:hAnsi="宋体"/>
                <w:color w:val="auto"/>
                <w:szCs w:val="21"/>
                <w:highlight w:val="none"/>
              </w:rPr>
              <w:t>从业能力：拟委派的技术负责人具有市政工程类高级（或以上）工程师职称资格的，得2分；拟委派的技术负责人具有市政工程类中级工程师职称资格的，得1分，其他不得分。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jc w:val="center"/>
              <w:rPr>
                <w:rFonts w:ascii="宋体" w:hAnsi="宋体" w:cstheme="minorBidi"/>
                <w:color w:val="auto"/>
                <w:szCs w:val="21"/>
                <w:highlight w:val="none"/>
              </w:rPr>
            </w:pPr>
            <w:r>
              <w:rPr>
                <w:rFonts w:hint="eastAsia" w:ascii="宋体" w:hAnsi="宋体"/>
                <w:color w:val="auto"/>
                <w:szCs w:val="21"/>
                <w:highlight w:val="none"/>
              </w:rPr>
              <w:t>质量负责人</w:t>
            </w:r>
          </w:p>
        </w:tc>
        <w:tc>
          <w:tcPr>
            <w:tcW w:w="567" w:type="dxa"/>
            <w:shd w:val="clear" w:color="auto" w:fill="FFFFFF"/>
            <w:vAlign w:val="center"/>
          </w:tcPr>
          <w:p>
            <w:pPr>
              <w:jc w:val="center"/>
              <w:rPr>
                <w:rFonts w:ascii="宋体" w:hAnsi="宋体" w:cstheme="minorBidi"/>
                <w:bCs/>
                <w:color w:val="auto"/>
                <w:szCs w:val="21"/>
                <w:highlight w:val="none"/>
              </w:rPr>
            </w:pPr>
            <w:r>
              <w:rPr>
                <w:rFonts w:hint="eastAsia" w:ascii="宋体" w:hAnsi="宋体"/>
                <w:bCs/>
                <w:color w:val="auto"/>
                <w:szCs w:val="21"/>
                <w:highlight w:val="none"/>
              </w:rPr>
              <w:t>2</w:t>
            </w:r>
          </w:p>
        </w:tc>
        <w:tc>
          <w:tcPr>
            <w:tcW w:w="11896" w:type="dxa"/>
            <w:shd w:val="clear" w:color="auto" w:fill="FFFFFF"/>
            <w:vAlign w:val="center"/>
          </w:tcPr>
          <w:p>
            <w:pPr>
              <w:rPr>
                <w:rFonts w:ascii="宋体" w:hAnsi="宋体" w:cstheme="minorBidi"/>
                <w:color w:val="auto"/>
                <w:szCs w:val="21"/>
                <w:highlight w:val="none"/>
              </w:rPr>
            </w:pPr>
            <w:r>
              <w:rPr>
                <w:rFonts w:hint="eastAsia" w:ascii="宋体" w:hAnsi="宋体"/>
                <w:color w:val="auto"/>
                <w:szCs w:val="21"/>
                <w:highlight w:val="none"/>
              </w:rPr>
              <w:t>从业能力：拟委派的质量负责人具有市政工程类高级（或以上）工程师职称资格的，得2分；拟委派的质量负责人具有市政工程类中级工程师职称资格的，得1分，其他不得分。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jc w:val="center"/>
              <w:rPr>
                <w:rFonts w:ascii="宋体" w:hAnsi="宋体" w:cstheme="minorBidi"/>
                <w:color w:val="auto"/>
                <w:szCs w:val="21"/>
                <w:highlight w:val="none"/>
              </w:rPr>
            </w:pPr>
            <w:r>
              <w:rPr>
                <w:rFonts w:hint="eastAsia" w:ascii="宋体" w:hAnsi="宋体"/>
                <w:color w:val="auto"/>
                <w:szCs w:val="21"/>
                <w:highlight w:val="none"/>
              </w:rPr>
              <w:t>安全负责人</w:t>
            </w:r>
          </w:p>
        </w:tc>
        <w:tc>
          <w:tcPr>
            <w:tcW w:w="567" w:type="dxa"/>
            <w:shd w:val="clear" w:color="auto" w:fill="FFFFFF"/>
            <w:vAlign w:val="center"/>
          </w:tcPr>
          <w:p>
            <w:pPr>
              <w:jc w:val="center"/>
              <w:rPr>
                <w:rFonts w:ascii="宋体" w:hAnsi="宋体" w:cstheme="minorBidi"/>
                <w:bCs/>
                <w:color w:val="auto"/>
                <w:szCs w:val="21"/>
                <w:highlight w:val="none"/>
              </w:rPr>
            </w:pPr>
            <w:r>
              <w:rPr>
                <w:rFonts w:hint="eastAsia" w:ascii="宋体" w:hAnsi="宋体"/>
                <w:bCs/>
                <w:color w:val="auto"/>
                <w:szCs w:val="21"/>
                <w:highlight w:val="none"/>
              </w:rPr>
              <w:t>2</w:t>
            </w:r>
          </w:p>
        </w:tc>
        <w:tc>
          <w:tcPr>
            <w:tcW w:w="11896" w:type="dxa"/>
            <w:shd w:val="clear" w:color="auto" w:fill="FFFFFF"/>
            <w:vAlign w:val="center"/>
          </w:tcPr>
          <w:p>
            <w:pPr>
              <w:rPr>
                <w:rFonts w:ascii="宋体" w:hAnsi="宋体" w:cstheme="minorBidi"/>
                <w:color w:val="auto"/>
                <w:szCs w:val="21"/>
                <w:highlight w:val="none"/>
              </w:rPr>
            </w:pPr>
            <w:r>
              <w:rPr>
                <w:rFonts w:hint="eastAsia" w:ascii="宋体" w:hAnsi="宋体"/>
                <w:color w:val="auto"/>
                <w:szCs w:val="21"/>
                <w:highlight w:val="none"/>
              </w:rPr>
              <w:t>从业能力：拟委派的安全负责人具备注册安全工程师，且同时具备工程类高级（或以上）工程师职称资格的，得2分；拟委派的安全负责人具备注册安全工程师，且同时具备工程类中级工程师职称资格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spacing w:line="360" w:lineRule="exact"/>
              <w:jc w:val="center"/>
              <w:rPr>
                <w:rFonts w:ascii="宋体" w:hAnsi="宋体" w:cstheme="minorBidi"/>
                <w:color w:val="auto"/>
                <w:szCs w:val="21"/>
                <w:highlight w:val="none"/>
              </w:rPr>
            </w:pPr>
            <w:r>
              <w:rPr>
                <w:rFonts w:hint="eastAsia" w:ascii="宋体" w:hAnsi="宋体"/>
                <w:color w:val="auto"/>
                <w:szCs w:val="21"/>
                <w:highlight w:val="none"/>
              </w:rPr>
              <w:t>造价负责人</w:t>
            </w:r>
          </w:p>
        </w:tc>
        <w:tc>
          <w:tcPr>
            <w:tcW w:w="567" w:type="dxa"/>
            <w:shd w:val="clear" w:color="auto" w:fill="FFFFFF"/>
            <w:vAlign w:val="center"/>
          </w:tcPr>
          <w:p>
            <w:pPr>
              <w:jc w:val="center"/>
              <w:rPr>
                <w:rFonts w:ascii="宋体" w:hAnsi="宋体" w:cstheme="minorBidi"/>
                <w:color w:val="auto"/>
                <w:szCs w:val="21"/>
                <w:highlight w:val="none"/>
              </w:rPr>
            </w:pPr>
            <w:r>
              <w:rPr>
                <w:rFonts w:hint="eastAsia" w:ascii="宋体" w:hAnsi="宋体"/>
                <w:color w:val="auto"/>
                <w:szCs w:val="21"/>
                <w:highlight w:val="none"/>
              </w:rPr>
              <w:t>2</w:t>
            </w:r>
          </w:p>
        </w:tc>
        <w:tc>
          <w:tcPr>
            <w:tcW w:w="11896" w:type="dxa"/>
            <w:shd w:val="clear" w:color="auto" w:fill="FFFFFF"/>
            <w:vAlign w:val="center"/>
          </w:tcPr>
          <w:p>
            <w:pPr>
              <w:pStyle w:val="2"/>
              <w:rPr>
                <w:rFonts w:hAnsi="宋体"/>
                <w:color w:val="auto"/>
                <w:szCs w:val="21"/>
                <w:highlight w:val="none"/>
              </w:rPr>
            </w:pPr>
            <w:r>
              <w:rPr>
                <w:rFonts w:hint="eastAsia" w:hAnsi="宋体"/>
                <w:color w:val="auto"/>
                <w:szCs w:val="21"/>
                <w:highlight w:val="none"/>
              </w:rPr>
              <w:t>从业能力：拟委派的造价负责人具备一级注册造价工程师资格，且同时具备工程造价专业高级（或以上）工程师职称资格，得2分；拟委派的造价负责人具备一级注册造价工程师资格，且同时具备工程造价专业中级工程师职称资格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12" w:hRule="atLeast"/>
          <w:jc w:val="center"/>
        </w:trPr>
        <w:tc>
          <w:tcPr>
            <w:tcW w:w="1251" w:type="dxa"/>
            <w:vMerge w:val="continue"/>
            <w:shd w:val="clear" w:color="auto" w:fill="FFFFFF"/>
            <w:vAlign w:val="center"/>
          </w:tcPr>
          <w:p>
            <w:pPr>
              <w:snapToGrid w:val="0"/>
              <w:ind w:firstLine="420"/>
              <w:jc w:val="center"/>
              <w:rPr>
                <w:rFonts w:ascii="宋体" w:hAnsi="宋体"/>
                <w:color w:val="auto"/>
                <w:szCs w:val="21"/>
                <w:highlight w:val="none"/>
              </w:rPr>
            </w:pPr>
          </w:p>
        </w:tc>
        <w:tc>
          <w:tcPr>
            <w:tcW w:w="1655" w:type="dxa"/>
            <w:shd w:val="clear" w:color="auto" w:fill="FFFFFF"/>
            <w:vAlign w:val="center"/>
          </w:tcPr>
          <w:p>
            <w:pPr>
              <w:spacing w:line="360" w:lineRule="exact"/>
              <w:jc w:val="center"/>
              <w:rPr>
                <w:rFonts w:ascii="宋体" w:hAnsi="宋体" w:cstheme="minorBidi"/>
                <w:color w:val="auto"/>
                <w:szCs w:val="21"/>
                <w:highlight w:val="none"/>
              </w:rPr>
            </w:pPr>
            <w:r>
              <w:rPr>
                <w:rFonts w:hint="eastAsia" w:ascii="宋体" w:hAnsi="宋体" w:cs="宋体"/>
                <w:color w:val="auto"/>
                <w:kern w:val="0"/>
                <w:szCs w:val="21"/>
                <w:highlight w:val="none"/>
              </w:rPr>
              <w:t>其他专业负责人</w:t>
            </w:r>
          </w:p>
        </w:tc>
        <w:tc>
          <w:tcPr>
            <w:tcW w:w="567" w:type="dxa"/>
            <w:shd w:val="clear" w:color="auto" w:fill="FFFFFF"/>
            <w:vAlign w:val="center"/>
          </w:tcPr>
          <w:p>
            <w:pPr>
              <w:jc w:val="center"/>
              <w:rPr>
                <w:rFonts w:ascii="宋体" w:hAnsi="宋体" w:cstheme="minorBidi"/>
                <w:color w:val="auto"/>
                <w:szCs w:val="21"/>
                <w:highlight w:val="none"/>
              </w:rPr>
            </w:pPr>
            <w:r>
              <w:rPr>
                <w:rFonts w:hint="eastAsia" w:ascii="宋体" w:hAnsi="宋体"/>
                <w:color w:val="auto"/>
                <w:szCs w:val="21"/>
                <w:highlight w:val="none"/>
              </w:rPr>
              <w:t>6</w:t>
            </w:r>
          </w:p>
        </w:tc>
        <w:tc>
          <w:tcPr>
            <w:tcW w:w="11896" w:type="dxa"/>
            <w:shd w:val="clear" w:color="auto" w:fill="FFFFFF"/>
            <w:vAlign w:val="center"/>
          </w:tcPr>
          <w:p>
            <w:pPr>
              <w:pStyle w:val="2"/>
              <w:rPr>
                <w:rFonts w:hAnsi="宋体"/>
                <w:color w:val="auto"/>
                <w:szCs w:val="21"/>
                <w:highlight w:val="none"/>
              </w:rPr>
            </w:pPr>
            <w:r>
              <w:rPr>
                <w:rFonts w:hint="eastAsia" w:hAnsi="宋体"/>
                <w:color w:val="auto"/>
                <w:szCs w:val="21"/>
                <w:highlight w:val="none"/>
              </w:rPr>
              <w:t>投标人拟委派其他专业负责人：</w:t>
            </w:r>
          </w:p>
          <w:p>
            <w:pPr>
              <w:pStyle w:val="2"/>
              <w:rPr>
                <w:rFonts w:hAnsi="宋体"/>
                <w:color w:val="auto"/>
                <w:szCs w:val="21"/>
                <w:highlight w:val="none"/>
              </w:rPr>
            </w:pPr>
            <w:r>
              <w:rPr>
                <w:rFonts w:hint="eastAsia" w:hAnsi="宋体"/>
                <w:color w:val="auto"/>
                <w:szCs w:val="21"/>
                <w:highlight w:val="none"/>
              </w:rPr>
              <w:t>除技术负责人、质量负责人、安全负责人、造价负责人外，其他专业负责人配备完善：</w:t>
            </w:r>
          </w:p>
          <w:p>
            <w:pPr>
              <w:pStyle w:val="2"/>
              <w:rPr>
                <w:rFonts w:hAnsi="宋体"/>
                <w:color w:val="auto"/>
                <w:szCs w:val="21"/>
                <w:highlight w:val="none"/>
              </w:rPr>
            </w:pPr>
            <w:r>
              <w:rPr>
                <w:rFonts w:hint="eastAsia" w:hAnsi="宋体"/>
                <w:color w:val="auto"/>
                <w:szCs w:val="21"/>
                <w:highlight w:val="none"/>
              </w:rPr>
              <w:t>测量专业高级工程师1人、材料专业高级工程师1人、给排水专业高级工程师1人（上述人员不得兼任），人员满足上述要求的，得6分，每少一人扣2分。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5" w:hRule="atLeast"/>
          <w:jc w:val="center"/>
        </w:trPr>
        <w:tc>
          <w:tcPr>
            <w:tcW w:w="2906" w:type="dxa"/>
            <w:gridSpan w:val="2"/>
            <w:shd w:val="clear" w:color="auto" w:fill="FFFFFF"/>
            <w:vAlign w:val="center"/>
          </w:tcPr>
          <w:p>
            <w:pPr>
              <w:pStyle w:val="119"/>
              <w:shd w:val="clear" w:color="auto" w:fill="auto"/>
              <w:snapToGrid w:val="0"/>
              <w:spacing w:line="240" w:lineRule="auto"/>
              <w:jc w:val="center"/>
              <w:rPr>
                <w:rStyle w:val="120"/>
                <w:color w:val="auto"/>
                <w:sz w:val="21"/>
                <w:szCs w:val="21"/>
                <w:highlight w:val="none"/>
              </w:rPr>
            </w:pPr>
            <w:r>
              <w:rPr>
                <w:rStyle w:val="120"/>
                <w:rFonts w:hint="eastAsia"/>
                <w:color w:val="auto"/>
                <w:sz w:val="21"/>
                <w:szCs w:val="21"/>
                <w:highlight w:val="none"/>
              </w:rPr>
              <w:t>合计</w:t>
            </w:r>
          </w:p>
        </w:tc>
        <w:tc>
          <w:tcPr>
            <w:tcW w:w="567" w:type="dxa"/>
            <w:shd w:val="clear" w:color="auto" w:fill="FFFFFF"/>
            <w:vAlign w:val="center"/>
          </w:tcPr>
          <w:p>
            <w:pPr>
              <w:pStyle w:val="119"/>
              <w:shd w:val="clear" w:color="auto" w:fill="auto"/>
              <w:snapToGrid w:val="0"/>
              <w:spacing w:line="240" w:lineRule="auto"/>
              <w:jc w:val="center"/>
              <w:rPr>
                <w:rStyle w:val="120"/>
                <w:color w:val="auto"/>
                <w:sz w:val="21"/>
                <w:szCs w:val="21"/>
                <w:highlight w:val="none"/>
                <w:lang w:val="en-US"/>
              </w:rPr>
            </w:pPr>
            <w:r>
              <w:rPr>
                <w:rStyle w:val="120"/>
                <w:rFonts w:hint="eastAsia"/>
                <w:color w:val="auto"/>
                <w:sz w:val="21"/>
                <w:szCs w:val="21"/>
                <w:highlight w:val="none"/>
                <w:lang w:val="en-US"/>
              </w:rPr>
              <w:t>20</w:t>
            </w:r>
          </w:p>
        </w:tc>
        <w:tc>
          <w:tcPr>
            <w:tcW w:w="11896" w:type="dxa"/>
            <w:shd w:val="clear" w:color="auto" w:fill="FFFFFF"/>
            <w:vAlign w:val="center"/>
          </w:tcPr>
          <w:p>
            <w:pPr>
              <w:pStyle w:val="119"/>
              <w:shd w:val="clear" w:color="auto" w:fill="auto"/>
              <w:snapToGrid w:val="0"/>
              <w:spacing w:line="240" w:lineRule="auto"/>
              <w:rPr>
                <w:rStyle w:val="120"/>
                <w:color w:val="auto"/>
                <w:sz w:val="21"/>
                <w:szCs w:val="21"/>
                <w:highlight w:val="none"/>
              </w:rPr>
            </w:pPr>
          </w:p>
        </w:tc>
      </w:tr>
    </w:tbl>
    <w:p>
      <w:pPr>
        <w:pStyle w:val="17"/>
        <w:spacing w:line="300" w:lineRule="exact"/>
        <w:ind w:firstLine="0" w:firstLineChars="0"/>
        <w:rPr>
          <w:rFonts w:cs="宋体"/>
          <w:color w:val="auto"/>
          <w:szCs w:val="21"/>
          <w:highlight w:val="none"/>
        </w:rPr>
      </w:pPr>
      <w:r>
        <w:rPr>
          <w:rFonts w:hint="eastAsia" w:cs="宋体"/>
          <w:color w:val="auto"/>
          <w:szCs w:val="21"/>
          <w:highlight w:val="none"/>
        </w:rPr>
        <w:t>备注：</w:t>
      </w:r>
    </w:p>
    <w:p>
      <w:pPr>
        <w:pStyle w:val="17"/>
        <w:spacing w:line="300" w:lineRule="exact"/>
        <w:ind w:firstLine="0" w:firstLineChars="0"/>
        <w:rPr>
          <w:rFonts w:cs="宋体"/>
          <w:color w:val="auto"/>
          <w:szCs w:val="21"/>
          <w:highlight w:val="none"/>
        </w:rPr>
      </w:pPr>
      <w:r>
        <w:rPr>
          <w:rFonts w:hint="eastAsia" w:cs="宋体"/>
          <w:color w:val="auto"/>
          <w:szCs w:val="21"/>
          <w:highlight w:val="none"/>
        </w:rPr>
        <w:t>备注：</w:t>
      </w:r>
    </w:p>
    <w:p>
      <w:pPr>
        <w:pStyle w:val="17"/>
        <w:spacing w:line="300" w:lineRule="exact"/>
        <w:ind w:firstLine="0" w:firstLineChars="0"/>
        <w:rPr>
          <w:rFonts w:cs="宋体"/>
          <w:b/>
          <w:color w:val="auto"/>
          <w:sz w:val="21"/>
          <w:szCs w:val="21"/>
          <w:highlight w:val="none"/>
        </w:rPr>
      </w:pPr>
      <w:r>
        <w:rPr>
          <w:rFonts w:hint="eastAsia" w:cs="宋体"/>
          <w:b/>
          <w:color w:val="auto"/>
          <w:sz w:val="21"/>
          <w:szCs w:val="21"/>
          <w:highlight w:val="none"/>
        </w:rPr>
        <w:t>1、企业业绩：</w:t>
      </w:r>
    </w:p>
    <w:p>
      <w:pPr>
        <w:adjustRightInd w:val="0"/>
        <w:snapToGrid w:val="0"/>
        <w:spacing w:line="300" w:lineRule="exact"/>
        <w:ind w:left="42" w:leftChars="20" w:right="42" w:rightChars="20" w:firstLine="420"/>
        <w:rPr>
          <w:rStyle w:val="120"/>
          <w:color w:val="auto"/>
          <w:sz w:val="21"/>
          <w:szCs w:val="21"/>
          <w:highlight w:val="none"/>
        </w:rPr>
      </w:pPr>
      <w:r>
        <w:rPr>
          <w:rStyle w:val="120"/>
          <w:rFonts w:hint="eastAsia"/>
          <w:color w:val="auto"/>
          <w:sz w:val="21"/>
          <w:szCs w:val="21"/>
          <w:highlight w:val="none"/>
        </w:rPr>
        <w:t>类似工程业绩是指单项工程中标价大于或等于</w:t>
      </w:r>
      <w:r>
        <w:rPr>
          <w:rStyle w:val="120"/>
          <w:rFonts w:hint="eastAsia"/>
          <w:color w:val="auto"/>
          <w:sz w:val="21"/>
          <w:szCs w:val="21"/>
          <w:highlight w:val="none"/>
          <w:lang w:val="en-US"/>
        </w:rPr>
        <w:t>10</w:t>
      </w:r>
      <w:r>
        <w:rPr>
          <w:rStyle w:val="120"/>
          <w:rFonts w:hint="eastAsia"/>
          <w:color w:val="auto"/>
          <w:sz w:val="21"/>
          <w:szCs w:val="21"/>
          <w:highlight w:val="none"/>
        </w:rPr>
        <w:t>00万元的市政公用工程施工总承包业绩。投标人需提供以下资料：</w:t>
      </w:r>
    </w:p>
    <w:p>
      <w:pPr>
        <w:adjustRightInd w:val="0"/>
        <w:snapToGrid w:val="0"/>
        <w:spacing w:line="300" w:lineRule="exact"/>
        <w:ind w:left="42" w:leftChars="20" w:right="42" w:rightChars="20" w:firstLine="420"/>
        <w:rPr>
          <w:rStyle w:val="120"/>
          <w:color w:val="auto"/>
          <w:sz w:val="21"/>
          <w:szCs w:val="21"/>
          <w:highlight w:val="none"/>
        </w:rPr>
      </w:pPr>
      <w:r>
        <w:rPr>
          <w:rStyle w:val="120"/>
          <w:rFonts w:hint="eastAsia"/>
          <w:color w:val="auto"/>
          <w:sz w:val="21"/>
          <w:szCs w:val="21"/>
          <w:highlight w:val="none"/>
        </w:rPr>
        <w:t>1）提供业绩的中标通知书（或免招标证明）、施工合同（仅需附协议书部分）、竣工验收报告及其他补充（如需要）反映工程信息的相关证明材料扫描件。</w:t>
      </w:r>
    </w:p>
    <w:p>
      <w:pPr>
        <w:adjustRightInd w:val="0"/>
        <w:snapToGrid w:val="0"/>
        <w:spacing w:line="300" w:lineRule="exact"/>
        <w:ind w:left="42" w:leftChars="20" w:right="42" w:rightChars="20" w:firstLine="420"/>
        <w:rPr>
          <w:rStyle w:val="120"/>
          <w:color w:val="auto"/>
          <w:sz w:val="21"/>
          <w:szCs w:val="21"/>
          <w:highlight w:val="none"/>
        </w:rPr>
      </w:pPr>
      <w:r>
        <w:rPr>
          <w:rStyle w:val="120"/>
          <w:rFonts w:hint="eastAsia"/>
          <w:color w:val="auto"/>
          <w:sz w:val="21"/>
          <w:szCs w:val="21"/>
          <w:highlight w:val="none"/>
        </w:rPr>
        <w:t>2）业绩金额以中标通知书为准，中标通知书上没有金额的，以施工合同（不含补充合同）为准，时间以竣工验收报告等验收资料的日期为准，验收资料至少具有建设单位、设计、施工和监理单位盖章。如为设计施工总承包项目（EPC项目）的，则投标人须为本项目的唯一施工单位。</w:t>
      </w:r>
    </w:p>
    <w:p>
      <w:pPr>
        <w:adjustRightInd w:val="0"/>
        <w:snapToGrid w:val="0"/>
        <w:spacing w:line="300" w:lineRule="exact"/>
        <w:ind w:left="42" w:leftChars="20" w:right="42" w:rightChars="20" w:firstLine="420"/>
        <w:rPr>
          <w:rStyle w:val="120"/>
          <w:color w:val="auto"/>
          <w:sz w:val="21"/>
          <w:szCs w:val="21"/>
          <w:highlight w:val="none"/>
        </w:rPr>
      </w:pPr>
      <w:r>
        <w:rPr>
          <w:rStyle w:val="120"/>
          <w:rFonts w:hint="eastAsia"/>
          <w:color w:val="auto"/>
          <w:sz w:val="21"/>
          <w:szCs w:val="21"/>
          <w:highlight w:val="none"/>
        </w:rPr>
        <w:t>3）提供的材料不符合上述条件或未提供上述资料的，该业绩不予认定。</w:t>
      </w:r>
    </w:p>
    <w:p>
      <w:pPr>
        <w:adjustRightInd w:val="0"/>
        <w:snapToGrid w:val="0"/>
        <w:ind w:right="42" w:rightChars="20"/>
        <w:rPr>
          <w:rFonts w:ascii="宋体" w:hAnsi="宋体" w:cs="宋体"/>
          <w:b/>
          <w:bCs/>
          <w:color w:val="auto"/>
          <w:kern w:val="0"/>
          <w:szCs w:val="21"/>
          <w:highlight w:val="none"/>
        </w:rPr>
      </w:pPr>
      <w:r>
        <w:rPr>
          <w:rFonts w:hint="eastAsia" w:ascii="宋体" w:hAnsi="宋体" w:cs="宋体"/>
          <w:b/>
          <w:bCs/>
          <w:color w:val="auto"/>
          <w:kern w:val="0"/>
          <w:szCs w:val="21"/>
          <w:highlight w:val="none"/>
        </w:rPr>
        <w:t>2、财务状况：</w:t>
      </w:r>
    </w:p>
    <w:p>
      <w:pPr>
        <w:adjustRightInd w:val="0"/>
        <w:snapToGrid w:val="0"/>
        <w:ind w:left="42" w:leftChars="20" w:right="42" w:rightChars="20" w:firstLine="420"/>
        <w:rPr>
          <w:rFonts w:ascii="宋体" w:hAnsi="宋体" w:cs="宋体"/>
          <w:bCs/>
          <w:color w:val="auto"/>
          <w:szCs w:val="21"/>
          <w:highlight w:val="none"/>
        </w:rPr>
      </w:pPr>
      <w:r>
        <w:rPr>
          <w:rFonts w:hint="eastAsia" w:ascii="宋体" w:hAnsi="宋体" w:cs="宋体"/>
          <w:color w:val="auto"/>
          <w:kern w:val="0"/>
          <w:szCs w:val="21"/>
          <w:highlight w:val="none"/>
        </w:rPr>
        <w:t>“纳税信用A级”评价以国家税务总局网站“纳税信用A级纳税人名单公布栏”查询结果（不包括子公司、分公司）为准，需提供网页截图并加盖投标人电子印章，连续年度须含2020年，不符合条件的不计分。</w:t>
      </w:r>
    </w:p>
    <w:p>
      <w:pPr>
        <w:pStyle w:val="17"/>
        <w:spacing w:line="300" w:lineRule="exact"/>
        <w:ind w:firstLine="0" w:firstLineChars="0"/>
        <w:rPr>
          <w:rFonts w:cs="宋体"/>
          <w:b/>
          <w:color w:val="auto"/>
          <w:sz w:val="21"/>
          <w:szCs w:val="21"/>
          <w:highlight w:val="none"/>
        </w:rPr>
      </w:pPr>
      <w:r>
        <w:rPr>
          <w:rFonts w:hint="eastAsia" w:cs="宋体"/>
          <w:b/>
          <w:color w:val="auto"/>
          <w:sz w:val="21"/>
          <w:szCs w:val="21"/>
          <w:highlight w:val="none"/>
        </w:rPr>
        <w:t>3、工程获奖情况：</w:t>
      </w:r>
    </w:p>
    <w:p>
      <w:pPr>
        <w:adjustRightInd w:val="0"/>
        <w:snapToGrid w:val="0"/>
        <w:spacing w:line="300" w:lineRule="exact"/>
        <w:ind w:right="42" w:rightChars="2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国家级质量奖项是指鲁班奖、詹天佑奖、国家优质工程金质奖、国家优质工程奖、市政金杯示范工程奖；省级或市级奖项是指省级或市级建设行政主管部门或行业协会颁发的工程质量奖项；不包含安全文明施工类、绿色文明施工类、科学技术奖、园林工程奖、QC成果类、科技进步及技术应用类、工法类等奖项；参建项目不得分，同一项目获得多个奖项的，该项目获奖只按其中一个奖项所在最高级别计算一次分数，不得重复计算，境外工程不计分。时间以</w:t>
      </w:r>
      <w:r>
        <w:rPr>
          <w:rStyle w:val="120"/>
          <w:rFonts w:hint="eastAsia"/>
          <w:color w:val="auto"/>
          <w:sz w:val="21"/>
          <w:szCs w:val="21"/>
          <w:highlight w:val="none"/>
        </w:rPr>
        <w:t>证书颁发时间为准</w:t>
      </w:r>
      <w:r>
        <w:rPr>
          <w:rFonts w:hint="eastAsia" w:ascii="宋体" w:hAnsi="宋体" w:cs="宋体"/>
          <w:color w:val="auto"/>
          <w:kern w:val="0"/>
          <w:szCs w:val="21"/>
          <w:highlight w:val="none"/>
        </w:rPr>
        <w:t>，须提供获奖证书扫描件或获奖文件作为评审依据。</w:t>
      </w:r>
    </w:p>
    <w:p>
      <w:pPr>
        <w:adjustRightInd w:val="0"/>
        <w:snapToGrid w:val="0"/>
        <w:spacing w:line="300" w:lineRule="exact"/>
        <w:ind w:right="42" w:rightChars="20"/>
        <w:rPr>
          <w:rFonts w:ascii="宋体" w:hAnsi="宋体" w:cs="宋体"/>
          <w:b/>
          <w:color w:val="auto"/>
          <w:kern w:val="0"/>
          <w:szCs w:val="21"/>
          <w:highlight w:val="none"/>
        </w:rPr>
      </w:pPr>
      <w:r>
        <w:rPr>
          <w:rFonts w:hint="eastAsia" w:ascii="宋体" w:hAnsi="宋体" w:cs="宋体"/>
          <w:b/>
          <w:color w:val="auto"/>
          <w:kern w:val="0"/>
          <w:szCs w:val="21"/>
          <w:highlight w:val="none"/>
        </w:rPr>
        <w:t>4、第三方评价：</w:t>
      </w:r>
    </w:p>
    <w:p>
      <w:pPr>
        <w:pStyle w:val="2"/>
        <w:ind w:firstLine="420" w:firstLineChars="200"/>
        <w:rPr>
          <w:color w:val="auto"/>
          <w:highlight w:val="none"/>
        </w:rPr>
      </w:pPr>
      <w:r>
        <w:rPr>
          <w:rFonts w:hint="eastAsia" w:hAnsi="宋体" w:cs="宋体"/>
          <w:color w:val="auto"/>
          <w:kern w:val="0"/>
          <w:szCs w:val="21"/>
          <w:highlight w:val="none"/>
        </w:rPr>
        <w:t>省级或以上市政行业协会颁发的企业诚信评价获奖证书必须在有效期内；需提供获奖证书扫描件并加盖投标单位电子印章，其中协会颁发的奖项，要求发证协会必须经民政部门依法登记成立，且提供其在“中国社会组织公共服务平台”网站（http://www.chinanpo.gov.cn）查询结果的网页打印页，否则该项不得分。</w:t>
      </w:r>
    </w:p>
    <w:p>
      <w:pPr>
        <w:adjustRightInd w:val="0"/>
        <w:snapToGrid w:val="0"/>
        <w:spacing w:line="300" w:lineRule="exact"/>
        <w:ind w:right="42" w:rightChars="20"/>
        <w:rPr>
          <w:rFonts w:ascii="宋体" w:hAnsi="宋体" w:cs="宋体"/>
          <w:b/>
          <w:color w:val="auto"/>
          <w:kern w:val="0"/>
          <w:szCs w:val="21"/>
          <w:highlight w:val="none"/>
        </w:rPr>
      </w:pPr>
      <w:r>
        <w:rPr>
          <w:rFonts w:hint="eastAsia" w:ascii="宋体" w:hAnsi="宋体" w:cs="宋体"/>
          <w:b/>
          <w:color w:val="auto"/>
          <w:kern w:val="0"/>
          <w:szCs w:val="21"/>
          <w:highlight w:val="none"/>
        </w:rPr>
        <w:t>5、工程研发能力：</w:t>
      </w:r>
    </w:p>
    <w:p>
      <w:pPr>
        <w:adjustRightInd w:val="0"/>
        <w:snapToGrid w:val="0"/>
        <w:spacing w:line="300" w:lineRule="exact"/>
        <w:ind w:left="42" w:leftChars="20" w:right="42" w:rightChars="20" w:firstLine="420"/>
        <w:rPr>
          <w:rFonts w:ascii="宋体" w:hAnsi="宋体" w:cs="宋体"/>
          <w:color w:val="auto"/>
          <w:kern w:val="0"/>
          <w:szCs w:val="21"/>
          <w:highlight w:val="none"/>
        </w:rPr>
      </w:pPr>
      <w:r>
        <w:rPr>
          <w:rFonts w:hint="eastAsia" w:ascii="宋体" w:hAnsi="宋体" w:cs="宋体"/>
          <w:color w:val="auto"/>
          <w:kern w:val="0"/>
          <w:szCs w:val="21"/>
          <w:highlight w:val="none"/>
        </w:rPr>
        <w:t>国家级市政工程科学技术奖包含“国家科学技术进步奖”或“全国市政工程科学技术奖”等，市级或省级</w:t>
      </w:r>
      <w:r>
        <w:rPr>
          <w:rStyle w:val="120"/>
          <w:rFonts w:hint="eastAsia"/>
          <w:color w:val="auto"/>
          <w:sz w:val="21"/>
          <w:szCs w:val="21"/>
          <w:highlight w:val="none"/>
        </w:rPr>
        <w:t>市政工程科学技术奖</w:t>
      </w:r>
      <w:r>
        <w:rPr>
          <w:rFonts w:hint="eastAsia" w:ascii="宋体" w:hAnsi="宋体" w:cs="宋体"/>
          <w:color w:val="auto"/>
          <w:kern w:val="0"/>
          <w:szCs w:val="21"/>
          <w:highlight w:val="none"/>
        </w:rPr>
        <w:t>是指市级或省级建设行政主管部门或科技行政部门或行业协会颁发的市政工程科学技术奖项；须提供获奖证书扫描件，时间以</w:t>
      </w:r>
      <w:r>
        <w:rPr>
          <w:rStyle w:val="120"/>
          <w:rFonts w:hint="eastAsia"/>
          <w:color w:val="auto"/>
          <w:sz w:val="21"/>
          <w:szCs w:val="21"/>
          <w:highlight w:val="none"/>
        </w:rPr>
        <w:t>证书颁发时间为准</w:t>
      </w:r>
      <w:r>
        <w:rPr>
          <w:rFonts w:hint="eastAsia" w:ascii="宋体" w:hAnsi="宋体" w:cs="宋体"/>
          <w:color w:val="auto"/>
          <w:kern w:val="0"/>
          <w:szCs w:val="21"/>
          <w:highlight w:val="none"/>
        </w:rPr>
        <w:t>，同一项目获得多个奖项的，该项目获奖只按其中一个奖项所在最高级别计算一次分数，不得重复计算；其中协会颁发的奖项，要求发证协会必须经民政部门依法登记成立，且提供其在“中国社会组织公共服务平台”网站（http://www.chinanpo.gov.cn）查询结果的网页打印页，否则该项不得分。无提交上述资料不计分。</w:t>
      </w:r>
    </w:p>
    <w:p>
      <w:pPr>
        <w:pStyle w:val="2"/>
        <w:numPr>
          <w:ilvl w:val="0"/>
          <w:numId w:val="3"/>
        </w:numPr>
        <w:rPr>
          <w:rFonts w:hAnsi="宋体" w:cs="宋体"/>
          <w:b/>
          <w:bCs/>
          <w:color w:val="auto"/>
          <w:kern w:val="0"/>
          <w:szCs w:val="21"/>
          <w:highlight w:val="none"/>
        </w:rPr>
      </w:pPr>
      <w:r>
        <w:rPr>
          <w:rFonts w:hint="eastAsia" w:hAnsi="宋体" w:cs="宋体"/>
          <w:b/>
          <w:bCs/>
          <w:color w:val="auto"/>
          <w:kern w:val="0"/>
          <w:szCs w:val="21"/>
          <w:highlight w:val="none"/>
        </w:rPr>
        <w:t>项目管理机构能力：</w:t>
      </w:r>
    </w:p>
    <w:p>
      <w:pPr>
        <w:pStyle w:val="2"/>
        <w:ind w:firstLine="420" w:firstLineChars="200"/>
        <w:rPr>
          <w:rFonts w:hAnsi="宋体"/>
          <w:color w:val="auto"/>
          <w:szCs w:val="21"/>
          <w:highlight w:val="none"/>
        </w:rPr>
      </w:pPr>
      <w:r>
        <w:rPr>
          <w:rFonts w:hint="eastAsia" w:hAnsi="宋体" w:cs="宋体"/>
          <w:color w:val="auto"/>
          <w:highlight w:val="none"/>
        </w:rPr>
        <w:t>（1）项目管理机构能力人员须提供职称证、有效期内的注册证（如有）及投标截止前一个月（ 2022年5月）有效社保证明（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所有资料为扫描件并加盖投标人电子公章；</w:t>
      </w:r>
    </w:p>
    <w:p>
      <w:pPr>
        <w:pStyle w:val="2"/>
        <w:ind w:firstLine="420" w:firstLineChars="200"/>
        <w:rPr>
          <w:rFonts w:hAnsi="宋体" w:cs="宋体"/>
          <w:color w:val="auto"/>
          <w:kern w:val="0"/>
          <w:szCs w:val="21"/>
          <w:highlight w:val="none"/>
        </w:rPr>
      </w:pPr>
      <w:r>
        <w:rPr>
          <w:rFonts w:hint="eastAsia" w:hAnsi="宋体"/>
          <w:color w:val="auto"/>
          <w:szCs w:val="21"/>
          <w:highlight w:val="none"/>
        </w:rPr>
        <w:t>（2）技术负责人、质量负责人、安全负责人、造价负责人、其他专业负责人不得兼任，且安全负责人不能同时兼任专职安全员；项目管理机构人员仅指投标人自身人员，不含子母公司人员，如投标申请人为集团公司，则不含集团下属分公司，专指集团本部人员，同样下属公司也不得使用集团公司的人员。</w:t>
      </w:r>
    </w:p>
    <w:p>
      <w:pPr>
        <w:adjustRightInd w:val="0"/>
        <w:snapToGrid w:val="0"/>
        <w:ind w:right="42" w:rightChars="20"/>
        <w:rPr>
          <w:rFonts w:ascii="宋体" w:hAnsi="宋体" w:cs="宋体"/>
          <w:color w:val="auto"/>
          <w:kern w:val="0"/>
          <w:szCs w:val="21"/>
          <w:highlight w:val="none"/>
        </w:rPr>
      </w:pPr>
      <w:r>
        <w:rPr>
          <w:rFonts w:hint="eastAsia" w:ascii="宋体" w:hAnsi="宋体" w:cs="宋体"/>
          <w:b/>
          <w:bCs/>
          <w:color w:val="auto"/>
          <w:kern w:val="0"/>
          <w:szCs w:val="21"/>
          <w:highlight w:val="none"/>
        </w:rPr>
        <w:t>7、投标人得分为各评委评分去掉一个最高分和一个最低分后的算术平均值（若分数出现小数点时，保留小数点后二位，第三位小数四舍五入）。</w:t>
      </w:r>
    </w:p>
    <w:p>
      <w:pPr>
        <w:rPr>
          <w:b/>
          <w:color w:val="auto"/>
          <w:sz w:val="36"/>
          <w:szCs w:val="36"/>
          <w:highlight w:val="none"/>
        </w:rPr>
      </w:pPr>
      <w:r>
        <w:rPr>
          <w:rFonts w:hint="eastAsia"/>
          <w:b/>
          <w:color w:val="auto"/>
          <w:sz w:val="36"/>
          <w:szCs w:val="36"/>
          <w:highlight w:val="none"/>
        </w:rPr>
        <w:br w:type="page"/>
      </w:r>
    </w:p>
    <w:p>
      <w:pPr>
        <w:pStyle w:val="46"/>
        <w:rPr>
          <w:color w:val="auto"/>
          <w:highlight w:val="none"/>
        </w:rPr>
      </w:pP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szCs w:val="21"/>
          <w:highlight w:val="none"/>
        </w:rPr>
      </w:pPr>
      <w:r>
        <w:rPr>
          <w:rFonts w:hint="eastAsia"/>
          <w:color w:val="auto"/>
          <w:szCs w:val="21"/>
          <w:highlight w:val="none"/>
        </w:rPr>
        <w:t>评委签名：</w:t>
      </w:r>
      <w:r>
        <w:rPr>
          <w:b/>
          <w:color w:val="auto"/>
          <w:sz w:val="36"/>
          <w:szCs w:val="36"/>
          <w:highlight w:val="none"/>
        </w:rPr>
        <w:br w:type="page"/>
      </w: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5"/>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0" w:type="first"/>
          <w:footerReference r:id="rId12" w:type="first"/>
          <w:headerReference r:id="rId9" w:type="default"/>
          <w:footerReference r:id="rId11" w:type="default"/>
          <w:endnotePr>
            <w:numFmt w:val="decimal"/>
          </w:endnotePr>
          <w:pgSz w:w="16838" w:h="11906" w:orient="landscape"/>
          <w:pgMar w:top="1418" w:right="1247" w:bottom="1418" w:left="1134" w:header="851" w:footer="907" w:gutter="0"/>
          <w:cols w:space="425" w:num="1"/>
          <w:titlePg/>
          <w:docGrid w:type="lines" w:linePitch="312" w:charSpace="0"/>
        </w:sectPr>
      </w:pPr>
    </w:p>
    <w:p>
      <w:pPr>
        <w:pStyle w:val="3"/>
        <w:rPr>
          <w:color w:val="auto"/>
          <w:highlight w:val="none"/>
        </w:rPr>
      </w:pPr>
      <w:bookmarkStart w:id="30" w:name="_Toc2272566"/>
      <w:bookmarkStart w:id="31" w:name="_Toc21525511"/>
      <w:r>
        <w:rPr>
          <w:rFonts w:hint="eastAsia"/>
          <w:color w:val="auto"/>
          <w:highlight w:val="none"/>
        </w:rPr>
        <w:t>第三章合同条款</w:t>
      </w:r>
      <w:bookmarkEnd w:id="30"/>
      <w:bookmarkEnd w:id="31"/>
    </w:p>
    <w:p>
      <w:pPr>
        <w:rPr>
          <w:rFonts w:ascii="宋体"/>
          <w:b/>
          <w:color w:val="auto"/>
          <w:sz w:val="24"/>
          <w:szCs w:val="24"/>
          <w:highlight w:val="none"/>
        </w:rPr>
      </w:pPr>
      <w:r>
        <w:rPr>
          <w:rFonts w:hint="eastAsia"/>
          <w:color w:val="auto"/>
          <w:sz w:val="24"/>
          <w:szCs w:val="24"/>
          <w:highlight w:val="none"/>
        </w:rPr>
        <w:t>注：</w:t>
      </w:r>
      <w:r>
        <w:rPr>
          <w:rFonts w:hint="eastAsia" w:ascii="宋体" w:hAnsi="宋体"/>
          <w:color w:val="auto"/>
          <w:sz w:val="24"/>
          <w:szCs w:val="24"/>
          <w:highlight w:val="none"/>
        </w:rPr>
        <w:t>按《建设项目工程总承包合同示范文本（试行）》（</w:t>
      </w:r>
      <w:r>
        <w:rPr>
          <w:rFonts w:ascii="宋体" w:hAnsi="宋体"/>
          <w:color w:val="auto"/>
          <w:sz w:val="24"/>
          <w:szCs w:val="24"/>
          <w:highlight w:val="none"/>
        </w:rPr>
        <w:t>GF-2011-0216</w:t>
      </w:r>
      <w:r>
        <w:rPr>
          <w:rFonts w:hint="eastAsia" w:ascii="宋体" w:hAnsi="宋体"/>
          <w:color w:val="auto"/>
          <w:sz w:val="24"/>
          <w:szCs w:val="24"/>
          <w:highlight w:val="none"/>
        </w:rPr>
        <w:t>）执行，另册。</w:t>
      </w:r>
    </w:p>
    <w:p>
      <w:pPr>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
        <w:spacing w:line="360" w:lineRule="auto"/>
        <w:rPr>
          <w:color w:val="auto"/>
          <w:sz w:val="24"/>
          <w:szCs w:val="24"/>
          <w:highlight w:val="none"/>
        </w:rPr>
      </w:pPr>
    </w:p>
    <w:p>
      <w:pPr>
        <w:pStyle w:val="2"/>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2" w:name="_Toc2272567"/>
      <w:bookmarkStart w:id="33" w:name="_Toc21525512"/>
      <w:r>
        <w:rPr>
          <w:rFonts w:hint="eastAsia"/>
          <w:color w:val="auto"/>
          <w:highlight w:val="none"/>
        </w:rPr>
        <w:t>第四章投标文件格式</w:t>
      </w:r>
      <w:bookmarkEnd w:id="32"/>
      <w:bookmarkEnd w:id="33"/>
    </w:p>
    <w:p>
      <w:pPr>
        <w:autoSpaceDE w:val="0"/>
        <w:autoSpaceDN w:val="0"/>
        <w:adjustRightInd w:val="0"/>
        <w:rPr>
          <w:bCs/>
          <w:color w:val="auto"/>
          <w:szCs w:val="21"/>
          <w:highlight w:val="none"/>
        </w:rPr>
      </w:pPr>
      <w:r>
        <w:rPr>
          <w:color w:val="auto"/>
          <w:highlight w:val="none"/>
        </w:rPr>
        <w:br w:type="page"/>
      </w:r>
      <w:r>
        <w:rPr>
          <w:rFonts w:hint="eastAsia"/>
          <w:bCs/>
          <w:color w:val="auto"/>
          <w:szCs w:val="21"/>
          <w:highlight w:val="none"/>
        </w:rPr>
        <w:t>附件一</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r>
        <w:rPr>
          <w:color w:val="auto"/>
          <w:sz w:val="24"/>
          <w:szCs w:val="24"/>
          <w:highlight w:val="none"/>
        </w:rPr>
        <w:br w:type="page"/>
      </w:r>
    </w:p>
    <w:tbl>
      <w:tblPr>
        <w:tblStyle w:val="35"/>
        <w:tblW w:w="9008" w:type="dxa"/>
        <w:tblInd w:w="0" w:type="dxa"/>
        <w:tblLayout w:type="fixed"/>
        <w:tblCellMar>
          <w:top w:w="0" w:type="dxa"/>
          <w:left w:w="108" w:type="dxa"/>
          <w:bottom w:w="0" w:type="dxa"/>
          <w:right w:w="108" w:type="dxa"/>
        </w:tblCellMar>
      </w:tblPr>
      <w:tblGrid>
        <w:gridCol w:w="9008"/>
      </w:tblGrid>
      <w:tr>
        <w:trPr>
          <w:trHeight w:val="195" w:hRule="atLeast"/>
        </w:trPr>
        <w:tc>
          <w:tcPr>
            <w:tcW w:w="9008" w:type="dxa"/>
            <w:tcBorders>
              <w:top w:val="nil"/>
              <w:left w:val="nil"/>
              <w:bottom w:val="nil"/>
              <w:right w:val="nil"/>
            </w:tcBorders>
            <w:noWrap/>
            <w:vAlign w:val="bottom"/>
          </w:tcPr>
          <w:p>
            <w:pPr>
              <w:jc w:val="center"/>
              <w:rPr>
                <w:rFonts w:ascii="宋体" w:hAnsi="宋体"/>
                <w:b/>
                <w:color w:val="auto"/>
                <w:sz w:val="36"/>
                <w:szCs w:val="36"/>
                <w:highlight w:val="none"/>
              </w:rPr>
            </w:pPr>
            <w:r>
              <w:rPr>
                <w:rFonts w:hint="eastAsia" w:ascii="宋体" w:hAnsi="宋体"/>
                <w:b/>
                <w:color w:val="auto"/>
                <w:sz w:val="36"/>
                <w:szCs w:val="36"/>
                <w:highlight w:val="none"/>
              </w:rPr>
              <w:t>响应招标文件所附</w:t>
            </w:r>
            <w:r>
              <w:rPr>
                <w:rFonts w:hint="eastAsia" w:ascii="宋体" w:hAnsi="宋体"/>
                <w:b/>
                <w:color w:val="auto"/>
                <w:sz w:val="36"/>
                <w:szCs w:val="36"/>
                <w:highlight w:val="none"/>
                <w:u w:val="single"/>
              </w:rPr>
              <w:t>施工组织设计要点</w:t>
            </w:r>
            <w:r>
              <w:rPr>
                <w:rFonts w:hint="eastAsia" w:ascii="宋体" w:hAnsi="宋体"/>
                <w:b/>
                <w:color w:val="auto"/>
                <w:sz w:val="36"/>
                <w:szCs w:val="36"/>
                <w:highlight w:val="none"/>
              </w:rPr>
              <w:t>的承诺书</w:t>
            </w:r>
          </w:p>
          <w:p>
            <w:pPr>
              <w:spacing w:line="360" w:lineRule="auto"/>
              <w:jc w:val="center"/>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u w:val="single"/>
              </w:rPr>
            </w:pPr>
            <w:r>
              <w:rPr>
                <w:rFonts w:hint="eastAsia" w:ascii="宋体" w:hAnsi="宋体"/>
                <w:color w:val="auto"/>
                <w:sz w:val="24"/>
                <w:highlight w:val="none"/>
                <w:u w:val="single"/>
              </w:rPr>
              <w:t xml:space="preserve">     （招标人）</w:t>
            </w:r>
            <w:r>
              <w:rPr>
                <w:rFonts w:hint="eastAsia" w:ascii="宋体" w:hAnsi="宋体"/>
                <w:color w:val="auto"/>
                <w:sz w:val="24"/>
                <w:highlight w:val="none"/>
              </w:rPr>
              <w:t>：</w:t>
            </w:r>
          </w:p>
          <w:p>
            <w:pPr>
              <w:spacing w:line="360" w:lineRule="auto"/>
              <w:ind w:firstLine="435"/>
              <w:rPr>
                <w:rFonts w:ascii="宋体" w:hAnsi="宋体"/>
                <w:color w:val="auto"/>
                <w:sz w:val="24"/>
                <w:highlight w:val="none"/>
              </w:rPr>
            </w:pPr>
            <w:r>
              <w:rPr>
                <w:rFonts w:hint="eastAsia" w:ascii="宋体" w:hAnsi="宋体"/>
                <w:color w:val="auto"/>
                <w:sz w:val="24"/>
                <w:highlight w:val="none"/>
              </w:rPr>
              <w:t>我方承诺，如中标承建</w:t>
            </w:r>
            <w:r>
              <w:rPr>
                <w:rFonts w:hint="eastAsia" w:ascii="宋体" w:hAnsi="宋体"/>
                <w:color w:val="auto"/>
                <w:sz w:val="24"/>
                <w:highlight w:val="none"/>
                <w:u w:val="single"/>
              </w:rPr>
              <w:t xml:space="preserve">                    项目</w:t>
            </w:r>
            <w:r>
              <w:rPr>
                <w:rFonts w:hint="eastAsia" w:ascii="宋体" w:hAnsi="宋体"/>
                <w:color w:val="auto"/>
                <w:sz w:val="24"/>
                <w:highlight w:val="none"/>
              </w:rPr>
              <w:t>，将按招标文件所附的本工程</w:t>
            </w:r>
            <w:r>
              <w:rPr>
                <w:rFonts w:hint="eastAsia" w:ascii="宋体" w:hAnsi="宋体"/>
                <w:color w:val="auto"/>
                <w:sz w:val="24"/>
                <w:highlight w:val="none"/>
                <w:u w:val="single"/>
              </w:rPr>
              <w:t>（施工组织设计要点）</w:t>
            </w:r>
            <w:r>
              <w:rPr>
                <w:rFonts w:hint="eastAsia" w:ascii="宋体" w:hAnsi="宋体"/>
                <w:color w:val="auto"/>
                <w:sz w:val="24"/>
                <w:highlight w:val="none"/>
              </w:rPr>
              <w:t>进行响应的基础上自行组织施工。并承诺在中标后按招标文件所附的</w:t>
            </w:r>
            <w:r>
              <w:rPr>
                <w:rFonts w:hint="eastAsia" w:ascii="宋体" w:hAnsi="宋体"/>
                <w:color w:val="auto"/>
                <w:sz w:val="24"/>
                <w:highlight w:val="none"/>
                <w:u w:val="single"/>
              </w:rPr>
              <w:t>（施工组织设计要点）</w:t>
            </w:r>
            <w:r>
              <w:rPr>
                <w:rFonts w:hint="eastAsia" w:ascii="宋体" w:hAnsi="宋体"/>
                <w:color w:val="auto"/>
                <w:sz w:val="24"/>
                <w:highlight w:val="none"/>
              </w:rPr>
              <w:t>基础上编制详细的施工组织设计，并报经监理单位和建设单位审批后实施。</w:t>
            </w:r>
          </w:p>
          <w:p>
            <w:pPr>
              <w:spacing w:line="360" w:lineRule="auto"/>
              <w:ind w:firstLine="435"/>
              <w:rPr>
                <w:rFonts w:ascii="宋体" w:hAnsi="宋体"/>
                <w:color w:val="auto"/>
                <w:sz w:val="24"/>
                <w:highlight w:val="none"/>
              </w:rPr>
            </w:pPr>
          </w:p>
          <w:p>
            <w:pPr>
              <w:spacing w:line="360" w:lineRule="auto"/>
              <w:ind w:firstLine="435"/>
              <w:rPr>
                <w:rFonts w:ascii="宋体" w:hAnsi="宋体"/>
                <w:color w:val="auto"/>
                <w:sz w:val="24"/>
                <w:highlight w:val="none"/>
              </w:rPr>
            </w:pPr>
          </w:p>
          <w:p>
            <w:pPr>
              <w:spacing w:line="360" w:lineRule="auto"/>
              <w:ind w:firstLine="435"/>
              <w:rPr>
                <w:rFonts w:ascii="宋体" w:hAnsi="宋体"/>
                <w:color w:val="auto"/>
                <w:sz w:val="24"/>
                <w:highlight w:val="none"/>
              </w:rPr>
            </w:pPr>
          </w:p>
          <w:p>
            <w:pPr>
              <w:spacing w:line="360" w:lineRule="auto"/>
              <w:ind w:firstLine="435"/>
              <w:rPr>
                <w:rFonts w:ascii="宋体" w:hAnsi="宋体"/>
                <w:color w:val="auto"/>
                <w:sz w:val="24"/>
                <w:highlight w:val="none"/>
              </w:rPr>
            </w:pPr>
          </w:p>
          <w:p>
            <w:pPr>
              <w:spacing w:line="360" w:lineRule="auto"/>
              <w:ind w:firstLine="435"/>
              <w:rPr>
                <w:rFonts w:ascii="宋体" w:hAnsi="宋体"/>
                <w:color w:val="auto"/>
                <w:sz w:val="24"/>
                <w:highlight w:val="none"/>
              </w:rPr>
            </w:pPr>
          </w:p>
          <w:p>
            <w:pPr>
              <w:spacing w:line="360" w:lineRule="auto"/>
              <w:ind w:firstLine="3000" w:firstLineChars="1250"/>
              <w:rPr>
                <w:rFonts w:ascii="宋体" w:hAnsi="宋体"/>
                <w:color w:val="auto"/>
                <w:sz w:val="24"/>
                <w:highlight w:val="none"/>
                <w:u w:val="single"/>
              </w:rPr>
            </w:pPr>
            <w:r>
              <w:rPr>
                <w:rFonts w:hint="eastAsia" w:ascii="宋体" w:hAnsi="宋体"/>
                <w:color w:val="auto"/>
                <w:sz w:val="24"/>
                <w:highlight w:val="none"/>
              </w:rPr>
              <w:t>投标人名称（盖法人公章）：</w:t>
            </w:r>
          </w:p>
          <w:p>
            <w:pPr>
              <w:spacing w:line="360" w:lineRule="auto"/>
              <w:ind w:firstLine="3000" w:firstLineChars="1250"/>
              <w:rPr>
                <w:rFonts w:ascii="宋体" w:hAnsi="宋体"/>
                <w:color w:val="auto"/>
                <w:sz w:val="24"/>
                <w:highlight w:val="none"/>
                <w:u w:val="single"/>
              </w:rPr>
            </w:pPr>
          </w:p>
          <w:p>
            <w:pPr>
              <w:spacing w:line="360" w:lineRule="auto"/>
              <w:ind w:firstLine="3000" w:firstLineChars="1250"/>
              <w:rPr>
                <w:rFonts w:ascii="宋体" w:hAnsi="宋体"/>
                <w:color w:val="auto"/>
                <w:sz w:val="24"/>
                <w:highlight w:val="none"/>
                <w:u w:val="single"/>
              </w:rPr>
            </w:pPr>
            <w:r>
              <w:rPr>
                <w:rFonts w:hint="eastAsia" w:ascii="宋体" w:hAnsi="宋体"/>
                <w:color w:val="auto"/>
                <w:sz w:val="24"/>
                <w:highlight w:val="none"/>
              </w:rPr>
              <w:t>法定代表人或被授权人（签字或盖章）：</w:t>
            </w:r>
          </w:p>
          <w:p>
            <w:pPr>
              <w:spacing w:line="360" w:lineRule="auto"/>
              <w:ind w:firstLine="3000" w:firstLineChars="1250"/>
              <w:rPr>
                <w:rFonts w:ascii="宋体" w:hAnsi="宋体"/>
                <w:color w:val="auto"/>
                <w:sz w:val="24"/>
                <w:highlight w:val="none"/>
                <w:u w:val="single"/>
              </w:rPr>
            </w:pPr>
          </w:p>
          <w:p>
            <w:pPr>
              <w:spacing w:line="360" w:lineRule="auto"/>
              <w:ind w:firstLine="4440" w:firstLineChars="1850"/>
              <w:rPr>
                <w:rFonts w:ascii="宋体" w:hAnsi="宋体"/>
                <w:color w:val="auto"/>
                <w:sz w:val="24"/>
                <w:highlight w:val="none"/>
              </w:rPr>
            </w:pPr>
            <w:r>
              <w:rPr>
                <w:rFonts w:hint="eastAsia" w:ascii="宋体" w:hAnsi="宋体"/>
                <w:color w:val="auto"/>
                <w:sz w:val="24"/>
                <w:highlight w:val="none"/>
              </w:rPr>
              <w:t>日期：年月日</w:t>
            </w:r>
          </w:p>
          <w:p>
            <w:pPr>
              <w:widowControl/>
              <w:spacing w:line="360" w:lineRule="auto"/>
              <w:jc w:val="left"/>
              <w:rPr>
                <w:rFonts w:ascii="宋体" w:cs="宋体"/>
                <w:color w:val="auto"/>
                <w:kern w:val="0"/>
                <w:sz w:val="28"/>
                <w:szCs w:val="28"/>
                <w:highlight w:val="none"/>
              </w:rPr>
            </w:pPr>
          </w:p>
        </w:tc>
      </w:tr>
    </w:tbl>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rFonts w:hint="eastAsia"/>
          <w:color w:val="auto"/>
          <w:szCs w:val="21"/>
          <w:highlight w:val="none"/>
        </w:rPr>
        <w:t>附件三</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p>
    <w:p>
      <w:pPr>
        <w:pStyle w:val="5"/>
        <w:spacing w:after="0" w:line="360" w:lineRule="auto"/>
        <w:ind w:firstLine="0"/>
        <w:rPr>
          <w:b/>
          <w:color w:val="auto"/>
          <w:sz w:val="32"/>
          <w:szCs w:val="32"/>
          <w:highlight w:val="none"/>
        </w:rPr>
      </w:pP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5"/>
        <w:tblW w:w="9840" w:type="dxa"/>
        <w:tblInd w:w="0" w:type="dxa"/>
        <w:tblLayout w:type="fixed"/>
        <w:tblCellMar>
          <w:top w:w="0" w:type="dxa"/>
          <w:left w:w="108" w:type="dxa"/>
          <w:bottom w:w="0" w:type="dxa"/>
          <w:right w:w="108" w:type="dxa"/>
        </w:tblCellMar>
      </w:tblPr>
      <w:tblGrid>
        <w:gridCol w:w="844"/>
        <w:gridCol w:w="1741"/>
        <w:gridCol w:w="2938"/>
        <w:gridCol w:w="1310"/>
        <w:gridCol w:w="1473"/>
        <w:gridCol w:w="1534"/>
      </w:tblGrid>
      <w:tr>
        <w:tblPrEx>
          <w:tblCellMar>
            <w:top w:w="0" w:type="dxa"/>
            <w:left w:w="108" w:type="dxa"/>
            <w:bottom w:w="0" w:type="dxa"/>
            <w:right w:w="108" w:type="dxa"/>
          </w:tblCellMar>
        </w:tblPrEx>
        <w:trPr>
          <w:gridAfter w:val="1"/>
          <w:wAfter w:w="1534" w:type="dxa"/>
          <w:trHeight w:val="2819" w:hRule="atLeast"/>
        </w:trPr>
        <w:tc>
          <w:tcPr>
            <w:tcW w:w="8306" w:type="dxa"/>
            <w:gridSpan w:val="5"/>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r>
        <w:tblPrEx>
          <w:tblCellMar>
            <w:top w:w="0" w:type="dxa"/>
            <w:left w:w="108" w:type="dxa"/>
            <w:bottom w:w="0" w:type="dxa"/>
            <w:right w:w="108" w:type="dxa"/>
          </w:tblCellMar>
        </w:tblPrEx>
        <w:trPr>
          <w:trHeight w:val="828" w:hRule="atLeast"/>
          <w:jc w:val="center"/>
        </w:trPr>
        <w:tc>
          <w:tcPr>
            <w:tcW w:w="9840" w:type="dxa"/>
            <w:gridSpan w:val="6"/>
            <w:tcBorders>
              <w:top w:val="nil"/>
              <w:left w:val="nil"/>
              <w:bottom w:val="single" w:color="000000" w:sz="4" w:space="0"/>
              <w:right w:val="nil"/>
            </w:tcBorders>
            <w:noWrap/>
            <w:vAlign w:val="center"/>
          </w:tcPr>
          <w:p>
            <w:pPr>
              <w:widowControl/>
              <w:spacing w:line="360" w:lineRule="auto"/>
              <w:jc w:val="center"/>
              <w:textAlignment w:val="center"/>
              <w:rPr>
                <w:rFonts w:ascii="方正大标宋简体" w:hAnsi="方正大标宋简体" w:eastAsia="方正大标宋简体" w:cs="方正大标宋简体"/>
                <w:b/>
                <w:bCs/>
                <w:color w:val="auto"/>
                <w:sz w:val="32"/>
                <w:szCs w:val="32"/>
                <w:highlight w:val="none"/>
              </w:rPr>
            </w:pPr>
            <w:r>
              <w:rPr>
                <w:rFonts w:ascii="方正大标宋简体" w:hAnsi="方正大标宋简体" w:eastAsia="方正大标宋简体" w:cs="方正大标宋简体"/>
                <w:b/>
                <w:bCs/>
                <w:color w:val="auto"/>
                <w:kern w:val="0"/>
                <w:sz w:val="32"/>
                <w:szCs w:val="32"/>
                <w:highlight w:val="none"/>
              </w:rPr>
              <w:t>施工项目管理团队人员信息表</w:t>
            </w:r>
          </w:p>
        </w:tc>
      </w:tr>
      <w:tr>
        <w:tblPrEx>
          <w:tblCellMar>
            <w:top w:w="0" w:type="dxa"/>
            <w:left w:w="108" w:type="dxa"/>
            <w:bottom w:w="0" w:type="dxa"/>
            <w:right w:w="108" w:type="dxa"/>
          </w:tblCellMar>
        </w:tblPrEx>
        <w:trPr>
          <w:trHeight w:val="1222"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序号</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姓名</w:t>
            </w:r>
          </w:p>
        </w:tc>
        <w:tc>
          <w:tcPr>
            <w:tcW w:w="2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岗位</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职称</w:t>
            </w: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职称证书或资格证书编号</w:t>
            </w: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1</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技术负责人</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造价负责人</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3</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质量负责人</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4</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安全负责人</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5</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机械专业负责人</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6</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结构专业负责人</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给水排水专业负责人</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8"/>
                <w:szCs w:val="28"/>
                <w:highlight w:val="none"/>
              </w:rPr>
            </w:pP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4433" w:hRule="atLeast"/>
          <w:jc w:val="center"/>
        </w:trPr>
        <w:tc>
          <w:tcPr>
            <w:tcW w:w="984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auto"/>
                <w:sz w:val="28"/>
                <w:szCs w:val="28"/>
                <w:highlight w:val="none"/>
              </w:rPr>
            </w:pPr>
            <w:r>
              <w:rPr>
                <w:rStyle w:val="117"/>
                <w:rFonts w:hint="default"/>
                <w:color w:val="auto"/>
                <w:sz w:val="24"/>
                <w:szCs w:val="24"/>
                <w:highlight w:val="none"/>
              </w:rPr>
              <w:t>备注：</w:t>
            </w:r>
            <w:r>
              <w:rPr>
                <w:rStyle w:val="117"/>
                <w:rFonts w:hint="default"/>
                <w:color w:val="auto"/>
                <w:sz w:val="24"/>
                <w:szCs w:val="24"/>
                <w:highlight w:val="none"/>
              </w:rPr>
              <w:br w:type="textWrapping"/>
            </w:r>
            <w:r>
              <w:rPr>
                <w:rStyle w:val="117"/>
                <w:rFonts w:hint="default"/>
                <w:color w:val="auto"/>
                <w:sz w:val="24"/>
                <w:szCs w:val="24"/>
                <w:highlight w:val="none"/>
              </w:rPr>
              <w:t>1、“岗位”要求</w:t>
            </w:r>
            <w:r>
              <w:rPr>
                <w:rStyle w:val="118"/>
                <w:rFonts w:hint="default"/>
                <w:color w:val="auto"/>
                <w:sz w:val="24"/>
                <w:szCs w:val="24"/>
                <w:highlight w:val="none"/>
              </w:rPr>
              <w:t>（除项目负责人和专职安全员外）</w:t>
            </w:r>
            <w:r>
              <w:rPr>
                <w:rStyle w:val="117"/>
                <w:rFonts w:hint="default"/>
                <w:color w:val="auto"/>
                <w:sz w:val="24"/>
                <w:szCs w:val="24"/>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Pr>
                <w:rStyle w:val="117"/>
                <w:rFonts w:hint="default"/>
                <w:color w:val="auto"/>
                <w:sz w:val="24"/>
                <w:szCs w:val="24"/>
                <w:highlight w:val="none"/>
              </w:rPr>
              <w:br w:type="textWrapping"/>
            </w:r>
            <w:r>
              <w:rPr>
                <w:rStyle w:val="117"/>
                <w:rFonts w:hint="default"/>
                <w:color w:val="auto"/>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Style w:val="117"/>
                <w:rFonts w:hint="default"/>
                <w:color w:val="auto"/>
                <w:sz w:val="24"/>
                <w:szCs w:val="24"/>
                <w:highlight w:val="none"/>
              </w:rPr>
              <w:br w:type="textWrapping"/>
            </w:r>
            <w:r>
              <w:rPr>
                <w:rStyle w:val="117"/>
                <w:rFonts w:hint="default"/>
                <w:color w:val="auto"/>
                <w:sz w:val="24"/>
                <w:szCs w:val="24"/>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360" w:lineRule="auto"/>
        <w:rPr>
          <w:rFonts w:ascii="宋体" w:hAnsi="宋体"/>
          <w:color w:val="auto"/>
          <w:sz w:val="24"/>
          <w:szCs w:val="24"/>
          <w:highlight w:val="none"/>
        </w:rPr>
      </w:pPr>
      <w:r>
        <w:rPr>
          <w:rFonts w:hint="eastAsia" w:ascii="宋体" w:hAnsi="宋体" w:cs="宋体"/>
          <w:color w:val="auto"/>
          <w:sz w:val="24"/>
          <w:szCs w:val="20"/>
          <w:highlight w:val="none"/>
        </w:rPr>
        <w:t>注：投标人应根据招标文件中项目管理机构能力的人员需求进行本表的填写。</w:t>
      </w:r>
    </w:p>
    <w:p>
      <w:pPr>
        <w:spacing w:line="320" w:lineRule="exact"/>
        <w:rPr>
          <w:rFonts w:ascii="仿宋_GB2312" w:hAnsi="楷体" w:eastAsia="仿宋_GB2312"/>
          <w:color w:val="auto"/>
          <w:szCs w:val="21"/>
          <w:highlight w:val="none"/>
        </w:rPr>
      </w:pPr>
    </w:p>
    <w:p>
      <w:pPr>
        <w:tabs>
          <w:tab w:val="left" w:pos="720"/>
        </w:tabs>
        <w:snapToGrid w:val="0"/>
        <w:spacing w:line="360" w:lineRule="auto"/>
        <w:rPr>
          <w:rStyle w:val="61"/>
          <w:color w:val="auto"/>
          <w:highlight w:val="none"/>
        </w:rPr>
      </w:pPr>
      <w:r>
        <w:rPr>
          <w:color w:val="auto"/>
          <w:sz w:val="24"/>
          <w:szCs w:val="24"/>
          <w:highlight w:val="none"/>
        </w:rPr>
        <w:br w:type="page"/>
      </w:r>
      <w:bookmarkStart w:id="34" w:name="_Toc2272568"/>
      <w:bookmarkStart w:id="35" w:name="_Toc21525513"/>
      <w:r>
        <w:rPr>
          <w:rStyle w:val="61"/>
          <w:rFonts w:hint="eastAsia"/>
          <w:color w:val="auto"/>
          <w:highlight w:val="none"/>
        </w:rPr>
        <w:t>第五章技术条件（工程建设标准）</w:t>
      </w:r>
      <w:bookmarkEnd w:id="34"/>
      <w:bookmarkEnd w:id="35"/>
    </w:p>
    <w:p>
      <w:pPr>
        <w:rPr>
          <w:rFonts w:ascii="宋体"/>
          <w:b/>
          <w:color w:val="auto"/>
          <w:sz w:val="24"/>
          <w:szCs w:val="24"/>
          <w:highlight w:val="none"/>
        </w:rPr>
      </w:pPr>
      <w:r>
        <w:rPr>
          <w:rFonts w:hint="eastAsia" w:ascii="宋体" w:hAnsi="宋体"/>
          <w:color w:val="auto"/>
          <w:sz w:val="24"/>
          <w:szCs w:val="24"/>
          <w:highlight w:val="none"/>
        </w:rPr>
        <w:t>注：本章由招标人自行制定。</w:t>
      </w:r>
    </w:p>
    <w:p>
      <w:pPr>
        <w:pStyle w:val="3"/>
        <w:rPr>
          <w:color w:val="auto"/>
          <w:highlight w:val="none"/>
        </w:rPr>
      </w:pPr>
      <w:r>
        <w:rPr>
          <w:color w:val="auto"/>
          <w:sz w:val="24"/>
          <w:szCs w:val="24"/>
          <w:highlight w:val="none"/>
        </w:rPr>
        <w:br w:type="page"/>
      </w:r>
      <w:bookmarkStart w:id="36" w:name="_Toc2272569"/>
      <w:bookmarkStart w:id="37" w:name="_Toc21525514"/>
      <w:r>
        <w:rPr>
          <w:rFonts w:hint="eastAsia"/>
          <w:color w:val="auto"/>
          <w:highlight w:val="none"/>
        </w:rPr>
        <w:t>第六章图纸及勘察资料</w:t>
      </w:r>
      <w:bookmarkEnd w:id="36"/>
      <w:bookmarkEnd w:id="37"/>
    </w:p>
    <w:p>
      <w:pPr>
        <w:rPr>
          <w:rFonts w:ascii="宋体"/>
          <w:b/>
          <w:color w:val="auto"/>
          <w:sz w:val="24"/>
          <w:szCs w:val="24"/>
          <w:highlight w:val="none"/>
        </w:rPr>
      </w:pPr>
      <w:r>
        <w:rPr>
          <w:rFonts w:hint="eastAsia" w:ascii="宋体" w:hAnsi="宋体"/>
          <w:color w:val="auto"/>
          <w:sz w:val="24"/>
          <w:szCs w:val="24"/>
          <w:highlight w:val="none"/>
        </w:rPr>
        <w:t>注：本章由招标人自行制定，另册。</w:t>
      </w:r>
    </w:p>
    <w:p>
      <w:pPr>
        <w:pStyle w:val="3"/>
        <w:rPr>
          <w:color w:val="auto"/>
          <w:highlight w:val="none"/>
        </w:rPr>
      </w:pPr>
      <w:r>
        <w:rPr>
          <w:color w:val="auto"/>
          <w:sz w:val="24"/>
          <w:szCs w:val="24"/>
          <w:highlight w:val="none"/>
        </w:rPr>
        <w:br w:type="page"/>
      </w:r>
      <w:bookmarkStart w:id="38" w:name="_Toc2272570"/>
      <w:bookmarkStart w:id="39" w:name="_Toc21525515"/>
      <w:r>
        <w:rPr>
          <w:rFonts w:hint="eastAsia"/>
          <w:color w:val="auto"/>
          <w:highlight w:val="none"/>
        </w:rPr>
        <w:t>第七章工程量清单</w:t>
      </w:r>
      <w:bookmarkEnd w:id="38"/>
      <w:bookmarkEnd w:id="39"/>
    </w:p>
    <w:p>
      <w:pPr>
        <w:rPr>
          <w:rFonts w:ascii="宋体"/>
          <w:b/>
          <w:color w:val="auto"/>
          <w:sz w:val="24"/>
          <w:szCs w:val="24"/>
          <w:highlight w:val="none"/>
        </w:rPr>
      </w:pPr>
      <w:r>
        <w:rPr>
          <w:rFonts w:hint="eastAsia" w:ascii="宋体" w:hAnsi="宋体"/>
          <w:color w:val="auto"/>
          <w:sz w:val="24"/>
          <w:szCs w:val="24"/>
          <w:highlight w:val="none"/>
        </w:rPr>
        <w:t>注：本章由招标人自行制定。</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40" w:name="_Toc21525516"/>
      <w:bookmarkStart w:id="41" w:name="_Toc2272571"/>
      <w:r>
        <w:rPr>
          <w:rFonts w:hint="eastAsia"/>
          <w:color w:val="auto"/>
          <w:highlight w:val="none"/>
        </w:rPr>
        <w:t>第八章最高投标限价</w:t>
      </w:r>
      <w:bookmarkEnd w:id="40"/>
      <w:bookmarkEnd w:id="41"/>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color w:val="auto"/>
          <w:sz w:val="24"/>
          <w:szCs w:val="24"/>
          <w:highlight w:val="none"/>
          <w:u w:val="single"/>
        </w:rPr>
      </w:pP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trPr>
        <w:tc>
          <w:tcPr>
            <w:tcW w:w="8528" w:type="dxa"/>
          </w:tcPr>
          <w:p>
            <w:pPr>
              <w:spacing w:line="600" w:lineRule="exact"/>
              <w:jc w:val="center"/>
              <w:rPr>
                <w:rFonts w:ascii="宋体" w:hAnsi="宋体"/>
                <w:b/>
                <w:color w:val="auto"/>
                <w:spacing w:val="60"/>
                <w:sz w:val="44"/>
                <w:szCs w:val="44"/>
                <w:highlight w:val="none"/>
              </w:rPr>
            </w:pPr>
            <w:r>
              <w:rPr>
                <w:rFonts w:hint="eastAsia" w:ascii="宋体" w:hAnsi="宋体"/>
                <w:b/>
                <w:color w:val="auto"/>
                <w:spacing w:val="60"/>
                <w:sz w:val="44"/>
                <w:szCs w:val="44"/>
                <w:highlight w:val="none"/>
              </w:rPr>
              <w:t>最高投标限价公布函</w:t>
            </w:r>
          </w:p>
          <w:p>
            <w:pPr>
              <w:spacing w:line="600" w:lineRule="exact"/>
              <w:jc w:val="center"/>
              <w:rPr>
                <w:rFonts w:ascii="宋体" w:hAnsi="宋体"/>
                <w:b/>
                <w:color w:val="auto"/>
                <w:spacing w:val="60"/>
                <w:sz w:val="44"/>
                <w:szCs w:val="44"/>
                <w:highlight w:val="none"/>
              </w:rPr>
            </w:pPr>
            <w:r>
              <w:rPr>
                <w:rFonts w:hint="eastAsia" w:ascii="宋体" w:hAnsi="宋体"/>
                <w:b/>
                <w:color w:val="auto"/>
                <w:spacing w:val="60"/>
                <w:sz w:val="44"/>
                <w:szCs w:val="44"/>
                <w:highlight w:val="none"/>
              </w:rPr>
              <w:t>（参考格式）</w:t>
            </w:r>
          </w:p>
          <w:p>
            <w:pPr>
              <w:spacing w:line="360" w:lineRule="auto"/>
              <w:rPr>
                <w:rFonts w:ascii="宋体" w:hAnsi="宋体"/>
                <w:color w:val="auto"/>
                <w:szCs w:val="21"/>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工程名称：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海龙科创区起步区周边道路建设工程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333333"/>
                <w:sz w:val="24"/>
                <w:szCs w:val="24"/>
                <w:lang w:val="en-US"/>
              </w:rPr>
            </w:pPr>
            <w:r>
              <w:rPr>
                <w:rFonts w:hint="eastAsia" w:ascii="宋体" w:hAnsi="宋体" w:eastAsia="宋体" w:cs="宋体"/>
                <w:color w:val="333333"/>
                <w:kern w:val="2"/>
                <w:sz w:val="24"/>
                <w:szCs w:val="24"/>
                <w:lang w:val="en-US" w:eastAsia="zh-CN" w:bidi="ar"/>
              </w:rPr>
              <w:t>最高投标限价（元）：</w:t>
            </w:r>
            <w:r>
              <w:rPr>
                <w:rFonts w:hint="eastAsia" w:ascii="宋体" w:hAnsi="宋体" w:eastAsia="宋体" w:cs="宋体"/>
                <w:color w:val="333333"/>
                <w:kern w:val="2"/>
                <w:sz w:val="24"/>
                <w:szCs w:val="24"/>
                <w:u w:val="single"/>
                <w:lang w:val="en-US" w:eastAsia="zh-CN" w:bidi="ar"/>
              </w:rPr>
              <w:t xml:space="preserve">                 16248843.08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333333"/>
                <w:sz w:val="24"/>
                <w:szCs w:val="24"/>
                <w:u w:val="single"/>
                <w:lang w:val="en-US"/>
              </w:rPr>
            </w:pPr>
            <w:r>
              <w:rPr>
                <w:rFonts w:hint="eastAsia" w:ascii="宋体" w:hAnsi="宋体" w:eastAsia="宋体" w:cs="宋体"/>
                <w:color w:val="333333"/>
                <w:kern w:val="2"/>
                <w:sz w:val="24"/>
                <w:szCs w:val="24"/>
                <w:lang w:val="en-US" w:eastAsia="zh-CN" w:bidi="ar"/>
              </w:rPr>
              <w:t>分部分项工程费（元）：</w:t>
            </w:r>
            <w:r>
              <w:rPr>
                <w:rFonts w:hint="eastAsia" w:ascii="宋体" w:hAnsi="宋体" w:eastAsia="宋体" w:cs="宋体"/>
                <w:color w:val="333333"/>
                <w:kern w:val="2"/>
                <w:sz w:val="24"/>
                <w:szCs w:val="24"/>
                <w:u w:val="single"/>
                <w:lang w:val="en-US" w:eastAsia="zh-CN" w:bidi="ar"/>
              </w:rPr>
              <w:t xml:space="preserve">           12492864.71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333333"/>
                <w:sz w:val="24"/>
                <w:szCs w:val="24"/>
                <w:u w:val="single"/>
                <w:lang w:val="en-US"/>
              </w:rPr>
            </w:pPr>
            <w:r>
              <w:rPr>
                <w:rFonts w:hint="eastAsia" w:ascii="宋体" w:hAnsi="宋体" w:eastAsia="宋体" w:cs="宋体"/>
                <w:color w:val="333333"/>
                <w:kern w:val="2"/>
                <w:sz w:val="24"/>
                <w:szCs w:val="24"/>
                <w:lang w:val="en-US" w:eastAsia="zh-CN" w:bidi="ar"/>
              </w:rPr>
              <w:t>措施项目费（元）：</w:t>
            </w:r>
            <w:r>
              <w:rPr>
                <w:rFonts w:hint="eastAsia" w:ascii="宋体" w:hAnsi="宋体" w:eastAsia="宋体" w:cs="宋体"/>
                <w:color w:val="333333"/>
                <w:kern w:val="2"/>
                <w:sz w:val="24"/>
                <w:szCs w:val="24"/>
                <w:u w:val="single"/>
                <w:lang w:val="en-US" w:eastAsia="zh-CN" w:bidi="ar"/>
              </w:rPr>
              <w:t xml:space="preserve">                901440.19</w:t>
            </w:r>
            <w:r>
              <w:rPr>
                <w:rFonts w:hint="eastAsia" w:ascii="宋体" w:hAnsi="宋体" w:eastAsia="宋体" w:cs="宋体"/>
                <w:color w:val="333333"/>
                <w:kern w:val="2"/>
                <w:sz w:val="24"/>
                <w:szCs w:val="24"/>
                <w:u w:val="single"/>
                <w:lang w:val="en-US" w:eastAsia="zh-CN" w:bidi="ar"/>
              </w:rPr>
              <w:tab/>
            </w:r>
            <w:r>
              <w:rPr>
                <w:rFonts w:hint="eastAsia" w:ascii="宋体" w:hAnsi="宋体" w:eastAsia="宋体" w:cs="宋体"/>
                <w:color w:val="333333"/>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color w:val="333333"/>
                <w:sz w:val="24"/>
                <w:szCs w:val="24"/>
                <w:u w:val="single"/>
                <w:lang w:val="en-US"/>
              </w:rPr>
            </w:pPr>
            <w:r>
              <w:rPr>
                <w:rFonts w:hint="eastAsia" w:ascii="宋体" w:hAnsi="宋体" w:eastAsia="宋体" w:cs="宋体"/>
                <w:color w:val="333333"/>
                <w:kern w:val="2"/>
                <w:sz w:val="24"/>
                <w:szCs w:val="24"/>
                <w:lang w:val="en-US" w:eastAsia="zh-CN" w:bidi="ar"/>
              </w:rPr>
              <w:t>其中绿色施工安全防护措施费（元）：</w:t>
            </w:r>
            <w:r>
              <w:rPr>
                <w:rFonts w:hint="eastAsia" w:ascii="宋体" w:hAnsi="宋体" w:eastAsia="宋体" w:cs="宋体"/>
                <w:color w:val="333333"/>
                <w:kern w:val="2"/>
                <w:sz w:val="24"/>
                <w:szCs w:val="24"/>
                <w:u w:val="single"/>
                <w:lang w:val="en-US" w:eastAsia="zh-CN" w:bidi="ar"/>
              </w:rPr>
              <w:t xml:space="preserve">          496772.21                   </w:t>
            </w:r>
          </w:p>
          <w:p>
            <w:pPr>
              <w:keepNext w:val="0"/>
              <w:keepLines w:val="0"/>
              <w:widowControl w:val="0"/>
              <w:suppressLineNumbers w:val="0"/>
              <w:spacing w:before="0" w:beforeAutospacing="0" w:after="0" w:afterAutospacing="0" w:line="360" w:lineRule="auto"/>
              <w:ind w:left="0" w:right="0" w:firstLine="723" w:firstLineChars="300"/>
              <w:jc w:val="both"/>
              <w:rPr>
                <w:rFonts w:hint="eastAsia" w:ascii="宋体" w:hAnsi="宋体" w:eastAsia="宋体" w:cs="宋体"/>
                <w:color w:val="333333"/>
                <w:sz w:val="24"/>
                <w:szCs w:val="24"/>
                <w:lang w:val="en-US"/>
              </w:rPr>
            </w:pPr>
            <w:r>
              <w:rPr>
                <w:rFonts w:hint="eastAsia" w:ascii="宋体" w:hAnsi="宋体" w:eastAsia="宋体" w:cs="宋体"/>
                <w:b/>
                <w:bCs w:val="0"/>
                <w:color w:val="333333"/>
                <w:kern w:val="2"/>
                <w:sz w:val="24"/>
                <w:szCs w:val="24"/>
                <w:lang w:val="en-US" w:eastAsia="zh-CN" w:bidi="ar"/>
              </w:rPr>
              <w:t>（详细列明各专业工程绿色施工安全防护措施费）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333333"/>
                <w:sz w:val="24"/>
                <w:szCs w:val="24"/>
                <w:u w:val="single"/>
                <w:lang w:val="en-US"/>
              </w:rPr>
            </w:pPr>
            <w:r>
              <w:rPr>
                <w:rFonts w:hint="eastAsia" w:ascii="宋体" w:hAnsi="宋体" w:eastAsia="宋体" w:cs="宋体"/>
                <w:color w:val="333333"/>
                <w:kern w:val="2"/>
                <w:sz w:val="24"/>
                <w:szCs w:val="24"/>
                <w:lang w:val="en-US" w:eastAsia="zh-CN" w:bidi="ar"/>
              </w:rPr>
              <w:t>其他项目费（元）：</w:t>
            </w:r>
            <w:r>
              <w:rPr>
                <w:rFonts w:hint="eastAsia" w:ascii="宋体" w:hAnsi="宋体" w:eastAsia="宋体" w:cs="宋体"/>
                <w:color w:val="333333"/>
                <w:kern w:val="2"/>
                <w:sz w:val="24"/>
                <w:szCs w:val="24"/>
                <w:u w:val="single"/>
                <w:lang w:val="en-US" w:eastAsia="zh-CN" w:bidi="ar"/>
              </w:rPr>
              <w:t xml:space="preserve">                1512890.58                                 </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color w:val="333333"/>
                <w:sz w:val="24"/>
                <w:szCs w:val="24"/>
                <w:u w:val="single"/>
                <w:lang w:val="en-US"/>
              </w:rPr>
            </w:pPr>
            <w:r>
              <w:rPr>
                <w:rFonts w:hint="eastAsia" w:ascii="宋体" w:hAnsi="宋体" w:eastAsia="宋体" w:cs="宋体"/>
                <w:color w:val="333333"/>
                <w:kern w:val="2"/>
                <w:sz w:val="24"/>
                <w:szCs w:val="24"/>
                <w:lang w:val="en-US" w:eastAsia="zh-CN" w:bidi="ar"/>
              </w:rPr>
              <w:t>其中暂列金额（元）：</w:t>
            </w:r>
            <w:r>
              <w:rPr>
                <w:rFonts w:hint="eastAsia" w:ascii="宋体" w:hAnsi="宋体" w:eastAsia="宋体" w:cs="宋体"/>
                <w:color w:val="333333"/>
                <w:kern w:val="2"/>
                <w:sz w:val="24"/>
                <w:szCs w:val="24"/>
                <w:u w:val="single"/>
                <w:lang w:val="en-US" w:eastAsia="zh-CN" w:bidi="ar"/>
              </w:rPr>
              <w:t xml:space="preserve">          1249286.49                                 </w:t>
            </w:r>
          </w:p>
          <w:p>
            <w:pPr>
              <w:keepNext w:val="0"/>
              <w:keepLines w:val="0"/>
              <w:widowControl w:val="0"/>
              <w:suppressLineNumbers w:val="0"/>
              <w:spacing w:before="0" w:beforeAutospacing="0" w:after="0" w:afterAutospacing="0" w:line="360" w:lineRule="auto"/>
              <w:ind w:left="0" w:right="0" w:firstLine="723" w:firstLineChars="300"/>
              <w:jc w:val="both"/>
              <w:rPr>
                <w:rFonts w:hint="eastAsia" w:ascii="宋体" w:hAnsi="宋体" w:eastAsia="宋体" w:cs="宋体"/>
                <w:color w:val="333333"/>
                <w:sz w:val="24"/>
                <w:szCs w:val="24"/>
                <w:lang w:val="en-US"/>
              </w:rPr>
            </w:pPr>
            <w:r>
              <w:rPr>
                <w:rFonts w:hint="eastAsia" w:ascii="宋体" w:hAnsi="宋体" w:eastAsia="宋体" w:cs="宋体"/>
                <w:b/>
                <w:bCs w:val="0"/>
                <w:color w:val="333333"/>
                <w:kern w:val="2"/>
                <w:sz w:val="24"/>
                <w:szCs w:val="24"/>
                <w:lang w:val="en-US" w:eastAsia="zh-CN" w:bidi="ar"/>
              </w:rPr>
              <w:t>（详细列明各专业工程暂列金额）</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333333"/>
                <w:sz w:val="24"/>
                <w:szCs w:val="24"/>
                <w:u w:val="single"/>
                <w:lang w:val="en-US"/>
              </w:rPr>
            </w:pPr>
            <w:r>
              <w:rPr>
                <w:rFonts w:hint="eastAsia" w:ascii="宋体" w:hAnsi="宋体" w:eastAsia="宋体" w:cs="宋体"/>
                <w:color w:val="333333"/>
                <w:kern w:val="2"/>
                <w:sz w:val="24"/>
                <w:szCs w:val="24"/>
                <w:lang w:val="en-US" w:eastAsia="zh-CN" w:bidi="ar"/>
              </w:rPr>
              <w:t>规费（元）：</w:t>
            </w:r>
            <w:r>
              <w:rPr>
                <w:rFonts w:hint="eastAsia" w:ascii="宋体" w:hAnsi="宋体" w:eastAsia="宋体" w:cs="宋体"/>
                <w:color w:val="333333"/>
                <w:kern w:val="2"/>
                <w:sz w:val="24"/>
                <w:szCs w:val="24"/>
                <w:u w:val="single"/>
                <w:lang w:val="en-US" w:eastAsia="zh-CN" w:bidi="ar"/>
              </w:rPr>
              <w:t xml:space="preserve">                          0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333333"/>
                <w:sz w:val="24"/>
                <w:szCs w:val="24"/>
                <w:lang w:val="en-US"/>
              </w:rPr>
            </w:pPr>
            <w:r>
              <w:rPr>
                <w:rFonts w:hint="eastAsia" w:ascii="宋体" w:hAnsi="宋体" w:eastAsia="宋体" w:cs="宋体"/>
                <w:color w:val="333333"/>
                <w:kern w:val="2"/>
                <w:sz w:val="24"/>
                <w:szCs w:val="24"/>
                <w:lang w:val="en-US" w:eastAsia="zh-CN" w:bidi="ar"/>
              </w:rPr>
              <w:t>税金（元）：</w:t>
            </w:r>
            <w:r>
              <w:rPr>
                <w:rFonts w:hint="eastAsia" w:ascii="宋体" w:hAnsi="宋体" w:eastAsia="宋体" w:cs="宋体"/>
                <w:color w:val="333333"/>
                <w:kern w:val="2"/>
                <w:sz w:val="24"/>
                <w:szCs w:val="24"/>
                <w:u w:val="single"/>
                <w:lang w:val="en-US" w:eastAsia="zh-CN" w:bidi="ar"/>
              </w:rPr>
              <w:t xml:space="preserve">                      1341647.6                                 </w:t>
            </w:r>
          </w:p>
          <w:p>
            <w:pPr>
              <w:keepNext w:val="0"/>
              <w:keepLines w:val="0"/>
              <w:widowControl/>
              <w:suppressLineNumbers w:val="0"/>
              <w:spacing w:before="75" w:beforeAutospacing="0" w:after="75" w:afterAutospacing="0" w:line="360" w:lineRule="auto"/>
              <w:ind w:left="0" w:right="0" w:firstLine="480" w:firstLineChars="200"/>
              <w:jc w:val="left"/>
              <w:rPr>
                <w:rFonts w:hint="eastAsia" w:ascii="宋体" w:hAnsi="宋体" w:eastAsia="宋体" w:cs="宋体"/>
                <w:kern w:val="0"/>
                <w:sz w:val="24"/>
                <w:szCs w:val="24"/>
                <w:lang w:val="en-US"/>
              </w:rPr>
            </w:pPr>
          </w:p>
          <w:p>
            <w:pPr>
              <w:keepNext w:val="0"/>
              <w:keepLines w:val="0"/>
              <w:widowControl/>
              <w:suppressLineNumbers w:val="0"/>
              <w:spacing w:before="75" w:beforeAutospacing="0" w:after="75" w:afterAutospacing="0" w:line="360" w:lineRule="auto"/>
              <w:ind w:left="0" w:right="0" w:firstLine="960" w:firstLineChars="4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对公开招标工程，</w:t>
            </w:r>
            <w:r>
              <w:rPr>
                <w:rFonts w:hint="eastAsia" w:ascii="宋体" w:hAnsi="宋体" w:eastAsia="宋体" w:cs="宋体"/>
                <w:color w:val="333333"/>
                <w:kern w:val="2"/>
                <w:sz w:val="24"/>
                <w:szCs w:val="24"/>
                <w:lang w:val="en-US" w:eastAsia="zh-CN" w:bidi="ar"/>
              </w:rPr>
              <w:t>投标人须按照公布的绿色施工安全防护措施费、</w:t>
            </w:r>
            <w:r>
              <w:rPr>
                <w:rFonts w:hint="eastAsia" w:ascii="宋体" w:hAnsi="宋体" w:eastAsia="宋体" w:cs="宋体"/>
                <w:kern w:val="0"/>
                <w:sz w:val="24"/>
                <w:szCs w:val="24"/>
                <w:lang w:val="en-US" w:eastAsia="zh-CN" w:bidi="ar"/>
              </w:rPr>
              <w:t>暂</w:t>
            </w:r>
          </w:p>
          <w:p>
            <w:pPr>
              <w:keepNext w:val="0"/>
              <w:keepLines w:val="0"/>
              <w:widowControl/>
              <w:suppressLineNumbers w:val="0"/>
              <w:spacing w:before="75" w:beforeAutospacing="0" w:after="75"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列金额报价。</w:t>
            </w:r>
          </w:p>
          <w:p>
            <w:pPr>
              <w:keepNext w:val="0"/>
              <w:keepLines w:val="0"/>
              <w:widowControl/>
              <w:suppressLineNumbers w:val="0"/>
              <w:spacing w:before="75" w:beforeAutospacing="0" w:after="75" w:afterAutospacing="0" w:line="360" w:lineRule="auto"/>
              <w:ind w:left="0" w:right="0" w:firstLine="5640" w:firstLineChars="2350"/>
              <w:jc w:val="left"/>
              <w:rPr>
                <w:rFonts w:hint="eastAsia" w:ascii="宋体" w:hAnsi="宋体" w:eastAsia="宋体" w:cs="宋体"/>
                <w:b/>
                <w:bCs w:val="0"/>
                <w:color w:val="333333"/>
                <w:spacing w:val="60"/>
                <w:sz w:val="24"/>
                <w:szCs w:val="24"/>
                <w:lang w:val="en-US"/>
              </w:rPr>
            </w:pPr>
            <w:r>
              <w:rPr>
                <w:rFonts w:hint="eastAsia" w:ascii="宋体" w:hAnsi="宋体" w:eastAsia="宋体" w:cs="宋体"/>
                <w:color w:val="333333"/>
                <w:kern w:val="2"/>
                <w:sz w:val="24"/>
                <w:szCs w:val="24"/>
                <w:lang w:val="en-US" w:eastAsia="zh-CN" w:bidi="ar"/>
              </w:rPr>
              <w:t>招标单位（盖章）</w:t>
            </w:r>
            <w:r>
              <w:rPr>
                <w:rFonts w:hint="eastAsia" w:ascii="宋体" w:hAnsi="宋体" w:eastAsia="宋体" w:cs="宋体"/>
                <w:b/>
                <w:bCs w:val="0"/>
                <w:color w:val="333333"/>
                <w:spacing w:val="60"/>
                <w:kern w:val="2"/>
                <w:sz w:val="24"/>
                <w:szCs w:val="24"/>
                <w:lang w:val="en-US" w:eastAsia="zh-CN" w:bidi="ar"/>
              </w:rPr>
              <w:t xml:space="preserve">              </w:t>
            </w:r>
          </w:p>
          <w:p>
            <w:pPr>
              <w:keepNext w:val="0"/>
              <w:keepLines w:val="0"/>
              <w:widowControl/>
              <w:suppressLineNumbers w:val="0"/>
              <w:spacing w:before="75" w:beforeAutospacing="0" w:after="75" w:afterAutospacing="0" w:line="360" w:lineRule="auto"/>
              <w:ind w:right="0" w:firstLine="5520" w:firstLineChars="2300"/>
              <w:jc w:val="left"/>
              <w:rPr>
                <w:rFonts w:hint="eastAsia" w:ascii="宋体" w:hAnsi="宋体" w:eastAsia="宋体" w:cs="宋体"/>
                <w:b/>
                <w:bCs w:val="0"/>
                <w:color w:val="333333"/>
                <w:spacing w:val="60"/>
                <w:sz w:val="44"/>
                <w:szCs w:val="44"/>
                <w:lang w:val="en-US"/>
              </w:rPr>
            </w:pPr>
            <w:r>
              <w:rPr>
                <w:rFonts w:hint="eastAsia" w:ascii="宋体" w:hAnsi="宋体" w:eastAsia="宋体" w:cs="宋体"/>
                <w:kern w:val="0"/>
                <w:sz w:val="24"/>
                <w:szCs w:val="24"/>
                <w:lang w:val="en-US" w:eastAsia="zh-CN" w:bidi="ar"/>
              </w:rPr>
              <w:t>2022年 6 月 2 日</w:t>
            </w:r>
          </w:p>
          <w:p>
            <w:pPr>
              <w:widowControl/>
              <w:spacing w:before="75" w:after="75" w:line="360" w:lineRule="auto"/>
              <w:ind w:firstLine="13762" w:firstLineChars="2450"/>
              <w:jc w:val="left"/>
              <w:rPr>
                <w:rFonts w:ascii="宋体" w:hAnsi="宋体"/>
                <w:b/>
                <w:color w:val="auto"/>
                <w:spacing w:val="60"/>
                <w:sz w:val="44"/>
                <w:szCs w:val="44"/>
                <w:highlight w:val="none"/>
              </w:rPr>
            </w:pPr>
          </w:p>
        </w:tc>
      </w:tr>
    </w:tbl>
    <w:p>
      <w:pPr>
        <w:spacing w:line="360" w:lineRule="auto"/>
        <w:ind w:firstLine="480"/>
        <w:rPr>
          <w:rFonts w:ascii="宋体" w:hAnsi="宋体"/>
          <w:color w:val="auto"/>
          <w:sz w:val="24"/>
          <w:szCs w:val="24"/>
          <w:highlight w:val="none"/>
          <w:u w:val="singl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Microsoft YaHei UI">
    <w:altName w:val="宋体"/>
    <w:panose1 w:val="00000000000000000000"/>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方正大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0"/>
      </w:rPr>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25"/>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25"/>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67464"/>
    <w:multiLevelType w:val="singleLevel"/>
    <w:tmpl w:val="CC767464"/>
    <w:lvl w:ilvl="0" w:tentative="0">
      <w:start w:val="6"/>
      <w:numFmt w:val="decimal"/>
      <w:suff w:val="nothing"/>
      <w:lvlText w:val="%1、"/>
      <w:lvlJc w:val="left"/>
    </w:lvl>
  </w:abstractNum>
  <w:abstractNum w:abstractNumId="1">
    <w:nsid w:val="259905B5"/>
    <w:multiLevelType w:val="multilevel"/>
    <w:tmpl w:val="259905B5"/>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MyMmEwODIwM2E1YTc1MGQxZTFiMTc4Nzg3M2I4MGMifQ=="/>
  </w:docVars>
  <w:rsids>
    <w:rsidRoot w:val="007B41BE"/>
    <w:rsid w:val="000200EE"/>
    <w:rsid w:val="000575F8"/>
    <w:rsid w:val="00085630"/>
    <w:rsid w:val="000C1007"/>
    <w:rsid w:val="000C11E0"/>
    <w:rsid w:val="000C2710"/>
    <w:rsid w:val="000D396E"/>
    <w:rsid w:val="00181CAA"/>
    <w:rsid w:val="00336AA3"/>
    <w:rsid w:val="004370EC"/>
    <w:rsid w:val="004424B8"/>
    <w:rsid w:val="004B295D"/>
    <w:rsid w:val="005866FB"/>
    <w:rsid w:val="005B556D"/>
    <w:rsid w:val="005C212B"/>
    <w:rsid w:val="006036EF"/>
    <w:rsid w:val="00673B83"/>
    <w:rsid w:val="00680BFD"/>
    <w:rsid w:val="006B6B0D"/>
    <w:rsid w:val="006F3576"/>
    <w:rsid w:val="0073229B"/>
    <w:rsid w:val="00780EC8"/>
    <w:rsid w:val="007B41BE"/>
    <w:rsid w:val="007D6D06"/>
    <w:rsid w:val="007D7D5E"/>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A4957"/>
    <w:rsid w:val="00CD156B"/>
    <w:rsid w:val="00D75B45"/>
    <w:rsid w:val="00D84E64"/>
    <w:rsid w:val="00E22EAB"/>
    <w:rsid w:val="00E457F6"/>
    <w:rsid w:val="00E638F3"/>
    <w:rsid w:val="00EB6530"/>
    <w:rsid w:val="00EC014E"/>
    <w:rsid w:val="00F40301"/>
    <w:rsid w:val="00F53CB1"/>
    <w:rsid w:val="00FA5926"/>
    <w:rsid w:val="00FC5596"/>
    <w:rsid w:val="03D42732"/>
    <w:rsid w:val="04593B4A"/>
    <w:rsid w:val="05935ABA"/>
    <w:rsid w:val="06160916"/>
    <w:rsid w:val="066769E8"/>
    <w:rsid w:val="06CC25BE"/>
    <w:rsid w:val="072F44E3"/>
    <w:rsid w:val="09F33618"/>
    <w:rsid w:val="0CD01E78"/>
    <w:rsid w:val="0F7E4AB5"/>
    <w:rsid w:val="0FEF45D8"/>
    <w:rsid w:val="11687684"/>
    <w:rsid w:val="11E8746F"/>
    <w:rsid w:val="1365516B"/>
    <w:rsid w:val="14D34591"/>
    <w:rsid w:val="16FC0D4A"/>
    <w:rsid w:val="18151F96"/>
    <w:rsid w:val="181C07FE"/>
    <w:rsid w:val="192105BA"/>
    <w:rsid w:val="1991422C"/>
    <w:rsid w:val="1A2F4635"/>
    <w:rsid w:val="1A931C02"/>
    <w:rsid w:val="1A9B37E3"/>
    <w:rsid w:val="1AD03189"/>
    <w:rsid w:val="1AEB1710"/>
    <w:rsid w:val="1E486D96"/>
    <w:rsid w:val="1EBA5A37"/>
    <w:rsid w:val="223C539F"/>
    <w:rsid w:val="22765C42"/>
    <w:rsid w:val="23B92F87"/>
    <w:rsid w:val="24A972CC"/>
    <w:rsid w:val="25ED4D42"/>
    <w:rsid w:val="27985420"/>
    <w:rsid w:val="28790229"/>
    <w:rsid w:val="2A880A7B"/>
    <w:rsid w:val="2DC4660F"/>
    <w:rsid w:val="30997F39"/>
    <w:rsid w:val="32BF3509"/>
    <w:rsid w:val="32F669F2"/>
    <w:rsid w:val="33356A68"/>
    <w:rsid w:val="350F11F9"/>
    <w:rsid w:val="375D203C"/>
    <w:rsid w:val="378B1E5E"/>
    <w:rsid w:val="38026A6F"/>
    <w:rsid w:val="39C15447"/>
    <w:rsid w:val="3A4A5E98"/>
    <w:rsid w:val="3CC9154C"/>
    <w:rsid w:val="3D60411F"/>
    <w:rsid w:val="3DC81666"/>
    <w:rsid w:val="3F2647CE"/>
    <w:rsid w:val="41E657FF"/>
    <w:rsid w:val="43712CD8"/>
    <w:rsid w:val="47EA721F"/>
    <w:rsid w:val="48523C0A"/>
    <w:rsid w:val="4AC44348"/>
    <w:rsid w:val="4B242DD8"/>
    <w:rsid w:val="4B3F6B82"/>
    <w:rsid w:val="4B6B7860"/>
    <w:rsid w:val="4E6013BE"/>
    <w:rsid w:val="4E6C325B"/>
    <w:rsid w:val="53F92C98"/>
    <w:rsid w:val="54790A58"/>
    <w:rsid w:val="59C9560C"/>
    <w:rsid w:val="5AF5099C"/>
    <w:rsid w:val="5CDF456F"/>
    <w:rsid w:val="5D572C78"/>
    <w:rsid w:val="5F4B72E8"/>
    <w:rsid w:val="63467FE5"/>
    <w:rsid w:val="64B649E4"/>
    <w:rsid w:val="65246909"/>
    <w:rsid w:val="653505E7"/>
    <w:rsid w:val="67D82851"/>
    <w:rsid w:val="680B68A2"/>
    <w:rsid w:val="6C7621DF"/>
    <w:rsid w:val="6C787452"/>
    <w:rsid w:val="6CEF4F0F"/>
    <w:rsid w:val="6D307333"/>
    <w:rsid w:val="6DAB59DE"/>
    <w:rsid w:val="6FFA1F91"/>
    <w:rsid w:val="73CC483B"/>
    <w:rsid w:val="742105C6"/>
    <w:rsid w:val="74445C43"/>
    <w:rsid w:val="74904A3A"/>
    <w:rsid w:val="74DA2B1D"/>
    <w:rsid w:val="74E14DC3"/>
    <w:rsid w:val="77A02C14"/>
    <w:rsid w:val="7ADC31A8"/>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1"/>
    <w:qFormat/>
    <w:uiPriority w:val="0"/>
    <w:pPr>
      <w:keepNext/>
      <w:keepLines/>
      <w:spacing w:after="120" w:line="360" w:lineRule="auto"/>
      <w:outlineLvl w:val="0"/>
    </w:pPr>
    <w:rPr>
      <w:kern w:val="44"/>
      <w:sz w:val="28"/>
      <w:szCs w:val="28"/>
    </w:rPr>
  </w:style>
  <w:style w:type="paragraph" w:styleId="7">
    <w:name w:val="heading 2"/>
    <w:basedOn w:val="1"/>
    <w:next w:val="8"/>
    <w:link w:val="6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5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63"/>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4"/>
    <w:qFormat/>
    <w:uiPriority w:val="0"/>
    <w:pPr>
      <w:numPr>
        <w:ilvl w:val="4"/>
      </w:numPr>
      <w:spacing w:line="240" w:lineRule="exact"/>
      <w:outlineLvl w:val="4"/>
    </w:pPr>
  </w:style>
  <w:style w:type="paragraph" w:styleId="12">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2"/>
    <w:qFormat/>
    <w:uiPriority w:val="0"/>
    <w:rPr>
      <w:rFonts w:ascii="宋体" w:hAnsi="Courier New"/>
      <w:szCs w:val="20"/>
    </w:rPr>
  </w:style>
  <w:style w:type="paragraph" w:styleId="4">
    <w:name w:val="Title"/>
    <w:basedOn w:val="1"/>
    <w:link w:val="70"/>
    <w:qFormat/>
    <w:uiPriority w:val="0"/>
    <w:pPr>
      <w:spacing w:before="120" w:after="60"/>
      <w:jc w:val="center"/>
    </w:pPr>
    <w:rPr>
      <w:rFonts w:ascii="Arial" w:hAnsi="Arial"/>
      <w:b/>
      <w:sz w:val="44"/>
      <w:szCs w:val="20"/>
    </w:rPr>
  </w:style>
  <w:style w:type="paragraph" w:styleId="5">
    <w:name w:val="Body Text First Indent"/>
    <w:basedOn w:val="6"/>
    <w:link w:val="74"/>
    <w:qFormat/>
    <w:uiPriority w:val="0"/>
    <w:pPr>
      <w:ind w:firstLine="420"/>
    </w:pPr>
  </w:style>
  <w:style w:type="paragraph" w:styleId="6">
    <w:name w:val="Body Text"/>
    <w:basedOn w:val="1"/>
    <w:link w:val="72"/>
    <w:qFormat/>
    <w:uiPriority w:val="0"/>
    <w:pPr>
      <w:spacing w:after="120"/>
    </w:pPr>
    <w:rPr>
      <w:rFonts w:ascii="Times New Roman" w:hAnsi="Times New Roman"/>
      <w:szCs w:val="20"/>
    </w:rPr>
  </w:style>
  <w:style w:type="paragraph" w:styleId="8">
    <w:name w:val="Normal Indent"/>
    <w:basedOn w:val="1"/>
    <w:qFormat/>
    <w:uiPriority w:val="0"/>
    <w:pPr>
      <w:ind w:firstLine="420"/>
    </w:pPr>
    <w:rPr>
      <w:rFonts w:ascii="Times New Roman" w:hAnsi="Times New Roman"/>
      <w:szCs w:val="20"/>
    </w:rPr>
  </w:style>
  <w:style w:type="paragraph" w:styleId="16">
    <w:name w:val="Document Map"/>
    <w:basedOn w:val="1"/>
    <w:link w:val="80"/>
    <w:qFormat/>
    <w:uiPriority w:val="0"/>
    <w:pPr>
      <w:shd w:val="clear" w:color="auto" w:fill="000080"/>
    </w:pPr>
    <w:rPr>
      <w:rFonts w:ascii="Times New Roman" w:hAnsi="Times New Roman"/>
      <w:szCs w:val="20"/>
    </w:rPr>
  </w:style>
  <w:style w:type="paragraph" w:styleId="17">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8">
    <w:name w:val="Body Text Indent"/>
    <w:basedOn w:val="1"/>
    <w:next w:val="19"/>
    <w:link w:val="78"/>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6"/>
    <w:qFormat/>
    <w:uiPriority w:val="0"/>
    <w:rPr>
      <w:rFonts w:ascii="Times New Roman" w:hAnsi="Times New Roman"/>
      <w:szCs w:val="20"/>
    </w:rPr>
  </w:style>
  <w:style w:type="paragraph" w:styleId="22">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3">
    <w:name w:val="endnote text"/>
    <w:basedOn w:val="1"/>
    <w:link w:val="93"/>
    <w:qFormat/>
    <w:uiPriority w:val="0"/>
    <w:pPr>
      <w:snapToGrid w:val="0"/>
      <w:jc w:val="left"/>
    </w:pPr>
    <w:rPr>
      <w:rFonts w:ascii="Times New Roman" w:hAnsi="Times New Roman"/>
      <w:szCs w:val="20"/>
    </w:rPr>
  </w:style>
  <w:style w:type="paragraph" w:styleId="24">
    <w:name w:val="Balloon Text"/>
    <w:basedOn w:val="1"/>
    <w:link w:val="103"/>
    <w:qFormat/>
    <w:uiPriority w:val="0"/>
    <w:rPr>
      <w:rFonts w:ascii="Times New Roman" w:hAnsi="Times New Roman"/>
      <w:sz w:val="18"/>
      <w:szCs w:val="18"/>
    </w:rPr>
  </w:style>
  <w:style w:type="paragraph" w:styleId="25">
    <w:name w:val="footer"/>
    <w:basedOn w:val="1"/>
    <w:link w:val="60"/>
    <w:unhideWhenUsed/>
    <w:qFormat/>
    <w:uiPriority w:val="0"/>
    <w:pPr>
      <w:tabs>
        <w:tab w:val="center" w:pos="4153"/>
        <w:tab w:val="right" w:pos="8306"/>
      </w:tabs>
      <w:snapToGrid w:val="0"/>
      <w:jc w:val="left"/>
    </w:pPr>
    <w:rPr>
      <w:sz w:val="18"/>
      <w:szCs w:val="18"/>
    </w:rPr>
  </w:style>
  <w:style w:type="paragraph" w:styleId="26">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0"/>
    <w:qFormat/>
    <w:uiPriority w:val="0"/>
    <w:rPr>
      <w:rFonts w:ascii="宋体" w:hAnsi="宋体"/>
      <w:szCs w:val="24"/>
      <w:u w:val="single"/>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110"/>
    <w:qFormat/>
    <w:uiPriority w:val="0"/>
    <w:rPr>
      <w:b/>
      <w:bCs/>
    </w:rPr>
  </w:style>
  <w:style w:type="paragraph" w:styleId="34">
    <w:name w:val="Body Text First Indent 2"/>
    <w:basedOn w:val="18"/>
    <w:qFormat/>
    <w:uiPriority w:val="0"/>
    <w:pPr>
      <w:spacing w:after="120"/>
      <w:ind w:left="200" w:leftChars="200" w:firstLine="200" w:firstLineChars="200"/>
    </w:pPr>
    <w:rPr>
      <w:rFonts w:ascii="Calibri" w:hAnsi="Calibri"/>
      <w:sz w:val="21"/>
      <w:szCs w:val="24"/>
    </w:r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paragraph" w:customStyle="1" w:styleId="45">
    <w:name w:val="PlainText"/>
    <w:basedOn w:val="1"/>
    <w:qFormat/>
    <w:uiPriority w:val="0"/>
    <w:rPr>
      <w:rFonts w:ascii="宋体" w:hAnsi="Courier New"/>
      <w:kern w:val="0"/>
      <w:sz w:val="20"/>
      <w:szCs w:val="20"/>
    </w:rPr>
  </w:style>
  <w:style w:type="paragraph" w:customStyle="1" w:styleId="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标题 3 Char"/>
    <w:link w:val="9"/>
    <w:qFormat/>
    <w:uiPriority w:val="0"/>
    <w:rPr>
      <w:rFonts w:ascii="宋体" w:hAnsi="宋体" w:eastAsia="宋体" w:cs="宋体"/>
      <w:kern w:val="0"/>
      <w:sz w:val="27"/>
      <w:szCs w:val="27"/>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Char"/>
    <w:link w:val="26"/>
    <w:qFormat/>
    <w:uiPriority w:val="0"/>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Char"/>
    <w:link w:val="25"/>
    <w:qFormat/>
    <w:uiPriority w:val="0"/>
    <w:rPr>
      <w:rFonts w:ascii="Calibri" w:hAnsi="Calibri" w:eastAsia="宋体" w:cs="Times New Roman"/>
      <w:sz w:val="18"/>
      <w:szCs w:val="18"/>
    </w:rPr>
  </w:style>
  <w:style w:type="character" w:customStyle="1" w:styleId="61">
    <w:name w:val="标题 1 Char"/>
    <w:link w:val="3"/>
    <w:qFormat/>
    <w:uiPriority w:val="0"/>
    <w:rPr>
      <w:rFonts w:ascii="Arial" w:hAnsi="Arial" w:eastAsia="宋体"/>
      <w:b/>
      <w:kern w:val="44"/>
      <w:sz w:val="28"/>
      <w:szCs w:val="28"/>
    </w:rPr>
  </w:style>
  <w:style w:type="character" w:customStyle="1" w:styleId="62">
    <w:name w:val="标题 2 Char"/>
    <w:link w:val="7"/>
    <w:qFormat/>
    <w:uiPriority w:val="0"/>
    <w:rPr>
      <w:rFonts w:ascii="Arial" w:hAnsi="Arial" w:eastAsia="宋体" w:cs="Times New Roman"/>
      <w:b/>
      <w:color w:val="000000"/>
      <w:sz w:val="24"/>
      <w:szCs w:val="24"/>
    </w:rPr>
  </w:style>
  <w:style w:type="character" w:customStyle="1" w:styleId="63">
    <w:name w:val="标题 4 Char"/>
    <w:link w:val="10"/>
    <w:qFormat/>
    <w:uiPriority w:val="0"/>
    <w:rPr>
      <w:rFonts w:ascii="Arial" w:hAnsi="Arial" w:eastAsia="宋体" w:cs="Times New Roman"/>
      <w:color w:val="000000"/>
      <w:szCs w:val="21"/>
    </w:rPr>
  </w:style>
  <w:style w:type="character" w:customStyle="1" w:styleId="64">
    <w:name w:val="标题 5 Char"/>
    <w:link w:val="11"/>
    <w:qFormat/>
    <w:uiPriority w:val="0"/>
    <w:rPr>
      <w:rFonts w:ascii="Arial" w:hAnsi="Arial" w:eastAsia="宋体" w:cs="Times New Roman"/>
      <w:color w:val="000000"/>
      <w:szCs w:val="21"/>
    </w:rPr>
  </w:style>
  <w:style w:type="character" w:customStyle="1" w:styleId="65">
    <w:name w:val="标题 6 Char"/>
    <w:link w:val="12"/>
    <w:qFormat/>
    <w:uiPriority w:val="0"/>
    <w:rPr>
      <w:rFonts w:ascii="Arial" w:hAnsi="Arial" w:eastAsia="黑体" w:cs="Times New Roman"/>
      <w:b/>
      <w:bCs/>
      <w:sz w:val="24"/>
      <w:szCs w:val="24"/>
    </w:rPr>
  </w:style>
  <w:style w:type="character" w:customStyle="1" w:styleId="66">
    <w:name w:val="标题 7 Char"/>
    <w:link w:val="13"/>
    <w:qFormat/>
    <w:uiPriority w:val="0"/>
    <w:rPr>
      <w:rFonts w:ascii="Times New Roman" w:hAnsi="Times New Roman" w:eastAsia="宋体" w:cs="Times New Roman"/>
      <w:b/>
      <w:sz w:val="24"/>
      <w:szCs w:val="20"/>
    </w:rPr>
  </w:style>
  <w:style w:type="character" w:customStyle="1" w:styleId="67">
    <w:name w:val="标题 8 Char"/>
    <w:link w:val="14"/>
    <w:qFormat/>
    <w:uiPriority w:val="0"/>
    <w:rPr>
      <w:rFonts w:ascii="Arial" w:hAnsi="Arial" w:eastAsia="黑体" w:cs="Times New Roman"/>
      <w:sz w:val="24"/>
      <w:szCs w:val="20"/>
    </w:rPr>
  </w:style>
  <w:style w:type="character" w:customStyle="1" w:styleId="68">
    <w:name w:val="标题 9 Char"/>
    <w:link w:val="15"/>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Char"/>
    <w:link w:val="4"/>
    <w:qFormat/>
    <w:uiPriority w:val="0"/>
    <w:rPr>
      <w:rFonts w:ascii="Arial" w:hAnsi="Arial" w:eastAsia="宋体" w:cs="Times New Roman"/>
      <w:b/>
      <w:sz w:val="44"/>
      <w:szCs w:val="20"/>
    </w:rPr>
  </w:style>
  <w:style w:type="character" w:customStyle="1" w:styleId="71">
    <w:name w:val="正文文本 字符"/>
    <w:semiHidden/>
    <w:qFormat/>
    <w:uiPriority w:val="99"/>
    <w:rPr>
      <w:rFonts w:ascii="Calibri" w:hAnsi="Calibri" w:eastAsia="宋体" w:cs="Times New Roman"/>
    </w:rPr>
  </w:style>
  <w:style w:type="character" w:customStyle="1" w:styleId="72">
    <w:name w:val="正文文本 Char"/>
    <w:link w:val="6"/>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首行缩进 Char"/>
    <w:link w:val="5"/>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Char"/>
    <w:link w:val="21"/>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Char"/>
    <w:link w:val="18"/>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Char"/>
    <w:link w:val="16"/>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Char"/>
    <w:link w:val="2"/>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Char"/>
    <w:link w:val="22"/>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Char"/>
    <w:link w:val="29"/>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Char"/>
    <w:link w:val="31"/>
    <w:qFormat/>
    <w:uiPriority w:val="0"/>
    <w:rPr>
      <w:rFonts w:ascii="宋体" w:hAnsi="宋体" w:eastAsia="宋体" w:cs="Times New Roman"/>
      <w:szCs w:val="24"/>
      <w:u w:val="single"/>
    </w:rPr>
  </w:style>
  <w:style w:type="paragraph" w:customStyle="1" w:styleId="91">
    <w:name w:val="表头"/>
    <w:basedOn w:val="1"/>
    <w:qFormat/>
    <w:uiPriority w:val="0"/>
    <w:pPr>
      <w:spacing w:line="360" w:lineRule="auto"/>
      <w:jc w:val="center"/>
    </w:pPr>
    <w:rPr>
      <w:rFonts w:ascii="黑体" w:hAnsi="Times New Roman" w:eastAsia="黑体"/>
      <w:kern w:val="0"/>
      <w:sz w:val="24"/>
      <w:szCs w:val="20"/>
    </w:rPr>
  </w:style>
  <w:style w:type="character" w:customStyle="1" w:styleId="92">
    <w:name w:val="尾注文本 字符"/>
    <w:semiHidden/>
    <w:qFormat/>
    <w:uiPriority w:val="99"/>
    <w:rPr>
      <w:rFonts w:ascii="Calibri" w:hAnsi="Calibri" w:eastAsia="宋体" w:cs="Times New Roman"/>
    </w:rPr>
  </w:style>
  <w:style w:type="character" w:customStyle="1" w:styleId="93">
    <w:name w:val="尾注文本 Char"/>
    <w:link w:val="23"/>
    <w:qFormat/>
    <w:uiPriority w:val="0"/>
    <w:rPr>
      <w:rFonts w:ascii="Times New Roman" w:hAnsi="Times New Roman" w:eastAsia="宋体" w:cs="Times New Roman"/>
      <w:szCs w:val="20"/>
    </w:rPr>
  </w:style>
  <w:style w:type="paragraph" w:customStyle="1" w:styleId="94">
    <w:name w:val="Char"/>
    <w:basedOn w:val="1"/>
    <w:qFormat/>
    <w:uiPriority w:val="0"/>
    <w:rPr>
      <w:rFonts w:ascii="Tahoma" w:hAnsi="Tahoma"/>
      <w:sz w:val="24"/>
      <w:szCs w:val="20"/>
    </w:rPr>
  </w:style>
  <w:style w:type="paragraph" w:customStyle="1" w:styleId="95">
    <w:name w:val="Char1"/>
    <w:basedOn w:val="1"/>
    <w:qFormat/>
    <w:uiPriority w:val="0"/>
    <w:pPr>
      <w:numPr>
        <w:ilvl w:val="0"/>
        <w:numId w:val="1"/>
      </w:numPr>
    </w:pPr>
    <w:rPr>
      <w:rFonts w:ascii="Times New Roman" w:hAnsi="Times New Roman"/>
      <w:sz w:val="24"/>
      <w:szCs w:val="24"/>
    </w:rPr>
  </w:style>
  <w:style w:type="paragraph" w:customStyle="1" w:styleId="96">
    <w:name w:val="公文抬头"/>
    <w:basedOn w:val="8"/>
    <w:qFormat/>
    <w:uiPriority w:val="0"/>
    <w:pPr>
      <w:ind w:firstLine="0"/>
    </w:pPr>
    <w:rPr>
      <w:rFonts w:ascii="仿宋_GB2312" w:eastAsia="仿宋_GB2312"/>
      <w:sz w:val="30"/>
      <w:szCs w:val="24"/>
    </w:rPr>
  </w:style>
  <w:style w:type="paragraph" w:customStyle="1" w:styleId="97">
    <w:name w:val="Char Char Char1 Char"/>
    <w:basedOn w:val="16"/>
    <w:qFormat/>
    <w:uiPriority w:val="0"/>
    <w:rPr>
      <w:rFonts w:ascii="Tahoma" w:hAnsi="Tahoma"/>
      <w:sz w:val="24"/>
      <w:szCs w:val="24"/>
    </w:rPr>
  </w:style>
  <w:style w:type="paragraph" w:customStyle="1" w:styleId="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qFormat/>
    <w:uiPriority w:val="0"/>
    <w:pPr>
      <w:ind w:left="4094" w:right="607" w:firstLine="0"/>
      <w:jc w:val="center"/>
    </w:pPr>
  </w:style>
  <w:style w:type="paragraph" w:customStyle="1" w:styleId="101">
    <w:name w:val="Char Char Char Char"/>
    <w:basedOn w:val="1"/>
    <w:qFormat/>
    <w:uiPriority w:val="0"/>
    <w:rPr>
      <w:rFonts w:ascii="Times New Roman" w:hAnsi="Times New Roman"/>
      <w:sz w:val="30"/>
      <w:szCs w:val="24"/>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批注框文本 Char"/>
    <w:link w:val="24"/>
    <w:qFormat/>
    <w:uiPriority w:val="0"/>
    <w:rPr>
      <w:rFonts w:ascii="Times New Roman" w:hAnsi="Times New Roman" w:eastAsia="宋体" w:cs="Times New Roman"/>
      <w:sz w:val="18"/>
      <w:szCs w:val="18"/>
    </w:rPr>
  </w:style>
  <w:style w:type="paragraph" w:customStyle="1" w:styleId="10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semiHidden/>
    <w:qFormat/>
    <w:uiPriority w:val="99"/>
    <w:rPr>
      <w:rFonts w:ascii="Calibri" w:hAnsi="Calibri" w:eastAsia="宋体" w:cs="Times New Roman"/>
    </w:rPr>
  </w:style>
  <w:style w:type="character" w:customStyle="1" w:styleId="106">
    <w:name w:val="批注文字 Char"/>
    <w:link w:val="17"/>
    <w:qFormat/>
    <w:uiPriority w:val="0"/>
    <w:rPr>
      <w:rFonts w:ascii="宋体" w:hAnsi="宋体" w:eastAsia="宋体" w:cs="Times New Roman"/>
      <w:sz w:val="24"/>
      <w:szCs w:val="24"/>
    </w:rPr>
  </w:style>
  <w:style w:type="character" w:customStyle="1" w:styleId="107">
    <w:name w:val="脚注文本 字符"/>
    <w:semiHidden/>
    <w:qFormat/>
    <w:uiPriority w:val="99"/>
    <w:rPr>
      <w:rFonts w:ascii="Calibri" w:hAnsi="Calibri" w:eastAsia="宋体" w:cs="Times New Roman"/>
      <w:sz w:val="18"/>
      <w:szCs w:val="18"/>
    </w:rPr>
  </w:style>
  <w:style w:type="character" w:customStyle="1" w:styleId="108">
    <w:name w:val="脚注文本 Char"/>
    <w:link w:val="28"/>
    <w:qFormat/>
    <w:uiPriority w:val="0"/>
    <w:rPr>
      <w:rFonts w:ascii="宋体" w:hAnsi="宋体" w:eastAsia="宋体" w:cs="Times New Roman"/>
      <w:sz w:val="18"/>
      <w:szCs w:val="18"/>
    </w:rPr>
  </w:style>
  <w:style w:type="character" w:customStyle="1" w:styleId="109">
    <w:name w:val="批注主题 字符"/>
    <w:semiHidden/>
    <w:qFormat/>
    <w:uiPriority w:val="99"/>
    <w:rPr>
      <w:rFonts w:ascii="Calibri" w:hAnsi="Calibri" w:eastAsia="宋体" w:cs="Times New Roman"/>
      <w:b/>
      <w:bCs/>
    </w:rPr>
  </w:style>
  <w:style w:type="character" w:customStyle="1" w:styleId="110">
    <w:name w:val="批注主题 Char"/>
    <w:link w:val="33"/>
    <w:qFormat/>
    <w:uiPriority w:val="0"/>
    <w:rPr>
      <w:rFonts w:ascii="宋体" w:hAnsi="宋体" w:eastAsia="宋体" w:cs="Times New Roman"/>
      <w:b/>
      <w:bCs/>
      <w:sz w:val="24"/>
      <w:szCs w:val="24"/>
    </w:rPr>
  </w:style>
  <w:style w:type="paragraph" w:styleId="111">
    <w:name w:val="List Paragraph"/>
    <w:basedOn w:val="1"/>
    <w:qFormat/>
    <w:uiPriority w:val="34"/>
    <w:pPr>
      <w:ind w:firstLine="420" w:firstLineChars="200"/>
    </w:pPr>
    <w:rPr>
      <w:rFonts w:ascii="Times New Roman" w:hAnsi="Times New Roman"/>
      <w:szCs w:val="20"/>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character" w:customStyle="1" w:styleId="113">
    <w:name w:val="s15"/>
    <w:qFormat/>
    <w:uiPriority w:val="0"/>
    <w:rPr>
      <w:color w:val="2131A1"/>
    </w:rPr>
  </w:style>
  <w:style w:type="character" w:customStyle="1" w:styleId="114">
    <w:name w:val="s2"/>
    <w:qFormat/>
    <w:uiPriority w:val="0"/>
  </w:style>
  <w:style w:type="character" w:customStyle="1" w:styleId="115">
    <w:name w:val="s3"/>
    <w:qFormat/>
    <w:uiPriority w:val="0"/>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font11"/>
    <w:basedOn w:val="37"/>
    <w:qFormat/>
    <w:uiPriority w:val="0"/>
    <w:rPr>
      <w:rFonts w:hint="eastAsia" w:ascii="仿宋" w:hAnsi="仿宋" w:eastAsia="仿宋" w:cs="仿宋"/>
      <w:color w:val="000000"/>
      <w:sz w:val="28"/>
      <w:szCs w:val="28"/>
      <w:u w:val="none"/>
    </w:rPr>
  </w:style>
  <w:style w:type="character" w:customStyle="1" w:styleId="118">
    <w:name w:val="font31"/>
    <w:basedOn w:val="37"/>
    <w:qFormat/>
    <w:uiPriority w:val="0"/>
    <w:rPr>
      <w:rFonts w:hint="eastAsia" w:ascii="仿宋" w:hAnsi="仿宋" w:eastAsia="仿宋" w:cs="仿宋"/>
      <w:b/>
      <w:bCs/>
      <w:color w:val="000000"/>
      <w:sz w:val="28"/>
      <w:szCs w:val="28"/>
      <w:u w:val="none"/>
    </w:rPr>
  </w:style>
  <w:style w:type="paragraph" w:customStyle="1" w:styleId="119">
    <w:name w:val="正文文本3"/>
    <w:basedOn w:val="1"/>
    <w:qFormat/>
    <w:uiPriority w:val="0"/>
    <w:pPr>
      <w:shd w:val="clear" w:color="auto" w:fill="FFFFFF"/>
      <w:spacing w:line="0" w:lineRule="atLeast"/>
    </w:pPr>
    <w:rPr>
      <w:rFonts w:ascii="宋体" w:hAnsi="宋体" w:cs="宋体"/>
      <w:sz w:val="19"/>
      <w:szCs w:val="19"/>
    </w:rPr>
  </w:style>
  <w:style w:type="character" w:customStyle="1" w:styleId="120">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21">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63</Pages>
  <Words>35636</Words>
  <Characters>37603</Characters>
  <Lines>294</Lines>
  <Paragraphs>82</Paragraphs>
  <TotalTime>71</TotalTime>
  <ScaleCrop>false</ScaleCrop>
  <LinksUpToDate>false</LinksUpToDate>
  <CharactersWithSpaces>38982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2022-05-27T07:48:00Z</dcterms:created>
  <dc:creator>管理员</dc:creator>
  <cp:lastModifiedBy>Administrator</cp:lastModifiedBy>
  <cp:lastPrinted>2022-06-02T07:51:00Z</cp:lastPrinted>
  <dcterms:modified xsi:type="dcterms:W3CDTF">2022-06-02T09:11:07Z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8520DBC203D84D9AA1391303D57FA0F5</vt:lpwstr>
  </property>
  <property fmtid="{D5CDD505-2E9C-101B-9397-08002B2CF9AE}" pid="4" name="commondata">
    <vt:lpwstr>eyJoZGlkIjoiYTMyMmEwODIwM2E1YTc1MGQxZTFiMTc4Nzg3M2I4MGMifQ==</vt:lpwstr>
  </property>
</Properties>
</file>