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C4FB3">
      <w:pPr>
        <w:pStyle w:val="2"/>
        <w:rPr>
          <w:rFonts w:ascii="宋体" w:hAnsi="宋体" w:eastAsia="宋体" w:cs="Times New Roman"/>
          <w:b/>
          <w:bCs/>
          <w:color w:val="auto"/>
          <w:kern w:val="44"/>
          <w:sz w:val="28"/>
          <w:szCs w:val="28"/>
          <w:highlight w:val="none"/>
        </w:rPr>
      </w:pPr>
      <w:bookmarkStart w:id="0" w:name="_Toc137304711"/>
      <w:r>
        <w:rPr>
          <w:rFonts w:hint="eastAsia" w:ascii="宋体" w:hAnsi="宋体" w:eastAsia="宋体" w:cs="Times New Roman"/>
          <w:b/>
          <w:bCs/>
          <w:color w:val="auto"/>
          <w:kern w:val="44"/>
          <w:sz w:val="28"/>
          <w:szCs w:val="28"/>
          <w:highlight w:val="none"/>
        </w:rPr>
        <w:t>附录1  资格审查条件(资质最低要求)</w:t>
      </w:r>
      <w:bookmarkEnd w:id="0"/>
    </w:p>
    <w:tbl>
      <w:tblPr>
        <w:tblStyle w:val="3"/>
        <w:tblW w:w="5000" w:type="pct"/>
        <w:jc w:val="center"/>
        <w:tblLayout w:type="autofit"/>
        <w:tblCellMar>
          <w:top w:w="0" w:type="dxa"/>
          <w:left w:w="10" w:type="dxa"/>
          <w:bottom w:w="0" w:type="dxa"/>
          <w:right w:w="10" w:type="dxa"/>
        </w:tblCellMar>
      </w:tblPr>
      <w:tblGrid>
        <w:gridCol w:w="8522"/>
      </w:tblGrid>
      <w:tr w14:paraId="3E13B4FB">
        <w:tblPrEx>
          <w:tblCellMar>
            <w:top w:w="0" w:type="dxa"/>
            <w:left w:w="10" w:type="dxa"/>
            <w:bottom w:w="0" w:type="dxa"/>
            <w:right w:w="10" w:type="dxa"/>
          </w:tblCellMar>
        </w:tblPrEx>
        <w:trPr>
          <w:trHeight w:val="565"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737A37">
            <w:pPr>
              <w:widowControl/>
              <w:spacing w:line="400" w:lineRule="atLeast"/>
              <w:jc w:val="center"/>
              <w:rPr>
                <w:rFonts w:ascii="宋体" w:hAnsi="宋体"/>
                <w:b/>
                <w:color w:val="auto"/>
                <w:kern w:val="0"/>
                <w:sz w:val="20"/>
                <w:szCs w:val="20"/>
                <w:highlight w:val="none"/>
              </w:rPr>
            </w:pPr>
            <w:r>
              <w:rPr>
                <w:rFonts w:hint="eastAsia" w:ascii="宋体" w:hAnsi="宋体"/>
                <w:b/>
                <w:color w:val="auto"/>
                <w:kern w:val="0"/>
                <w:sz w:val="24"/>
                <w:highlight w:val="none"/>
              </w:rPr>
              <w:t>监理企业资质等级要求</w:t>
            </w:r>
          </w:p>
        </w:tc>
      </w:tr>
      <w:tr w14:paraId="5EE3F58F">
        <w:tblPrEx>
          <w:tblCellMar>
            <w:top w:w="0" w:type="dxa"/>
            <w:left w:w="10" w:type="dxa"/>
            <w:bottom w:w="0" w:type="dxa"/>
            <w:right w:w="10" w:type="dxa"/>
          </w:tblCellMar>
        </w:tblPrEx>
        <w:trPr>
          <w:trHeight w:val="1394" w:hRule="atLeast"/>
          <w:jc w:val="center"/>
        </w:trPr>
        <w:tc>
          <w:tcPr>
            <w:tcW w:w="500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3EB6B7">
            <w:pPr>
              <w:ind w:firstLine="480" w:firstLineChars="200"/>
              <w:rPr>
                <w:rFonts w:ascii="宋体" w:hAnsi="宋体" w:cs="宋体"/>
                <w:color w:val="auto"/>
                <w:kern w:val="0"/>
                <w:sz w:val="24"/>
                <w:highlight w:val="none"/>
              </w:rPr>
            </w:pPr>
            <w:r>
              <w:rPr>
                <w:rFonts w:ascii="宋体" w:hAnsi="宋体" w:cs="宋体"/>
                <w:color w:val="auto"/>
                <w:kern w:val="0"/>
                <w:sz w:val="24"/>
                <w:highlight w:val="none"/>
              </w:rPr>
              <w:t>具有交通运输主管部门核发的在有效期内的公路工程</w:t>
            </w:r>
            <w:r>
              <w:rPr>
                <w:rFonts w:hint="eastAsia" w:ascii="宋体" w:hAnsi="宋体" w:cs="宋体"/>
                <w:color w:val="auto"/>
                <w:kern w:val="0"/>
                <w:sz w:val="24"/>
                <w:highlight w:val="none"/>
              </w:rPr>
              <w:t>乙</w:t>
            </w:r>
            <w:r>
              <w:rPr>
                <w:rFonts w:ascii="宋体" w:hAnsi="宋体" w:cs="宋体"/>
                <w:color w:val="auto"/>
                <w:kern w:val="0"/>
                <w:sz w:val="24"/>
                <w:highlight w:val="none"/>
              </w:rPr>
              <w:t>级或以上监理资质。</w:t>
            </w:r>
          </w:p>
        </w:tc>
      </w:tr>
    </w:tbl>
    <w:p w14:paraId="5DD070A6">
      <w:pPr>
        <w:jc w:val="left"/>
        <w:rPr>
          <w:rFonts w:ascii="宋体" w:hAnsi="宋体" w:cs="宋体"/>
          <w:color w:val="auto"/>
          <w:kern w:val="0"/>
          <w:sz w:val="32"/>
          <w:szCs w:val="32"/>
          <w:highlight w:val="none"/>
        </w:rPr>
      </w:pPr>
    </w:p>
    <w:p w14:paraId="21B4B96B">
      <w:pPr>
        <w:spacing w:line="320" w:lineRule="exact"/>
        <w:ind w:firstLine="880"/>
        <w:jc w:val="left"/>
        <w:rPr>
          <w:rFonts w:ascii="宋体" w:hAnsi="宋体" w:cs="宋体"/>
          <w:color w:val="auto"/>
          <w:kern w:val="0"/>
          <w:sz w:val="22"/>
          <w:szCs w:val="21"/>
          <w:highlight w:val="none"/>
        </w:rPr>
      </w:pPr>
    </w:p>
    <w:p w14:paraId="75196EC9">
      <w:pPr>
        <w:jc w:val="center"/>
        <w:rPr>
          <w:rFonts w:ascii="宋体" w:hAnsi="宋体" w:cs="宋体"/>
          <w:b/>
          <w:color w:val="auto"/>
          <w:kern w:val="0"/>
          <w:sz w:val="22"/>
          <w:szCs w:val="22"/>
          <w:highlight w:val="none"/>
        </w:rPr>
      </w:pPr>
    </w:p>
    <w:p w14:paraId="4076DA74">
      <w:pPr>
        <w:jc w:val="center"/>
        <w:rPr>
          <w:rFonts w:ascii="宋体" w:hAnsi="宋体" w:cs="宋体"/>
          <w:color w:val="auto"/>
          <w:kern w:val="0"/>
          <w:sz w:val="32"/>
          <w:szCs w:val="32"/>
          <w:highlight w:val="none"/>
        </w:rPr>
      </w:pPr>
    </w:p>
    <w:p w14:paraId="2133DD72">
      <w:pPr>
        <w:pStyle w:val="2"/>
        <w:rPr>
          <w:rFonts w:ascii="宋体" w:hAnsi="宋体" w:eastAsia="宋体" w:cs="Times New Roman"/>
          <w:b/>
          <w:bCs/>
          <w:color w:val="auto"/>
          <w:kern w:val="44"/>
          <w:sz w:val="28"/>
          <w:szCs w:val="28"/>
          <w:highlight w:val="none"/>
        </w:rPr>
      </w:pPr>
      <w:bookmarkStart w:id="1" w:name="_Toc137304712"/>
      <w:r>
        <w:rPr>
          <w:rFonts w:hint="eastAsia" w:ascii="宋体" w:hAnsi="宋体" w:eastAsia="宋体" w:cs="Times New Roman"/>
          <w:b/>
          <w:bCs/>
          <w:color w:val="auto"/>
          <w:kern w:val="44"/>
          <w:sz w:val="28"/>
          <w:szCs w:val="28"/>
          <w:highlight w:val="none"/>
        </w:rPr>
        <w:t>附录2  资格审查条件(业绩最低要求)</w:t>
      </w:r>
      <w:bookmarkEnd w:id="1"/>
    </w:p>
    <w:tbl>
      <w:tblPr>
        <w:tblStyle w:val="3"/>
        <w:tblW w:w="5000" w:type="pct"/>
        <w:jc w:val="center"/>
        <w:tblLayout w:type="autofit"/>
        <w:tblCellMar>
          <w:top w:w="0" w:type="dxa"/>
          <w:left w:w="10" w:type="dxa"/>
          <w:bottom w:w="0" w:type="dxa"/>
          <w:right w:w="10" w:type="dxa"/>
        </w:tblCellMar>
      </w:tblPr>
      <w:tblGrid>
        <w:gridCol w:w="8522"/>
      </w:tblGrid>
      <w:tr w14:paraId="4D5ECAD9">
        <w:tblPrEx>
          <w:tblCellMar>
            <w:top w:w="0" w:type="dxa"/>
            <w:left w:w="10" w:type="dxa"/>
            <w:bottom w:w="0" w:type="dxa"/>
            <w:right w:w="10" w:type="dxa"/>
          </w:tblCellMar>
        </w:tblPrEx>
        <w:trPr>
          <w:trHeight w:val="592"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9B1EAB">
            <w:pPr>
              <w:widowControl/>
              <w:spacing w:line="400" w:lineRule="atLeast"/>
              <w:jc w:val="center"/>
              <w:rPr>
                <w:rFonts w:ascii="宋体" w:hAnsi="宋体"/>
                <w:b/>
                <w:color w:val="auto"/>
                <w:kern w:val="0"/>
                <w:sz w:val="20"/>
                <w:szCs w:val="20"/>
                <w:highlight w:val="none"/>
              </w:rPr>
            </w:pPr>
            <w:r>
              <w:rPr>
                <w:rFonts w:hint="eastAsia" w:ascii="宋体" w:hAnsi="宋体"/>
                <w:b/>
                <w:color w:val="auto"/>
                <w:kern w:val="0"/>
                <w:sz w:val="24"/>
                <w:highlight w:val="none"/>
              </w:rPr>
              <w:t>业绩要求</w:t>
            </w:r>
          </w:p>
        </w:tc>
      </w:tr>
      <w:tr w14:paraId="5FBB3469">
        <w:tblPrEx>
          <w:tblCellMar>
            <w:top w:w="0" w:type="dxa"/>
            <w:left w:w="10" w:type="dxa"/>
            <w:bottom w:w="0" w:type="dxa"/>
            <w:right w:w="10" w:type="dxa"/>
          </w:tblCellMar>
        </w:tblPrEx>
        <w:trPr>
          <w:trHeight w:val="1714" w:hRule="atLeast"/>
          <w:jc w:val="center"/>
        </w:trPr>
        <w:tc>
          <w:tcPr>
            <w:tcW w:w="500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633057">
            <w:pPr>
              <w:widowControl/>
              <w:spacing w:line="360" w:lineRule="auto"/>
              <w:ind w:firstLine="480" w:firstLineChars="200"/>
              <w:jc w:val="left"/>
              <w:rPr>
                <w:rFonts w:hint="eastAsia" w:ascii="宋体" w:hAnsi="宋体" w:eastAsia="宋体"/>
                <w:color w:val="auto"/>
                <w:kern w:val="0"/>
                <w:sz w:val="20"/>
                <w:szCs w:val="20"/>
                <w:highlight w:val="none"/>
                <w:lang w:eastAsia="zh-CN"/>
              </w:rPr>
            </w:pPr>
            <w:r>
              <w:rPr>
                <w:rFonts w:hint="eastAsia" w:ascii="宋体" w:hAnsi="宋体"/>
                <w:color w:val="auto"/>
                <w:kern w:val="0"/>
                <w:sz w:val="24"/>
                <w:highlight w:val="none"/>
              </w:rPr>
              <w:t>近五年内(即2019年</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月1日至投标文件递交截止日止)成功地独立完成过</w:t>
            </w:r>
            <w:r>
              <w:rPr>
                <w:rFonts w:hint="eastAsia" w:ascii="宋体" w:hAnsi="宋体"/>
                <w:color w:val="auto"/>
                <w:kern w:val="0"/>
                <w:sz w:val="24"/>
                <w:highlight w:val="none"/>
                <w:lang w:eastAsia="zh-CN"/>
              </w:rPr>
              <w:t>：至少一项质量合格的四级或以上等级新建或改建或扩建或路面改造（须同时包含路基、路面内容）的施工监理任务。</w:t>
            </w:r>
          </w:p>
        </w:tc>
      </w:tr>
    </w:tbl>
    <w:p w14:paraId="7BBFD2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注：1、“完成过”指工程完工并交工验收（时间以载明的交工验收或无交工验收一次性竣工验收时间为准），经评定合格，本文提到的交工验收是指交工验收或一次性竣工验收。</w:t>
      </w:r>
    </w:p>
    <w:p w14:paraId="26950F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2、本表要求业绩指由投标人承接并完成的业绩,投标人上级单位（如总公司、集团公司等）的监理业绩和投标人具备独立法人资格的下属机构的监理业绩均不予认定。联合体业绩不予认定。</w:t>
      </w:r>
    </w:p>
    <w:p w14:paraId="1D4E49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14:paraId="79856B91">
      <w:pPr>
        <w:spacing w:line="360" w:lineRule="auto"/>
        <w:ind w:firstLine="420"/>
        <w:jc w:val="left"/>
        <w:rPr>
          <w:rFonts w:ascii="楷体_GB2312" w:hAnsi="楷体_GB2312" w:eastAsia="楷体_GB2312" w:cs="楷体_GB2312"/>
          <w:color w:val="auto"/>
          <w:kern w:val="0"/>
          <w:sz w:val="22"/>
          <w:szCs w:val="22"/>
          <w:highlight w:val="none"/>
        </w:rPr>
      </w:pPr>
      <w:r>
        <w:rPr>
          <w:rFonts w:ascii="宋体" w:hAnsi="宋体" w:cs="宋体"/>
          <w:color w:val="auto"/>
          <w:kern w:val="0"/>
          <w:sz w:val="22"/>
          <w:szCs w:val="22"/>
          <w:highlight w:val="none"/>
        </w:rPr>
        <w:br w:type="page"/>
      </w:r>
    </w:p>
    <w:p w14:paraId="464B507E">
      <w:pPr>
        <w:pStyle w:val="2"/>
        <w:rPr>
          <w:rFonts w:cs="Times New Roman"/>
          <w:bCs/>
          <w:color w:val="auto"/>
          <w:kern w:val="44"/>
          <w:sz w:val="28"/>
          <w:szCs w:val="28"/>
          <w:highlight w:val="none"/>
        </w:rPr>
      </w:pPr>
      <w:bookmarkStart w:id="2" w:name="_Toc137304713"/>
      <w:r>
        <w:rPr>
          <w:rFonts w:hint="eastAsia" w:ascii="宋体" w:hAnsi="宋体" w:eastAsia="宋体" w:cs="Times New Roman"/>
          <w:b/>
          <w:bCs/>
          <w:color w:val="auto"/>
          <w:kern w:val="44"/>
          <w:sz w:val="28"/>
          <w:szCs w:val="28"/>
          <w:highlight w:val="none"/>
        </w:rPr>
        <w:t>附录3  资格审查条件(信誉最低要求)</w:t>
      </w:r>
      <w:bookmarkEnd w:id="2"/>
    </w:p>
    <w:tbl>
      <w:tblPr>
        <w:tblStyle w:val="3"/>
        <w:tblW w:w="5000" w:type="pct"/>
        <w:jc w:val="center"/>
        <w:tblLayout w:type="autofit"/>
        <w:tblCellMar>
          <w:top w:w="0" w:type="dxa"/>
          <w:left w:w="10" w:type="dxa"/>
          <w:bottom w:w="0" w:type="dxa"/>
          <w:right w:w="10" w:type="dxa"/>
        </w:tblCellMar>
      </w:tblPr>
      <w:tblGrid>
        <w:gridCol w:w="8522"/>
      </w:tblGrid>
      <w:tr w14:paraId="1F48EB9B">
        <w:tblPrEx>
          <w:tblCellMar>
            <w:top w:w="0" w:type="dxa"/>
            <w:left w:w="10" w:type="dxa"/>
            <w:bottom w:w="0" w:type="dxa"/>
            <w:right w:w="10" w:type="dxa"/>
          </w:tblCellMar>
        </w:tblPrEx>
        <w:trPr>
          <w:trHeight w:val="583"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C46CDF">
            <w:pPr>
              <w:widowControl/>
              <w:spacing w:line="400" w:lineRule="atLeast"/>
              <w:jc w:val="center"/>
              <w:rPr>
                <w:rFonts w:ascii="宋体" w:hAnsi="宋体"/>
                <w:b/>
                <w:color w:val="auto"/>
                <w:kern w:val="0"/>
                <w:sz w:val="20"/>
                <w:szCs w:val="20"/>
                <w:highlight w:val="none"/>
              </w:rPr>
            </w:pPr>
            <w:r>
              <w:rPr>
                <w:rFonts w:hint="eastAsia" w:ascii="宋体" w:hAnsi="宋体"/>
                <w:b/>
                <w:color w:val="auto"/>
                <w:kern w:val="0"/>
                <w:sz w:val="24"/>
                <w:highlight w:val="none"/>
              </w:rPr>
              <w:t>信誉要求</w:t>
            </w:r>
          </w:p>
        </w:tc>
      </w:tr>
      <w:tr w14:paraId="13FDA3C7">
        <w:tblPrEx>
          <w:tblCellMar>
            <w:top w:w="0" w:type="dxa"/>
            <w:left w:w="10" w:type="dxa"/>
            <w:bottom w:w="0" w:type="dxa"/>
            <w:right w:w="10" w:type="dxa"/>
          </w:tblCellMar>
        </w:tblPrEx>
        <w:trPr>
          <w:trHeight w:val="2788" w:hRule="atLeast"/>
          <w:jc w:val="center"/>
        </w:trPr>
        <w:tc>
          <w:tcPr>
            <w:tcW w:w="500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249E82">
            <w:pPr>
              <w:tabs>
                <w:tab w:val="left" w:pos="1270"/>
              </w:tabs>
              <w:spacing w:line="312" w:lineRule="auto"/>
              <w:ind w:right="407" w:firstLine="480" w:firstLineChars="200"/>
              <w:rPr>
                <w:rFonts w:ascii="宋体" w:hAnsi="宋体"/>
                <w:color w:val="auto"/>
                <w:kern w:val="0"/>
                <w:sz w:val="24"/>
                <w:highlight w:val="none"/>
              </w:rPr>
            </w:pPr>
            <w:r>
              <w:rPr>
                <w:rFonts w:hint="eastAsia" w:ascii="宋体" w:hAnsi="宋体"/>
                <w:color w:val="auto"/>
                <w:kern w:val="0"/>
                <w:sz w:val="24"/>
                <w:highlight w:val="none"/>
              </w:rPr>
              <w:t>最新年度（含无广东省最新年度信用等级而上一年度有广东省信用等级的）在广东省公路工程从业单位信用评价（监理单位）中，信用等级未被评为</w:t>
            </w:r>
            <w:r>
              <w:rPr>
                <w:rFonts w:ascii="宋体" w:hAnsi="宋体"/>
                <w:color w:val="auto"/>
                <w:kern w:val="0"/>
                <w:sz w:val="24"/>
                <w:highlight w:val="none"/>
              </w:rPr>
              <w:t xml:space="preserve"> D 级；初次进入广东省的投标人，在最新全国公路从业单位（监理单位）信用评价结果中未被评为 D 级</w:t>
            </w:r>
            <w:r>
              <w:rPr>
                <w:rFonts w:hint="eastAsia" w:ascii="宋体" w:hAnsi="宋体"/>
                <w:color w:val="auto"/>
                <w:kern w:val="0"/>
                <w:sz w:val="24"/>
                <w:highlight w:val="none"/>
              </w:rPr>
              <w:t>。</w:t>
            </w:r>
          </w:p>
        </w:tc>
      </w:tr>
    </w:tbl>
    <w:p w14:paraId="39CC9C61">
      <w:pPr>
        <w:jc w:val="left"/>
        <w:rPr>
          <w:rFonts w:ascii="Times New Roman" w:hAnsi="Times New Roman" w:cs="宋体"/>
          <w:color w:val="auto"/>
          <w:kern w:val="0"/>
          <w:sz w:val="22"/>
          <w:szCs w:val="22"/>
          <w:highlight w:val="none"/>
        </w:rPr>
      </w:pPr>
    </w:p>
    <w:p w14:paraId="25C37AD5">
      <w:pPr>
        <w:spacing w:line="400" w:lineRule="exact"/>
        <w:jc w:val="left"/>
        <w:rPr>
          <w:rFonts w:ascii="宋体" w:hAnsi="宋体" w:cs="宋体"/>
          <w:color w:val="auto"/>
          <w:kern w:val="0"/>
          <w:sz w:val="24"/>
          <w:highlight w:val="none"/>
        </w:rPr>
      </w:pPr>
      <w:r>
        <w:rPr>
          <w:rFonts w:ascii="宋体" w:hAnsi="宋体" w:cs="宋体"/>
          <w:color w:val="auto"/>
          <w:kern w:val="0"/>
          <w:sz w:val="24"/>
          <w:highlight w:val="none"/>
        </w:rPr>
        <w:t>注：1、信用等级的确定原则遵循投标人须知前附表第 10.2 款的规定。</w:t>
      </w:r>
    </w:p>
    <w:p w14:paraId="59913291">
      <w:pPr>
        <w:jc w:val="left"/>
        <w:rPr>
          <w:rFonts w:ascii="Times New Roman" w:hAnsi="Times New Roman" w:cs="宋体"/>
          <w:color w:val="auto"/>
          <w:kern w:val="0"/>
          <w:sz w:val="22"/>
          <w:szCs w:val="22"/>
          <w:highlight w:val="none"/>
        </w:rPr>
      </w:pPr>
    </w:p>
    <w:p w14:paraId="40C2084A">
      <w:pPr>
        <w:jc w:val="left"/>
        <w:rPr>
          <w:rFonts w:ascii="宋体" w:hAnsi="宋体" w:cs="宋体"/>
          <w:color w:val="auto"/>
          <w:kern w:val="0"/>
          <w:sz w:val="22"/>
          <w:szCs w:val="22"/>
          <w:highlight w:val="none"/>
        </w:rPr>
      </w:pPr>
    </w:p>
    <w:p w14:paraId="33D77AC1">
      <w:pPr>
        <w:jc w:val="left"/>
        <w:rPr>
          <w:rFonts w:ascii="宋体" w:hAnsi="宋体" w:cs="宋体"/>
          <w:color w:val="auto"/>
          <w:kern w:val="0"/>
          <w:sz w:val="22"/>
          <w:szCs w:val="22"/>
          <w:highlight w:val="none"/>
        </w:rPr>
      </w:pPr>
    </w:p>
    <w:p w14:paraId="64B888C4">
      <w:pPr>
        <w:jc w:val="left"/>
        <w:rPr>
          <w:rFonts w:ascii="宋体" w:hAnsi="宋体" w:cs="宋体"/>
          <w:color w:val="auto"/>
          <w:kern w:val="0"/>
          <w:sz w:val="22"/>
          <w:szCs w:val="22"/>
          <w:highlight w:val="none"/>
        </w:rPr>
      </w:pPr>
    </w:p>
    <w:p w14:paraId="0BD2BA46">
      <w:pPr>
        <w:jc w:val="left"/>
        <w:rPr>
          <w:rFonts w:ascii="宋体" w:hAnsi="宋体" w:cs="宋体"/>
          <w:color w:val="auto"/>
          <w:kern w:val="0"/>
          <w:sz w:val="22"/>
          <w:szCs w:val="22"/>
          <w:highlight w:val="none"/>
        </w:rPr>
      </w:pPr>
    </w:p>
    <w:p w14:paraId="672BC2DE">
      <w:pPr>
        <w:jc w:val="left"/>
        <w:rPr>
          <w:rFonts w:ascii="宋体" w:hAnsi="宋体" w:cs="宋体"/>
          <w:color w:val="auto"/>
          <w:kern w:val="0"/>
          <w:sz w:val="22"/>
          <w:szCs w:val="22"/>
          <w:highlight w:val="none"/>
        </w:rPr>
      </w:pPr>
    </w:p>
    <w:p w14:paraId="3BE52C45">
      <w:pPr>
        <w:jc w:val="left"/>
        <w:rPr>
          <w:rFonts w:ascii="宋体" w:hAnsi="宋体" w:cs="宋体"/>
          <w:color w:val="auto"/>
          <w:kern w:val="0"/>
          <w:sz w:val="22"/>
          <w:szCs w:val="22"/>
          <w:highlight w:val="none"/>
        </w:rPr>
      </w:pPr>
    </w:p>
    <w:p w14:paraId="3806DEE4">
      <w:pPr>
        <w:jc w:val="left"/>
        <w:rPr>
          <w:rFonts w:ascii="宋体" w:hAnsi="宋体" w:cs="宋体"/>
          <w:color w:val="auto"/>
          <w:kern w:val="0"/>
          <w:sz w:val="22"/>
          <w:szCs w:val="22"/>
          <w:highlight w:val="none"/>
        </w:rPr>
      </w:pPr>
    </w:p>
    <w:p w14:paraId="2B57E220">
      <w:pPr>
        <w:jc w:val="left"/>
        <w:rPr>
          <w:rFonts w:ascii="宋体" w:hAnsi="宋体" w:cs="宋体"/>
          <w:color w:val="auto"/>
          <w:kern w:val="0"/>
          <w:sz w:val="22"/>
          <w:szCs w:val="22"/>
          <w:highlight w:val="none"/>
        </w:rPr>
      </w:pPr>
    </w:p>
    <w:p w14:paraId="00A8F0CB">
      <w:pPr>
        <w:jc w:val="left"/>
        <w:rPr>
          <w:rFonts w:ascii="宋体" w:hAnsi="宋体" w:cs="宋体"/>
          <w:color w:val="auto"/>
          <w:kern w:val="0"/>
          <w:sz w:val="22"/>
          <w:szCs w:val="22"/>
          <w:highlight w:val="none"/>
        </w:rPr>
      </w:pPr>
    </w:p>
    <w:p w14:paraId="2FEEB43A">
      <w:pPr>
        <w:jc w:val="left"/>
        <w:rPr>
          <w:rFonts w:ascii="宋体" w:hAnsi="宋体" w:cs="宋体"/>
          <w:color w:val="auto"/>
          <w:kern w:val="0"/>
          <w:sz w:val="22"/>
          <w:szCs w:val="22"/>
          <w:highlight w:val="none"/>
        </w:rPr>
      </w:pPr>
    </w:p>
    <w:p w14:paraId="18B6FA9E">
      <w:pPr>
        <w:jc w:val="left"/>
        <w:rPr>
          <w:rFonts w:ascii="宋体" w:hAnsi="宋体" w:cs="宋体"/>
          <w:color w:val="auto"/>
          <w:kern w:val="0"/>
          <w:sz w:val="22"/>
          <w:szCs w:val="22"/>
          <w:highlight w:val="none"/>
        </w:rPr>
      </w:pPr>
    </w:p>
    <w:p w14:paraId="6FFA0D94">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br w:type="page"/>
      </w:r>
    </w:p>
    <w:p w14:paraId="6E33E06C">
      <w:pPr>
        <w:pStyle w:val="2"/>
        <w:rPr>
          <w:rFonts w:cs="Times New Roman"/>
          <w:bCs/>
          <w:color w:val="auto"/>
          <w:kern w:val="44"/>
          <w:sz w:val="28"/>
          <w:szCs w:val="28"/>
          <w:highlight w:val="none"/>
        </w:rPr>
      </w:pPr>
      <w:bookmarkStart w:id="3" w:name="_Toc137304714"/>
      <w:r>
        <w:rPr>
          <w:rFonts w:hint="eastAsia" w:ascii="宋体" w:hAnsi="宋体" w:eastAsia="宋体" w:cs="Times New Roman"/>
          <w:b/>
          <w:bCs/>
          <w:color w:val="auto"/>
          <w:kern w:val="44"/>
          <w:sz w:val="28"/>
          <w:szCs w:val="28"/>
          <w:highlight w:val="none"/>
        </w:rPr>
        <w:t>附录4  资格审查条件（总监理工程师最低要求）</w:t>
      </w:r>
      <w:bookmarkEnd w:id="3"/>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46"/>
        <w:gridCol w:w="740"/>
        <w:gridCol w:w="3814"/>
        <w:gridCol w:w="2022"/>
      </w:tblGrid>
      <w:tr w14:paraId="53C7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142" w:type="pct"/>
            <w:noWrap w:val="0"/>
            <w:tcMar>
              <w:top w:w="0" w:type="dxa"/>
              <w:left w:w="108" w:type="dxa"/>
              <w:bottom w:w="0" w:type="dxa"/>
              <w:right w:w="108" w:type="dxa"/>
            </w:tcMar>
            <w:vAlign w:val="center"/>
          </w:tcPr>
          <w:p w14:paraId="3BB8FA32">
            <w:pPr>
              <w:widowControl/>
              <w:jc w:val="center"/>
              <w:rPr>
                <w:rFonts w:ascii="Times New Roman" w:hAnsi="Times New Roman"/>
                <w:color w:val="auto"/>
                <w:kern w:val="0"/>
                <w:sz w:val="24"/>
                <w:highlight w:val="none"/>
              </w:rPr>
            </w:pPr>
            <w:r>
              <w:rPr>
                <w:rFonts w:hint="eastAsia" w:ascii="宋体" w:hAnsi="宋体"/>
                <w:bCs/>
                <w:color w:val="auto"/>
                <w:kern w:val="0"/>
                <w:sz w:val="24"/>
                <w:highlight w:val="none"/>
              </w:rPr>
              <w:t>人员</w:t>
            </w:r>
          </w:p>
        </w:tc>
        <w:tc>
          <w:tcPr>
            <w:tcW w:w="434" w:type="pct"/>
            <w:noWrap w:val="0"/>
            <w:tcMar>
              <w:top w:w="0" w:type="dxa"/>
              <w:left w:w="108" w:type="dxa"/>
              <w:bottom w:w="0" w:type="dxa"/>
              <w:right w:w="108" w:type="dxa"/>
            </w:tcMar>
            <w:vAlign w:val="center"/>
          </w:tcPr>
          <w:p w14:paraId="12B4FF8A">
            <w:pPr>
              <w:widowControl/>
              <w:jc w:val="center"/>
              <w:rPr>
                <w:rFonts w:ascii="Times New Roman" w:hAnsi="Times New Roman"/>
                <w:color w:val="auto"/>
                <w:kern w:val="0"/>
                <w:sz w:val="24"/>
                <w:highlight w:val="none"/>
              </w:rPr>
            </w:pPr>
            <w:r>
              <w:rPr>
                <w:rFonts w:hint="eastAsia" w:ascii="宋体" w:hAnsi="宋体"/>
                <w:bCs/>
                <w:color w:val="auto"/>
                <w:kern w:val="0"/>
                <w:sz w:val="24"/>
                <w:highlight w:val="none"/>
              </w:rPr>
              <w:t>数量</w:t>
            </w:r>
          </w:p>
        </w:tc>
        <w:tc>
          <w:tcPr>
            <w:tcW w:w="2238" w:type="pct"/>
            <w:noWrap w:val="0"/>
            <w:tcMar>
              <w:top w:w="0" w:type="dxa"/>
              <w:left w:w="108" w:type="dxa"/>
              <w:bottom w:w="0" w:type="dxa"/>
              <w:right w:w="108" w:type="dxa"/>
            </w:tcMar>
            <w:vAlign w:val="center"/>
          </w:tcPr>
          <w:p w14:paraId="4A852CFE">
            <w:pPr>
              <w:widowControl/>
              <w:jc w:val="center"/>
              <w:rPr>
                <w:rFonts w:ascii="Times New Roman" w:hAnsi="Times New Roman"/>
                <w:color w:val="auto"/>
                <w:kern w:val="0"/>
                <w:sz w:val="24"/>
                <w:highlight w:val="none"/>
              </w:rPr>
            </w:pPr>
            <w:r>
              <w:rPr>
                <w:rFonts w:hint="eastAsia" w:ascii="宋体" w:hAnsi="宋体"/>
                <w:bCs/>
                <w:color w:val="auto"/>
                <w:kern w:val="0"/>
                <w:sz w:val="24"/>
                <w:highlight w:val="none"/>
              </w:rPr>
              <w:t>资格要求</w:t>
            </w:r>
          </w:p>
        </w:tc>
        <w:tc>
          <w:tcPr>
            <w:tcW w:w="1186" w:type="pct"/>
            <w:noWrap w:val="0"/>
            <w:tcMar>
              <w:top w:w="0" w:type="dxa"/>
              <w:left w:w="108" w:type="dxa"/>
              <w:bottom w:w="0" w:type="dxa"/>
              <w:right w:w="108" w:type="dxa"/>
            </w:tcMar>
            <w:vAlign w:val="center"/>
          </w:tcPr>
          <w:p w14:paraId="4B49C1C6">
            <w:pPr>
              <w:widowControl/>
              <w:jc w:val="center"/>
              <w:rPr>
                <w:rFonts w:ascii="Times New Roman" w:hAnsi="Times New Roman"/>
                <w:color w:val="auto"/>
                <w:kern w:val="0"/>
                <w:sz w:val="24"/>
                <w:highlight w:val="none"/>
              </w:rPr>
            </w:pPr>
            <w:r>
              <w:rPr>
                <w:rFonts w:hint="eastAsia" w:ascii="宋体" w:hAnsi="宋体"/>
                <w:bCs/>
                <w:color w:val="auto"/>
                <w:kern w:val="0"/>
                <w:sz w:val="24"/>
                <w:highlight w:val="none"/>
              </w:rPr>
              <w:t>在岗要求</w:t>
            </w:r>
          </w:p>
        </w:tc>
      </w:tr>
      <w:tr w14:paraId="386D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73" w:hRule="atLeast"/>
          <w:jc w:val="center"/>
        </w:trPr>
        <w:tc>
          <w:tcPr>
            <w:tcW w:w="1142" w:type="pct"/>
            <w:noWrap w:val="0"/>
            <w:tcMar>
              <w:top w:w="0" w:type="dxa"/>
              <w:left w:w="108" w:type="dxa"/>
              <w:bottom w:w="0" w:type="dxa"/>
              <w:right w:w="108" w:type="dxa"/>
            </w:tcMar>
            <w:vAlign w:val="center"/>
          </w:tcPr>
          <w:p w14:paraId="0B67AEFA">
            <w:pPr>
              <w:widowControl/>
              <w:spacing w:line="300" w:lineRule="atLeast"/>
              <w:jc w:val="center"/>
              <w:rPr>
                <w:rFonts w:ascii="Times New Roman" w:hAnsi="Times New Roman"/>
                <w:color w:val="auto"/>
                <w:kern w:val="0"/>
                <w:sz w:val="24"/>
                <w:highlight w:val="none"/>
              </w:rPr>
            </w:pPr>
            <w:r>
              <w:rPr>
                <w:rFonts w:hint="eastAsia" w:ascii="宋体" w:hAnsi="宋体"/>
                <w:color w:val="auto"/>
                <w:kern w:val="0"/>
                <w:sz w:val="24"/>
                <w:highlight w:val="none"/>
              </w:rPr>
              <w:t>总监理工程师</w:t>
            </w:r>
          </w:p>
        </w:tc>
        <w:tc>
          <w:tcPr>
            <w:tcW w:w="434" w:type="pct"/>
            <w:noWrap w:val="0"/>
            <w:tcMar>
              <w:top w:w="0" w:type="dxa"/>
              <w:left w:w="108" w:type="dxa"/>
              <w:bottom w:w="0" w:type="dxa"/>
              <w:right w:w="108" w:type="dxa"/>
            </w:tcMar>
            <w:vAlign w:val="center"/>
          </w:tcPr>
          <w:p w14:paraId="1B4F7A92">
            <w:pPr>
              <w:widowControl/>
              <w:spacing w:line="300" w:lineRule="atLeast"/>
              <w:jc w:val="center"/>
              <w:rPr>
                <w:rFonts w:ascii="Times New Roman" w:hAnsi="Times New Roman"/>
                <w:color w:val="auto"/>
                <w:kern w:val="0"/>
                <w:sz w:val="24"/>
                <w:highlight w:val="none"/>
              </w:rPr>
            </w:pPr>
            <w:r>
              <w:rPr>
                <w:rFonts w:hint="eastAsia" w:ascii="宋体" w:hAnsi="宋体"/>
                <w:color w:val="auto"/>
                <w:kern w:val="0"/>
                <w:sz w:val="24"/>
                <w:highlight w:val="none"/>
              </w:rPr>
              <w:t>1</w:t>
            </w:r>
          </w:p>
        </w:tc>
        <w:tc>
          <w:tcPr>
            <w:tcW w:w="2238" w:type="pct"/>
            <w:noWrap w:val="0"/>
            <w:tcMar>
              <w:top w:w="0" w:type="dxa"/>
              <w:left w:w="108" w:type="dxa"/>
              <w:bottom w:w="0" w:type="dxa"/>
              <w:right w:w="108" w:type="dxa"/>
            </w:tcMar>
            <w:vAlign w:val="center"/>
          </w:tcPr>
          <w:p w14:paraId="1999448A">
            <w:pPr>
              <w:widowControl/>
              <w:spacing w:line="300" w:lineRule="auto"/>
              <w:rPr>
                <w:rFonts w:ascii="Times New Roman" w:hAnsi="Times New Roman"/>
                <w:color w:val="auto"/>
                <w:kern w:val="0"/>
                <w:sz w:val="24"/>
                <w:highlight w:val="none"/>
              </w:rPr>
            </w:pPr>
            <w:r>
              <w:rPr>
                <w:rFonts w:hint="eastAsia" w:ascii="宋体" w:hAnsi="宋体"/>
                <w:color w:val="auto"/>
                <w:kern w:val="0"/>
                <w:sz w:val="24"/>
                <w:highlight w:val="none"/>
              </w:rPr>
              <w:t>路桥相关专业</w:t>
            </w:r>
            <w:r>
              <w:rPr>
                <w:rFonts w:hint="eastAsia" w:ascii="宋体" w:hAnsi="宋体"/>
                <w:color w:val="auto"/>
                <w:kern w:val="0"/>
                <w:sz w:val="24"/>
                <w:highlight w:val="none"/>
                <w:lang w:eastAsia="zh-CN"/>
              </w:rPr>
              <w:t>中</w:t>
            </w:r>
            <w:r>
              <w:rPr>
                <w:rFonts w:hint="eastAsia" w:ascii="宋体" w:hAnsi="宋体"/>
                <w:color w:val="auto"/>
                <w:kern w:val="0"/>
                <w:sz w:val="24"/>
                <w:highlight w:val="none"/>
              </w:rPr>
              <w:t>级工程师或以上职称，至少担任过</w:t>
            </w:r>
            <w:r>
              <w:rPr>
                <w:rFonts w:hint="eastAsia" w:ascii="宋体" w:hAnsi="宋体"/>
                <w:color w:val="auto"/>
                <w:kern w:val="0"/>
                <w:sz w:val="24"/>
                <w:highlight w:val="none"/>
                <w:u w:val="single"/>
              </w:rPr>
              <w:t xml:space="preserve"> 1 </w:t>
            </w:r>
            <w:r>
              <w:rPr>
                <w:rFonts w:hint="eastAsia" w:ascii="宋体" w:hAnsi="宋体"/>
                <w:color w:val="auto"/>
                <w:kern w:val="0"/>
                <w:sz w:val="24"/>
                <w:highlight w:val="none"/>
              </w:rPr>
              <w:t>项类似工程的施工监理负责人，持有交通运输部与人力资源社会保障部用印的交通运输工程专业监理工程师职业资格证书(或电子证书)或具有交通运输部核发的公路工程监理工程师资格证书，且已在投标人处进行注册(或从业登记)。</w:t>
            </w:r>
          </w:p>
        </w:tc>
        <w:tc>
          <w:tcPr>
            <w:tcW w:w="1186" w:type="pct"/>
            <w:noWrap w:val="0"/>
            <w:tcMar>
              <w:top w:w="0" w:type="dxa"/>
              <w:left w:w="108" w:type="dxa"/>
              <w:bottom w:w="0" w:type="dxa"/>
              <w:right w:w="108" w:type="dxa"/>
            </w:tcMar>
            <w:vAlign w:val="center"/>
          </w:tcPr>
          <w:p w14:paraId="5675299F">
            <w:pPr>
              <w:widowControl/>
              <w:spacing w:line="312" w:lineRule="auto"/>
              <w:rPr>
                <w:rFonts w:ascii="Times New Roman" w:hAnsi="Times New Roman"/>
                <w:color w:val="auto"/>
                <w:kern w:val="0"/>
                <w:sz w:val="24"/>
                <w:highlight w:val="none"/>
              </w:rPr>
            </w:pPr>
            <w:r>
              <w:rPr>
                <w:rFonts w:hint="eastAsia" w:ascii="宋体" w:hAnsi="宋体"/>
                <w:color w:val="auto"/>
                <w:kern w:val="0"/>
                <w:sz w:val="24"/>
                <w:highlight w:val="none"/>
              </w:rPr>
              <w:t>无在岗项目（指目前未在其他项目上任职，或虽在其他项目上任职但本项目中标后能够从该项目撤离）</w:t>
            </w:r>
          </w:p>
        </w:tc>
      </w:tr>
    </w:tbl>
    <w:p w14:paraId="7821B715">
      <w:pPr>
        <w:spacing w:line="400" w:lineRule="exact"/>
        <w:jc w:val="left"/>
        <w:rPr>
          <w:rFonts w:ascii="宋体" w:hAnsi="宋体" w:cs="宋体"/>
          <w:color w:val="auto"/>
          <w:kern w:val="0"/>
          <w:sz w:val="24"/>
          <w:highlight w:val="none"/>
        </w:rPr>
      </w:pPr>
      <w:r>
        <w:rPr>
          <w:rFonts w:ascii="宋体" w:hAnsi="宋体" w:cs="宋体"/>
          <w:color w:val="auto"/>
          <w:kern w:val="0"/>
          <w:sz w:val="24"/>
          <w:highlight w:val="none"/>
        </w:rPr>
        <w:t>注：1</w:t>
      </w:r>
      <w:r>
        <w:rPr>
          <w:rFonts w:hint="eastAsia" w:ascii="宋体" w:hAnsi="宋体" w:cs="宋体"/>
          <w:color w:val="auto"/>
          <w:kern w:val="0"/>
          <w:sz w:val="24"/>
          <w:highlight w:val="none"/>
        </w:rPr>
        <w:t>、“担任过类似工程监理负责人”监理负责人可为总监理工程师或副总监理工程师或驻地监理工程师</w:t>
      </w:r>
      <w:r>
        <w:rPr>
          <w:rFonts w:ascii="宋体" w:hAnsi="宋体" w:cs="宋体"/>
          <w:color w:val="auto"/>
          <w:kern w:val="0"/>
          <w:sz w:val="24"/>
          <w:highlight w:val="none"/>
        </w:rPr>
        <w:t>。</w:t>
      </w:r>
    </w:p>
    <w:p w14:paraId="5851F93F">
      <w:pPr>
        <w:spacing w:line="400" w:lineRule="exact"/>
        <w:ind w:firstLine="480"/>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路桥工程相关专业指：公路工程、桥梁工程、道桥工程、市政路桥工程、公路与桥梁工程、交通土建、隧道（地下结构）工程、交通工程专业职称。</w:t>
      </w:r>
    </w:p>
    <w:p w14:paraId="2C2EFAD6">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mJjNTcyMzA0NTgxODg5NjkwOWZiOTM1ZmY2MjgifQ=="/>
  </w:docVars>
  <w:rsids>
    <w:rsidRoot w:val="00000000"/>
    <w:rsid w:val="442800FE"/>
    <w:rsid w:val="5B38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val="0"/>
      <w:spacing w:before="1"/>
      <w:ind w:right="95"/>
      <w:jc w:val="center"/>
      <w:outlineLvl w:val="1"/>
    </w:pPr>
    <w:rPr>
      <w:rFonts w:ascii="黑体" w:hAnsi="黑体" w:eastAsia="黑体" w:cs="黑体"/>
      <w:sz w:val="50"/>
      <w:szCs w:val="50"/>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customStyle="1" w:styleId="5">
    <w:name w:val="样式 宋体 行距: 1.5 倍行距"/>
    <w:qFormat/>
    <w:uiPriority w:val="0"/>
    <w:pPr>
      <w:widowControl w:val="0"/>
      <w:jc w:val="center"/>
    </w:pPr>
    <w:rPr>
      <w:rFonts w:ascii="Times New Roman" w:hAnsi="Times New Roman" w:eastAsia="宋体" w:cs="宋体"/>
      <w:b/>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1042</Characters>
  <Lines>0</Lines>
  <Paragraphs>0</Paragraphs>
  <TotalTime>0</TotalTime>
  <ScaleCrop>false</ScaleCrop>
  <LinksUpToDate>false</LinksUpToDate>
  <CharactersWithSpaces>1059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2024-04-16T05:41:00Z</dcterms:created>
  <dc:creator>Administrator</dc:creator>
  <cp:lastModifiedBy>容容容</cp:lastModifiedBy>
  <dcterms:modified xsi:type="dcterms:W3CDTF">2024-09-27T10:44:31Z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2D8B7F64890C4139B27220C360C4ADF5_12</vt:lpwstr>
  </property>
</Properties>
</file>