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52"/>
          <w:szCs w:val="52"/>
          <w:highlight w:val="none"/>
        </w:rPr>
      </w:pPr>
      <w:r>
        <w:rPr>
          <w:rFonts w:hint="eastAsia" w:ascii="宋体" w:hAnsi="宋体"/>
          <w:b/>
          <w:color w:val="auto"/>
          <w:sz w:val="48"/>
          <w:szCs w:val="48"/>
          <w:highlight w:val="none"/>
        </w:rPr>
        <w:t>花都区秀全街秀岐学校建设项目（风神第二小学）方案设计及初步设计服务</w:t>
      </w: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招标文件</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w:t>
      </w:r>
    </w:p>
    <w:p>
      <w:pPr>
        <w:spacing w:line="360" w:lineRule="auto"/>
        <w:rPr>
          <w:rFonts w:ascii="宋体" w:hAnsi="宋体"/>
          <w:color w:val="auto"/>
          <w:highlight w:val="none"/>
        </w:rPr>
        <w:sectPr>
          <w:headerReference r:id="rId3" w:type="default"/>
          <w:footerReference r:id="rId4" w:type="default"/>
          <w:footerReference r:id="rId5" w:type="even"/>
          <w:pgSz w:w="11906" w:h="16838"/>
          <w:pgMar w:top="1440" w:right="1466" w:bottom="1440" w:left="1440" w:header="851" w:footer="992" w:gutter="0"/>
          <w:cols w:space="720" w:num="1"/>
          <w:docGrid w:type="linesAndChars" w:linePitch="312" w:charSpace="0"/>
        </w:sectPr>
      </w:pPr>
    </w:p>
    <w:p>
      <w:pPr>
        <w:spacing w:line="360" w:lineRule="auto"/>
        <w:rPr>
          <w:rFonts w:ascii="宋体" w:hAnsi="宋体"/>
          <w:color w:val="auto"/>
          <w:highlight w:val="none"/>
        </w:rPr>
      </w:pPr>
      <w:r>
        <w:rPr>
          <w:rFonts w:hint="eastAsia" w:ascii="宋体" w:hAnsi="宋体"/>
          <w:color w:val="auto"/>
          <w:highlight w:val="none"/>
        </w:rPr>
        <w:t>招标人（章）：</w:t>
      </w:r>
      <w:r>
        <w:rPr>
          <w:rFonts w:hint="eastAsia" w:ascii="宋体" w:hAnsi="宋体"/>
          <w:color w:val="auto"/>
          <w:szCs w:val="21"/>
          <w:highlight w:val="none"/>
        </w:rPr>
        <w:t>广州市花都区公共建设项目管理中心</w:t>
      </w:r>
    </w:p>
    <w:p>
      <w:pPr>
        <w:spacing w:line="360" w:lineRule="auto"/>
        <w:rPr>
          <w:rFonts w:ascii="宋体" w:hAnsi="宋体"/>
          <w:color w:val="auto"/>
          <w:highlight w:val="none"/>
        </w:rPr>
      </w:pPr>
      <w:r>
        <w:rPr>
          <w:rFonts w:hint="eastAsia" w:ascii="宋体" w:hAnsi="宋体"/>
          <w:color w:val="auto"/>
          <w:highlight w:val="none"/>
        </w:rPr>
        <w:t>授权代表：罗工</w:t>
      </w:r>
    </w:p>
    <w:p>
      <w:pPr>
        <w:spacing w:line="360" w:lineRule="auto"/>
        <w:rPr>
          <w:rFonts w:ascii="宋体" w:hAnsi="宋体"/>
          <w:color w:val="auto"/>
          <w:highlight w:val="none"/>
        </w:rPr>
      </w:pPr>
      <w:r>
        <w:rPr>
          <w:rFonts w:hint="eastAsia" w:ascii="宋体" w:hAnsi="宋体"/>
          <w:color w:val="auto"/>
          <w:highlight w:val="none"/>
        </w:rPr>
        <w:t>地址：</w:t>
      </w:r>
      <w:r>
        <w:rPr>
          <w:rFonts w:hint="eastAsia" w:ascii="宋体" w:hAnsi="宋体"/>
          <w:color w:val="auto"/>
          <w:szCs w:val="21"/>
          <w:highlight w:val="none"/>
        </w:rPr>
        <w:t>广州市花都区公益大道39号</w:t>
      </w:r>
    </w:p>
    <w:p>
      <w:pPr>
        <w:spacing w:line="360" w:lineRule="auto"/>
        <w:rPr>
          <w:rFonts w:ascii="宋体" w:hAnsi="宋体"/>
          <w:color w:val="auto"/>
          <w:highlight w:val="none"/>
        </w:rPr>
      </w:pPr>
      <w:r>
        <w:rPr>
          <w:rFonts w:hint="eastAsia" w:ascii="宋体" w:hAnsi="宋体"/>
          <w:color w:val="auto"/>
          <w:highlight w:val="none"/>
        </w:rPr>
        <w:t>邮政编码：</w:t>
      </w:r>
      <w:r>
        <w:rPr>
          <w:rFonts w:hint="eastAsia" w:ascii="宋体" w:hAnsi="宋体"/>
          <w:bCs/>
          <w:color w:val="auto"/>
          <w:szCs w:val="21"/>
          <w:highlight w:val="none"/>
        </w:rPr>
        <w:t>510800</w:t>
      </w:r>
    </w:p>
    <w:p>
      <w:pPr>
        <w:spacing w:line="360" w:lineRule="auto"/>
        <w:rPr>
          <w:rFonts w:ascii="宋体" w:hAnsi="宋体"/>
          <w:color w:val="auto"/>
          <w:highlight w:val="none"/>
        </w:rPr>
      </w:pPr>
      <w:r>
        <w:rPr>
          <w:rFonts w:hint="eastAsia" w:ascii="宋体" w:hAnsi="宋体"/>
          <w:color w:val="auto"/>
          <w:highlight w:val="none"/>
        </w:rPr>
        <w:t>电话：</w:t>
      </w:r>
      <w:r>
        <w:rPr>
          <w:rFonts w:hint="eastAsia" w:ascii="宋体" w:hAnsi="宋体"/>
          <w:color w:val="auto"/>
          <w:szCs w:val="21"/>
          <w:highlight w:val="none"/>
        </w:rPr>
        <w:t>020-37760912</w:t>
      </w:r>
    </w:p>
    <w:p>
      <w:pPr>
        <w:spacing w:line="360" w:lineRule="auto"/>
        <w:rPr>
          <w:rFonts w:ascii="宋体" w:hAnsi="宋体"/>
          <w:color w:val="auto"/>
          <w:highlight w:val="none"/>
        </w:rPr>
      </w:pPr>
      <w:r>
        <w:rPr>
          <w:rFonts w:hint="eastAsia" w:ascii="宋体" w:hAnsi="宋体"/>
          <w:color w:val="auto"/>
          <w:highlight w:val="none"/>
        </w:rPr>
        <w:t>传真：/</w:t>
      </w:r>
    </w:p>
    <w:p>
      <w:pPr>
        <w:spacing w:line="360" w:lineRule="auto"/>
        <w:rPr>
          <w:rFonts w:ascii="宋体" w:hAnsi="宋体"/>
          <w:color w:val="auto"/>
          <w:highlight w:val="none"/>
        </w:rPr>
      </w:pPr>
      <w:r>
        <w:rPr>
          <w:rFonts w:hint="eastAsia" w:ascii="宋体" w:hAnsi="宋体"/>
          <w:color w:val="auto"/>
          <w:szCs w:val="21"/>
          <w:highlight w:val="none"/>
        </w:rPr>
        <w:t>电子邮箱：/</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招标代理（章）：</w:t>
      </w:r>
      <w:r>
        <w:rPr>
          <w:rFonts w:hint="eastAsia" w:ascii="宋体" w:hAnsi="宋体"/>
          <w:color w:val="auto"/>
          <w:szCs w:val="21"/>
          <w:highlight w:val="none"/>
        </w:rPr>
        <w:t>广州市市政工程监理有限公司</w:t>
      </w:r>
    </w:p>
    <w:p>
      <w:pPr>
        <w:spacing w:line="360" w:lineRule="auto"/>
        <w:rPr>
          <w:rFonts w:ascii="宋体" w:hAnsi="宋体"/>
          <w:color w:val="auto"/>
          <w:highlight w:val="none"/>
        </w:rPr>
      </w:pPr>
      <w:r>
        <w:rPr>
          <w:rFonts w:hint="eastAsia" w:ascii="宋体" w:hAnsi="宋体"/>
          <w:color w:val="auto"/>
          <w:highlight w:val="none"/>
        </w:rPr>
        <w:t>授权代表：陈工</w:t>
      </w:r>
    </w:p>
    <w:p>
      <w:pPr>
        <w:spacing w:line="360" w:lineRule="auto"/>
        <w:rPr>
          <w:rFonts w:ascii="宋体" w:hAnsi="宋体"/>
          <w:color w:val="auto"/>
          <w:highlight w:val="none"/>
        </w:rPr>
      </w:pPr>
      <w:r>
        <w:rPr>
          <w:rFonts w:hint="eastAsia" w:ascii="宋体" w:hAnsi="宋体"/>
          <w:color w:val="auto"/>
          <w:highlight w:val="none"/>
        </w:rPr>
        <w:t>地址：</w:t>
      </w:r>
      <w:r>
        <w:rPr>
          <w:rFonts w:hint="eastAsia" w:ascii="宋体" w:hAnsi="宋体"/>
          <w:color w:val="auto"/>
          <w:szCs w:val="21"/>
          <w:highlight w:val="none"/>
        </w:rPr>
        <w:t>广州市越秀区东风中路437号越秀城市广场南塔38楼</w:t>
      </w:r>
    </w:p>
    <w:p>
      <w:pPr>
        <w:spacing w:line="360" w:lineRule="auto"/>
        <w:rPr>
          <w:rFonts w:ascii="宋体" w:hAnsi="宋体"/>
          <w:color w:val="auto"/>
          <w:highlight w:val="none"/>
        </w:rPr>
      </w:pPr>
      <w:r>
        <w:rPr>
          <w:rFonts w:hint="eastAsia" w:ascii="宋体" w:hAnsi="宋体"/>
          <w:color w:val="auto"/>
          <w:highlight w:val="none"/>
        </w:rPr>
        <w:t>邮政编码：510080</w:t>
      </w:r>
    </w:p>
    <w:p>
      <w:pPr>
        <w:spacing w:line="360" w:lineRule="auto"/>
        <w:rPr>
          <w:rFonts w:ascii="宋体" w:hAnsi="宋体"/>
          <w:color w:val="auto"/>
          <w:highlight w:val="none"/>
        </w:rPr>
      </w:pPr>
      <w:r>
        <w:rPr>
          <w:rFonts w:hint="eastAsia" w:ascii="宋体" w:hAnsi="宋体"/>
          <w:color w:val="auto"/>
          <w:highlight w:val="none"/>
        </w:rPr>
        <w:t>电话：</w:t>
      </w:r>
      <w:r>
        <w:rPr>
          <w:rFonts w:hint="eastAsia" w:ascii="宋体" w:hAnsi="宋体"/>
          <w:color w:val="auto"/>
          <w:szCs w:val="21"/>
          <w:highlight w:val="none"/>
        </w:rPr>
        <w:t>020-83313605/13725328683</w:t>
      </w:r>
    </w:p>
    <w:p>
      <w:pPr>
        <w:spacing w:line="360" w:lineRule="auto"/>
        <w:rPr>
          <w:rFonts w:ascii="宋体" w:hAnsi="宋体"/>
          <w:color w:val="auto"/>
          <w:highlight w:val="none"/>
        </w:rPr>
      </w:pPr>
      <w:r>
        <w:rPr>
          <w:rFonts w:hint="eastAsia" w:ascii="宋体" w:hAnsi="宋体"/>
          <w:color w:val="auto"/>
          <w:highlight w:val="none"/>
        </w:rPr>
        <w:t>传真：</w:t>
      </w:r>
      <w:r>
        <w:rPr>
          <w:rFonts w:hint="eastAsia" w:ascii="宋体" w:hAnsi="宋体"/>
          <w:color w:val="auto"/>
          <w:szCs w:val="21"/>
          <w:highlight w:val="none"/>
        </w:rPr>
        <w:t>/</w:t>
      </w:r>
    </w:p>
    <w:p>
      <w:pPr>
        <w:spacing w:line="360" w:lineRule="auto"/>
        <w:rPr>
          <w:rFonts w:ascii="宋体" w:hAnsi="宋体"/>
          <w:color w:val="auto"/>
          <w:highlight w:val="none"/>
        </w:rPr>
      </w:pPr>
      <w:r>
        <w:rPr>
          <w:rFonts w:hint="eastAsia" w:ascii="宋体" w:hAnsi="宋体"/>
          <w:color w:val="auto"/>
          <w:szCs w:val="21"/>
          <w:highlight w:val="none"/>
        </w:rPr>
        <w:t>电子邮箱：67643437@QQ.com</w:t>
      </w:r>
    </w:p>
    <w:p>
      <w:pPr>
        <w:spacing w:line="360" w:lineRule="auto"/>
        <w:rPr>
          <w:rFonts w:ascii="宋体" w:hAnsi="宋体"/>
          <w:color w:val="auto"/>
          <w:highlight w:val="none"/>
        </w:rPr>
      </w:pPr>
    </w:p>
    <w:p>
      <w:pPr>
        <w:spacing w:line="360" w:lineRule="auto"/>
        <w:rPr>
          <w:rFonts w:ascii="宋体" w:hAnsi="宋体"/>
          <w:color w:val="auto"/>
          <w:highlight w:val="none"/>
        </w:rPr>
        <w:sectPr>
          <w:footerReference r:id="rId6" w:type="default"/>
          <w:type w:val="continuous"/>
          <w:pgSz w:w="11906" w:h="16838"/>
          <w:pgMar w:top="1440" w:right="1466" w:bottom="1440" w:left="1440" w:header="851" w:footer="992" w:gutter="0"/>
          <w:cols w:equalWidth="0" w:num="2">
            <w:col w:w="4287" w:space="425"/>
            <w:col w:w="4287"/>
          </w:cols>
          <w:docGrid w:type="linesAndChars" w:linePitch="312" w:charSpace="0"/>
        </w:sect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sectPr>
          <w:headerReference r:id="rId7" w:type="default"/>
          <w:footerReference r:id="rId8" w:type="even"/>
          <w:type w:val="continuous"/>
          <w:pgSz w:w="11906" w:h="16838"/>
          <w:pgMar w:top="1440" w:right="1466" w:bottom="1440" w:left="1440" w:header="851" w:footer="992" w:gutter="0"/>
          <w:cols w:equalWidth="0" w:num="2">
            <w:col w:w="4287" w:space="425"/>
            <w:col w:w="4287"/>
          </w:cols>
          <w:docGrid w:type="linesAndChars" w:linePitch="312" w:charSpace="0"/>
        </w:sectPr>
      </w:pPr>
    </w:p>
    <w:p>
      <w:pPr>
        <w:spacing w:line="360" w:lineRule="auto"/>
        <w:rPr>
          <w:rFonts w:ascii="宋体" w:hAnsi="宋体"/>
          <w:color w:val="auto"/>
          <w:highlight w:val="none"/>
        </w:rPr>
        <w:sectPr>
          <w:type w:val="continuous"/>
          <w:pgSz w:w="11906" w:h="16838"/>
          <w:pgMar w:top="1440" w:right="1466" w:bottom="1440" w:left="1440" w:header="851" w:footer="992" w:gutter="0"/>
          <w:cols w:space="720" w:num="1"/>
          <w:docGrid w:type="linesAndChars" w:linePitch="312" w:charSpace="0"/>
        </w:sect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招标文件修改表</w:t>
      </w:r>
    </w:p>
    <w:p>
      <w:pPr>
        <w:spacing w:line="360" w:lineRule="auto"/>
        <w:ind w:firstLine="420"/>
        <w:rPr>
          <w:color w:val="auto"/>
          <w:szCs w:val="21"/>
          <w:highlight w:val="none"/>
        </w:rPr>
      </w:pPr>
      <w:r>
        <w:rPr>
          <w:rFonts w:hint="eastAsia" w:ascii="宋体" w:hAnsi="宋体"/>
          <w:color w:val="auto"/>
          <w:highlight w:val="none"/>
        </w:rPr>
        <w:t>招标人（招标代理机构）一般应按照全过程电子化范本（房建类）格式编制招标文件。如果修改，范本被删除的内容应标注删除线，新增内容应标注下划线。需要修改的内容</w:t>
      </w:r>
      <w:r>
        <w:rPr>
          <w:rFonts w:hint="eastAsia"/>
          <w:color w:val="auto"/>
          <w:szCs w:val="21"/>
          <w:highlight w:val="none"/>
        </w:rPr>
        <w:t>均在本表中列明，并以现文为准，原文不再有效。本招标文件中不再转录范本条款，请投标人自行到广州市住房和城乡建设局网站（网址：</w:t>
      </w:r>
      <w:r>
        <w:rPr>
          <w:color w:val="auto"/>
          <w:szCs w:val="21"/>
          <w:highlight w:val="none"/>
        </w:rPr>
        <w:t>http://zfcj.gz.gov.cn/</w:t>
      </w:r>
      <w:r>
        <w:rPr>
          <w:rFonts w:hint="eastAsia"/>
          <w:color w:val="auto"/>
          <w:szCs w:val="21"/>
          <w:highlight w:val="none"/>
        </w:rPr>
        <w:t>）下载查阅。</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3600"/>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648" w:type="dxa"/>
            <w:vAlign w:val="center"/>
          </w:tcPr>
          <w:p>
            <w:pPr>
              <w:spacing w:line="360" w:lineRule="auto"/>
              <w:jc w:val="center"/>
              <w:rPr>
                <w:rFonts w:ascii="宋体" w:hAnsi="宋体"/>
                <w:color w:val="auto"/>
                <w:highlight w:val="none"/>
              </w:rPr>
            </w:pPr>
            <w:r>
              <w:rPr>
                <w:rFonts w:hint="eastAsia" w:ascii="宋体" w:hAnsi="宋体"/>
                <w:color w:val="auto"/>
                <w:highlight w:val="none"/>
              </w:rPr>
              <w:t>序号</w:t>
            </w:r>
          </w:p>
        </w:tc>
        <w:tc>
          <w:tcPr>
            <w:tcW w:w="1260" w:type="dxa"/>
            <w:vAlign w:val="center"/>
          </w:tcPr>
          <w:p>
            <w:pPr>
              <w:spacing w:line="360" w:lineRule="auto"/>
              <w:jc w:val="center"/>
              <w:rPr>
                <w:rFonts w:ascii="宋体" w:hAnsi="宋体"/>
                <w:color w:val="auto"/>
                <w:highlight w:val="none"/>
              </w:rPr>
            </w:pPr>
            <w:r>
              <w:rPr>
                <w:rFonts w:hint="eastAsia" w:ascii="宋体" w:hAnsi="宋体"/>
                <w:color w:val="auto"/>
                <w:highlight w:val="none"/>
              </w:rPr>
              <w:t>章节、条目</w:t>
            </w:r>
          </w:p>
        </w:tc>
        <w:tc>
          <w:tcPr>
            <w:tcW w:w="3600" w:type="dxa"/>
            <w:vAlign w:val="center"/>
          </w:tcPr>
          <w:p>
            <w:pPr>
              <w:spacing w:line="360" w:lineRule="auto"/>
              <w:jc w:val="center"/>
              <w:rPr>
                <w:rFonts w:ascii="宋体" w:hAnsi="宋体"/>
                <w:color w:val="auto"/>
                <w:highlight w:val="none"/>
              </w:rPr>
            </w:pPr>
            <w:r>
              <w:rPr>
                <w:rFonts w:hint="eastAsia" w:ascii="宋体" w:hAnsi="宋体"/>
                <w:color w:val="auto"/>
                <w:highlight w:val="none"/>
              </w:rPr>
              <w:t>范本原文</w:t>
            </w:r>
          </w:p>
        </w:tc>
        <w:tc>
          <w:tcPr>
            <w:tcW w:w="3708" w:type="dxa"/>
            <w:vAlign w:val="center"/>
          </w:tcPr>
          <w:p>
            <w:pPr>
              <w:spacing w:line="360" w:lineRule="auto"/>
              <w:jc w:val="center"/>
              <w:rPr>
                <w:rFonts w:ascii="宋体" w:hAnsi="宋体"/>
                <w:color w:val="auto"/>
                <w:highlight w:val="none"/>
              </w:rPr>
            </w:pPr>
            <w:r>
              <w:rPr>
                <w:rFonts w:hint="eastAsia" w:ascii="宋体" w:hAnsi="宋体"/>
                <w:color w:val="auto"/>
                <w:highlight w:val="none"/>
              </w:rPr>
              <w:t>拟删改的内容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highlight w:val="none"/>
              </w:rPr>
            </w:pPr>
            <w:r>
              <w:rPr>
                <w:rFonts w:hint="eastAsia" w:ascii="宋体" w:hAnsi="宋体"/>
                <w:color w:val="auto"/>
                <w:szCs w:val="21"/>
                <w:highlight w:val="none"/>
              </w:rPr>
              <w:t>第一章</w:t>
            </w:r>
          </w:p>
        </w:tc>
        <w:tc>
          <w:tcPr>
            <w:tcW w:w="3600" w:type="dxa"/>
            <w:vAlign w:val="center"/>
          </w:tcPr>
          <w:p>
            <w:pPr>
              <w:spacing w:line="360" w:lineRule="auto"/>
              <w:rPr>
                <w:rFonts w:ascii="宋体" w:hAnsi="宋体"/>
                <w:color w:val="auto"/>
                <w:highlight w:val="none"/>
              </w:rPr>
            </w:pPr>
            <w:r>
              <w:rPr>
                <w:rFonts w:hint="eastAsia" w:ascii="宋体" w:hAnsi="宋体"/>
                <w:color w:val="auto"/>
                <w:szCs w:val="21"/>
                <w:highlight w:val="none"/>
              </w:rPr>
              <w:t>招标公告</w:t>
            </w:r>
          </w:p>
        </w:tc>
        <w:tc>
          <w:tcPr>
            <w:tcW w:w="3708" w:type="dxa"/>
            <w:vAlign w:val="center"/>
          </w:tcPr>
          <w:p>
            <w:pPr>
              <w:spacing w:line="360" w:lineRule="auto"/>
              <w:rPr>
                <w:rFonts w:ascii="宋体" w:hAnsi="宋体"/>
                <w:color w:val="auto"/>
                <w:highlight w:val="none"/>
              </w:rPr>
            </w:pPr>
            <w:r>
              <w:rPr>
                <w:rFonts w:hint="eastAsia" w:ascii="宋体" w:hAnsi="宋体"/>
                <w:color w:val="auto"/>
                <w:szCs w:val="21"/>
                <w:highlight w:val="none"/>
              </w:rPr>
              <w:t>修改详见《招标公告》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 w:val="24"/>
                <w:highlight w:val="none"/>
              </w:rPr>
              <w:t>2.1.2</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0"/>
                <w:highlight w:val="none"/>
              </w:rPr>
              <w:t>“勘察”是指</w:t>
            </w:r>
            <w:r>
              <w:rPr>
                <w:rFonts w:hint="eastAsia"/>
                <w:color w:val="auto"/>
                <w:szCs w:val="20"/>
                <w:highlight w:val="none"/>
              </w:rPr>
              <w:t>根据建设工程的要求，查明、分析、评价建设场地的地质地理环境特征和岩土工程条件，编制建设工程勘察文件的活动。</w:t>
            </w:r>
          </w:p>
        </w:tc>
        <w:tc>
          <w:tcPr>
            <w:tcW w:w="3708"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2.1.3</w:t>
            </w:r>
          </w:p>
        </w:tc>
        <w:tc>
          <w:tcPr>
            <w:tcW w:w="3600" w:type="dxa"/>
            <w:vAlign w:val="center"/>
          </w:tcPr>
          <w:p>
            <w:pPr>
              <w:spacing w:line="360" w:lineRule="auto"/>
              <w:rPr>
                <w:color w:val="auto"/>
                <w:szCs w:val="20"/>
                <w:highlight w:val="none"/>
              </w:rPr>
            </w:pPr>
            <w:r>
              <w:rPr>
                <w:rFonts w:hint="eastAsia"/>
                <w:color w:val="auto"/>
                <w:szCs w:val="20"/>
                <w:highlight w:val="none"/>
              </w:rPr>
              <w:t>“招标”是指发包人通过建设工程的勘察、设计等方案招标，将工程相应的任务发包给符合勘察设计资质条件的建设工程承包单位的行为。</w:t>
            </w:r>
          </w:p>
        </w:tc>
        <w:tc>
          <w:tcPr>
            <w:tcW w:w="3708" w:type="dxa"/>
            <w:vAlign w:val="center"/>
          </w:tcPr>
          <w:p>
            <w:pPr>
              <w:spacing w:line="360" w:lineRule="auto"/>
              <w:rPr>
                <w:color w:val="auto"/>
                <w:szCs w:val="20"/>
                <w:highlight w:val="none"/>
              </w:rPr>
            </w:pPr>
            <w:r>
              <w:rPr>
                <w:rFonts w:hint="eastAsia"/>
                <w:color w:val="auto"/>
                <w:szCs w:val="20"/>
                <w:highlight w:val="none"/>
              </w:rPr>
              <w:t>修改：“招标”是指发包人通过建设工程的</w:t>
            </w:r>
            <w:r>
              <w:rPr>
                <w:rFonts w:hint="eastAsia"/>
                <w:color w:val="auto"/>
                <w:szCs w:val="20"/>
                <w:highlight w:val="none"/>
                <w:u w:val="single"/>
              </w:rPr>
              <w:t>设计</w:t>
            </w:r>
            <w:r>
              <w:rPr>
                <w:rFonts w:hint="eastAsia"/>
                <w:color w:val="auto"/>
                <w:szCs w:val="20"/>
                <w:highlight w:val="none"/>
              </w:rPr>
              <w:t>等方案招标，将工程相应的任务发包给符合</w:t>
            </w:r>
            <w:r>
              <w:rPr>
                <w:rFonts w:hint="eastAsia"/>
                <w:color w:val="auto"/>
                <w:szCs w:val="20"/>
                <w:highlight w:val="none"/>
                <w:u w:val="single"/>
              </w:rPr>
              <w:t>设计</w:t>
            </w:r>
            <w:r>
              <w:rPr>
                <w:rFonts w:hint="eastAsia"/>
                <w:color w:val="auto"/>
                <w:szCs w:val="20"/>
                <w:highlight w:val="none"/>
              </w:rPr>
              <w:t>资质条件的建设工程承包单位的行为。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highlight w:val="none"/>
              </w:rPr>
            </w:pPr>
            <w:r>
              <w:rPr>
                <w:rFonts w:hint="eastAsia" w:ascii="宋体" w:hAnsi="宋体" w:cs="宋体"/>
                <w:color w:val="auto"/>
                <w:szCs w:val="21"/>
                <w:highlight w:val="none"/>
              </w:rPr>
              <w:t>3.1</w:t>
            </w:r>
          </w:p>
        </w:tc>
        <w:tc>
          <w:tcPr>
            <w:tcW w:w="360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3.1    现场考察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3.1.1  招标人安排投标人代表对工程现场进行考察，目的是使每个投标人查看现场并获得编制投标文件所需要的一切资料。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3.1.2  每个投标人参加现场考察的人数不宜超过3人，外国投标人代表应自带中文翻译。</w:t>
            </w:r>
          </w:p>
          <w:p>
            <w:pPr>
              <w:spacing w:line="360" w:lineRule="auto"/>
              <w:rPr>
                <w:rFonts w:ascii="宋体" w:hAnsi="宋体"/>
                <w:color w:val="auto"/>
                <w:highlight w:val="none"/>
              </w:rPr>
            </w:pPr>
            <w:r>
              <w:rPr>
                <w:rFonts w:hint="eastAsia" w:ascii="宋体" w:hAnsi="宋体" w:cs="宋体"/>
                <w:color w:val="auto"/>
                <w:szCs w:val="21"/>
                <w:highlight w:val="none"/>
              </w:rPr>
              <w:t>3.1.3  现场考察期间招标人将召开一次会议，接受投标人代表的提问。</w:t>
            </w:r>
          </w:p>
        </w:tc>
        <w:tc>
          <w:tcPr>
            <w:tcW w:w="3708" w:type="dxa"/>
            <w:vAlign w:val="center"/>
          </w:tcPr>
          <w:p>
            <w:pPr>
              <w:spacing w:line="360" w:lineRule="auto"/>
              <w:rPr>
                <w:rFonts w:ascii="宋体" w:hAnsi="宋体" w:cs="宋体"/>
                <w:color w:val="auto"/>
                <w:szCs w:val="21"/>
                <w:highlight w:val="none"/>
              </w:rPr>
            </w:pPr>
            <w:r>
              <w:rPr>
                <w:rFonts w:hint="eastAsia" w:ascii="宋体" w:hAnsi="宋体" w:cs="宋体"/>
                <w:b/>
                <w:color w:val="auto"/>
                <w:szCs w:val="21"/>
                <w:highlight w:val="none"/>
              </w:rPr>
              <w:t>修改</w:t>
            </w:r>
            <w:r>
              <w:rPr>
                <w:rFonts w:hint="eastAsia" w:ascii="宋体" w:hAnsi="宋体" w:cs="宋体"/>
                <w:color w:val="auto"/>
                <w:szCs w:val="21"/>
                <w:highlight w:val="none"/>
              </w:rPr>
              <w:t>：3.1    现场考察</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3.1.1  现场考察由投标人自行考察，招标人不统一安排现场考察。</w:t>
            </w:r>
          </w:p>
          <w:p>
            <w:pPr>
              <w:spacing w:line="360" w:lineRule="auto"/>
              <w:rPr>
                <w:rFonts w:ascii="宋体" w:hAnsi="宋体"/>
                <w:color w:val="auto"/>
                <w:highlight w:val="none"/>
              </w:rPr>
            </w:pPr>
            <w:r>
              <w:rPr>
                <w:rFonts w:hint="eastAsia" w:ascii="宋体" w:hAnsi="宋体" w:cs="宋体"/>
                <w:color w:val="auto"/>
                <w:szCs w:val="21"/>
                <w:highlight w:val="none"/>
                <w:u w:val="single"/>
              </w:rPr>
              <w:t>3.1.2  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highlight w:val="none"/>
              </w:rPr>
            </w:pPr>
            <w:r>
              <w:rPr>
                <w:rFonts w:hint="eastAsia" w:ascii="宋体" w:hAnsi="宋体" w:cs="宋体"/>
                <w:color w:val="auto"/>
                <w:szCs w:val="21"/>
                <w:highlight w:val="none"/>
              </w:rPr>
              <w:t>3.2.1</w:t>
            </w:r>
          </w:p>
        </w:tc>
        <w:tc>
          <w:tcPr>
            <w:tcW w:w="3600" w:type="dxa"/>
            <w:vAlign w:val="center"/>
          </w:tcPr>
          <w:p>
            <w:pPr>
              <w:spacing w:line="360" w:lineRule="auto"/>
              <w:rPr>
                <w:rFonts w:ascii="宋体" w:hAnsi="宋体"/>
                <w:color w:val="auto"/>
                <w:highlight w:val="none"/>
              </w:rPr>
            </w:pPr>
            <w:r>
              <w:rPr>
                <w:rFonts w:hint="eastAsia" w:ascii="宋体" w:hAnsi="宋体" w:cs="宋体"/>
                <w:color w:val="auto"/>
                <w:szCs w:val="21"/>
                <w:highlight w:val="none"/>
              </w:rPr>
              <w:t>3.2.1投标人应认真审阅招标文件和有关资料，尽力澄清一切疑点，对工程现场和周围环境进行勘察，以获取编制投标文件和签署合同所需的所有资料。</w:t>
            </w:r>
          </w:p>
        </w:tc>
        <w:tc>
          <w:tcPr>
            <w:tcW w:w="3708" w:type="dxa"/>
            <w:vAlign w:val="center"/>
          </w:tcPr>
          <w:p>
            <w:pPr>
              <w:spacing w:line="360" w:lineRule="auto"/>
              <w:rPr>
                <w:rFonts w:ascii="宋体" w:hAnsi="宋体"/>
                <w:color w:val="auto"/>
                <w:highlight w:val="none"/>
              </w:rPr>
            </w:pPr>
            <w:r>
              <w:rPr>
                <w:rFonts w:hint="eastAsia" w:ascii="宋体" w:hAnsi="宋体" w:cs="宋体"/>
                <w:b/>
                <w:color w:val="auto"/>
                <w:szCs w:val="21"/>
                <w:highlight w:val="none"/>
              </w:rPr>
              <w:t>修改</w:t>
            </w:r>
            <w:r>
              <w:rPr>
                <w:rFonts w:hint="eastAsia" w:ascii="宋体" w:hAnsi="宋体" w:cs="宋体"/>
                <w:color w:val="auto"/>
                <w:szCs w:val="21"/>
                <w:highlight w:val="none"/>
              </w:rPr>
              <w:t>：3.2.1投标人应认真审阅招标文件和有关资料，尽力澄清一切疑点，</w:t>
            </w:r>
            <w:r>
              <w:rPr>
                <w:rFonts w:hint="eastAsia" w:ascii="宋体" w:hAnsi="宋体" w:cs="宋体"/>
                <w:color w:val="auto"/>
                <w:szCs w:val="21"/>
                <w:highlight w:val="none"/>
                <w:u w:val="single"/>
              </w:rPr>
              <w:t>自行</w:t>
            </w:r>
            <w:r>
              <w:rPr>
                <w:rFonts w:hint="eastAsia" w:ascii="宋体" w:hAnsi="宋体" w:cs="宋体"/>
                <w:color w:val="auto"/>
                <w:szCs w:val="21"/>
                <w:highlight w:val="none"/>
              </w:rPr>
              <w:t>对工程现场和周围环境进行勘察，以获取编制投标文件和签署合同所需的所有资料。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highlight w:val="none"/>
              </w:rPr>
            </w:pPr>
            <w:r>
              <w:rPr>
                <w:rFonts w:hint="eastAsia" w:ascii="宋体" w:hAnsi="宋体" w:cs="宋体"/>
                <w:color w:val="auto"/>
                <w:szCs w:val="21"/>
                <w:highlight w:val="none"/>
              </w:rPr>
              <w:t>3.2.3</w:t>
            </w:r>
          </w:p>
        </w:tc>
        <w:tc>
          <w:tcPr>
            <w:tcW w:w="3600" w:type="dxa"/>
            <w:vAlign w:val="center"/>
          </w:tcPr>
          <w:p>
            <w:pPr>
              <w:spacing w:line="360" w:lineRule="auto"/>
              <w:rPr>
                <w:rFonts w:ascii="宋体" w:hAnsi="宋体"/>
                <w:color w:val="auto"/>
                <w:highlight w:val="none"/>
              </w:rPr>
            </w:pPr>
            <w:r>
              <w:rPr>
                <w:rFonts w:hint="eastAsia" w:ascii="宋体" w:hAnsi="宋体" w:cs="宋体"/>
                <w:color w:val="auto"/>
                <w:szCs w:val="21"/>
                <w:highlight w:val="none"/>
              </w:rPr>
              <w:t>3.2.3</w:t>
            </w:r>
            <w:r>
              <w:rPr>
                <w:rFonts w:hint="eastAsia" w:ascii="宋体" w:hAnsi="宋体"/>
                <w:color w:val="auto"/>
                <w:highlight w:val="none"/>
              </w:rPr>
              <w:t>投标人需要澄清的问题应在规定的时间内，按交易平台的操作指引上传至交易平台网站。招标人应在递交投标文件截止时间15日前解答投标人对招标文件提出的疑问，形成澄清或答疑纪要在交易平台发布。不足15日的，招标人应当顺延投标文件的截止时间。</w:t>
            </w:r>
          </w:p>
        </w:tc>
        <w:tc>
          <w:tcPr>
            <w:tcW w:w="3708" w:type="dxa"/>
            <w:vAlign w:val="center"/>
          </w:tcPr>
          <w:p>
            <w:pPr>
              <w:spacing w:line="360" w:lineRule="auto"/>
              <w:rPr>
                <w:rFonts w:ascii="宋体" w:hAnsi="宋体"/>
                <w:color w:val="auto"/>
                <w:highlight w:val="none"/>
              </w:rPr>
            </w:pPr>
            <w:r>
              <w:rPr>
                <w:rFonts w:hint="eastAsia" w:ascii="宋体" w:hAnsi="宋体" w:cs="宋体"/>
                <w:b/>
                <w:color w:val="auto"/>
                <w:szCs w:val="21"/>
                <w:highlight w:val="none"/>
              </w:rPr>
              <w:t>修改</w:t>
            </w:r>
            <w:r>
              <w:rPr>
                <w:rFonts w:hint="eastAsia" w:ascii="宋体" w:hAnsi="宋体" w:cs="宋体"/>
                <w:color w:val="auto"/>
                <w:szCs w:val="21"/>
                <w:highlight w:val="none"/>
              </w:rPr>
              <w:t>：3.2.3</w:t>
            </w:r>
            <w:r>
              <w:rPr>
                <w:rFonts w:hint="eastAsia" w:ascii="宋体" w:hAnsi="宋体"/>
                <w:color w:val="auto"/>
                <w:highlight w:val="none"/>
              </w:rPr>
              <w:t>投标人需要澄清的问题应</w:t>
            </w:r>
            <w:r>
              <w:rPr>
                <w:rFonts w:hint="eastAsia" w:ascii="宋体" w:hAnsi="宋体" w:cs="宋体"/>
                <w:color w:val="auto"/>
                <w:szCs w:val="21"/>
                <w:highlight w:val="none"/>
                <w:u w:val="single"/>
              </w:rPr>
              <w:t>在投标截止时间18个日历天前</w:t>
            </w:r>
            <w:r>
              <w:rPr>
                <w:rFonts w:hint="eastAsia" w:ascii="宋体" w:hAnsi="宋体"/>
                <w:color w:val="auto"/>
                <w:highlight w:val="none"/>
              </w:rPr>
              <w:t>，按交易平台的操作指引上传至交易平台网站。招标人应在递交投标文件截止时间</w:t>
            </w:r>
            <w:r>
              <w:rPr>
                <w:rFonts w:hint="eastAsia" w:ascii="宋体" w:hAnsi="宋体" w:cs="宋体"/>
                <w:color w:val="auto"/>
                <w:szCs w:val="21"/>
                <w:highlight w:val="none"/>
                <w:u w:val="single"/>
              </w:rPr>
              <w:t>15个日历天前</w:t>
            </w:r>
            <w:r>
              <w:rPr>
                <w:rFonts w:hint="eastAsia" w:ascii="宋体" w:hAnsi="宋体"/>
                <w:color w:val="auto"/>
                <w:highlight w:val="none"/>
              </w:rPr>
              <w:t>解答投标人对招标文件提出的疑问，</w:t>
            </w:r>
            <w:r>
              <w:rPr>
                <w:rFonts w:hint="eastAsia" w:ascii="宋体" w:hAnsi="宋体" w:cs="宋体"/>
                <w:color w:val="auto"/>
                <w:szCs w:val="21"/>
                <w:highlight w:val="none"/>
                <w:u w:val="single"/>
              </w:rPr>
              <w:t>形成答疑纪要，在广州公共资源交易中心网站项目查询中本项目详情页里面发布。</w:t>
            </w:r>
            <w:r>
              <w:rPr>
                <w:rFonts w:hint="eastAsia" w:ascii="宋体" w:hAnsi="宋体"/>
                <w:color w:val="auto"/>
                <w:highlight w:val="none"/>
              </w:rPr>
              <w:t>不足15日的，招标人应当顺延投标文件的截止时间。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4"/>
                <w:highlight w:val="none"/>
              </w:rPr>
            </w:pPr>
            <w:r>
              <w:rPr>
                <w:rFonts w:ascii="宋体" w:hAnsi="宋体"/>
                <w:color w:val="auto"/>
                <w:szCs w:val="24"/>
                <w:highlight w:val="none"/>
              </w:rPr>
              <w:t>3.2.5</w:t>
            </w:r>
          </w:p>
        </w:tc>
        <w:tc>
          <w:tcPr>
            <w:tcW w:w="3600" w:type="dxa"/>
            <w:vAlign w:val="center"/>
          </w:tcPr>
          <w:p>
            <w:pPr>
              <w:spacing w:line="360" w:lineRule="auto"/>
              <w:rPr>
                <w:rFonts w:ascii="宋体" w:hAnsi="宋体"/>
                <w:color w:val="auto"/>
                <w:szCs w:val="24"/>
                <w:highlight w:val="none"/>
              </w:rPr>
            </w:pPr>
            <w:r>
              <w:rPr>
                <w:rFonts w:hint="eastAsia" w:ascii="宋体" w:hAnsi="宋体"/>
                <w:color w:val="auto"/>
                <w:szCs w:val="24"/>
                <w:highlight w:val="none"/>
              </w:rPr>
              <w:t>3.2.5  网上答疑的具体操作详见交易平台发布的相关操作指引。</w:t>
            </w:r>
          </w:p>
        </w:tc>
        <w:tc>
          <w:tcPr>
            <w:tcW w:w="3708" w:type="dxa"/>
            <w:vAlign w:val="center"/>
          </w:tcPr>
          <w:p>
            <w:pPr>
              <w:spacing w:line="360" w:lineRule="auto"/>
              <w:ind w:firstLine="210" w:firstLineChars="100"/>
              <w:rPr>
                <w:rFonts w:ascii="宋体" w:hAnsi="宋体"/>
                <w:color w:val="auto"/>
                <w:szCs w:val="24"/>
                <w:highlight w:val="none"/>
              </w:rPr>
            </w:pPr>
            <w:r>
              <w:rPr>
                <w:rFonts w:hint="eastAsia" w:ascii="宋体" w:hAnsi="宋体" w:cs="宋体"/>
                <w:b/>
                <w:color w:val="auto"/>
                <w:szCs w:val="21"/>
                <w:highlight w:val="none"/>
              </w:rPr>
              <w:t>修改</w:t>
            </w:r>
            <w:r>
              <w:rPr>
                <w:rFonts w:hint="eastAsia" w:ascii="宋体" w:hAnsi="宋体" w:cs="宋体"/>
                <w:color w:val="auto"/>
                <w:szCs w:val="21"/>
                <w:highlight w:val="none"/>
              </w:rPr>
              <w:t>：</w:t>
            </w:r>
            <w:r>
              <w:rPr>
                <w:rFonts w:hint="eastAsia" w:ascii="宋体" w:hAnsi="宋体"/>
                <w:color w:val="auto"/>
                <w:szCs w:val="24"/>
                <w:highlight w:val="none"/>
              </w:rPr>
              <w:t>3.2.5网上答疑的具体操作详见交易平台发布的相关操作指引。</w:t>
            </w:r>
            <w:r>
              <w:rPr>
                <w:rFonts w:hint="eastAsia" w:ascii="宋体" w:hAnsi="宋体"/>
                <w:color w:val="auto"/>
                <w:szCs w:val="21"/>
                <w:highlight w:val="none"/>
                <w:u w:val="single"/>
              </w:rPr>
              <w:t>招标答疑纪要一经在广州公共资源交易中心网站发布，视作已发放给所有投标人。招标答疑纪要为招标文件的一部分。投标人可在广州公共资源交易中心网站浏览、下载招标答疑纪要。若招标答疑纪要与招标文件有矛盾时，以广州公共资源交易中心网站最后发布的答疑纪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4"/>
                <w:highlight w:val="none"/>
              </w:rPr>
            </w:pPr>
            <w:r>
              <w:rPr>
                <w:rFonts w:hint="eastAsia" w:ascii="宋体" w:hAnsi="宋体"/>
                <w:color w:val="auto"/>
                <w:szCs w:val="24"/>
                <w:highlight w:val="none"/>
              </w:rPr>
              <w:t>3.6.1</w:t>
            </w:r>
          </w:p>
        </w:tc>
        <w:tc>
          <w:tcPr>
            <w:tcW w:w="3600" w:type="dxa"/>
            <w:vAlign w:val="center"/>
          </w:tcPr>
          <w:p>
            <w:pPr>
              <w:spacing w:line="360" w:lineRule="auto"/>
              <w:rPr>
                <w:rFonts w:ascii="宋体" w:hAnsi="宋体"/>
                <w:color w:val="auto"/>
                <w:szCs w:val="24"/>
                <w:highlight w:val="none"/>
              </w:rPr>
            </w:pPr>
            <w:r>
              <w:rPr>
                <w:rFonts w:hint="eastAsia" w:ascii="宋体" w:hAnsi="宋体"/>
                <w:color w:val="auto"/>
                <w:szCs w:val="24"/>
                <w:highlight w:val="none"/>
              </w:rPr>
              <w:t>3.6.1  投标人通过下载招标文件的交易平台递交电子投标文件。</w:t>
            </w:r>
          </w:p>
        </w:tc>
        <w:tc>
          <w:tcPr>
            <w:tcW w:w="3708" w:type="dxa"/>
            <w:vAlign w:val="center"/>
          </w:tcPr>
          <w:p>
            <w:pPr>
              <w:spacing w:line="360" w:lineRule="auto"/>
              <w:rPr>
                <w:rFonts w:ascii="宋体" w:hAnsi="宋体"/>
                <w:color w:val="auto"/>
                <w:szCs w:val="24"/>
                <w:highlight w:val="none"/>
              </w:rPr>
            </w:pPr>
            <w:r>
              <w:rPr>
                <w:rFonts w:hint="eastAsia" w:ascii="宋体" w:hAnsi="宋体"/>
                <w:b/>
                <w:color w:val="auto"/>
                <w:szCs w:val="24"/>
                <w:highlight w:val="none"/>
              </w:rPr>
              <w:t>修改</w:t>
            </w:r>
            <w:r>
              <w:rPr>
                <w:rFonts w:hint="eastAsia" w:ascii="宋体" w:hAnsi="宋体"/>
                <w:color w:val="auto"/>
                <w:szCs w:val="24"/>
                <w:highlight w:val="none"/>
              </w:rPr>
              <w:t>：3.6.1投标人通过下载招标文件</w:t>
            </w:r>
            <w:r>
              <w:rPr>
                <w:rFonts w:hint="eastAsia" w:ascii="宋体" w:hAnsi="宋体"/>
                <w:color w:val="auto"/>
                <w:szCs w:val="24"/>
                <w:highlight w:val="none"/>
                <w:u w:val="single"/>
              </w:rPr>
              <w:t>的广州公共资源交易中心</w:t>
            </w:r>
            <w:r>
              <w:rPr>
                <w:rFonts w:hint="eastAsia" w:ascii="宋体" w:hAnsi="宋体"/>
                <w:color w:val="auto"/>
                <w:szCs w:val="24"/>
                <w:highlight w:val="none"/>
              </w:rPr>
              <w:t>交易平台递交电子投标文件。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.8.1</w:t>
            </w:r>
          </w:p>
        </w:tc>
        <w:tc>
          <w:tcPr>
            <w:tcW w:w="3600" w:type="dxa"/>
          </w:tcPr>
          <w:p>
            <w:pPr>
              <w:spacing w:line="360" w:lineRule="auto"/>
              <w:ind w:left="743" w:hanging="743" w:hangingChars="354"/>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.8.1</w:t>
            </w:r>
            <w:r>
              <w:rPr>
                <w:rFonts w:hint="eastAsia" w:ascii="宋体" w:hAnsi="宋体"/>
                <w:color w:val="auto"/>
                <w:szCs w:val="21"/>
                <w:highlight w:val="none"/>
              </w:rPr>
              <w:t>提交投标文件光盘备用</w:t>
            </w:r>
          </w:p>
          <w:p>
            <w:pPr>
              <w:spacing w:line="360" w:lineRule="auto"/>
              <w:jc w:val="left"/>
              <w:rPr>
                <w:rFonts w:ascii="宋体" w:hAnsi="宋体"/>
                <w:color w:val="auto"/>
                <w:szCs w:val="21"/>
                <w:highlight w:val="none"/>
              </w:rPr>
            </w:pPr>
            <w:r>
              <w:rPr>
                <w:rFonts w:hint="eastAsia" w:ascii="宋体" w:hAnsi="宋体" w:cs="宋体"/>
                <w:color w:val="auto"/>
                <w:szCs w:val="21"/>
                <w:highlight w:val="none"/>
              </w:rPr>
              <w:t>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c>
          <w:tcPr>
            <w:tcW w:w="3708" w:type="dxa"/>
          </w:tcPr>
          <w:p>
            <w:pPr>
              <w:spacing w:line="360" w:lineRule="auto"/>
              <w:ind w:left="746" w:hanging="743" w:hangingChars="354"/>
              <w:jc w:val="left"/>
              <w:rPr>
                <w:rFonts w:ascii="宋体" w:hAnsi="宋体"/>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szCs w:val="21"/>
                <w:highlight w:val="none"/>
              </w:rPr>
              <w:t>3</w:t>
            </w:r>
            <w:r>
              <w:rPr>
                <w:rFonts w:ascii="宋体" w:hAnsi="宋体"/>
                <w:color w:val="auto"/>
                <w:szCs w:val="21"/>
                <w:highlight w:val="none"/>
              </w:rPr>
              <w:t>.8.1</w:t>
            </w:r>
            <w:r>
              <w:rPr>
                <w:rFonts w:hint="eastAsia" w:ascii="宋体" w:hAnsi="宋体"/>
                <w:color w:val="auto"/>
                <w:szCs w:val="21"/>
                <w:highlight w:val="none"/>
              </w:rPr>
              <w:t>提交投标文件光盘备用</w:t>
            </w:r>
          </w:p>
          <w:p>
            <w:pPr>
              <w:spacing w:line="360" w:lineRule="auto"/>
              <w:rPr>
                <w:rFonts w:ascii="宋体" w:hAnsi="宋体"/>
                <w:color w:val="auto"/>
                <w:szCs w:val="21"/>
                <w:highlight w:val="none"/>
              </w:rPr>
            </w:pPr>
            <w:r>
              <w:rPr>
                <w:rFonts w:hint="eastAsia" w:ascii="宋体" w:hAnsi="宋体" w:cs="宋体"/>
                <w:color w:val="auto"/>
                <w:szCs w:val="21"/>
                <w:highlight w:val="none"/>
              </w:rPr>
              <w:t>投标人可制作非加密的电子投标文件刻入光盘（1份</w:t>
            </w:r>
            <w:r>
              <w:rPr>
                <w:rFonts w:hint="eastAsia" w:ascii="宋体" w:hAnsi="宋体" w:cs="宋体"/>
                <w:color w:val="auto"/>
                <w:szCs w:val="21"/>
                <w:highlight w:val="none"/>
                <w:u w:val="single"/>
              </w:rPr>
              <w:t>，内含3个光盘）：</w:t>
            </w:r>
            <w:r>
              <w:rPr>
                <w:rFonts w:ascii="宋体" w:hAnsi="宋体" w:cs="宋体"/>
                <w:color w:val="auto"/>
                <w:szCs w:val="21"/>
                <w:highlight w:val="none"/>
                <w:u w:val="single"/>
              </w:rPr>
              <w:fldChar w:fldCharType="begin"/>
            </w:r>
            <w:r>
              <w:rPr>
                <w:rFonts w:ascii="仿宋_GB2312" w:hAnsi="宋体" w:eastAsia="仿宋_GB2312" w:cs="宋体"/>
                <w:color w:val="auto"/>
                <w:sz w:val="32"/>
                <w:szCs w:val="21"/>
                <w:highlight w:val="none"/>
                <w:u w:val="single"/>
              </w:rPr>
              <w:instrText xml:space="preserve"> </w:instrText>
            </w:r>
            <w:r>
              <w:rPr>
                <w:rFonts w:hint="eastAsia" w:ascii="仿宋_GB2312" w:hAnsi="宋体" w:eastAsia="仿宋_GB2312" w:cs="宋体"/>
                <w:color w:val="auto"/>
                <w:sz w:val="32"/>
                <w:szCs w:val="21"/>
                <w:highlight w:val="none"/>
                <w:u w:val="single"/>
              </w:rPr>
              <w:instrText xml:space="preserve">eq \o\ac(</w:instrText>
            </w:r>
            <w:r>
              <w:rPr>
                <w:rFonts w:hint="eastAsia" w:ascii="宋体" w:hAnsi="宋体" w:cs="宋体"/>
                <w:color w:val="auto"/>
                <w:szCs w:val="21"/>
                <w:highlight w:val="none"/>
                <w:u w:val="single"/>
              </w:rPr>
              <w:instrText xml:space="preserve">○,</w:instrText>
            </w:r>
            <w:r>
              <w:rPr>
                <w:rFonts w:hint="eastAsia" w:ascii="宋体" w:hAnsi="宋体" w:cs="宋体"/>
                <w:color w:val="auto"/>
                <w:position w:val="2"/>
                <w:sz w:val="14"/>
                <w:szCs w:val="21"/>
                <w:highlight w:val="none"/>
              </w:rPr>
              <w:instrText xml:space="preserve">1</w:instrText>
            </w:r>
            <w:r>
              <w:rPr>
                <w:rFonts w:hint="eastAsia" w:ascii="宋体" w:hAnsi="宋体" w:cs="宋体"/>
                <w:color w:val="auto"/>
                <w:szCs w:val="21"/>
                <w:highlight w:val="none"/>
                <w:u w:val="single"/>
              </w:rPr>
              <w:instrText xml:space="preserve">)</w:instrText>
            </w:r>
            <w:r>
              <w:rPr>
                <w:rFonts w:ascii="宋体" w:hAnsi="宋体" w:cs="宋体"/>
                <w:color w:val="auto"/>
                <w:szCs w:val="21"/>
                <w:highlight w:val="none"/>
                <w:u w:val="single"/>
              </w:rPr>
              <w:fldChar w:fldCharType="end"/>
            </w:r>
            <w:r>
              <w:rPr>
                <w:rFonts w:hint="eastAsia" w:ascii="宋体" w:hAnsi="宋体" w:cs="宋体"/>
                <w:color w:val="auto"/>
                <w:szCs w:val="21"/>
                <w:highlight w:val="none"/>
                <w:u w:val="single"/>
              </w:rPr>
              <w:t>设计方案（暗标，单独密封在密封袋中，不得标注或做任何可以辨认投标人及专业技术人员身份的名称、印章、商标、图形等），</w:t>
            </w:r>
            <w:r>
              <w:rPr>
                <w:rFonts w:ascii="宋体" w:hAnsi="宋体" w:cs="宋体"/>
                <w:color w:val="auto"/>
                <w:szCs w:val="21"/>
                <w:highlight w:val="none"/>
                <w:u w:val="single"/>
              </w:rPr>
              <w:fldChar w:fldCharType="begin"/>
            </w:r>
            <w:r>
              <w:rPr>
                <w:rFonts w:ascii="仿宋_GB2312" w:hAnsi="宋体" w:eastAsia="仿宋_GB2312" w:cs="宋体"/>
                <w:color w:val="auto"/>
                <w:sz w:val="32"/>
                <w:szCs w:val="21"/>
                <w:highlight w:val="none"/>
                <w:u w:val="single"/>
              </w:rPr>
              <w:instrText xml:space="preserve"> </w:instrText>
            </w:r>
            <w:r>
              <w:rPr>
                <w:rFonts w:hint="eastAsia" w:ascii="仿宋_GB2312" w:hAnsi="宋体" w:eastAsia="仿宋_GB2312" w:cs="宋体"/>
                <w:color w:val="auto"/>
                <w:sz w:val="32"/>
                <w:szCs w:val="21"/>
                <w:highlight w:val="none"/>
                <w:u w:val="single"/>
              </w:rPr>
              <w:instrText xml:space="preserve">eq \o\ac(</w:instrText>
            </w:r>
            <w:r>
              <w:rPr>
                <w:rFonts w:hint="eastAsia" w:ascii="宋体" w:hAnsi="宋体" w:cs="宋体"/>
                <w:color w:val="auto"/>
                <w:szCs w:val="21"/>
                <w:highlight w:val="none"/>
                <w:u w:val="single"/>
              </w:rPr>
              <w:instrText xml:space="preserve">○,</w:instrText>
            </w:r>
            <w:r>
              <w:rPr>
                <w:rFonts w:hint="eastAsia" w:ascii="宋体" w:hAnsi="宋体" w:cs="宋体"/>
                <w:color w:val="auto"/>
                <w:position w:val="2"/>
                <w:sz w:val="14"/>
                <w:szCs w:val="21"/>
                <w:highlight w:val="none"/>
              </w:rPr>
              <w:instrText xml:space="preserve">2</w:instrText>
            </w:r>
            <w:r>
              <w:rPr>
                <w:rFonts w:hint="eastAsia" w:ascii="宋体" w:hAnsi="宋体" w:cs="宋体"/>
                <w:color w:val="auto"/>
                <w:szCs w:val="21"/>
                <w:highlight w:val="none"/>
                <w:u w:val="single"/>
              </w:rPr>
              <w:instrText xml:space="preserve">)</w:instrText>
            </w:r>
            <w:r>
              <w:rPr>
                <w:rFonts w:ascii="宋体" w:hAnsi="宋体" w:cs="宋体"/>
                <w:color w:val="auto"/>
                <w:szCs w:val="21"/>
                <w:highlight w:val="none"/>
                <w:u w:val="single"/>
              </w:rPr>
              <w:fldChar w:fldCharType="end"/>
            </w:r>
            <w:r>
              <w:rPr>
                <w:rFonts w:hint="eastAsia" w:ascii="宋体" w:hAnsi="宋体" w:cs="宋体"/>
                <w:color w:val="auto"/>
                <w:szCs w:val="21"/>
                <w:highlight w:val="none"/>
                <w:u w:val="single"/>
              </w:rPr>
              <w:t>用于揭-晓设计方案的可识别投标人身份的文件，</w:t>
            </w:r>
            <w:r>
              <w:rPr>
                <w:rFonts w:ascii="宋体" w:hAnsi="宋体" w:cs="宋体"/>
                <w:color w:val="auto"/>
                <w:szCs w:val="21"/>
                <w:highlight w:val="none"/>
                <w:u w:val="single"/>
              </w:rPr>
              <w:fldChar w:fldCharType="begin"/>
            </w:r>
            <w:r>
              <w:rPr>
                <w:rFonts w:ascii="仿宋_GB2312" w:hAnsi="宋体" w:eastAsia="仿宋_GB2312" w:cs="宋体"/>
                <w:color w:val="auto"/>
                <w:sz w:val="32"/>
                <w:szCs w:val="21"/>
                <w:highlight w:val="none"/>
                <w:u w:val="single"/>
              </w:rPr>
              <w:instrText xml:space="preserve"> </w:instrText>
            </w:r>
            <w:r>
              <w:rPr>
                <w:rFonts w:hint="eastAsia" w:ascii="仿宋_GB2312" w:hAnsi="宋体" w:eastAsia="仿宋_GB2312" w:cs="宋体"/>
                <w:color w:val="auto"/>
                <w:sz w:val="32"/>
                <w:szCs w:val="21"/>
                <w:highlight w:val="none"/>
                <w:u w:val="single"/>
              </w:rPr>
              <w:instrText xml:space="preserve">eq \o\ac(</w:instrText>
            </w:r>
            <w:r>
              <w:rPr>
                <w:rFonts w:hint="eastAsia" w:ascii="宋体" w:hAnsi="宋体" w:cs="宋体"/>
                <w:color w:val="auto"/>
                <w:szCs w:val="21"/>
                <w:highlight w:val="none"/>
                <w:u w:val="single"/>
              </w:rPr>
              <w:instrText xml:space="preserve">○,</w:instrText>
            </w:r>
            <w:r>
              <w:rPr>
                <w:rFonts w:hint="eastAsia" w:ascii="宋体" w:hAnsi="宋体" w:cs="宋体"/>
                <w:color w:val="auto"/>
                <w:position w:val="2"/>
                <w:sz w:val="14"/>
                <w:szCs w:val="21"/>
                <w:highlight w:val="none"/>
              </w:rPr>
              <w:instrText xml:space="preserve">3</w:instrText>
            </w:r>
            <w:r>
              <w:rPr>
                <w:rFonts w:hint="eastAsia" w:ascii="宋体" w:hAnsi="宋体" w:cs="宋体"/>
                <w:color w:val="auto"/>
                <w:szCs w:val="21"/>
                <w:highlight w:val="none"/>
                <w:u w:val="single"/>
              </w:rPr>
              <w:instrText xml:space="preserve">)</w:instrText>
            </w:r>
            <w:r>
              <w:rPr>
                <w:rFonts w:ascii="宋体" w:hAnsi="宋体" w:cs="宋体"/>
                <w:color w:val="auto"/>
                <w:szCs w:val="21"/>
                <w:highlight w:val="none"/>
                <w:u w:val="single"/>
              </w:rPr>
              <w:fldChar w:fldCharType="end"/>
            </w:r>
            <w:r>
              <w:rPr>
                <w:rFonts w:hint="eastAsia" w:ascii="宋体" w:hAnsi="宋体" w:cs="宋体"/>
                <w:color w:val="auto"/>
                <w:szCs w:val="21"/>
                <w:highlight w:val="none"/>
                <w:u w:val="single"/>
              </w:rPr>
              <w:t>开标信封、资格审查文件及其他文件（如有），</w:t>
            </w:r>
            <w:r>
              <w:rPr>
                <w:rFonts w:hint="eastAsia" w:ascii="宋体" w:hAnsi="宋体" w:cs="宋体"/>
                <w:color w:val="auto"/>
                <w:szCs w:val="21"/>
                <w:highlight w:val="none"/>
              </w:rPr>
              <w:t>在招标公告规定的时间、地点提交备用。刻录好的投标文件光盘密封在密封袋中，并在封口处加盖投标人单位公章</w:t>
            </w:r>
            <w:r>
              <w:rPr>
                <w:rFonts w:hint="eastAsia" w:ascii="宋体" w:hAnsi="宋体" w:cs="宋体"/>
                <w:color w:val="auto"/>
                <w:szCs w:val="21"/>
                <w:highlight w:val="none"/>
                <w:u w:val="single"/>
              </w:rPr>
              <w:t>（设计方案光盘除外）</w:t>
            </w:r>
            <w:r>
              <w:rPr>
                <w:rFonts w:hint="eastAsia" w:ascii="宋体" w:hAnsi="宋体" w:cs="宋体"/>
                <w:color w:val="auto"/>
                <w:szCs w:val="21"/>
                <w:highlight w:val="none"/>
              </w:rPr>
              <w:t>。密封袋上应写明项目名称和招标人名称</w:t>
            </w:r>
            <w:r>
              <w:rPr>
                <w:rFonts w:hint="eastAsia" w:ascii="宋体" w:hAnsi="宋体" w:cs="宋体"/>
                <w:color w:val="auto"/>
                <w:szCs w:val="21"/>
                <w:highlight w:val="none"/>
                <w:u w:val="single"/>
              </w:rPr>
              <w:t>（设计方案光盘除外）</w:t>
            </w:r>
            <w:r>
              <w:rPr>
                <w:rFonts w:hint="eastAsia" w:ascii="宋体" w:hAnsi="宋体" w:cs="宋体"/>
                <w:color w:val="auto"/>
                <w:szCs w:val="21"/>
                <w:highlight w:val="none"/>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highlight w:val="none"/>
              </w:rPr>
            </w:pPr>
            <w:r>
              <w:rPr>
                <w:rFonts w:hint="eastAsia" w:ascii="宋体" w:hAnsi="宋体" w:cs="宋体"/>
                <w:color w:val="auto"/>
                <w:szCs w:val="21"/>
                <w:highlight w:val="none"/>
              </w:rPr>
              <w:t>3.10.1</w:t>
            </w:r>
          </w:p>
        </w:tc>
        <w:tc>
          <w:tcPr>
            <w:tcW w:w="3600" w:type="dxa"/>
            <w:vAlign w:val="center"/>
          </w:tcPr>
          <w:p>
            <w:pPr>
              <w:spacing w:line="360" w:lineRule="auto"/>
              <w:rPr>
                <w:rFonts w:ascii="宋体" w:hAnsi="宋体"/>
                <w:color w:val="auto"/>
                <w:highlight w:val="none"/>
              </w:rPr>
            </w:pPr>
            <w:r>
              <w:rPr>
                <w:rFonts w:hint="eastAsia" w:ascii="宋体" w:hAnsi="宋体" w:cs="宋体"/>
                <w:color w:val="auto"/>
                <w:szCs w:val="21"/>
                <w:highlight w:val="none"/>
              </w:rPr>
              <w:t>3.10.1</w:t>
            </w:r>
            <w:r>
              <w:rPr>
                <w:rFonts w:hint="eastAsia" w:ascii="宋体" w:hAnsi="宋体"/>
                <w:color w:val="auto"/>
                <w:highlight w:val="none"/>
              </w:rPr>
              <w:t>投标人不需要提交投标保证金，评标结果揭晓后，中标候选人所得投标补偿转作</w:t>
            </w:r>
            <w:r>
              <w:rPr>
                <w:rFonts w:hint="eastAsia" w:ascii="宋体" w:hAnsi="宋体"/>
                <w:color w:val="auto"/>
                <w:szCs w:val="21"/>
                <w:highlight w:val="none"/>
              </w:rPr>
              <w:t>保证金，</w:t>
            </w:r>
            <w:r>
              <w:rPr>
                <w:rFonts w:hint="eastAsia" w:ascii="宋体" w:hAnsi="宋体"/>
                <w:color w:val="auto"/>
                <w:highlight w:val="none"/>
              </w:rPr>
              <w:t>确定中标人后立即返还，其中中标人的保证金待</w:t>
            </w:r>
            <w:r>
              <w:rPr>
                <w:rFonts w:hint="eastAsia" w:ascii="宋体" w:hAnsi="宋体"/>
                <w:color w:val="auto"/>
                <w:szCs w:val="21"/>
                <w:highlight w:val="none"/>
              </w:rPr>
              <w:t>签订合同后</w:t>
            </w:r>
            <w:r>
              <w:rPr>
                <w:rFonts w:hint="eastAsia" w:ascii="宋体" w:hAnsi="宋体"/>
                <w:color w:val="auto"/>
                <w:highlight w:val="none"/>
              </w:rPr>
              <w:t>立即返还</w:t>
            </w:r>
            <w:r>
              <w:rPr>
                <w:rFonts w:hint="eastAsia" w:ascii="宋体" w:hAnsi="宋体"/>
                <w:color w:val="auto"/>
                <w:szCs w:val="21"/>
                <w:highlight w:val="none"/>
              </w:rPr>
              <w:t>。如果重新招标，</w:t>
            </w:r>
            <w:r>
              <w:rPr>
                <w:rFonts w:hint="eastAsia" w:ascii="宋体" w:hAnsi="宋体"/>
                <w:color w:val="auto"/>
                <w:highlight w:val="none"/>
              </w:rPr>
              <w:t>保证金立即返还。</w:t>
            </w:r>
          </w:p>
        </w:tc>
        <w:tc>
          <w:tcPr>
            <w:tcW w:w="3708" w:type="dxa"/>
            <w:vAlign w:val="center"/>
          </w:tcPr>
          <w:p>
            <w:pPr>
              <w:rPr>
                <w:rFonts w:hint="eastAsia" w:ascii="宋体" w:hAnsi="宋体" w:cs="宋体"/>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s="宋体"/>
                <w:color w:val="auto"/>
                <w:szCs w:val="21"/>
                <w:highlight w:val="none"/>
              </w:rPr>
              <w:t>3.10.1</w:t>
            </w:r>
          </w:p>
          <w:p>
            <w:pPr>
              <w:rPr>
                <w:rFonts w:hint="eastAsia" w:ascii="宋体" w:hAnsi="宋体" w:cs="宋体"/>
                <w:color w:val="auto"/>
                <w:szCs w:val="21"/>
                <w:highlight w:val="none"/>
              </w:rPr>
            </w:pPr>
            <w:r>
              <w:rPr>
                <w:rFonts w:hint="eastAsia" w:ascii="宋体" w:hAnsi="宋体"/>
                <w:color w:val="auto"/>
                <w:szCs w:val="24"/>
                <w:highlight w:val="none"/>
                <w:u w:val="single"/>
              </w:rPr>
              <w:t>投标经济补偿按招标公告规定支付。</w:t>
            </w:r>
            <w:r>
              <w:rPr>
                <w:rFonts w:hint="eastAsia" w:ascii="宋体" w:hAnsi="宋体"/>
                <w:color w:val="auto"/>
                <w:highlight w:val="none"/>
              </w:rPr>
              <w:t>投标人需要提交投标保证金</w:t>
            </w:r>
            <w:r>
              <w:rPr>
                <w:rFonts w:hint="eastAsia" w:ascii="宋体" w:hAnsi="宋体" w:cs="宋体"/>
                <w:color w:val="auto"/>
                <w:szCs w:val="21"/>
                <w:highlight w:val="none"/>
              </w:rPr>
              <w:t>，投标保证金的形式：</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投标保证金的金额：</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万元 </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rPr>
              <w:t>投标保证金可采用现金、支票、投标保函、投标保证保险、专业工程担保公司担保的形式，须在递交投标文件截止时间前完成缴纳。</w:t>
            </w:r>
          </w:p>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采用现金、支票或汇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采用保函或保险等形式提交的，银行保函需开具给招标人（必须是公司基本账户开户银行出具的银行保函）。保证保险需开具给招标人（受益人也必须是招标人），开具保证保险的保险费必须由投标人基本账户银行转账汇入保险公司指定的账户。在投标截止时间前单独密封递交至开标室，或可由中标候选人在中标候选人公示前提交并在网上公示，但投标人应在投标文件中提交投标保函或投标保证保险等的扫描件并加盖投标人印章。若以交易系统支持的电子保函或电子投标保证保险递交的，到账情况以开标时广州公共资源交易中心数据库查询信息为准</w:t>
            </w:r>
            <w:r>
              <w:rPr>
                <w:rFonts w:hint="eastAsia" w:ascii="宋体" w:hAnsi="宋体" w:eastAsia="宋体" w:cs="宋体"/>
                <w:color w:val="auto"/>
                <w:szCs w:val="21"/>
                <w:highlight w:val="none"/>
                <w:lang w:eastAsia="zh-CN"/>
              </w:rPr>
              <w:t>。</w:t>
            </w:r>
          </w:p>
          <w:p>
            <w:pPr>
              <w:spacing w:line="360" w:lineRule="auto"/>
              <w:rPr>
                <w:rFonts w:ascii="宋体" w:hAnsi="宋体"/>
                <w:color w:val="auto"/>
                <w:highlight w:val="none"/>
              </w:rPr>
            </w:pPr>
            <w:r>
              <w:rPr>
                <w:rFonts w:hint="eastAsia" w:ascii="宋体" w:hAnsi="宋体"/>
                <w:color w:val="auto"/>
                <w:szCs w:val="24"/>
                <w:highlight w:val="none"/>
                <w:u w:val="single"/>
              </w:rPr>
              <w:t>投标经济补偿按招标公告规定支付。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8" w:type="dxa"/>
            <w:vAlign w:val="center"/>
          </w:tcPr>
          <w:p>
            <w:pPr>
              <w:numPr>
                <w:ilvl w:val="0"/>
                <w:numId w:val="1"/>
              </w:numPr>
              <w:snapToGrid w:val="0"/>
              <w:spacing w:line="360" w:lineRule="auto"/>
              <w:ind w:firstLine="700"/>
              <w:jc w:val="center"/>
              <w:rPr>
                <w:rFonts w:ascii="宋体" w:hAnsi="宋体"/>
                <w:color w:val="auto"/>
                <w:highlight w:val="none"/>
              </w:rPr>
            </w:pPr>
            <w:r>
              <w:rPr>
                <w:rFonts w:hint="eastAsia" w:ascii="宋体" w:hAnsi="宋体"/>
                <w:color w:val="auto"/>
                <w:highlight w:val="none"/>
              </w:rPr>
              <w:t>99</w:t>
            </w:r>
          </w:p>
        </w:tc>
        <w:tc>
          <w:tcPr>
            <w:tcW w:w="1260" w:type="dxa"/>
            <w:vAlign w:val="center"/>
          </w:tcPr>
          <w:p>
            <w:pPr>
              <w:snapToGrid w:val="0"/>
              <w:spacing w:line="360" w:lineRule="auto"/>
              <w:rPr>
                <w:rFonts w:ascii="宋体" w:hAnsi="宋体"/>
                <w:color w:val="auto"/>
                <w:highlight w:val="none"/>
              </w:rPr>
            </w:pPr>
            <w:r>
              <w:rPr>
                <w:rFonts w:hint="eastAsia" w:ascii="宋体" w:hAnsi="宋体" w:cs="宋体"/>
                <w:color w:val="auto"/>
                <w:szCs w:val="21"/>
                <w:highlight w:val="none"/>
              </w:rPr>
              <w:t>3.10.2</w:t>
            </w:r>
          </w:p>
        </w:tc>
        <w:tc>
          <w:tcPr>
            <w:tcW w:w="3600" w:type="dxa"/>
            <w:vAlign w:val="center"/>
          </w:tcPr>
          <w:p>
            <w:pPr>
              <w:snapToGrid w:val="0"/>
              <w:spacing w:line="360" w:lineRule="auto"/>
              <w:rPr>
                <w:rFonts w:ascii="宋体" w:hAnsi="宋体"/>
                <w:color w:val="auto"/>
                <w:highlight w:val="none"/>
              </w:rPr>
            </w:pPr>
            <w:r>
              <w:rPr>
                <w:rFonts w:hint="eastAsia" w:ascii="宋体" w:hAnsi="宋体" w:cs="宋体"/>
                <w:color w:val="auto"/>
                <w:szCs w:val="21"/>
                <w:highlight w:val="none"/>
              </w:rPr>
              <w:t>3.10.2</w:t>
            </w:r>
            <w:r>
              <w:rPr>
                <w:rFonts w:hint="eastAsia" w:ascii="宋体" w:hAnsi="宋体"/>
                <w:color w:val="auto"/>
                <w:kern w:val="0"/>
                <w:highlight w:val="none"/>
              </w:rPr>
              <w:t>投标有效期90天，</w:t>
            </w:r>
            <w:r>
              <w:rPr>
                <w:rFonts w:hint="eastAsia" w:ascii="宋体" w:hAnsi="宋体"/>
                <w:color w:val="auto"/>
                <w:szCs w:val="21"/>
                <w:highlight w:val="none"/>
              </w:rPr>
              <w:t>从提交投标文件截止日起计算。在提交投标文件截止时间后到招标文件规定的投标有效期终止之前，投标人不得补充、修改或者撤回其投标文件，否则其保证金将被没收。</w:t>
            </w:r>
          </w:p>
        </w:tc>
        <w:tc>
          <w:tcPr>
            <w:tcW w:w="3708" w:type="dxa"/>
            <w:vAlign w:val="center"/>
          </w:tcPr>
          <w:p>
            <w:pPr>
              <w:snapToGrid w:val="0"/>
              <w:spacing w:line="360" w:lineRule="auto"/>
              <w:rPr>
                <w:rFonts w:ascii="宋体" w:hAnsi="宋体"/>
                <w:color w:val="auto"/>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s="宋体"/>
                <w:color w:val="auto"/>
                <w:szCs w:val="21"/>
                <w:highlight w:val="none"/>
              </w:rPr>
              <w:t>3.10.2</w:t>
            </w:r>
            <w:r>
              <w:rPr>
                <w:rFonts w:hint="eastAsia" w:ascii="宋体" w:hAnsi="宋体"/>
                <w:color w:val="auto"/>
                <w:szCs w:val="21"/>
                <w:highlight w:val="none"/>
              </w:rPr>
              <w:t>投标有效期90日历天，从提交投标文件截止日起计算</w:t>
            </w:r>
            <w:r>
              <w:rPr>
                <w:rFonts w:hint="eastAsia" w:ascii="宋体" w:hAnsi="宋体"/>
                <w:color w:val="auto"/>
                <w:szCs w:val="21"/>
                <w:highlight w:val="none"/>
                <w:u w:val="single"/>
              </w:rPr>
              <w:t>，如出现异议或投诉，则投标有效期自动延长至异议或投诉处理结束。</w:t>
            </w:r>
            <w:r>
              <w:rPr>
                <w:rFonts w:hint="eastAsia" w:ascii="宋体" w:hAnsi="宋体"/>
                <w:color w:val="auto"/>
                <w:szCs w:val="21"/>
                <w:highlight w:val="none"/>
              </w:rPr>
              <w:t>在提交投标文件截止时间后到招标文件规定的投标有效期终止之前，投标人不得补充、修改或者撤回其投标文件</w:t>
            </w:r>
            <w:r>
              <w:rPr>
                <w:rFonts w:hint="eastAsia" w:ascii="宋体" w:hAnsi="宋体"/>
                <w:color w:val="auto"/>
                <w:szCs w:val="21"/>
                <w:highlight w:val="none"/>
                <w:lang w:eastAsia="zh-CN"/>
              </w:rPr>
              <w:t>，</w:t>
            </w:r>
            <w:r>
              <w:rPr>
                <w:rFonts w:hint="eastAsia" w:ascii="宋体" w:hAnsi="宋体"/>
                <w:color w:val="auto"/>
                <w:szCs w:val="21"/>
                <w:highlight w:val="none"/>
              </w:rPr>
              <w:t>否则其保证金将被没收。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highlight w:val="none"/>
              </w:rPr>
            </w:pPr>
            <w:r>
              <w:rPr>
                <w:rFonts w:hint="eastAsia" w:ascii="宋体" w:hAnsi="宋体" w:cs="宋体"/>
                <w:color w:val="auto"/>
                <w:szCs w:val="21"/>
                <w:highlight w:val="none"/>
              </w:rPr>
              <w:t>4.2.1</w:t>
            </w:r>
          </w:p>
        </w:tc>
        <w:tc>
          <w:tcPr>
            <w:tcW w:w="3600" w:type="dxa"/>
            <w:vAlign w:val="center"/>
          </w:tcPr>
          <w:p>
            <w:pPr>
              <w:spacing w:line="360" w:lineRule="auto"/>
              <w:rPr>
                <w:rFonts w:ascii="宋体" w:hAnsi="宋体"/>
                <w:color w:val="auto"/>
                <w:highlight w:val="none"/>
              </w:rPr>
            </w:pPr>
            <w:r>
              <w:rPr>
                <w:rFonts w:hint="eastAsia" w:ascii="宋体" w:hAnsi="宋体" w:cs="宋体"/>
                <w:color w:val="auto"/>
                <w:szCs w:val="21"/>
                <w:highlight w:val="none"/>
              </w:rPr>
              <w:t>4.2.1</w:t>
            </w:r>
            <w:r>
              <w:rPr>
                <w:rFonts w:hint="eastAsia" w:ascii="宋体" w:hAnsi="宋体"/>
                <w:color w:val="auto"/>
                <w:highlight w:val="none"/>
              </w:rPr>
              <w:t>评标委员会由</w:t>
            </w:r>
            <w:r>
              <w:rPr>
                <w:rFonts w:hint="eastAsia" w:ascii="宋体" w:hAnsi="宋体"/>
                <w:color w:val="auto"/>
                <w:szCs w:val="21"/>
                <w:highlight w:val="none"/>
              </w:rPr>
              <w:t>专家和业主代表组成</w:t>
            </w:r>
            <w:r>
              <w:rPr>
                <w:rFonts w:hint="eastAsia" w:ascii="宋体" w:hAnsi="宋体"/>
                <w:color w:val="auto"/>
                <w:highlight w:val="none"/>
              </w:rPr>
              <w:t>，专家不得少于</w:t>
            </w:r>
            <w:r>
              <w:rPr>
                <w:rFonts w:hint="eastAsia" w:ascii="宋体" w:hAnsi="宋体"/>
                <w:color w:val="auto"/>
                <w:szCs w:val="21"/>
                <w:highlight w:val="none"/>
              </w:rPr>
              <w:t>评标委员会成员</w:t>
            </w:r>
            <w:r>
              <w:rPr>
                <w:rFonts w:hint="eastAsia" w:ascii="宋体" w:hAnsi="宋体"/>
                <w:color w:val="auto"/>
                <w:highlight w:val="none"/>
              </w:rPr>
              <w:t>总数的三分之二。专家一般从政府评标专家库随机抽取，技术特别复杂、专业性要求特别高或者国家有特别要求的项目，采取随机抽取方式确定的专家难以胜任的，经审批部门核准可以由招标人直接确定。</w:t>
            </w:r>
          </w:p>
        </w:tc>
        <w:tc>
          <w:tcPr>
            <w:tcW w:w="3708" w:type="dxa"/>
            <w:vAlign w:val="center"/>
          </w:tcPr>
          <w:p>
            <w:pPr>
              <w:spacing w:line="360" w:lineRule="auto"/>
              <w:rPr>
                <w:rFonts w:ascii="宋体" w:hAnsi="宋体"/>
                <w:color w:val="auto"/>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highlight w:val="none"/>
              </w:rPr>
              <w:t>4.2.1</w:t>
            </w:r>
            <w:r>
              <w:rPr>
                <w:rFonts w:hint="eastAsia" w:ascii="宋体" w:hAnsi="宋体"/>
                <w:color w:val="auto"/>
                <w:highlight w:val="none"/>
                <w:u w:val="single"/>
              </w:rPr>
              <w:t>评标委员会由招标人依法组建，由广东省综合评标评审专家库随机抽取的专家5名和业主代表2名组成，共7名</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4.3</w:t>
            </w:r>
          </w:p>
        </w:tc>
        <w:tc>
          <w:tcPr>
            <w:tcW w:w="3600" w:type="dxa"/>
            <w:vAlign w:val="center"/>
          </w:tcPr>
          <w:p>
            <w:pPr>
              <w:spacing w:line="360" w:lineRule="auto"/>
              <w:rPr>
                <w:rFonts w:ascii="宋体" w:hAnsi="宋体"/>
                <w:color w:val="auto"/>
                <w:highlight w:val="none"/>
              </w:rPr>
            </w:pPr>
            <w:r>
              <w:rPr>
                <w:rFonts w:hint="eastAsia" w:ascii="宋体" w:hAnsi="宋体"/>
                <w:color w:val="auto"/>
                <w:highlight w:val="none"/>
              </w:rPr>
              <w:t>4.3    定标委员会（如有）</w:t>
            </w:r>
          </w:p>
          <w:p>
            <w:pPr>
              <w:spacing w:line="360" w:lineRule="auto"/>
              <w:rPr>
                <w:rFonts w:ascii="宋体" w:hAnsi="宋体" w:cs="宋体"/>
                <w:color w:val="auto"/>
                <w:szCs w:val="21"/>
                <w:highlight w:val="none"/>
              </w:rPr>
            </w:pPr>
            <w:r>
              <w:rPr>
                <w:rFonts w:hint="eastAsia" w:ascii="宋体" w:hAnsi="宋体"/>
                <w:color w:val="auto"/>
                <w:highlight w:val="none"/>
              </w:rPr>
              <w:t>4.3.1  定标委员会由招标人组建。组建办法详见附表15《定标委员会的组成》</w:t>
            </w:r>
          </w:p>
        </w:tc>
        <w:tc>
          <w:tcPr>
            <w:tcW w:w="3708" w:type="dxa"/>
            <w:vAlign w:val="center"/>
          </w:tcPr>
          <w:p>
            <w:pPr>
              <w:spacing w:line="360" w:lineRule="auto"/>
              <w:rPr>
                <w:rFonts w:ascii="宋体" w:hAnsi="宋体"/>
                <w:b/>
                <w:color w:val="auto"/>
                <w:szCs w:val="24"/>
                <w:highlight w:val="none"/>
              </w:rPr>
            </w:pPr>
            <w:r>
              <w:rPr>
                <w:rFonts w:hint="eastAsia" w:ascii="宋体" w:hAnsi="宋体"/>
                <w:b/>
                <w:color w:val="auto"/>
                <w:szCs w:val="24"/>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4.4.4</w:t>
            </w:r>
          </w:p>
        </w:tc>
        <w:tc>
          <w:tcPr>
            <w:tcW w:w="3600" w:type="dxa"/>
            <w:vAlign w:val="center"/>
          </w:tcPr>
          <w:p>
            <w:pPr>
              <w:rPr>
                <w:rFonts w:ascii="宋体" w:hAnsi="宋体"/>
                <w:color w:val="auto"/>
                <w:highlight w:val="none"/>
              </w:rPr>
            </w:pPr>
            <w:r>
              <w:rPr>
                <w:rFonts w:hint="eastAsia" w:ascii="宋体" w:hAnsi="宋体"/>
                <w:color w:val="auto"/>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tc>
        <w:tc>
          <w:tcPr>
            <w:tcW w:w="3708" w:type="dxa"/>
            <w:vAlign w:val="center"/>
          </w:tcPr>
          <w:p>
            <w:pPr>
              <w:rPr>
                <w:rFonts w:ascii="宋体" w:hAnsi="宋体"/>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szCs w:val="21"/>
                <w:highlight w:val="none"/>
              </w:rPr>
              <w:t>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ind w:firstLine="420" w:firstLineChars="200"/>
              <w:rPr>
                <w:rFonts w:ascii="宋体" w:hAnsi="宋体"/>
                <w:color w:val="auto"/>
                <w:szCs w:val="21"/>
                <w:highlight w:val="none"/>
                <w:u w:val="single"/>
              </w:rPr>
            </w:pPr>
            <w:r>
              <w:rPr>
                <w:rFonts w:hint="eastAsia" w:ascii="宋体" w:hAnsi="宋体"/>
                <w:color w:val="auto"/>
                <w:szCs w:val="21"/>
                <w:highlight w:val="none"/>
                <w:u w:val="single"/>
              </w:rPr>
              <w:t>若在评标期间</w:t>
            </w:r>
            <w:r>
              <w:rPr>
                <w:rFonts w:hint="eastAsia" w:ascii="宋体" w:hAnsi="宋体"/>
                <w:b/>
                <w:color w:val="auto"/>
                <w:szCs w:val="21"/>
                <w:highlight w:val="none"/>
                <w:u w:val="single"/>
              </w:rPr>
              <w:t>（设计</w:t>
            </w:r>
            <w:r>
              <w:rPr>
                <w:rFonts w:ascii="宋体" w:hAnsi="宋体"/>
                <w:b/>
                <w:color w:val="auto"/>
                <w:szCs w:val="21"/>
                <w:highlight w:val="none"/>
                <w:u w:val="single"/>
              </w:rPr>
              <w:t>方案评审阶段除外</w:t>
            </w:r>
            <w:r>
              <w:rPr>
                <w:rFonts w:hint="eastAsia" w:ascii="宋体" w:hAnsi="宋体"/>
                <w:b/>
                <w:color w:val="auto"/>
                <w:szCs w:val="21"/>
                <w:highlight w:val="none"/>
                <w:u w:val="single"/>
              </w:rPr>
              <w:t>）</w:t>
            </w:r>
            <w:r>
              <w:rPr>
                <w:rFonts w:hint="eastAsia" w:ascii="宋体" w:hAnsi="宋体"/>
                <w:color w:val="auto"/>
                <w:szCs w:val="21"/>
                <w:highlight w:val="none"/>
                <w:u w:val="single"/>
              </w:rPr>
              <w:t>，经评标委员会两人以上（含两人）以书面形式提出动议，评标委员会应当书面发出澄清通知，要求投标人对投标文件含义不明确的内容作出澄清。</w:t>
            </w:r>
          </w:p>
          <w:p>
            <w:pPr>
              <w:ind w:firstLine="420" w:firstLineChars="200"/>
              <w:rPr>
                <w:rFonts w:ascii="宋体" w:hAnsi="宋体"/>
                <w:color w:val="auto"/>
                <w:szCs w:val="21"/>
                <w:highlight w:val="none"/>
                <w:u w:val="single"/>
              </w:rPr>
            </w:pPr>
            <w:r>
              <w:rPr>
                <w:rFonts w:hint="eastAsia" w:ascii="宋体" w:hAnsi="宋体"/>
                <w:color w:val="auto"/>
                <w:szCs w:val="21"/>
                <w:highlight w:val="none"/>
                <w:u w:val="single"/>
              </w:rPr>
              <w:t>投标人应以书面形式进行澄清，澄清中的承诺性意思表示在投标文件有效期内均对投标人有约束力。澄清不得超出投标文件的范围或改变投标文件的实质性内容，超出部分不作为评标委员会评审的依据。</w:t>
            </w:r>
          </w:p>
          <w:p>
            <w:pPr>
              <w:ind w:firstLine="420" w:firstLineChars="200"/>
              <w:rPr>
                <w:rFonts w:ascii="宋体" w:hAnsi="宋体"/>
                <w:b/>
                <w:color w:val="auto"/>
                <w:szCs w:val="24"/>
                <w:highlight w:val="none"/>
              </w:rPr>
            </w:pPr>
            <w:r>
              <w:rPr>
                <w:rFonts w:hint="eastAsia" w:ascii="宋体" w:hAnsi="宋体"/>
                <w:color w:val="auto"/>
                <w:szCs w:val="21"/>
                <w:highlight w:val="none"/>
                <w:u w:val="single"/>
              </w:rPr>
              <w:t>评标委员会均应当阅读投标人的澄清，但应独立参考澄清对投标文件进行评审。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5</w:t>
            </w:r>
            <w:r>
              <w:rPr>
                <w:rFonts w:hint="eastAsia" w:ascii="宋体" w:hAnsi="宋体"/>
                <w:color w:val="auto"/>
                <w:szCs w:val="21"/>
                <w:highlight w:val="none"/>
              </w:rPr>
              <w:t>.1</w:t>
            </w:r>
          </w:p>
        </w:tc>
        <w:tc>
          <w:tcPr>
            <w:tcW w:w="3600" w:type="dxa"/>
          </w:tcPr>
          <w:p>
            <w:pPr>
              <w:spacing w:line="360" w:lineRule="auto"/>
              <w:ind w:left="743" w:hanging="743" w:hangingChars="354"/>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5</w:t>
            </w:r>
            <w:r>
              <w:rPr>
                <w:rFonts w:hint="eastAsia" w:ascii="宋体" w:hAnsi="宋体"/>
                <w:color w:val="auto"/>
                <w:szCs w:val="21"/>
                <w:highlight w:val="none"/>
              </w:rPr>
              <w:t>.1是否采用评定分离：□是，入围定标环节的投标人家数：</w:t>
            </w:r>
            <w:r>
              <w:rPr>
                <w:rFonts w:hint="eastAsia" w:ascii="宋体" w:hAnsi="宋体"/>
                <w:color w:val="auto"/>
                <w:szCs w:val="21"/>
                <w:highlight w:val="none"/>
                <w:u w:val="single"/>
              </w:rPr>
              <w:t xml:space="preserve">    </w:t>
            </w:r>
            <w:r>
              <w:rPr>
                <w:rFonts w:hint="eastAsia" w:ascii="宋体" w:hAnsi="宋体"/>
                <w:color w:val="auto"/>
                <w:szCs w:val="21"/>
                <w:highlight w:val="none"/>
              </w:rPr>
              <w:t>名；</w:t>
            </w:r>
            <w:r>
              <w:rPr>
                <w:rFonts w:ascii="宋体" w:hAnsi="宋体"/>
                <w:color w:val="auto"/>
                <w:szCs w:val="21"/>
                <w:highlight w:val="none"/>
              </w:rPr>
              <w:t xml:space="preserve"> </w:t>
            </w:r>
          </w:p>
          <w:p>
            <w:pPr>
              <w:spacing w:line="360" w:lineRule="auto"/>
              <w:ind w:left="743" w:hanging="743" w:hangingChars="354"/>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□否。</w:t>
            </w:r>
          </w:p>
        </w:tc>
        <w:tc>
          <w:tcPr>
            <w:tcW w:w="3708" w:type="dxa"/>
          </w:tcPr>
          <w:p>
            <w:pPr>
              <w:spacing w:line="360" w:lineRule="auto"/>
              <w:ind w:left="746" w:hanging="743" w:hangingChars="354"/>
              <w:rPr>
                <w:rFonts w:ascii="宋体" w:hAnsi="宋体"/>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szCs w:val="21"/>
                <w:highlight w:val="none"/>
              </w:rPr>
              <w:t>4.</w:t>
            </w:r>
            <w:r>
              <w:rPr>
                <w:rFonts w:ascii="宋体" w:hAnsi="宋体"/>
                <w:color w:val="auto"/>
                <w:szCs w:val="21"/>
                <w:highlight w:val="none"/>
              </w:rPr>
              <w:t>5</w:t>
            </w:r>
            <w:r>
              <w:rPr>
                <w:rFonts w:hint="eastAsia" w:ascii="宋体" w:hAnsi="宋体"/>
                <w:color w:val="auto"/>
                <w:szCs w:val="21"/>
                <w:highlight w:val="none"/>
              </w:rPr>
              <w:t>.1是否采用评定分离：</w:t>
            </w:r>
            <w:r>
              <w:rPr>
                <w:rFonts w:hint="eastAsia" w:ascii="宋体" w:hAnsi="宋体" w:cs="宋体"/>
                <w:color w:val="auto"/>
                <w:sz w:val="24"/>
                <w:highlight w:val="none"/>
              </w:rPr>
              <w:t>■</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2.2</w:t>
            </w:r>
          </w:p>
        </w:tc>
        <w:tc>
          <w:tcPr>
            <w:tcW w:w="3600" w:type="dxa"/>
          </w:tcPr>
          <w:p>
            <w:pPr>
              <w:spacing w:line="360" w:lineRule="auto"/>
              <w:ind w:left="743" w:hanging="743" w:hangingChars="354"/>
              <w:jc w:val="left"/>
              <w:rPr>
                <w:color w:val="auto"/>
                <w:szCs w:val="21"/>
                <w:highlight w:val="none"/>
              </w:rPr>
            </w:pPr>
            <w:r>
              <w:rPr>
                <w:rFonts w:hint="eastAsia" w:ascii="宋体" w:hAnsi="宋体"/>
                <w:color w:val="auto"/>
                <w:szCs w:val="21"/>
                <w:highlight w:val="none"/>
              </w:rPr>
              <w:t>4.</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2.2</w:t>
            </w:r>
            <w:r>
              <w:rPr>
                <w:rFonts w:hint="eastAsia"/>
                <w:color w:val="auto"/>
                <w:szCs w:val="21"/>
                <w:highlight w:val="none"/>
              </w:rPr>
              <w:t>如果评标委员会成员在交易服务机构评标，将按方法    规定的步骤进行：</w:t>
            </w:r>
          </w:p>
          <w:p>
            <w:pPr>
              <w:spacing w:line="360" w:lineRule="auto"/>
              <w:jc w:val="left"/>
              <w:rPr>
                <w:color w:val="auto"/>
                <w:szCs w:val="21"/>
                <w:highlight w:val="none"/>
              </w:rPr>
            </w:pPr>
          </w:p>
        </w:tc>
        <w:tc>
          <w:tcPr>
            <w:tcW w:w="3708" w:type="dxa"/>
          </w:tcPr>
          <w:p>
            <w:pPr>
              <w:spacing w:line="360" w:lineRule="auto"/>
              <w:jc w:val="left"/>
              <w:rPr>
                <w:color w:val="auto"/>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szCs w:val="21"/>
                <w:highlight w:val="none"/>
              </w:rPr>
              <w:t>4.</w:t>
            </w: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2.2</w:t>
            </w:r>
            <w:r>
              <w:rPr>
                <w:rFonts w:hint="eastAsia"/>
                <w:color w:val="auto"/>
                <w:highlight w:val="none"/>
              </w:rPr>
              <w:t>如果评标委员会成员在交易服务机构评标，将按方法</w:t>
            </w:r>
            <w:r>
              <w:rPr>
                <w:rFonts w:hint="eastAsia"/>
                <w:color w:val="auto"/>
                <w:highlight w:val="none"/>
                <w:u w:val="single"/>
              </w:rPr>
              <w:t xml:space="preserve"> </w:t>
            </w:r>
            <w:r>
              <w:rPr>
                <w:rFonts w:hint="eastAsia"/>
                <w:b/>
                <w:bCs/>
                <w:color w:val="auto"/>
                <w:highlight w:val="none"/>
                <w:u w:val="single"/>
              </w:rPr>
              <w:t xml:space="preserve">二 </w:t>
            </w:r>
            <w:r>
              <w:rPr>
                <w:rFonts w:hint="eastAsia"/>
                <w:color w:val="auto"/>
                <w:highlight w:val="none"/>
              </w:rPr>
              <w:t>规定的步骤进行：</w:t>
            </w:r>
          </w:p>
          <w:p>
            <w:pPr>
              <w:spacing w:line="360" w:lineRule="auto"/>
              <w:jc w:val="left"/>
              <w:rPr>
                <w:color w:val="auto"/>
                <w:highlight w:val="none"/>
              </w:rPr>
            </w:pPr>
            <w:r>
              <w:rPr>
                <w:rFonts w:hint="eastAsia"/>
                <w:b/>
                <w:bCs/>
                <w:color w:val="auto"/>
                <w:highlight w:val="none"/>
              </w:rPr>
              <w:t>详见招标文件中“4.5.2.2”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sz w:val="24"/>
                <w:szCs w:val="24"/>
                <w:highlight w:val="none"/>
              </w:rPr>
            </w:pPr>
          </w:p>
        </w:tc>
        <w:tc>
          <w:tcPr>
            <w:tcW w:w="126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4.5.3</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5.3</w:t>
            </w:r>
            <w:r>
              <w:rPr>
                <w:rFonts w:hint="eastAsia" w:ascii="宋体" w:hAnsi="宋体"/>
                <w:color w:val="auto"/>
                <w:szCs w:val="21"/>
                <w:highlight w:val="none"/>
              </w:rPr>
              <w:t>采用评定分离项目的评标及定标办法</w:t>
            </w:r>
          </w:p>
        </w:tc>
        <w:tc>
          <w:tcPr>
            <w:tcW w:w="3708"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b/>
                <w:color w:val="auto"/>
                <w:szCs w:val="21"/>
                <w:highlight w:val="none"/>
              </w:rPr>
              <w:t>5.1</w:t>
            </w:r>
          </w:p>
        </w:tc>
        <w:tc>
          <w:tcPr>
            <w:tcW w:w="3600" w:type="dxa"/>
            <w:vAlign w:val="center"/>
          </w:tcPr>
          <w:p>
            <w:pPr>
              <w:spacing w:line="360" w:lineRule="auto"/>
              <w:rPr>
                <w:rFonts w:ascii="宋体" w:hAnsi="宋体"/>
                <w:b/>
                <w:color w:val="auto"/>
                <w:szCs w:val="21"/>
                <w:highlight w:val="none"/>
              </w:rPr>
            </w:pPr>
            <w:r>
              <w:rPr>
                <w:rFonts w:hint="eastAsia" w:ascii="宋体" w:hAnsi="宋体"/>
                <w:b/>
                <w:color w:val="auto"/>
                <w:szCs w:val="21"/>
                <w:highlight w:val="none"/>
              </w:rPr>
              <w:t>5.1    确定中标人</w:t>
            </w:r>
          </w:p>
          <w:p>
            <w:pPr>
              <w:spacing w:line="360" w:lineRule="auto"/>
              <w:rPr>
                <w:rFonts w:ascii="宋体" w:hAnsi="宋体"/>
                <w:color w:val="auto"/>
                <w:szCs w:val="21"/>
                <w:highlight w:val="none"/>
              </w:rPr>
            </w:pPr>
            <w:r>
              <w:rPr>
                <w:rFonts w:hint="eastAsia" w:ascii="宋体" w:hAnsi="宋体"/>
                <w:color w:val="auto"/>
                <w:szCs w:val="21"/>
                <w:highlight w:val="none"/>
              </w:rPr>
              <w:t>采用方式</w:t>
            </w:r>
            <w:r>
              <w:rPr>
                <w:rFonts w:hint="eastAsia" w:ascii="宋体" w:hAnsi="宋体"/>
                <w:color w:val="auto"/>
                <w:szCs w:val="21"/>
                <w:highlight w:val="none"/>
                <w:u w:val="single"/>
              </w:rPr>
              <w:t xml:space="preserve">    </w:t>
            </w:r>
            <w:r>
              <w:rPr>
                <w:rFonts w:hint="eastAsia" w:ascii="宋体" w:hAnsi="宋体"/>
                <w:color w:val="auto"/>
                <w:szCs w:val="21"/>
                <w:highlight w:val="none"/>
              </w:rPr>
              <w:t>确定中标人：</w:t>
            </w:r>
          </w:p>
        </w:tc>
        <w:tc>
          <w:tcPr>
            <w:tcW w:w="3708" w:type="dxa"/>
            <w:vAlign w:val="center"/>
          </w:tcPr>
          <w:p>
            <w:pPr>
              <w:spacing w:line="360" w:lineRule="auto"/>
              <w:rPr>
                <w:rFonts w:ascii="宋体" w:hAnsi="宋体"/>
                <w:b/>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b/>
                <w:color w:val="auto"/>
                <w:szCs w:val="21"/>
                <w:highlight w:val="none"/>
              </w:rPr>
              <w:t>5.1    确定中标人</w:t>
            </w:r>
          </w:p>
          <w:p>
            <w:pPr>
              <w:spacing w:line="360" w:lineRule="auto"/>
              <w:rPr>
                <w:rFonts w:ascii="宋体" w:hAnsi="宋体"/>
                <w:color w:val="auto"/>
                <w:szCs w:val="21"/>
                <w:highlight w:val="none"/>
              </w:rPr>
            </w:pPr>
            <w:r>
              <w:rPr>
                <w:rFonts w:hint="eastAsia" w:ascii="宋体" w:hAnsi="宋体"/>
                <w:color w:val="auto"/>
                <w:szCs w:val="21"/>
                <w:highlight w:val="none"/>
              </w:rPr>
              <w:t>采用方式</w:t>
            </w:r>
            <w:r>
              <w:rPr>
                <w:rFonts w:hint="eastAsia" w:ascii="宋体" w:hAnsi="宋体"/>
                <w:color w:val="auto"/>
                <w:szCs w:val="21"/>
                <w:highlight w:val="none"/>
                <w:u w:val="single"/>
              </w:rPr>
              <w:t xml:space="preserve"> 一 </w:t>
            </w:r>
            <w:r>
              <w:rPr>
                <w:rFonts w:hint="eastAsia" w:ascii="宋体" w:hAnsi="宋体"/>
                <w:color w:val="auto"/>
                <w:szCs w:val="21"/>
                <w:highlight w:val="none"/>
              </w:rPr>
              <w:t>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jc w:val="center"/>
              <w:rPr>
                <w:rFonts w:hint="default" w:ascii="宋体" w:hAnsi="宋体" w:eastAsia="宋体"/>
                <w:b/>
                <w:color w:val="auto"/>
                <w:szCs w:val="21"/>
                <w:highlight w:val="none"/>
                <w:lang w:val="en-US" w:eastAsia="zh-CN"/>
              </w:rPr>
            </w:pPr>
            <w:r>
              <w:rPr>
                <w:rFonts w:ascii="宋体" w:hAnsi="宋体"/>
                <w:color w:val="auto"/>
                <w:szCs w:val="21"/>
                <w:highlight w:val="none"/>
              </w:rPr>
              <w:t>5.3</w:t>
            </w:r>
          </w:p>
        </w:tc>
        <w:tc>
          <w:tcPr>
            <w:tcW w:w="3600" w:type="dxa"/>
            <w:vAlign w:val="center"/>
          </w:tcPr>
          <w:p>
            <w:pPr>
              <w:rPr>
                <w:rFonts w:ascii="宋体" w:hAnsi="宋体"/>
                <w:color w:val="auto"/>
                <w:szCs w:val="21"/>
                <w:highlight w:val="none"/>
              </w:rPr>
            </w:pPr>
            <w:r>
              <w:rPr>
                <w:rFonts w:ascii="宋体" w:hAnsi="宋体"/>
                <w:color w:val="auto"/>
                <w:szCs w:val="21"/>
                <w:highlight w:val="none"/>
              </w:rPr>
              <w:t>无</w:t>
            </w:r>
          </w:p>
        </w:tc>
        <w:tc>
          <w:tcPr>
            <w:tcW w:w="3708" w:type="dxa"/>
          </w:tcPr>
          <w:p>
            <w:pPr>
              <w:rPr>
                <w:rFonts w:ascii="宋体" w:hAnsi="宋体"/>
                <w:b/>
                <w:bCs/>
                <w:color w:val="auto"/>
                <w:szCs w:val="21"/>
                <w:highlight w:val="none"/>
              </w:rPr>
            </w:pPr>
            <w:r>
              <w:rPr>
                <w:rFonts w:ascii="宋体" w:hAnsi="宋体"/>
                <w:b/>
                <w:bCs/>
                <w:color w:val="auto"/>
                <w:szCs w:val="21"/>
                <w:highlight w:val="none"/>
              </w:rPr>
              <w:t>新增：</w:t>
            </w:r>
          </w:p>
          <w:p>
            <w:pPr>
              <w:rPr>
                <w:rFonts w:ascii="宋体" w:hAnsi="宋体"/>
                <w:color w:val="auto"/>
                <w:szCs w:val="21"/>
                <w:highlight w:val="none"/>
              </w:rPr>
            </w:pPr>
            <w:r>
              <w:rPr>
                <w:rFonts w:ascii="宋体" w:hAnsi="宋体"/>
                <w:color w:val="auto"/>
                <w:szCs w:val="21"/>
                <w:highlight w:val="none"/>
              </w:rPr>
              <w:t>5.3.5</w:t>
            </w:r>
            <w:r>
              <w:rPr>
                <w:rFonts w:hint="eastAsia" w:ascii="宋体" w:hAnsi="宋体"/>
                <w:color w:val="auto"/>
                <w:szCs w:val="21"/>
                <w:highlight w:val="none"/>
                <w:u w:val="single"/>
              </w:rPr>
              <w:t>中标人确定后，由中标单位交纳公共资源交易服务费。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jc w:val="center"/>
              <w:rPr>
                <w:rFonts w:ascii="宋体" w:hAnsi="宋体"/>
                <w:color w:val="auto"/>
                <w:szCs w:val="21"/>
                <w:highlight w:val="none"/>
              </w:rPr>
            </w:pPr>
            <w:r>
              <w:rPr>
                <w:rFonts w:ascii="宋体" w:hAnsi="宋体"/>
                <w:color w:val="auto"/>
                <w:szCs w:val="21"/>
                <w:highlight w:val="none"/>
              </w:rPr>
              <w:t>5.3</w:t>
            </w:r>
          </w:p>
        </w:tc>
        <w:tc>
          <w:tcPr>
            <w:tcW w:w="3600" w:type="dxa"/>
            <w:vAlign w:val="center"/>
          </w:tcPr>
          <w:p>
            <w:pP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无</w:t>
            </w:r>
          </w:p>
        </w:tc>
        <w:tc>
          <w:tcPr>
            <w:tcW w:w="3708" w:type="dxa"/>
          </w:tcPr>
          <w:p>
            <w:pPr>
              <w:rPr>
                <w:rFonts w:ascii="宋体" w:hAnsi="宋体"/>
                <w:color w:val="auto"/>
                <w:szCs w:val="21"/>
                <w:highlight w:val="none"/>
              </w:rPr>
            </w:pPr>
            <w:r>
              <w:rPr>
                <w:rFonts w:ascii="宋体" w:hAnsi="宋体"/>
                <w:b/>
                <w:bCs/>
                <w:color w:val="auto"/>
                <w:szCs w:val="21"/>
                <w:highlight w:val="none"/>
              </w:rPr>
              <w:t>新增：</w:t>
            </w:r>
            <w:r>
              <w:rPr>
                <w:rFonts w:hint="eastAsia" w:ascii="宋体" w:hAnsi="宋体"/>
                <w:color w:val="auto"/>
                <w:szCs w:val="21"/>
                <w:highlight w:val="none"/>
                <w:u w:val="single"/>
                <w:lang w:val="en-US" w:eastAsia="zh-CN"/>
              </w:rPr>
              <w:t>5.3.6</w:t>
            </w:r>
            <w:r>
              <w:rPr>
                <w:rFonts w:hint="eastAsia" w:ascii="宋体" w:hAnsi="宋体"/>
                <w:color w:val="auto"/>
                <w:szCs w:val="21"/>
                <w:highlight w:val="none"/>
                <w:u w:val="single"/>
              </w:rPr>
              <w:t>在签订合同前，中标人应</w:t>
            </w:r>
            <w:r>
              <w:rPr>
                <w:rFonts w:hint="eastAsia" w:ascii="宋体" w:hAnsi="宋体"/>
                <w:color w:val="auto"/>
                <w:szCs w:val="21"/>
                <w:highlight w:val="none"/>
                <w:u w:val="single"/>
                <w:lang w:val="en-US" w:eastAsia="zh-CN"/>
              </w:rPr>
              <w:t>按</w:t>
            </w:r>
            <w:r>
              <w:rPr>
                <w:rFonts w:hint="eastAsia" w:ascii="宋体" w:hAnsi="宋体"/>
                <w:color w:val="auto"/>
                <w:szCs w:val="21"/>
                <w:highlight w:val="none"/>
                <w:u w:val="single"/>
              </w:rPr>
              <w:t>招标文件第</w:t>
            </w:r>
            <w:r>
              <w:rPr>
                <w:rFonts w:hint="eastAsia" w:ascii="宋体" w:hAnsi="宋体"/>
                <w:color w:val="auto"/>
                <w:szCs w:val="21"/>
                <w:highlight w:val="none"/>
                <w:u w:val="single"/>
                <w:lang w:val="en-US" w:eastAsia="zh-CN"/>
              </w:rPr>
              <w:t>八</w:t>
            </w:r>
            <w:r>
              <w:rPr>
                <w:rFonts w:hint="eastAsia" w:ascii="宋体" w:hAnsi="宋体"/>
                <w:color w:val="auto"/>
                <w:szCs w:val="21"/>
                <w:highlight w:val="none"/>
                <w:u w:val="single"/>
              </w:rPr>
              <w:t>章“合同条款及格式”规定的或者事先经过招标人书面认可的履约保证金格式向招标人提交履约保证金，履约保证金为中标合同金额的10%。联合体中标的，其履约保证金以联合体各方或者联合体中牵头人的名义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jc w:val="center"/>
              <w:rPr>
                <w:rFonts w:ascii="宋体" w:hAnsi="宋体"/>
                <w:color w:val="auto"/>
                <w:szCs w:val="21"/>
                <w:highlight w:val="none"/>
              </w:rPr>
            </w:pPr>
            <w:r>
              <w:rPr>
                <w:rFonts w:ascii="宋体" w:hAnsi="宋体"/>
                <w:color w:val="auto"/>
                <w:szCs w:val="21"/>
                <w:highlight w:val="none"/>
              </w:rPr>
              <w:t>5.3</w:t>
            </w:r>
          </w:p>
        </w:tc>
        <w:tc>
          <w:tcPr>
            <w:tcW w:w="3600" w:type="dxa"/>
            <w:vAlign w:val="center"/>
          </w:tcPr>
          <w:p>
            <w:pPr>
              <w:rPr>
                <w:rFonts w:ascii="宋体" w:hAnsi="宋体"/>
                <w:color w:val="auto"/>
                <w:szCs w:val="21"/>
                <w:highlight w:val="none"/>
              </w:rPr>
            </w:pPr>
            <w:r>
              <w:rPr>
                <w:rFonts w:hint="eastAsia" w:ascii="宋体" w:hAnsi="宋体"/>
                <w:color w:val="auto"/>
                <w:szCs w:val="21"/>
                <w:highlight w:val="none"/>
                <w:lang w:val="en-US" w:eastAsia="zh-CN"/>
              </w:rPr>
              <w:t>无</w:t>
            </w:r>
          </w:p>
        </w:tc>
        <w:tc>
          <w:tcPr>
            <w:tcW w:w="3708" w:type="dxa"/>
          </w:tcPr>
          <w:p>
            <w:pPr>
              <w:rPr>
                <w:rFonts w:hint="default" w:ascii="宋体" w:hAnsi="宋体" w:eastAsia="宋体"/>
                <w:color w:val="auto"/>
                <w:szCs w:val="21"/>
                <w:highlight w:val="none"/>
                <w:lang w:val="en-US" w:eastAsia="zh-CN"/>
              </w:rPr>
            </w:pPr>
            <w:r>
              <w:rPr>
                <w:rFonts w:ascii="宋体" w:hAnsi="宋体"/>
                <w:b/>
                <w:bCs/>
                <w:color w:val="auto"/>
                <w:szCs w:val="21"/>
                <w:highlight w:val="none"/>
              </w:rPr>
              <w:t>新增：</w:t>
            </w:r>
            <w:r>
              <w:rPr>
                <w:rFonts w:hint="eastAsia" w:ascii="宋体" w:hAnsi="宋体"/>
                <w:color w:val="auto"/>
                <w:szCs w:val="21"/>
                <w:highlight w:val="none"/>
                <w:u w:val="single"/>
                <w:lang w:val="en-US" w:eastAsia="zh-CN"/>
              </w:rPr>
              <w:t>5.3.7中</w:t>
            </w:r>
            <w:r>
              <w:rPr>
                <w:rFonts w:hint="eastAsia" w:ascii="宋体" w:hAnsi="宋体"/>
                <w:color w:val="auto"/>
                <w:szCs w:val="21"/>
                <w:highlight w:val="none"/>
                <w:u w:val="single"/>
              </w:rPr>
              <w:t>标人不能按要求提交履约保证金的，视为放弃中标，其投标保证金不予退还，给招标人造成的损失超过投标保证金数额的，中标人还应当对超过部分予以赔偿。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7.2.1</w:t>
            </w:r>
          </w:p>
        </w:tc>
        <w:tc>
          <w:tcPr>
            <w:tcW w:w="3600" w:type="dxa"/>
            <w:vAlign w:val="center"/>
          </w:tcPr>
          <w:p>
            <w:pPr>
              <w:spacing w:line="360" w:lineRule="auto"/>
              <w:ind w:left="743" w:hanging="743" w:hangingChars="354"/>
              <w:rPr>
                <w:rFonts w:ascii="宋体" w:hAnsi="宋体"/>
                <w:b/>
                <w:color w:val="auto"/>
                <w:szCs w:val="21"/>
                <w:highlight w:val="none"/>
              </w:rPr>
            </w:pPr>
            <w:r>
              <w:rPr>
                <w:rFonts w:hint="eastAsia" w:ascii="宋体" w:hAnsi="宋体"/>
                <w:color w:val="auto"/>
                <w:szCs w:val="21"/>
                <w:highlight w:val="none"/>
              </w:rPr>
              <w:t>7.2.1  授予合同并支付定金后，中标方案的发表权、展览权、使用权归招标人和中标人共有。</w:t>
            </w:r>
          </w:p>
        </w:tc>
        <w:tc>
          <w:tcPr>
            <w:tcW w:w="3708" w:type="dxa"/>
            <w:vAlign w:val="center"/>
          </w:tcPr>
          <w:p>
            <w:pPr>
              <w:spacing w:line="360" w:lineRule="auto"/>
              <w:ind w:left="746" w:hanging="743" w:hangingChars="354"/>
              <w:rPr>
                <w:rFonts w:ascii="宋体" w:hAnsi="宋体"/>
                <w:b/>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szCs w:val="21"/>
                <w:highlight w:val="none"/>
              </w:rPr>
              <w:t>7.2.1  授予合同并支付</w:t>
            </w:r>
            <w:r>
              <w:rPr>
                <w:rFonts w:hint="eastAsia" w:ascii="宋体" w:hAnsi="宋体"/>
                <w:color w:val="auto"/>
                <w:szCs w:val="21"/>
                <w:highlight w:val="none"/>
                <w:u w:val="single"/>
              </w:rPr>
              <w:t>预付款</w:t>
            </w:r>
            <w:r>
              <w:rPr>
                <w:rFonts w:hint="eastAsia" w:ascii="宋体" w:hAnsi="宋体"/>
                <w:color w:val="auto"/>
                <w:szCs w:val="21"/>
                <w:highlight w:val="none"/>
              </w:rPr>
              <w:t>后，中标方案的发表权、展览权、使用权归招标人和中标人共有。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b/>
                <w:color w:val="auto"/>
                <w:szCs w:val="21"/>
                <w:highlight w:val="none"/>
              </w:rPr>
            </w:pPr>
            <w:r>
              <w:rPr>
                <w:rFonts w:hint="eastAsia" w:ascii="宋体" w:hAnsi="宋体"/>
                <w:color w:val="auto"/>
                <w:szCs w:val="21"/>
                <w:highlight w:val="none"/>
              </w:rPr>
              <w:t>7.2.2</w:t>
            </w:r>
          </w:p>
        </w:tc>
        <w:tc>
          <w:tcPr>
            <w:tcW w:w="3600" w:type="dxa"/>
            <w:vAlign w:val="center"/>
          </w:tcPr>
          <w:p>
            <w:pPr>
              <w:spacing w:line="360" w:lineRule="auto"/>
              <w:ind w:left="743" w:hanging="743" w:hangingChars="354"/>
              <w:rPr>
                <w:rFonts w:ascii="宋体" w:hAnsi="宋体"/>
                <w:color w:val="auto"/>
                <w:szCs w:val="21"/>
                <w:highlight w:val="none"/>
              </w:rPr>
            </w:pPr>
            <w:r>
              <w:rPr>
                <w:rFonts w:hint="eastAsia" w:ascii="宋体" w:hAnsi="宋体"/>
                <w:color w:val="auto"/>
                <w:szCs w:val="21"/>
                <w:highlight w:val="none"/>
              </w:rPr>
              <w:t>7.2.2  授予合同并支付定金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如果招标人、中标人使用未中标方案作为本项目实施方案，招标人按招标文件规定向提交方案的投标人付给使用费后，该方案的发表权、展览权、使用权归招标人和中标人共有。</w:t>
            </w:r>
          </w:p>
        </w:tc>
        <w:tc>
          <w:tcPr>
            <w:tcW w:w="3708" w:type="dxa"/>
            <w:vAlign w:val="center"/>
          </w:tcPr>
          <w:p>
            <w:pPr>
              <w:spacing w:line="360" w:lineRule="auto"/>
              <w:ind w:left="746" w:hanging="743" w:hangingChars="354"/>
              <w:rPr>
                <w:rFonts w:ascii="宋体" w:hAnsi="宋体"/>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szCs w:val="21"/>
                <w:highlight w:val="none"/>
              </w:rPr>
              <w:t>7.2.2  授予合同并支付</w:t>
            </w:r>
            <w:r>
              <w:rPr>
                <w:rFonts w:hint="eastAsia" w:ascii="宋体" w:hAnsi="宋体"/>
                <w:color w:val="auto"/>
                <w:szCs w:val="21"/>
                <w:highlight w:val="none"/>
                <w:u w:val="single"/>
              </w:rPr>
              <w:t>预付款</w:t>
            </w:r>
            <w:r>
              <w:rPr>
                <w:rFonts w:hint="eastAsia" w:ascii="宋体" w:hAnsi="宋体"/>
                <w:color w:val="auto"/>
                <w:szCs w:val="21"/>
                <w:highlight w:val="none"/>
              </w:rPr>
              <w:t>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w:t>
            </w:r>
            <w:r>
              <w:rPr>
                <w:rFonts w:hint="eastAsia" w:ascii="宋体" w:hAnsi="宋体"/>
                <w:color w:val="auto"/>
                <w:kern w:val="0"/>
                <w:szCs w:val="21"/>
                <w:highlight w:val="none"/>
              </w:rPr>
              <w:t>如果招标人、中标人</w:t>
            </w:r>
            <w:r>
              <w:rPr>
                <w:rFonts w:hint="eastAsia" w:ascii="宋体" w:hAnsi="宋体"/>
                <w:color w:val="auto"/>
                <w:kern w:val="0"/>
                <w:szCs w:val="21"/>
                <w:highlight w:val="none"/>
                <w:u w:val="single"/>
              </w:rPr>
              <w:t>参考使用获得补偿费用的投标方案成果的部分内容（且不另行支付费用），该参考部分内容的</w:t>
            </w:r>
            <w:r>
              <w:rPr>
                <w:rFonts w:hint="eastAsia" w:ascii="宋体" w:hAnsi="宋体"/>
                <w:color w:val="auto"/>
                <w:kern w:val="0"/>
                <w:szCs w:val="21"/>
                <w:highlight w:val="none"/>
              </w:rPr>
              <w:t>发表权、展览权、使用权归招标人所有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7.3.1</w:t>
            </w:r>
          </w:p>
        </w:tc>
        <w:tc>
          <w:tcPr>
            <w:tcW w:w="3600" w:type="dxa"/>
            <w:vAlign w:val="center"/>
          </w:tcPr>
          <w:p>
            <w:pPr>
              <w:spacing w:line="360" w:lineRule="auto"/>
              <w:ind w:left="743" w:hanging="743" w:hangingChars="354"/>
              <w:rPr>
                <w:rFonts w:ascii="宋体" w:hAnsi="宋体"/>
                <w:color w:val="auto"/>
                <w:szCs w:val="21"/>
                <w:highlight w:val="none"/>
              </w:rPr>
            </w:pPr>
            <w:r>
              <w:rPr>
                <w:rFonts w:hint="eastAsia" w:ascii="宋体" w:hAnsi="宋体"/>
                <w:color w:val="auto"/>
                <w:szCs w:val="21"/>
                <w:highlight w:val="none"/>
              </w:rPr>
              <w:t>7.3.1  除特殊情况外，招标人有权在工程建设中根据需要对选定的实施方案进行调整和修改。招标人有权在实施方案中参考使用获得补偿费用的所有投标方案成果的部分内容，</w:t>
            </w:r>
            <w:r>
              <w:rPr>
                <w:rFonts w:hint="eastAsia" w:hAnsi="宋体"/>
                <w:color w:val="auto"/>
                <w:szCs w:val="21"/>
                <w:highlight w:val="none"/>
              </w:rPr>
              <w:t>被使用部分的方案使用费</w:t>
            </w:r>
            <w:r>
              <w:rPr>
                <w:rFonts w:hint="eastAsia" w:ascii="宋体" w:hAnsi="宋体"/>
                <w:color w:val="auto"/>
                <w:szCs w:val="21"/>
                <w:highlight w:val="none"/>
              </w:rPr>
              <w:t>按招标文件规定执行。</w:t>
            </w:r>
          </w:p>
        </w:tc>
        <w:tc>
          <w:tcPr>
            <w:tcW w:w="3708" w:type="dxa"/>
            <w:vAlign w:val="center"/>
          </w:tcPr>
          <w:p>
            <w:pPr>
              <w:spacing w:line="360" w:lineRule="auto"/>
              <w:ind w:left="746" w:hanging="743" w:hangingChars="354"/>
              <w:rPr>
                <w:rFonts w:ascii="宋体" w:hAnsi="宋体"/>
                <w:color w:val="auto"/>
                <w:szCs w:val="21"/>
                <w:highlight w:val="none"/>
              </w:rPr>
            </w:pPr>
            <w:r>
              <w:rPr>
                <w:rFonts w:hint="eastAsia" w:ascii="宋体" w:hAnsi="宋体"/>
                <w:b/>
                <w:color w:val="auto"/>
                <w:szCs w:val="24"/>
                <w:highlight w:val="none"/>
              </w:rPr>
              <w:t>修改</w:t>
            </w:r>
            <w:r>
              <w:rPr>
                <w:rFonts w:hint="eastAsia" w:ascii="宋体" w:hAnsi="宋体"/>
                <w:color w:val="auto"/>
                <w:szCs w:val="24"/>
                <w:highlight w:val="none"/>
              </w:rPr>
              <w:t>：</w:t>
            </w:r>
            <w:r>
              <w:rPr>
                <w:rFonts w:hint="eastAsia" w:ascii="宋体" w:hAnsi="宋体"/>
                <w:color w:val="auto"/>
                <w:szCs w:val="21"/>
                <w:highlight w:val="none"/>
              </w:rPr>
              <w:t>7.3.1  除特殊情况外，招标人有权在工程建设中根据需要对选定的实施方案进行调整和修改。招标人有权在实施方案中参考使用获得补偿费用的所有投标方案成果的部分内容</w:t>
            </w:r>
            <w:r>
              <w:rPr>
                <w:rFonts w:hint="eastAsia" w:ascii="宋体" w:hAnsi="宋体"/>
                <w:color w:val="auto"/>
                <w:szCs w:val="21"/>
                <w:highlight w:val="none"/>
                <w:u w:val="single"/>
              </w:rPr>
              <w:t>，且不另行支付费用；获得补偿费用的投标人有义务出席相关的方案审查或汇报会议（如需）。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Times New Roman" w:hAnsi="Times New Roman"/>
                <w:color w:val="auto"/>
                <w:szCs w:val="24"/>
                <w:highlight w:val="none"/>
              </w:rPr>
            </w:pPr>
            <w:r>
              <w:rPr>
                <w:rFonts w:hint="eastAsia" w:ascii="宋体" w:hAnsi="宋体"/>
                <w:color w:val="auto"/>
                <w:highlight w:val="none"/>
              </w:rPr>
              <w:t xml:space="preserve"> </w:t>
            </w:r>
          </w:p>
        </w:tc>
        <w:tc>
          <w:tcPr>
            <w:tcW w:w="1260" w:type="dxa"/>
            <w:vAlign w:val="center"/>
          </w:tcPr>
          <w:p>
            <w:pPr>
              <w:spacing w:line="360" w:lineRule="auto"/>
              <w:ind w:left="2"/>
              <w:jc w:val="center"/>
              <w:rPr>
                <w:rFonts w:ascii="宋体" w:hAnsi="宋体"/>
                <w:color w:val="auto"/>
                <w:szCs w:val="21"/>
                <w:highlight w:val="none"/>
              </w:rPr>
            </w:pPr>
            <w:r>
              <w:rPr>
                <w:rFonts w:hint="eastAsia" w:ascii="宋体" w:hAnsi="宋体" w:cs="宋体"/>
                <w:color w:val="auto"/>
                <w:szCs w:val="21"/>
                <w:highlight w:val="none"/>
              </w:rPr>
              <w:t>第八章</w:t>
            </w:r>
          </w:p>
        </w:tc>
        <w:tc>
          <w:tcPr>
            <w:tcW w:w="3600" w:type="dxa"/>
            <w:vAlign w:val="center"/>
          </w:tcPr>
          <w:p>
            <w:pPr>
              <w:spacing w:line="360" w:lineRule="auto"/>
              <w:ind w:left="2"/>
              <w:rPr>
                <w:rFonts w:ascii="宋体" w:hAnsi="宋体"/>
                <w:color w:val="auto"/>
                <w:szCs w:val="21"/>
                <w:highlight w:val="none"/>
              </w:rPr>
            </w:pPr>
            <w:r>
              <w:rPr>
                <w:rFonts w:hint="eastAsia" w:ascii="宋体" w:hAnsi="宋体" w:cs="宋体"/>
                <w:color w:val="auto"/>
                <w:szCs w:val="21"/>
                <w:highlight w:val="none"/>
              </w:rPr>
              <w:t>合同条款</w:t>
            </w:r>
          </w:p>
        </w:tc>
        <w:tc>
          <w:tcPr>
            <w:tcW w:w="3708" w:type="dxa"/>
            <w:vAlign w:val="center"/>
          </w:tcPr>
          <w:p>
            <w:pPr>
              <w:spacing w:line="360" w:lineRule="auto"/>
              <w:ind w:left="2"/>
              <w:rPr>
                <w:rFonts w:ascii="宋体" w:hAnsi="宋体"/>
                <w:color w:val="auto"/>
                <w:szCs w:val="21"/>
                <w:highlight w:val="none"/>
              </w:rPr>
            </w:pPr>
            <w:r>
              <w:rPr>
                <w:rFonts w:hint="eastAsia" w:ascii="宋体" w:hAnsi="宋体" w:cs="宋体"/>
                <w:b/>
                <w:color w:val="auto"/>
                <w:szCs w:val="21"/>
                <w:highlight w:val="none"/>
              </w:rPr>
              <w:t>修改：</w:t>
            </w:r>
            <w:r>
              <w:rPr>
                <w:rFonts w:hint="eastAsia" w:ascii="宋体" w:hAnsi="宋体" w:cs="宋体"/>
                <w:color w:val="auto"/>
                <w:szCs w:val="21"/>
                <w:highlight w:val="none"/>
              </w:rPr>
              <w:t>合同条款（另册）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ind w:left="2"/>
              <w:jc w:val="center"/>
              <w:rPr>
                <w:rFonts w:ascii="宋体" w:hAnsi="宋体" w:cs="宋体"/>
                <w:color w:val="auto"/>
                <w:szCs w:val="21"/>
                <w:highlight w:val="none"/>
              </w:rPr>
            </w:pPr>
            <w:r>
              <w:rPr>
                <w:rFonts w:hint="eastAsia" w:ascii="宋体" w:hAnsi="宋体"/>
                <w:color w:val="auto"/>
                <w:szCs w:val="21"/>
                <w:highlight w:val="none"/>
              </w:rPr>
              <w:t>附录1</w:t>
            </w:r>
          </w:p>
        </w:tc>
        <w:tc>
          <w:tcPr>
            <w:tcW w:w="3600" w:type="dxa"/>
            <w:vAlign w:val="center"/>
          </w:tcPr>
          <w:p>
            <w:pPr>
              <w:spacing w:line="360" w:lineRule="auto"/>
              <w:ind w:left="2"/>
              <w:rPr>
                <w:rFonts w:ascii="宋体" w:hAnsi="宋体" w:cs="宋体"/>
                <w:color w:val="auto"/>
                <w:szCs w:val="21"/>
                <w:highlight w:val="none"/>
              </w:rPr>
            </w:pPr>
            <w:r>
              <w:rPr>
                <w:rFonts w:hint="eastAsia" w:ascii="宋体" w:hAnsi="宋体"/>
                <w:color w:val="auto"/>
                <w:szCs w:val="21"/>
                <w:highlight w:val="none"/>
              </w:rPr>
              <w:t>附录1投标申请表（投入人员承诺）</w:t>
            </w:r>
          </w:p>
        </w:tc>
        <w:tc>
          <w:tcPr>
            <w:tcW w:w="3708" w:type="dxa"/>
            <w:vAlign w:val="center"/>
          </w:tcPr>
          <w:p>
            <w:pPr>
              <w:spacing w:line="360" w:lineRule="auto"/>
              <w:ind w:left="2"/>
              <w:rPr>
                <w:rFonts w:ascii="宋体" w:hAnsi="宋体" w:cs="宋体"/>
                <w:b/>
                <w:color w:val="auto"/>
                <w:szCs w:val="21"/>
                <w:highlight w:val="none"/>
              </w:rPr>
            </w:pPr>
            <w:r>
              <w:rPr>
                <w:rFonts w:hint="eastAsia" w:ascii="宋体" w:hAnsi="宋体"/>
                <w:b/>
                <w:bCs/>
                <w:color w:val="auto"/>
                <w:szCs w:val="21"/>
                <w:highlight w:val="none"/>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附件2</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设计投标文件编制要求</w:t>
            </w:r>
          </w:p>
        </w:tc>
        <w:tc>
          <w:tcPr>
            <w:tcW w:w="3708" w:type="dxa"/>
            <w:vAlign w:val="center"/>
          </w:tcPr>
          <w:p>
            <w:pPr>
              <w:spacing w:line="360" w:lineRule="auto"/>
              <w:rPr>
                <w:rFonts w:ascii="宋体" w:hAnsi="宋体"/>
                <w:color w:val="auto"/>
                <w:szCs w:val="21"/>
                <w:highlight w:val="none"/>
              </w:rPr>
            </w:pPr>
            <w:r>
              <w:rPr>
                <w:rFonts w:hint="eastAsia" w:ascii="宋体" w:hAnsi="宋体"/>
                <w:b/>
                <w:color w:val="auto"/>
                <w:szCs w:val="21"/>
                <w:highlight w:val="none"/>
              </w:rPr>
              <w:t>修改</w:t>
            </w:r>
            <w:r>
              <w:rPr>
                <w:rFonts w:hint="eastAsia" w:ascii="宋体" w:hAnsi="宋体" w:cs="宋体"/>
                <w:color w:val="auto"/>
                <w:szCs w:val="21"/>
                <w:highlight w:val="none"/>
              </w:rPr>
              <w:t>：方案设计及初步设计投标文件编制要求（详见附件2）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附件3</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附件3勘察设计费报价表</w:t>
            </w:r>
          </w:p>
        </w:tc>
        <w:tc>
          <w:tcPr>
            <w:tcW w:w="3708" w:type="dxa"/>
            <w:vAlign w:val="center"/>
          </w:tcPr>
          <w:p>
            <w:pPr>
              <w:spacing w:line="360" w:lineRule="auto"/>
              <w:rPr>
                <w:rFonts w:ascii="宋体" w:hAnsi="宋体"/>
                <w:color w:val="auto"/>
                <w:szCs w:val="21"/>
                <w:highlight w:val="none"/>
              </w:rPr>
            </w:pPr>
            <w:r>
              <w:rPr>
                <w:rFonts w:hint="eastAsia" w:ascii="宋体" w:hAnsi="宋体"/>
                <w:b/>
                <w:color w:val="auto"/>
                <w:szCs w:val="21"/>
                <w:highlight w:val="none"/>
              </w:rPr>
              <w:t>修改：</w:t>
            </w:r>
            <w:r>
              <w:rPr>
                <w:rFonts w:hint="eastAsia" w:ascii="宋体" w:hAnsi="宋体"/>
                <w:b/>
                <w:bCs/>
                <w:color w:val="auto"/>
                <w:szCs w:val="21"/>
                <w:highlight w:val="none"/>
              </w:rPr>
              <w:t>附件3</w:t>
            </w:r>
            <w:r>
              <w:rPr>
                <w:rFonts w:hint="eastAsia" w:ascii="宋体" w:hAnsi="宋体"/>
                <w:color w:val="auto"/>
                <w:szCs w:val="21"/>
                <w:highlight w:val="none"/>
              </w:rPr>
              <w:t>设计费报价表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仿宋_GB2312" w:hAnsi="宋体" w:eastAsia="仿宋_GB2312"/>
                <w:color w:val="auto"/>
                <w:sz w:val="32"/>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附录4</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附录4建筑工程设计方案测试记录表</w:t>
            </w:r>
          </w:p>
        </w:tc>
        <w:tc>
          <w:tcPr>
            <w:tcW w:w="3708"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附录5</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附录5勘察投标文件编制要求</w:t>
            </w:r>
          </w:p>
        </w:tc>
        <w:tc>
          <w:tcPr>
            <w:tcW w:w="3708"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附录8</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附录8 投标人声明</w:t>
            </w:r>
          </w:p>
        </w:tc>
        <w:tc>
          <w:tcPr>
            <w:tcW w:w="3708"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修改：</w:t>
            </w:r>
            <w:r>
              <w:rPr>
                <w:rFonts w:hint="eastAsia" w:ascii="宋体" w:hAnsi="宋体"/>
                <w:color w:val="auto"/>
                <w:szCs w:val="21"/>
                <w:highlight w:val="none"/>
              </w:rPr>
              <w:t>附录8 投标人声明（详见附录8）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附录9</w:t>
            </w:r>
          </w:p>
        </w:tc>
        <w:tc>
          <w:tcPr>
            <w:tcW w:w="3600" w:type="dxa"/>
            <w:vAlign w:val="center"/>
          </w:tcPr>
          <w:p>
            <w:pPr>
              <w:spacing w:line="360" w:lineRule="auto"/>
              <w:rPr>
                <w:rFonts w:ascii="宋体" w:hAnsi="宋体"/>
                <w:color w:val="auto"/>
                <w:szCs w:val="21"/>
                <w:highlight w:val="none"/>
              </w:rPr>
            </w:pPr>
            <w:r>
              <w:rPr>
                <w:rFonts w:hint="eastAsia" w:ascii="宋体" w:hAnsi="宋体"/>
                <w:color w:val="auto"/>
                <w:szCs w:val="21"/>
                <w:highlight w:val="none"/>
              </w:rPr>
              <w:t>附录9 资格审查表</w:t>
            </w:r>
          </w:p>
        </w:tc>
        <w:tc>
          <w:tcPr>
            <w:tcW w:w="3708" w:type="dxa"/>
            <w:vAlign w:val="center"/>
          </w:tcPr>
          <w:p>
            <w:pPr>
              <w:spacing w:line="360" w:lineRule="auto"/>
              <w:rPr>
                <w:rFonts w:ascii="宋体" w:hAnsi="宋体"/>
                <w:b/>
                <w:bCs/>
                <w:color w:val="auto"/>
                <w:szCs w:val="21"/>
                <w:highlight w:val="none"/>
              </w:rPr>
            </w:pPr>
            <w:r>
              <w:rPr>
                <w:rFonts w:hint="eastAsia" w:ascii="宋体" w:hAnsi="宋体"/>
                <w:b/>
                <w:bCs/>
                <w:color w:val="auto"/>
                <w:szCs w:val="21"/>
                <w:highlight w:val="none"/>
              </w:rPr>
              <w:t>修改：</w:t>
            </w:r>
            <w:r>
              <w:rPr>
                <w:rFonts w:hint="eastAsia" w:ascii="宋体" w:hAnsi="宋体"/>
                <w:color w:val="auto"/>
                <w:szCs w:val="21"/>
                <w:highlight w:val="none"/>
              </w:rPr>
              <w:t>附录9 资格审查表（详见附录9）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附件10-1</w:t>
            </w:r>
          </w:p>
        </w:tc>
        <w:tc>
          <w:tcPr>
            <w:tcW w:w="3600" w:type="dxa"/>
            <w:vAlign w:val="center"/>
          </w:tcPr>
          <w:p>
            <w:pPr>
              <w:spacing w:line="360" w:lineRule="auto"/>
              <w:rPr>
                <w:rFonts w:ascii="宋体" w:hAnsi="宋体"/>
                <w:color w:val="auto"/>
                <w:szCs w:val="21"/>
                <w:highlight w:val="none"/>
              </w:rPr>
            </w:pPr>
          </w:p>
        </w:tc>
        <w:tc>
          <w:tcPr>
            <w:tcW w:w="3708" w:type="dxa"/>
            <w:vAlign w:val="center"/>
          </w:tcPr>
          <w:p>
            <w:pPr>
              <w:spacing w:line="360" w:lineRule="auto"/>
              <w:rPr>
                <w:rFonts w:ascii="宋体" w:hAnsi="宋体"/>
                <w:b/>
                <w:bCs/>
                <w:color w:val="auto"/>
                <w:szCs w:val="21"/>
                <w:highlight w:val="none"/>
              </w:rPr>
            </w:pPr>
            <w:r>
              <w:rPr>
                <w:rFonts w:hint="eastAsia" w:ascii="宋体" w:hAnsi="宋体" w:cs="宋体"/>
                <w:b/>
                <w:bCs/>
                <w:color w:val="auto"/>
                <w:szCs w:val="21"/>
                <w:highlight w:val="none"/>
              </w:rPr>
              <w:t>增加：</w:t>
            </w:r>
            <w:r>
              <w:rPr>
                <w:rFonts w:hint="eastAsia" w:ascii="宋体" w:hAnsi="宋体" w:cs="宋体"/>
                <w:color w:val="auto"/>
                <w:szCs w:val="21"/>
                <w:highlight w:val="none"/>
              </w:rPr>
              <w:t>《附加投票表》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ind w:left="2"/>
              <w:jc w:val="center"/>
              <w:rPr>
                <w:rFonts w:ascii="宋体" w:hAnsi="宋体"/>
                <w:color w:val="auto"/>
                <w:szCs w:val="21"/>
                <w:highlight w:val="none"/>
              </w:rPr>
            </w:pPr>
            <w:r>
              <w:rPr>
                <w:rFonts w:hint="eastAsia" w:ascii="宋体" w:hAnsi="宋体" w:cs="宋体"/>
                <w:color w:val="auto"/>
                <w:szCs w:val="21"/>
                <w:highlight w:val="none"/>
              </w:rPr>
              <w:t>附录12</w:t>
            </w:r>
          </w:p>
        </w:tc>
        <w:tc>
          <w:tcPr>
            <w:tcW w:w="3600" w:type="dxa"/>
            <w:vAlign w:val="center"/>
          </w:tcPr>
          <w:p>
            <w:pPr>
              <w:spacing w:line="360" w:lineRule="auto"/>
              <w:ind w:left="2"/>
              <w:rPr>
                <w:rFonts w:ascii="宋体" w:hAnsi="宋体"/>
                <w:color w:val="auto"/>
                <w:szCs w:val="21"/>
                <w:highlight w:val="none"/>
              </w:rPr>
            </w:pPr>
            <w:r>
              <w:rPr>
                <w:rFonts w:hint="eastAsia" w:ascii="宋体" w:hAnsi="宋体" w:cs="宋体"/>
                <w:color w:val="auto"/>
                <w:szCs w:val="21"/>
                <w:highlight w:val="none"/>
              </w:rPr>
              <w:t>建筑工程设计方案评审记录表</w:t>
            </w:r>
          </w:p>
        </w:tc>
        <w:tc>
          <w:tcPr>
            <w:tcW w:w="3708" w:type="dxa"/>
            <w:vAlign w:val="center"/>
          </w:tcPr>
          <w:p>
            <w:pPr>
              <w:spacing w:line="360" w:lineRule="auto"/>
              <w:ind w:left="2"/>
              <w:rPr>
                <w:rFonts w:ascii="宋体" w:hAnsi="宋体"/>
                <w:b/>
                <w:bCs/>
                <w:color w:val="auto"/>
                <w:szCs w:val="21"/>
                <w:highlight w:val="none"/>
              </w:rPr>
            </w:pPr>
            <w:r>
              <w:rPr>
                <w:rFonts w:hint="eastAsia" w:ascii="宋体" w:hAnsi="宋体"/>
                <w:b/>
                <w:bCs/>
                <w:color w:val="auto"/>
                <w:szCs w:val="21"/>
                <w:highlight w:val="none"/>
              </w:rPr>
              <w:t>修改：</w:t>
            </w:r>
            <w:r>
              <w:rPr>
                <w:rFonts w:hint="eastAsia" w:ascii="宋体" w:hAnsi="宋体"/>
                <w:color w:val="auto"/>
                <w:szCs w:val="21"/>
                <w:highlight w:val="none"/>
                <w:u w:val="single"/>
              </w:rPr>
              <w:t>建筑工程设计方案评审记录表（见招标文件附录12）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ind w:left="2"/>
              <w:jc w:val="center"/>
              <w:rPr>
                <w:rFonts w:ascii="宋体" w:hAnsi="宋体"/>
                <w:color w:val="auto"/>
                <w:szCs w:val="21"/>
                <w:highlight w:val="none"/>
              </w:rPr>
            </w:pPr>
            <w:r>
              <w:rPr>
                <w:rFonts w:hint="eastAsia" w:ascii="宋体" w:hAnsi="宋体" w:cs="宋体"/>
                <w:color w:val="auto"/>
                <w:szCs w:val="21"/>
                <w:highlight w:val="none"/>
              </w:rPr>
              <w:t>附录14</w:t>
            </w:r>
          </w:p>
        </w:tc>
        <w:tc>
          <w:tcPr>
            <w:tcW w:w="3600" w:type="dxa"/>
            <w:vAlign w:val="center"/>
          </w:tcPr>
          <w:p>
            <w:pPr>
              <w:spacing w:line="360" w:lineRule="auto"/>
              <w:ind w:left="2"/>
              <w:rPr>
                <w:rFonts w:ascii="宋体" w:hAnsi="宋体"/>
                <w:color w:val="auto"/>
                <w:szCs w:val="21"/>
                <w:highlight w:val="none"/>
              </w:rPr>
            </w:pPr>
            <w:r>
              <w:rPr>
                <w:rFonts w:hint="eastAsia" w:ascii="宋体" w:hAnsi="宋体" w:cs="宋体"/>
                <w:color w:val="auto"/>
                <w:szCs w:val="21"/>
                <w:highlight w:val="none"/>
              </w:rPr>
              <w:t>基础资料和勘察设计任务书</w:t>
            </w:r>
          </w:p>
        </w:tc>
        <w:tc>
          <w:tcPr>
            <w:tcW w:w="3708" w:type="dxa"/>
            <w:vAlign w:val="center"/>
          </w:tcPr>
          <w:p>
            <w:pPr>
              <w:spacing w:line="360" w:lineRule="auto"/>
              <w:rPr>
                <w:rFonts w:ascii="宋体" w:hAnsi="宋体"/>
                <w:b/>
                <w:bCs/>
                <w:color w:val="auto"/>
                <w:szCs w:val="21"/>
                <w:highlight w:val="none"/>
              </w:rPr>
            </w:pPr>
            <w:r>
              <w:rPr>
                <w:rFonts w:hint="eastAsia" w:ascii="宋体" w:hAnsi="宋体"/>
                <w:color w:val="auto"/>
                <w:szCs w:val="21"/>
                <w:highlight w:val="none"/>
                <w:u w:val="single"/>
              </w:rPr>
              <w:t>基础资料和设计任务书（另册）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ind w:left="2"/>
              <w:jc w:val="center"/>
              <w:rPr>
                <w:rFonts w:ascii="宋体" w:hAnsi="宋体" w:cs="宋体"/>
                <w:color w:val="auto"/>
                <w:szCs w:val="21"/>
                <w:highlight w:val="none"/>
              </w:rPr>
            </w:pPr>
            <w:r>
              <w:rPr>
                <w:rFonts w:hint="eastAsia" w:ascii="宋体" w:hAnsi="宋体"/>
                <w:color w:val="auto"/>
                <w:szCs w:val="21"/>
                <w:highlight w:val="none"/>
              </w:rPr>
              <w:t>附录15</w:t>
            </w:r>
          </w:p>
        </w:tc>
        <w:tc>
          <w:tcPr>
            <w:tcW w:w="3600" w:type="dxa"/>
            <w:vAlign w:val="center"/>
          </w:tcPr>
          <w:p>
            <w:pPr>
              <w:spacing w:line="360" w:lineRule="auto"/>
              <w:ind w:left="2"/>
              <w:rPr>
                <w:rFonts w:ascii="宋体" w:hAnsi="宋体" w:cs="宋体"/>
                <w:color w:val="auto"/>
                <w:szCs w:val="21"/>
                <w:highlight w:val="none"/>
              </w:rPr>
            </w:pPr>
            <w:r>
              <w:rPr>
                <w:rFonts w:hint="eastAsia" w:ascii="宋体" w:hAnsi="宋体"/>
                <w:color w:val="auto"/>
                <w:szCs w:val="21"/>
                <w:highlight w:val="none"/>
              </w:rPr>
              <w:t>附录15</w:t>
            </w:r>
            <w:r>
              <w:rPr>
                <w:rFonts w:ascii="宋体" w:hAnsi="宋体"/>
                <w:color w:val="auto"/>
                <w:szCs w:val="21"/>
                <w:highlight w:val="none"/>
              </w:rPr>
              <w:t xml:space="preserve"> </w:t>
            </w:r>
            <w:r>
              <w:rPr>
                <w:rFonts w:hint="eastAsia" w:ascii="宋体" w:hAnsi="宋体"/>
                <w:color w:val="auto"/>
                <w:szCs w:val="21"/>
                <w:highlight w:val="none"/>
              </w:rPr>
              <w:t>定标委员会的组成</w:t>
            </w:r>
          </w:p>
        </w:tc>
        <w:tc>
          <w:tcPr>
            <w:tcW w:w="3708" w:type="dxa"/>
            <w:vAlign w:val="center"/>
          </w:tcPr>
          <w:p>
            <w:pPr>
              <w:spacing w:line="360" w:lineRule="auto"/>
              <w:rPr>
                <w:rFonts w:ascii="宋体" w:hAnsi="宋体"/>
                <w:color w:val="auto"/>
                <w:szCs w:val="21"/>
                <w:highlight w:val="none"/>
                <w:u w:val="single"/>
              </w:rPr>
            </w:pPr>
            <w:r>
              <w:rPr>
                <w:rFonts w:hint="eastAsia" w:ascii="宋体" w:hAnsi="宋体"/>
                <w:b/>
                <w:bCs/>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8" w:type="dxa"/>
            <w:vAlign w:val="center"/>
          </w:tcPr>
          <w:p>
            <w:pPr>
              <w:numPr>
                <w:ilvl w:val="0"/>
                <w:numId w:val="1"/>
              </w:numPr>
              <w:spacing w:line="360" w:lineRule="auto"/>
              <w:jc w:val="center"/>
              <w:rPr>
                <w:rFonts w:ascii="宋体" w:hAnsi="宋体"/>
                <w:color w:val="auto"/>
                <w:highlight w:val="none"/>
              </w:rPr>
            </w:pPr>
          </w:p>
        </w:tc>
        <w:tc>
          <w:tcPr>
            <w:tcW w:w="1260" w:type="dxa"/>
            <w:vAlign w:val="center"/>
          </w:tcPr>
          <w:p>
            <w:pPr>
              <w:spacing w:line="360" w:lineRule="auto"/>
              <w:ind w:left="2"/>
              <w:jc w:val="center"/>
              <w:rPr>
                <w:rFonts w:ascii="宋体" w:hAnsi="宋体" w:cs="宋体"/>
                <w:color w:val="auto"/>
                <w:szCs w:val="21"/>
                <w:highlight w:val="none"/>
              </w:rPr>
            </w:pPr>
            <w:r>
              <w:rPr>
                <w:rFonts w:hint="eastAsia" w:ascii="宋体" w:hAnsi="宋体"/>
                <w:color w:val="auto"/>
                <w:szCs w:val="21"/>
                <w:highlight w:val="none"/>
              </w:rPr>
              <w:t>附录1</w:t>
            </w:r>
            <w:r>
              <w:rPr>
                <w:rFonts w:ascii="宋体" w:hAnsi="宋体"/>
                <w:color w:val="auto"/>
                <w:szCs w:val="21"/>
                <w:highlight w:val="none"/>
              </w:rPr>
              <w:t>6</w:t>
            </w:r>
          </w:p>
        </w:tc>
        <w:tc>
          <w:tcPr>
            <w:tcW w:w="3600" w:type="dxa"/>
            <w:vAlign w:val="center"/>
          </w:tcPr>
          <w:p>
            <w:pPr>
              <w:spacing w:line="360" w:lineRule="auto"/>
              <w:ind w:left="2"/>
              <w:rPr>
                <w:rFonts w:ascii="宋体" w:hAnsi="宋体"/>
                <w:color w:val="auto"/>
                <w:szCs w:val="21"/>
                <w:highlight w:val="none"/>
              </w:rPr>
            </w:pPr>
            <w:r>
              <w:rPr>
                <w:rFonts w:hint="eastAsia" w:ascii="宋体" w:hAnsi="宋体"/>
                <w:color w:val="auto"/>
                <w:szCs w:val="21"/>
                <w:highlight w:val="none"/>
              </w:rPr>
              <w:t>附录1</w:t>
            </w:r>
            <w:r>
              <w:rPr>
                <w:rFonts w:ascii="宋体" w:hAnsi="宋体"/>
                <w:color w:val="auto"/>
                <w:szCs w:val="21"/>
                <w:highlight w:val="none"/>
              </w:rPr>
              <w:t xml:space="preserve">6 </w:t>
            </w:r>
            <w:r>
              <w:rPr>
                <w:rFonts w:hint="eastAsia" w:ascii="宋体" w:hAnsi="宋体"/>
                <w:color w:val="auto"/>
                <w:szCs w:val="21"/>
                <w:highlight w:val="none"/>
              </w:rPr>
              <w:t>定标原则</w:t>
            </w:r>
          </w:p>
        </w:tc>
        <w:tc>
          <w:tcPr>
            <w:tcW w:w="3708" w:type="dxa"/>
            <w:vAlign w:val="center"/>
          </w:tcPr>
          <w:p>
            <w:pPr>
              <w:spacing w:line="360" w:lineRule="auto"/>
              <w:rPr>
                <w:rFonts w:ascii="宋体" w:hAnsi="宋体"/>
                <w:color w:val="auto"/>
                <w:szCs w:val="21"/>
                <w:highlight w:val="none"/>
                <w:u w:val="single"/>
              </w:rPr>
            </w:pPr>
            <w:r>
              <w:rPr>
                <w:rFonts w:hint="eastAsia" w:ascii="宋体" w:hAnsi="宋体"/>
                <w:b/>
                <w:bCs/>
                <w:color w:val="auto"/>
                <w:szCs w:val="21"/>
                <w:highlight w:val="none"/>
              </w:rPr>
              <w:t>删除</w:t>
            </w:r>
          </w:p>
        </w:tc>
      </w:tr>
    </w:tbl>
    <w:p>
      <w:pPr>
        <w:spacing w:line="360" w:lineRule="auto"/>
        <w:jc w:val="center"/>
        <w:rPr>
          <w:b/>
          <w:color w:val="auto"/>
          <w:sz w:val="32"/>
          <w:szCs w:val="32"/>
          <w:highlight w:val="none"/>
          <w:lang w:val="zh-CN"/>
        </w:rPr>
      </w:pPr>
      <w:r>
        <w:rPr>
          <w:rFonts w:ascii="宋体" w:hAnsi="宋体"/>
          <w:color w:val="auto"/>
          <w:highlight w:val="none"/>
        </w:rPr>
        <w:br w:type="page"/>
      </w:r>
      <w:r>
        <w:rPr>
          <w:b/>
          <w:color w:val="auto"/>
          <w:sz w:val="32"/>
          <w:szCs w:val="32"/>
          <w:highlight w:val="none"/>
          <w:lang w:val="zh-CN"/>
        </w:rPr>
        <w:t>目</w:t>
      </w:r>
      <w:r>
        <w:rPr>
          <w:rFonts w:hint="eastAsia"/>
          <w:b/>
          <w:color w:val="auto"/>
          <w:sz w:val="32"/>
          <w:szCs w:val="32"/>
          <w:highlight w:val="none"/>
          <w:lang w:val="zh-CN"/>
        </w:rPr>
        <w:t xml:space="preserve"> </w:t>
      </w:r>
      <w:r>
        <w:rPr>
          <w:b/>
          <w:color w:val="auto"/>
          <w:sz w:val="32"/>
          <w:szCs w:val="32"/>
          <w:highlight w:val="none"/>
          <w:lang w:val="zh-CN"/>
        </w:rPr>
        <w:t>录</w:t>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"_Toc8608" </w:instrText>
      </w:r>
      <w:r>
        <w:rPr>
          <w:color w:val="auto"/>
          <w:highlight w:val="none"/>
        </w:rPr>
        <w:fldChar w:fldCharType="separate"/>
      </w:r>
      <w:r>
        <w:rPr>
          <w:rFonts w:hint="eastAsia"/>
          <w:bCs/>
          <w:color w:val="auto"/>
          <w:kern w:val="44"/>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_Toc8608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"_Toc25363" </w:instrText>
      </w:r>
      <w:r>
        <w:rPr>
          <w:color w:val="auto"/>
          <w:highlight w:val="none"/>
        </w:rPr>
        <w:fldChar w:fldCharType="separate"/>
      </w:r>
      <w:r>
        <w:rPr>
          <w:rFonts w:hint="eastAsia"/>
          <w:color w:val="auto"/>
          <w:szCs w:val="36"/>
          <w:highlight w:val="none"/>
        </w:rPr>
        <w:t>第二章  招标</w:t>
      </w:r>
      <w:r>
        <w:rPr>
          <w:color w:val="auto"/>
          <w:highlight w:val="none"/>
        </w:rPr>
        <w:tab/>
      </w:r>
      <w:r>
        <w:rPr>
          <w:color w:val="auto"/>
          <w:highlight w:val="none"/>
        </w:rPr>
        <w:fldChar w:fldCharType="begin"/>
      </w:r>
      <w:r>
        <w:rPr>
          <w:color w:val="auto"/>
          <w:highlight w:val="none"/>
        </w:rPr>
        <w:instrText xml:space="preserve"> PAGEREF _Toc25363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"_Toc9960" </w:instrText>
      </w:r>
      <w:r>
        <w:rPr>
          <w:color w:val="auto"/>
          <w:highlight w:val="none"/>
        </w:rPr>
        <w:fldChar w:fldCharType="separate"/>
      </w:r>
      <w:r>
        <w:rPr>
          <w:rFonts w:hint="eastAsia"/>
          <w:color w:val="auto"/>
          <w:szCs w:val="36"/>
          <w:highlight w:val="none"/>
        </w:rPr>
        <w:t>第三章  投标</w:t>
      </w:r>
      <w:r>
        <w:rPr>
          <w:color w:val="auto"/>
          <w:highlight w:val="none"/>
        </w:rPr>
        <w:tab/>
      </w:r>
      <w:r>
        <w:rPr>
          <w:color w:val="auto"/>
          <w:highlight w:val="none"/>
        </w:rPr>
        <w:fldChar w:fldCharType="begin"/>
      </w:r>
      <w:r>
        <w:rPr>
          <w:color w:val="auto"/>
          <w:highlight w:val="none"/>
        </w:rPr>
        <w:instrText xml:space="preserve"> PAGEREF _Toc9960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"_Toc18763" </w:instrText>
      </w:r>
      <w:r>
        <w:rPr>
          <w:color w:val="auto"/>
          <w:highlight w:val="none"/>
        </w:rPr>
        <w:fldChar w:fldCharType="separate"/>
      </w:r>
      <w:r>
        <w:rPr>
          <w:rFonts w:hint="eastAsia"/>
          <w:color w:val="auto"/>
          <w:highlight w:val="none"/>
        </w:rPr>
        <w:t>第四章  评标</w:t>
      </w:r>
      <w:r>
        <w:rPr>
          <w:color w:val="auto"/>
          <w:highlight w:val="none"/>
        </w:rPr>
        <w:tab/>
      </w:r>
      <w:r>
        <w:rPr>
          <w:color w:val="auto"/>
          <w:highlight w:val="none"/>
        </w:rPr>
        <w:fldChar w:fldCharType="begin"/>
      </w:r>
      <w:r>
        <w:rPr>
          <w:color w:val="auto"/>
          <w:highlight w:val="none"/>
        </w:rPr>
        <w:instrText xml:space="preserve"> PAGEREF _Toc18763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"_Toc17704" </w:instrText>
      </w:r>
      <w:r>
        <w:rPr>
          <w:color w:val="auto"/>
          <w:highlight w:val="none"/>
        </w:rPr>
        <w:fldChar w:fldCharType="separate"/>
      </w:r>
      <w:r>
        <w:rPr>
          <w:rFonts w:hint="eastAsia"/>
          <w:color w:val="auto"/>
          <w:szCs w:val="36"/>
          <w:highlight w:val="none"/>
        </w:rPr>
        <w:t>第五章  定标</w:t>
      </w:r>
      <w:r>
        <w:rPr>
          <w:color w:val="auto"/>
          <w:highlight w:val="none"/>
        </w:rPr>
        <w:tab/>
      </w:r>
      <w:r>
        <w:rPr>
          <w:color w:val="auto"/>
          <w:highlight w:val="none"/>
        </w:rPr>
        <w:fldChar w:fldCharType="begin"/>
      </w:r>
      <w:r>
        <w:rPr>
          <w:color w:val="auto"/>
          <w:highlight w:val="none"/>
        </w:rPr>
        <w:instrText xml:space="preserve"> PAGEREF _Toc17704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"_Toc25202" </w:instrText>
      </w:r>
      <w:r>
        <w:rPr>
          <w:color w:val="auto"/>
          <w:highlight w:val="none"/>
        </w:rPr>
        <w:fldChar w:fldCharType="separate"/>
      </w:r>
      <w:r>
        <w:rPr>
          <w:rFonts w:hint="eastAsia"/>
          <w:color w:val="auto"/>
          <w:szCs w:val="36"/>
          <w:highlight w:val="none"/>
        </w:rPr>
        <w:t>第六章  授予合同</w:t>
      </w:r>
      <w:r>
        <w:rPr>
          <w:color w:val="auto"/>
          <w:highlight w:val="none"/>
        </w:rPr>
        <w:tab/>
      </w:r>
      <w:r>
        <w:rPr>
          <w:color w:val="auto"/>
          <w:highlight w:val="none"/>
        </w:rPr>
        <w:fldChar w:fldCharType="begin"/>
      </w:r>
      <w:r>
        <w:rPr>
          <w:color w:val="auto"/>
          <w:highlight w:val="none"/>
        </w:rPr>
        <w:instrText xml:space="preserve"> PAGEREF _Toc25202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"_Toc27175" </w:instrText>
      </w:r>
      <w:r>
        <w:rPr>
          <w:color w:val="auto"/>
          <w:highlight w:val="none"/>
        </w:rPr>
        <w:fldChar w:fldCharType="separate"/>
      </w:r>
      <w:r>
        <w:rPr>
          <w:rFonts w:hint="eastAsia"/>
          <w:color w:val="auto"/>
          <w:szCs w:val="36"/>
          <w:highlight w:val="none"/>
        </w:rPr>
        <w:t>第七章  知识产权</w:t>
      </w:r>
      <w:r>
        <w:rPr>
          <w:color w:val="auto"/>
          <w:highlight w:val="none"/>
        </w:rPr>
        <w:tab/>
      </w:r>
      <w:r>
        <w:rPr>
          <w:color w:val="auto"/>
          <w:highlight w:val="none"/>
        </w:rPr>
        <w:fldChar w:fldCharType="begin"/>
      </w:r>
      <w:r>
        <w:rPr>
          <w:color w:val="auto"/>
          <w:highlight w:val="none"/>
        </w:rPr>
        <w:instrText xml:space="preserve"> PAGEREF _Toc27175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"_Toc15805" </w:instrText>
      </w:r>
      <w:r>
        <w:rPr>
          <w:color w:val="auto"/>
          <w:highlight w:val="none"/>
        </w:rPr>
        <w:fldChar w:fldCharType="separate"/>
      </w:r>
      <w:r>
        <w:rPr>
          <w:rFonts w:hint="eastAsia"/>
          <w:bCs/>
          <w:color w:val="auto"/>
          <w:kern w:val="44"/>
          <w:szCs w:val="36"/>
          <w:highlight w:val="none"/>
        </w:rPr>
        <w:t>第八章  合同条款</w:t>
      </w:r>
      <w:r>
        <w:rPr>
          <w:color w:val="auto"/>
          <w:highlight w:val="none"/>
        </w:rPr>
        <w:tab/>
      </w:r>
      <w:r>
        <w:rPr>
          <w:color w:val="auto"/>
          <w:highlight w:val="none"/>
        </w:rPr>
        <w:fldChar w:fldCharType="begin"/>
      </w:r>
      <w:r>
        <w:rPr>
          <w:color w:val="auto"/>
          <w:highlight w:val="none"/>
        </w:rPr>
        <w:instrText xml:space="preserve"> PAGEREF _Toc15805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"_Toc9867" </w:instrText>
      </w:r>
      <w:r>
        <w:rPr>
          <w:color w:val="auto"/>
          <w:highlight w:val="none"/>
        </w:rPr>
        <w:fldChar w:fldCharType="separate"/>
      </w:r>
      <w:r>
        <w:rPr>
          <w:rFonts w:hint="eastAsia" w:ascii="宋体" w:hAnsi="宋体"/>
          <w:bCs/>
          <w:color w:val="auto"/>
          <w:kern w:val="44"/>
          <w:szCs w:val="21"/>
          <w:highlight w:val="none"/>
        </w:rPr>
        <w:t>附录1 投标申请表（投入人员承诺）</w:t>
      </w:r>
      <w:r>
        <w:rPr>
          <w:color w:val="auto"/>
          <w:highlight w:val="none"/>
        </w:rPr>
        <w:tab/>
      </w:r>
      <w:r>
        <w:rPr>
          <w:color w:val="auto"/>
          <w:highlight w:val="none"/>
        </w:rPr>
        <w:fldChar w:fldCharType="begin"/>
      </w:r>
      <w:r>
        <w:rPr>
          <w:color w:val="auto"/>
          <w:highlight w:val="none"/>
        </w:rPr>
        <w:instrText xml:space="preserve"> PAGEREF _Toc9867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"_Toc5729" </w:instrText>
      </w:r>
      <w:r>
        <w:rPr>
          <w:color w:val="auto"/>
          <w:highlight w:val="none"/>
        </w:rPr>
        <w:fldChar w:fldCharType="separate"/>
      </w:r>
      <w:r>
        <w:rPr>
          <w:rFonts w:hint="eastAsia" w:ascii="宋体" w:hAnsi="宋体"/>
          <w:bCs/>
          <w:color w:val="auto"/>
          <w:kern w:val="44"/>
          <w:szCs w:val="21"/>
          <w:highlight w:val="none"/>
        </w:rPr>
        <w:t>附件2</w:t>
      </w:r>
      <w:r>
        <w:rPr>
          <w:rFonts w:hint="eastAsia" w:ascii="宋体" w:hAnsi="宋体" w:cs="宋体"/>
          <w:bCs/>
          <w:color w:val="auto"/>
          <w:szCs w:val="21"/>
          <w:highlight w:val="none"/>
        </w:rPr>
        <w:t>方案设计及初步设计投标文件编制要求</w:t>
      </w:r>
      <w:r>
        <w:rPr>
          <w:color w:val="auto"/>
          <w:highlight w:val="none"/>
        </w:rPr>
        <w:tab/>
      </w:r>
      <w:r>
        <w:rPr>
          <w:color w:val="auto"/>
          <w:highlight w:val="none"/>
        </w:rPr>
        <w:fldChar w:fldCharType="begin"/>
      </w:r>
      <w:r>
        <w:rPr>
          <w:color w:val="auto"/>
          <w:highlight w:val="none"/>
        </w:rPr>
        <w:instrText xml:space="preserve"> PAGEREF _Toc5729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"_Toc2387" </w:instrText>
      </w:r>
      <w:r>
        <w:rPr>
          <w:color w:val="auto"/>
          <w:highlight w:val="none"/>
        </w:rPr>
        <w:fldChar w:fldCharType="separate"/>
      </w:r>
      <w:r>
        <w:rPr>
          <w:rFonts w:hint="eastAsia" w:ascii="宋体" w:hAnsi="宋体"/>
          <w:bCs/>
          <w:color w:val="auto"/>
          <w:kern w:val="44"/>
          <w:szCs w:val="21"/>
          <w:highlight w:val="none"/>
        </w:rPr>
        <w:t>附件3设计费报价表</w:t>
      </w:r>
      <w:r>
        <w:rPr>
          <w:color w:val="auto"/>
          <w:highlight w:val="none"/>
        </w:rPr>
        <w:tab/>
      </w:r>
      <w:r>
        <w:rPr>
          <w:color w:val="auto"/>
          <w:highlight w:val="none"/>
        </w:rPr>
        <w:fldChar w:fldCharType="begin"/>
      </w:r>
      <w:r>
        <w:rPr>
          <w:color w:val="auto"/>
          <w:highlight w:val="none"/>
        </w:rPr>
        <w:instrText xml:space="preserve"> PAGEREF _Toc2387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"_Toc25999" </w:instrText>
      </w:r>
      <w:r>
        <w:rPr>
          <w:color w:val="auto"/>
          <w:highlight w:val="none"/>
        </w:rPr>
        <w:fldChar w:fldCharType="separate"/>
      </w:r>
      <w:r>
        <w:rPr>
          <w:rFonts w:hint="eastAsia" w:ascii="宋体" w:hAnsi="宋体"/>
          <w:bCs/>
          <w:strike/>
          <w:color w:val="auto"/>
          <w:kern w:val="44"/>
          <w:szCs w:val="21"/>
          <w:highlight w:val="none"/>
        </w:rPr>
        <w:t>附录4建筑工程设计方案测试记录表</w:t>
      </w:r>
      <w:r>
        <w:rPr>
          <w:color w:val="auto"/>
          <w:highlight w:val="none"/>
        </w:rPr>
        <w:tab/>
      </w:r>
      <w:r>
        <w:rPr>
          <w:color w:val="auto"/>
          <w:highlight w:val="none"/>
        </w:rPr>
        <w:fldChar w:fldCharType="begin"/>
      </w:r>
      <w:r>
        <w:rPr>
          <w:color w:val="auto"/>
          <w:highlight w:val="none"/>
        </w:rPr>
        <w:instrText xml:space="preserve"> PAGEREF _Toc25999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"_Toc31827" </w:instrText>
      </w:r>
      <w:r>
        <w:rPr>
          <w:color w:val="auto"/>
          <w:highlight w:val="none"/>
        </w:rPr>
        <w:fldChar w:fldCharType="separate"/>
      </w:r>
      <w:r>
        <w:rPr>
          <w:rFonts w:hint="eastAsia" w:ascii="宋体" w:hAnsi="宋体"/>
          <w:bCs/>
          <w:strike/>
          <w:color w:val="auto"/>
          <w:kern w:val="44"/>
          <w:szCs w:val="21"/>
          <w:highlight w:val="none"/>
        </w:rPr>
        <w:t>附录5勘察投标文件编制要求</w:t>
      </w:r>
      <w:r>
        <w:rPr>
          <w:color w:val="auto"/>
          <w:highlight w:val="none"/>
        </w:rPr>
        <w:tab/>
      </w:r>
      <w:r>
        <w:rPr>
          <w:color w:val="auto"/>
          <w:highlight w:val="none"/>
        </w:rPr>
        <w:fldChar w:fldCharType="begin"/>
      </w:r>
      <w:r>
        <w:rPr>
          <w:color w:val="auto"/>
          <w:highlight w:val="none"/>
        </w:rPr>
        <w:instrText xml:space="preserve"> PAGEREF _Toc31827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"_Toc5520" </w:instrText>
      </w:r>
      <w:r>
        <w:rPr>
          <w:color w:val="auto"/>
          <w:highlight w:val="none"/>
        </w:rPr>
        <w:fldChar w:fldCharType="separate"/>
      </w:r>
      <w:r>
        <w:rPr>
          <w:rFonts w:hint="eastAsia" w:ascii="宋体" w:hAnsi="宋体"/>
          <w:bCs/>
          <w:color w:val="auto"/>
          <w:kern w:val="44"/>
          <w:szCs w:val="21"/>
          <w:highlight w:val="none"/>
        </w:rPr>
        <w:t>附录6 投标书</w:t>
      </w:r>
      <w:r>
        <w:rPr>
          <w:color w:val="auto"/>
          <w:highlight w:val="none"/>
        </w:rPr>
        <w:tab/>
      </w:r>
      <w:r>
        <w:rPr>
          <w:color w:val="auto"/>
          <w:highlight w:val="none"/>
        </w:rPr>
        <w:fldChar w:fldCharType="begin"/>
      </w:r>
      <w:r>
        <w:rPr>
          <w:color w:val="auto"/>
          <w:highlight w:val="none"/>
        </w:rPr>
        <w:instrText xml:space="preserve"> PAGEREF _Toc5520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4"/>
        <w:tabs>
          <w:tab w:val="right" w:leader="dot" w:pos="9638"/>
          <w:tab w:val="clear" w:pos="8990"/>
        </w:tabs>
        <w:rPr>
          <w:strike w:val="0"/>
          <w:dstrike w:val="0"/>
          <w:color w:val="auto"/>
          <w:highlight w:val="none"/>
        </w:rPr>
      </w:pPr>
      <w:r>
        <w:rPr>
          <w:strike w:val="0"/>
          <w:dstrike w:val="0"/>
          <w:color w:val="auto"/>
          <w:highlight w:val="none"/>
        </w:rPr>
        <w:fldChar w:fldCharType="begin"/>
      </w:r>
      <w:r>
        <w:rPr>
          <w:strike w:val="0"/>
          <w:dstrike w:val="0"/>
          <w:color w:val="auto"/>
          <w:highlight w:val="none"/>
        </w:rPr>
        <w:instrText xml:space="preserve"> HYPERLINK \l "_Toc20842" </w:instrText>
      </w:r>
      <w:r>
        <w:rPr>
          <w:strike w:val="0"/>
          <w:dstrike w:val="0"/>
          <w:color w:val="auto"/>
          <w:highlight w:val="none"/>
        </w:rPr>
        <w:fldChar w:fldCharType="separate"/>
      </w:r>
      <w:r>
        <w:rPr>
          <w:rFonts w:hint="eastAsia" w:ascii="宋体" w:hAnsi="宋体"/>
          <w:bCs/>
          <w:strike w:val="0"/>
          <w:dstrike w:val="0"/>
          <w:color w:val="auto"/>
          <w:kern w:val="44"/>
          <w:szCs w:val="21"/>
          <w:highlight w:val="none"/>
        </w:rPr>
        <w:t>附录7 联合体共同投标协议</w:t>
      </w:r>
      <w:r>
        <w:rPr>
          <w:strike w:val="0"/>
          <w:dstrike w:val="0"/>
          <w:color w:val="auto"/>
          <w:highlight w:val="none"/>
        </w:rPr>
        <w:tab/>
      </w:r>
      <w:r>
        <w:rPr>
          <w:strike w:val="0"/>
          <w:dstrike w:val="0"/>
          <w:color w:val="auto"/>
          <w:highlight w:val="none"/>
        </w:rPr>
        <w:fldChar w:fldCharType="begin"/>
      </w:r>
      <w:r>
        <w:rPr>
          <w:strike w:val="0"/>
          <w:dstrike w:val="0"/>
          <w:color w:val="auto"/>
          <w:highlight w:val="none"/>
        </w:rPr>
        <w:instrText xml:space="preserve"> PAGEREF _Toc20842 \h </w:instrText>
      </w:r>
      <w:r>
        <w:rPr>
          <w:strike w:val="0"/>
          <w:dstrike w:val="0"/>
          <w:color w:val="auto"/>
          <w:highlight w:val="none"/>
        </w:rPr>
        <w:fldChar w:fldCharType="separate"/>
      </w:r>
      <w:r>
        <w:rPr>
          <w:strike w:val="0"/>
          <w:dstrike w:val="0"/>
          <w:color w:val="auto"/>
          <w:highlight w:val="none"/>
        </w:rPr>
        <w:t>43</w:t>
      </w:r>
      <w:r>
        <w:rPr>
          <w:strike w:val="0"/>
          <w:dstrike w:val="0"/>
          <w:color w:val="auto"/>
          <w:highlight w:val="none"/>
        </w:rPr>
        <w:fldChar w:fldCharType="end"/>
      </w:r>
      <w:r>
        <w:rPr>
          <w:strike w:val="0"/>
          <w:dstrike w:val="0"/>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"_Toc26265" </w:instrText>
      </w:r>
      <w:r>
        <w:rPr>
          <w:color w:val="auto"/>
          <w:highlight w:val="none"/>
        </w:rPr>
        <w:fldChar w:fldCharType="separate"/>
      </w:r>
      <w:r>
        <w:rPr>
          <w:rFonts w:hint="eastAsia" w:ascii="宋体" w:hAnsi="宋体"/>
          <w:bCs/>
          <w:color w:val="auto"/>
          <w:kern w:val="44"/>
          <w:szCs w:val="21"/>
          <w:highlight w:val="none"/>
        </w:rPr>
        <w:t>附录8 投标人声明</w:t>
      </w:r>
      <w:r>
        <w:rPr>
          <w:color w:val="auto"/>
          <w:highlight w:val="none"/>
        </w:rPr>
        <w:tab/>
      </w:r>
      <w:r>
        <w:rPr>
          <w:color w:val="auto"/>
          <w:highlight w:val="none"/>
        </w:rPr>
        <w:fldChar w:fldCharType="begin"/>
      </w:r>
      <w:r>
        <w:rPr>
          <w:color w:val="auto"/>
          <w:highlight w:val="none"/>
        </w:rPr>
        <w:instrText xml:space="preserve"> PAGEREF _Toc26265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"_Toc28294" </w:instrText>
      </w:r>
      <w:r>
        <w:rPr>
          <w:color w:val="auto"/>
          <w:highlight w:val="none"/>
        </w:rPr>
        <w:fldChar w:fldCharType="separate"/>
      </w:r>
      <w:r>
        <w:rPr>
          <w:rFonts w:hint="eastAsia" w:ascii="宋体" w:hAnsi="宋体"/>
          <w:bCs/>
          <w:color w:val="auto"/>
          <w:kern w:val="44"/>
          <w:szCs w:val="21"/>
          <w:highlight w:val="none"/>
        </w:rPr>
        <w:t>附录9 资格审查表</w:t>
      </w:r>
      <w:r>
        <w:rPr>
          <w:color w:val="auto"/>
          <w:highlight w:val="none"/>
        </w:rPr>
        <w:tab/>
      </w:r>
      <w:r>
        <w:rPr>
          <w:color w:val="auto"/>
          <w:highlight w:val="none"/>
        </w:rPr>
        <w:fldChar w:fldCharType="begin"/>
      </w:r>
      <w:r>
        <w:rPr>
          <w:color w:val="auto"/>
          <w:highlight w:val="none"/>
        </w:rPr>
        <w:instrText xml:space="preserve"> PAGEREF _Toc28294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"_Toc23363" </w:instrText>
      </w:r>
      <w:r>
        <w:rPr>
          <w:color w:val="auto"/>
          <w:highlight w:val="none"/>
        </w:rPr>
        <w:fldChar w:fldCharType="separate"/>
      </w:r>
      <w:r>
        <w:rPr>
          <w:rFonts w:hint="eastAsia" w:ascii="宋体" w:hAnsi="宋体"/>
          <w:bCs/>
          <w:color w:val="auto"/>
          <w:kern w:val="44"/>
          <w:szCs w:val="21"/>
          <w:highlight w:val="none"/>
        </w:rPr>
        <w:t>附件10 投票表格</w:t>
      </w:r>
      <w:r>
        <w:rPr>
          <w:color w:val="auto"/>
          <w:highlight w:val="none"/>
        </w:rPr>
        <w:tab/>
      </w:r>
      <w:r>
        <w:rPr>
          <w:color w:val="auto"/>
          <w:highlight w:val="none"/>
        </w:rPr>
        <w:fldChar w:fldCharType="begin"/>
      </w:r>
      <w:r>
        <w:rPr>
          <w:color w:val="auto"/>
          <w:highlight w:val="none"/>
        </w:rPr>
        <w:instrText xml:space="preserve"> PAGEREF _Toc23363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"_Toc14005" </w:instrText>
      </w:r>
      <w:r>
        <w:rPr>
          <w:color w:val="auto"/>
          <w:highlight w:val="none"/>
        </w:rPr>
        <w:fldChar w:fldCharType="separate"/>
      </w:r>
      <w:r>
        <w:rPr>
          <w:rFonts w:hint="eastAsia" w:ascii="宋体" w:hAnsi="宋体"/>
          <w:bCs/>
          <w:color w:val="auto"/>
          <w:kern w:val="44"/>
          <w:szCs w:val="21"/>
          <w:highlight w:val="none"/>
        </w:rPr>
        <w:t>附件10-1附加投票表格</w:t>
      </w:r>
      <w:r>
        <w:rPr>
          <w:color w:val="auto"/>
          <w:highlight w:val="none"/>
        </w:rPr>
        <w:tab/>
      </w:r>
      <w:r>
        <w:rPr>
          <w:color w:val="auto"/>
          <w:highlight w:val="none"/>
        </w:rPr>
        <w:fldChar w:fldCharType="begin"/>
      </w:r>
      <w:r>
        <w:rPr>
          <w:color w:val="auto"/>
          <w:highlight w:val="none"/>
        </w:rPr>
        <w:instrText xml:space="preserve"> PAGEREF _Toc14005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"_Toc29137" </w:instrText>
      </w:r>
      <w:r>
        <w:rPr>
          <w:color w:val="auto"/>
          <w:highlight w:val="none"/>
        </w:rPr>
        <w:fldChar w:fldCharType="separate"/>
      </w:r>
      <w:r>
        <w:rPr>
          <w:rFonts w:hint="eastAsia" w:ascii="宋体" w:hAnsi="宋体"/>
          <w:bCs/>
          <w:color w:val="auto"/>
          <w:kern w:val="44"/>
          <w:szCs w:val="21"/>
          <w:highlight w:val="none"/>
        </w:rPr>
        <w:t>附录11 投标汇总表格</w:t>
      </w:r>
      <w:r>
        <w:rPr>
          <w:color w:val="auto"/>
          <w:highlight w:val="none"/>
        </w:rPr>
        <w:tab/>
      </w:r>
      <w:r>
        <w:rPr>
          <w:color w:val="auto"/>
          <w:highlight w:val="none"/>
        </w:rPr>
        <w:fldChar w:fldCharType="begin"/>
      </w:r>
      <w:r>
        <w:rPr>
          <w:color w:val="auto"/>
          <w:highlight w:val="none"/>
        </w:rPr>
        <w:instrText xml:space="preserve"> PAGEREF _Toc29137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"_Toc213" </w:instrText>
      </w:r>
      <w:r>
        <w:rPr>
          <w:color w:val="auto"/>
          <w:highlight w:val="none"/>
        </w:rPr>
        <w:fldChar w:fldCharType="separate"/>
      </w:r>
      <w:r>
        <w:rPr>
          <w:rFonts w:hint="eastAsia" w:ascii="宋体" w:hAnsi="宋体"/>
          <w:bCs/>
          <w:color w:val="auto"/>
          <w:kern w:val="44"/>
          <w:szCs w:val="21"/>
          <w:highlight w:val="none"/>
        </w:rPr>
        <w:t>附录12 建筑工程设计方案评审记录表</w:t>
      </w:r>
      <w:r>
        <w:rPr>
          <w:color w:val="auto"/>
          <w:highlight w:val="none"/>
        </w:rPr>
        <w:tab/>
      </w:r>
      <w:r>
        <w:rPr>
          <w:color w:val="auto"/>
          <w:highlight w:val="none"/>
        </w:rPr>
        <w:fldChar w:fldCharType="begin"/>
      </w:r>
      <w:r>
        <w:rPr>
          <w:color w:val="auto"/>
          <w:highlight w:val="none"/>
        </w:rPr>
        <w:instrText xml:space="preserve"> PAGEREF _Toc213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"_Toc22704" </w:instrText>
      </w:r>
      <w:r>
        <w:rPr>
          <w:color w:val="auto"/>
          <w:highlight w:val="none"/>
        </w:rPr>
        <w:fldChar w:fldCharType="separate"/>
      </w:r>
      <w:r>
        <w:rPr>
          <w:rFonts w:hint="eastAsia" w:ascii="宋体" w:hAnsi="宋体"/>
          <w:bCs/>
          <w:color w:val="auto"/>
          <w:kern w:val="44"/>
          <w:szCs w:val="21"/>
          <w:highlight w:val="none"/>
        </w:rPr>
        <w:t>附录13 投标方案评语</w:t>
      </w:r>
      <w:r>
        <w:rPr>
          <w:color w:val="auto"/>
          <w:highlight w:val="none"/>
        </w:rPr>
        <w:tab/>
      </w:r>
      <w:r>
        <w:rPr>
          <w:color w:val="auto"/>
          <w:highlight w:val="none"/>
        </w:rPr>
        <w:fldChar w:fldCharType="begin"/>
      </w:r>
      <w:r>
        <w:rPr>
          <w:color w:val="auto"/>
          <w:highlight w:val="none"/>
        </w:rPr>
        <w:instrText xml:space="preserve"> PAGEREF _Toc22704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"_Toc12445" </w:instrText>
      </w:r>
      <w:r>
        <w:rPr>
          <w:color w:val="auto"/>
          <w:highlight w:val="none"/>
        </w:rPr>
        <w:fldChar w:fldCharType="separate"/>
      </w:r>
      <w:r>
        <w:rPr>
          <w:rFonts w:hint="eastAsia" w:ascii="宋体" w:hAnsi="宋体"/>
          <w:bCs/>
          <w:strike/>
          <w:color w:val="auto"/>
          <w:kern w:val="44"/>
          <w:szCs w:val="21"/>
          <w:highlight w:val="none"/>
        </w:rPr>
        <w:t>附录15</w:t>
      </w:r>
      <w:r>
        <w:rPr>
          <w:rFonts w:ascii="宋体" w:hAnsi="宋体"/>
          <w:bCs/>
          <w:strike/>
          <w:color w:val="auto"/>
          <w:kern w:val="44"/>
          <w:szCs w:val="21"/>
          <w:highlight w:val="none"/>
        </w:rPr>
        <w:t xml:space="preserve"> </w:t>
      </w:r>
      <w:r>
        <w:rPr>
          <w:rFonts w:hint="eastAsia" w:ascii="宋体" w:hAnsi="宋体"/>
          <w:bCs/>
          <w:strike/>
          <w:color w:val="auto"/>
          <w:kern w:val="44"/>
          <w:szCs w:val="21"/>
          <w:highlight w:val="none"/>
        </w:rPr>
        <w:t>定标委员会的组成</w:t>
      </w:r>
      <w:r>
        <w:rPr>
          <w:color w:val="auto"/>
          <w:highlight w:val="none"/>
        </w:rPr>
        <w:tab/>
      </w:r>
      <w:r>
        <w:rPr>
          <w:color w:val="auto"/>
          <w:highlight w:val="none"/>
        </w:rPr>
        <w:fldChar w:fldCharType="begin"/>
      </w:r>
      <w:r>
        <w:rPr>
          <w:color w:val="auto"/>
          <w:highlight w:val="none"/>
        </w:rPr>
        <w:instrText xml:space="preserve"> PAGEREF _Toc12445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9638"/>
          <w:tab w:val="clear" w:pos="8990"/>
        </w:tabs>
        <w:rPr>
          <w:color w:val="auto"/>
          <w:highlight w:val="none"/>
        </w:rPr>
      </w:pPr>
      <w:r>
        <w:rPr>
          <w:color w:val="auto"/>
          <w:highlight w:val="none"/>
        </w:rPr>
        <w:fldChar w:fldCharType="begin"/>
      </w:r>
      <w:r>
        <w:rPr>
          <w:color w:val="auto"/>
          <w:highlight w:val="none"/>
        </w:rPr>
        <w:instrText xml:space="preserve"> HYPERLINK \l "_Toc32714" </w:instrText>
      </w:r>
      <w:r>
        <w:rPr>
          <w:color w:val="auto"/>
          <w:highlight w:val="none"/>
        </w:rPr>
        <w:fldChar w:fldCharType="separate"/>
      </w:r>
      <w:r>
        <w:rPr>
          <w:rFonts w:hint="eastAsia" w:ascii="宋体" w:hAnsi="宋体"/>
          <w:bCs/>
          <w:strike/>
          <w:color w:val="auto"/>
          <w:kern w:val="44"/>
          <w:szCs w:val="21"/>
          <w:highlight w:val="none"/>
        </w:rPr>
        <w:t>附录1</w:t>
      </w:r>
      <w:r>
        <w:rPr>
          <w:rFonts w:ascii="宋体" w:hAnsi="宋体"/>
          <w:bCs/>
          <w:strike/>
          <w:color w:val="auto"/>
          <w:kern w:val="44"/>
          <w:szCs w:val="21"/>
          <w:highlight w:val="none"/>
        </w:rPr>
        <w:t xml:space="preserve">6 </w:t>
      </w:r>
      <w:r>
        <w:rPr>
          <w:rFonts w:hint="eastAsia" w:ascii="宋体" w:hAnsi="宋体"/>
          <w:bCs/>
          <w:strike/>
          <w:color w:val="auto"/>
          <w:kern w:val="44"/>
          <w:szCs w:val="21"/>
          <w:highlight w:val="none"/>
        </w:rPr>
        <w:t>定标原则</w:t>
      </w:r>
      <w:r>
        <w:rPr>
          <w:color w:val="auto"/>
          <w:highlight w:val="none"/>
        </w:rPr>
        <w:tab/>
      </w:r>
      <w:r>
        <w:rPr>
          <w:color w:val="auto"/>
          <w:highlight w:val="none"/>
        </w:rPr>
        <w:fldChar w:fldCharType="begin"/>
      </w:r>
      <w:r>
        <w:rPr>
          <w:color w:val="auto"/>
          <w:highlight w:val="none"/>
        </w:rPr>
        <w:instrText xml:space="preserve"> PAGEREF _Toc32714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spacing w:line="360" w:lineRule="auto"/>
        <w:rPr>
          <w:rFonts w:ascii="宋体" w:hAnsi="宋体"/>
          <w:color w:val="auto"/>
          <w:highlight w:val="none"/>
        </w:rPr>
      </w:pPr>
      <w:r>
        <w:rPr>
          <w:color w:val="auto"/>
          <w:highlight w:val="none"/>
        </w:rPr>
        <w:fldChar w:fldCharType="end"/>
      </w:r>
      <w:r>
        <w:rPr>
          <w:rFonts w:hint="eastAsia" w:ascii="宋体" w:hAnsi="宋体"/>
          <w:color w:val="auto"/>
          <w:highlight w:val="none"/>
        </w:rPr>
        <w:br w:type="page"/>
      </w:r>
    </w:p>
    <w:p>
      <w:pPr>
        <w:keepNext/>
        <w:keepLines/>
        <w:spacing w:line="360" w:lineRule="auto"/>
        <w:jc w:val="center"/>
        <w:outlineLvl w:val="0"/>
        <w:rPr>
          <w:rFonts w:ascii="Times New Roman" w:hAnsi="Times New Roman"/>
          <w:b/>
          <w:bCs/>
          <w:color w:val="auto"/>
          <w:kern w:val="44"/>
          <w:sz w:val="36"/>
          <w:szCs w:val="36"/>
          <w:highlight w:val="none"/>
        </w:rPr>
      </w:pPr>
      <w:bookmarkStart w:id="0" w:name="_Toc8608"/>
      <w:r>
        <w:rPr>
          <w:rFonts w:hint="eastAsia" w:ascii="Times New Roman" w:hAnsi="Times New Roman"/>
          <w:b/>
          <w:bCs/>
          <w:color w:val="auto"/>
          <w:kern w:val="44"/>
          <w:sz w:val="36"/>
          <w:szCs w:val="36"/>
          <w:highlight w:val="none"/>
        </w:rPr>
        <w:t>第一章  招标公告</w:t>
      </w:r>
      <w:bookmarkEnd w:id="0"/>
    </w:p>
    <w:p>
      <w:pPr>
        <w:spacing w:line="360" w:lineRule="auto"/>
        <w:jc w:val="center"/>
        <w:rPr>
          <w:rFonts w:ascii="宋体" w:hAnsi="宋体"/>
          <w:color w:val="auto"/>
          <w:sz w:val="28"/>
          <w:szCs w:val="32"/>
          <w:highlight w:val="none"/>
        </w:rPr>
      </w:pPr>
      <w:r>
        <w:rPr>
          <w:rFonts w:hint="eastAsia" w:ascii="宋体" w:hAnsi="宋体"/>
          <w:color w:val="auto"/>
          <w:sz w:val="28"/>
          <w:szCs w:val="32"/>
          <w:highlight w:val="none"/>
        </w:rPr>
        <w:t>详见《招标公告》</w:t>
      </w:r>
    </w:p>
    <w:p>
      <w:pPr>
        <w:spacing w:line="360" w:lineRule="auto"/>
        <w:jc w:val="center"/>
        <w:rPr>
          <w:rFonts w:ascii="宋体" w:hAnsi="宋体"/>
          <w:color w:val="auto"/>
          <w:sz w:val="28"/>
          <w:szCs w:val="32"/>
          <w:highlight w:val="none"/>
        </w:rPr>
      </w:pPr>
      <w:r>
        <w:rPr>
          <w:rFonts w:ascii="宋体" w:hAnsi="宋体"/>
          <w:color w:val="auto"/>
          <w:sz w:val="28"/>
          <w:szCs w:val="32"/>
          <w:highlight w:val="none"/>
        </w:rPr>
        <w:br w:type="page"/>
      </w:r>
    </w:p>
    <w:p>
      <w:pPr>
        <w:pStyle w:val="4"/>
        <w:jc w:val="center"/>
        <w:rPr>
          <w:rFonts w:ascii="宋体" w:hAnsi="宋体"/>
          <w:b w:val="0"/>
          <w:color w:val="auto"/>
          <w:sz w:val="36"/>
          <w:szCs w:val="36"/>
          <w:highlight w:val="none"/>
        </w:rPr>
      </w:pPr>
      <w:bookmarkStart w:id="1" w:name="_Toc32827929"/>
      <w:bookmarkStart w:id="2" w:name="_Toc25363"/>
      <w:r>
        <w:rPr>
          <w:rFonts w:hint="eastAsia"/>
          <w:color w:val="auto"/>
          <w:sz w:val="36"/>
          <w:szCs w:val="36"/>
          <w:highlight w:val="none"/>
        </w:rPr>
        <w:t>第二章  招标</w:t>
      </w:r>
      <w:bookmarkEnd w:id="1"/>
      <w:bookmarkEnd w:id="2"/>
    </w:p>
    <w:p>
      <w:pPr>
        <w:rPr>
          <w:rFonts w:ascii="宋体" w:hAnsi="宋体"/>
          <w:color w:val="auto"/>
          <w:highlight w:val="none"/>
        </w:rPr>
      </w:pPr>
    </w:p>
    <w:p>
      <w:pPr>
        <w:spacing w:line="360" w:lineRule="auto"/>
        <w:ind w:left="824" w:hanging="820" w:hangingChars="342"/>
        <w:rPr>
          <w:rFonts w:ascii="宋体" w:hAnsi="宋体"/>
          <w:b/>
          <w:color w:val="auto"/>
          <w:sz w:val="24"/>
          <w:highlight w:val="none"/>
        </w:rPr>
      </w:pPr>
      <w:r>
        <w:rPr>
          <w:rFonts w:hint="eastAsia" w:ascii="宋体" w:hAnsi="宋体"/>
          <w:b/>
          <w:color w:val="auto"/>
          <w:sz w:val="24"/>
          <w:highlight w:val="none"/>
        </w:rPr>
        <w:t>2.1    释义</w:t>
      </w:r>
    </w:p>
    <w:p>
      <w:pPr>
        <w:spacing w:line="360" w:lineRule="auto"/>
        <w:ind w:left="821" w:hanging="820" w:hangingChars="342"/>
        <w:rPr>
          <w:rFonts w:ascii="宋体" w:hAnsi="宋体"/>
          <w:color w:val="auto"/>
          <w:sz w:val="24"/>
          <w:highlight w:val="none"/>
        </w:rPr>
      </w:pP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2.1.1  “设计”是指</w:t>
      </w:r>
      <w:r>
        <w:rPr>
          <w:rFonts w:hint="eastAsia"/>
          <w:color w:val="auto"/>
          <w:sz w:val="24"/>
          <w:highlight w:val="none"/>
        </w:rPr>
        <w:t>根据建设工程的要求，对建设工程所需的技术、经济、资源、环境等条件进行综合分析、论证，编制建设工程设计文件的活动。</w:t>
      </w:r>
    </w:p>
    <w:p>
      <w:pPr>
        <w:spacing w:line="360" w:lineRule="auto"/>
        <w:ind w:left="821" w:hanging="820" w:hangingChars="342"/>
        <w:rPr>
          <w:rFonts w:ascii="宋体" w:hAnsi="宋体"/>
          <w:strike/>
          <w:color w:val="auto"/>
          <w:sz w:val="24"/>
          <w:highlight w:val="none"/>
        </w:rPr>
      </w:pPr>
      <w:r>
        <w:rPr>
          <w:rFonts w:hint="eastAsia" w:ascii="宋体" w:hAnsi="宋体"/>
          <w:strike/>
          <w:color w:val="auto"/>
          <w:sz w:val="24"/>
          <w:highlight w:val="none"/>
        </w:rPr>
        <w:t>2.1.2  “勘察”是指</w:t>
      </w:r>
      <w:r>
        <w:rPr>
          <w:rFonts w:hint="eastAsia"/>
          <w:strike/>
          <w:color w:val="auto"/>
          <w:sz w:val="24"/>
          <w:highlight w:val="none"/>
        </w:rPr>
        <w:t>根据建设工程的要求，查明、分析、评价建设场地的地质地理环境特征和岩土工程条件，编制建设工程勘察文件的活动。</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2.1.3  “招标”是指</w:t>
      </w:r>
      <w:r>
        <w:rPr>
          <w:rFonts w:hint="eastAsia"/>
          <w:color w:val="auto"/>
          <w:sz w:val="24"/>
          <w:highlight w:val="none"/>
        </w:rPr>
        <w:t>发包人通过建设工程的</w:t>
      </w:r>
      <w:r>
        <w:rPr>
          <w:rFonts w:hint="eastAsia"/>
          <w:strike/>
          <w:color w:val="auto"/>
          <w:sz w:val="24"/>
          <w:highlight w:val="none"/>
        </w:rPr>
        <w:t>勘察、</w:t>
      </w:r>
      <w:r>
        <w:rPr>
          <w:rFonts w:hint="eastAsia"/>
          <w:color w:val="auto"/>
          <w:sz w:val="24"/>
          <w:highlight w:val="none"/>
        </w:rPr>
        <w:t>设计等方案招标，将工程相应的任务发包给符合</w:t>
      </w:r>
      <w:r>
        <w:rPr>
          <w:rFonts w:hint="eastAsia"/>
          <w:strike/>
          <w:color w:val="auto"/>
          <w:sz w:val="24"/>
          <w:highlight w:val="none"/>
        </w:rPr>
        <w:t>勘察</w:t>
      </w:r>
      <w:r>
        <w:rPr>
          <w:rFonts w:hint="eastAsia"/>
          <w:color w:val="auto"/>
          <w:sz w:val="24"/>
          <w:highlight w:val="none"/>
        </w:rPr>
        <w:t>设计资质条件的建设工程承包单位的行为。</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2.1.4  “招标人”是指</w:t>
      </w:r>
      <w:r>
        <w:rPr>
          <w:rFonts w:hint="eastAsia"/>
          <w:color w:val="auto"/>
          <w:sz w:val="24"/>
          <w:highlight w:val="none"/>
        </w:rPr>
        <w:t>提出招标项目、进行招标的法人或者其他组织。</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2.1.5  “招标代理机构”是指</w:t>
      </w:r>
      <w:r>
        <w:rPr>
          <w:rFonts w:hint="eastAsia"/>
          <w:color w:val="auto"/>
          <w:sz w:val="24"/>
          <w:highlight w:val="none"/>
        </w:rPr>
        <w:t>从事招标代理业务并提供相关服务的社会中介组织。</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2.1.6  “投标人”是指</w:t>
      </w:r>
      <w:r>
        <w:rPr>
          <w:rFonts w:hint="eastAsia"/>
          <w:color w:val="auto"/>
          <w:sz w:val="24"/>
          <w:highlight w:val="none"/>
        </w:rPr>
        <w:t>响应招标、参加投标竞争的法人或者其他组织。</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2.1.7  “监督机构”是指招标活动的监督机构。</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2.1.8 “招标管理机构”是指受监督机构委托管理招标活动的机构。</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2.1.9 “交易服务机构”是指</w:t>
      </w:r>
      <w:r>
        <w:rPr>
          <w:rFonts w:hint="eastAsia"/>
          <w:color w:val="auto"/>
          <w:sz w:val="24"/>
          <w:highlight w:val="none"/>
        </w:rPr>
        <w:t>为招标人和投标人提供场所、信息和咨询服务，见证招标过程，确认中标通知书的服务机构。</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2.1.10 “招标文件”是指招标人（招标代理机构）发出的包括招标预告、招标公告、招标程序和规则、技术规范、合同条件、附录、图表、说明、投资立项批准文件、建设用地批准文件及其它一切补充资料的书面文件和电子文件。</w:t>
      </w:r>
    </w:p>
    <w:p>
      <w:pPr>
        <w:spacing w:line="360" w:lineRule="auto"/>
        <w:rPr>
          <w:rFonts w:ascii="宋体" w:hAnsi="宋体"/>
          <w:color w:val="auto"/>
          <w:sz w:val="24"/>
          <w:highlight w:val="none"/>
        </w:rPr>
      </w:pP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2.2    免责条款</w:t>
      </w:r>
    </w:p>
    <w:p>
      <w:pPr>
        <w:spacing w:line="360" w:lineRule="auto"/>
        <w:rPr>
          <w:rFonts w:ascii="宋体" w:hAnsi="宋体"/>
          <w:color w:val="auto"/>
          <w:sz w:val="24"/>
          <w:highlight w:val="none"/>
        </w:rPr>
      </w:pP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2.2.1  招标文件的解释权归招标人所有，招标人有权在法律允许范围内调整本次招标活动的细节及保留最终解释权。</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2.2.2  招标人不受将合同授予任何投标人的约束，招标人有权接受任何一份投标文件的全部或部分内容。</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2.2.3  招标人向投标人提供的资料和数据，是招标人现有的能使投标人利用的资料，招标人对投标人由此而作出的推论、理解和结论概不负责。</w:t>
      </w:r>
    </w:p>
    <w:p>
      <w:pPr>
        <w:pStyle w:val="10"/>
        <w:spacing w:line="360" w:lineRule="auto"/>
        <w:ind w:left="821" w:hanging="820" w:hangingChars="342"/>
        <w:jc w:val="left"/>
        <w:rPr>
          <w:rFonts w:hAnsi="宋体"/>
          <w:color w:val="auto"/>
          <w:sz w:val="24"/>
          <w:szCs w:val="24"/>
          <w:highlight w:val="none"/>
        </w:rPr>
      </w:pPr>
      <w:r>
        <w:rPr>
          <w:rFonts w:hint="eastAsia" w:hAnsi="宋体"/>
          <w:color w:val="auto"/>
          <w:sz w:val="24"/>
          <w:szCs w:val="24"/>
          <w:highlight w:val="none"/>
        </w:rPr>
        <w:t>2.2.4  投标人应承担其现场考察、编制和提交投标文件有关的一切费用、损害和人身伤亡事故责任，不管投标结果如何，招标人对上述费用不负任何责任。</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2.2.5  </w:t>
      </w:r>
      <w:r>
        <w:rPr>
          <w:rFonts w:hint="eastAsia" w:hAnsi="宋体"/>
          <w:color w:val="auto"/>
          <w:sz w:val="24"/>
          <w:highlight w:val="none"/>
        </w:rPr>
        <w:t>招标人对投标人的失误不负任何责任，</w:t>
      </w:r>
      <w:r>
        <w:rPr>
          <w:rFonts w:hint="eastAsia" w:ascii="宋体" w:hAnsi="宋体"/>
          <w:color w:val="auto"/>
          <w:sz w:val="24"/>
          <w:highlight w:val="none"/>
        </w:rPr>
        <w:t>投标人应指定一名投标事务负责人，专门负责跟踪、接收、阅读和理解招标文件及随后收到的有关资料，向招标人发出质疑，检查投标文件，协助有关人员尽力克服各种投标失误。</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2.2.6  评标委员会成员</w:t>
      </w:r>
      <w:r>
        <w:rPr>
          <w:rFonts w:hint="eastAsia" w:hAnsi="宋体"/>
          <w:color w:val="auto"/>
          <w:sz w:val="24"/>
          <w:highlight w:val="none"/>
        </w:rPr>
        <w:t>应承担其参加评标有关的一切费用、损害和人身伤亡事故责任，招标人除提供评标酬金和差旅费用外，对其他费用不负任何责任。</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2.2.7  如果投标人实质上不符合投标资格，即使已购买招标文件、参加投标并缴纳各种费用，招标人可以随时取消其投标或中标资格，招标人对该投标人的一切损失不负任何责任。</w:t>
      </w:r>
    </w:p>
    <w:p>
      <w:pPr>
        <w:spacing w:line="360" w:lineRule="auto"/>
        <w:ind w:left="821" w:hanging="820" w:hangingChars="342"/>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2.3    招标文件效力</w:t>
      </w:r>
    </w:p>
    <w:p>
      <w:pPr>
        <w:spacing w:line="360" w:lineRule="auto"/>
        <w:rPr>
          <w:rFonts w:ascii="宋体" w:hAnsi="宋体"/>
          <w:color w:val="auto"/>
          <w:sz w:val="24"/>
          <w:highlight w:val="none"/>
        </w:rPr>
      </w:pP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2.3.1  招标文件是招标人发出的</w:t>
      </w:r>
      <w:r>
        <w:rPr>
          <w:rFonts w:ascii="宋体" w:hAnsi="宋体"/>
          <w:color w:val="auto"/>
          <w:sz w:val="24"/>
          <w:highlight w:val="none"/>
        </w:rPr>
        <w:t>要约寻求</w:t>
      </w:r>
      <w:r>
        <w:rPr>
          <w:rFonts w:hint="eastAsia" w:ascii="宋体" w:hAnsi="宋体"/>
          <w:color w:val="auto"/>
          <w:sz w:val="24"/>
          <w:highlight w:val="none"/>
        </w:rPr>
        <w:t>，投标人参加投标均视为承认招标公告、招标文件及附件的所有条款</w:t>
      </w:r>
      <w:r>
        <w:rPr>
          <w:rFonts w:ascii="宋体" w:hAnsi="宋体"/>
          <w:color w:val="auto"/>
          <w:sz w:val="24"/>
          <w:highlight w:val="none"/>
        </w:rPr>
        <w:t>,</w:t>
      </w:r>
      <w:r>
        <w:rPr>
          <w:rFonts w:hint="eastAsia" w:ascii="宋体" w:hAnsi="宋体"/>
          <w:color w:val="auto"/>
          <w:sz w:val="24"/>
          <w:highlight w:val="none"/>
        </w:rPr>
        <w:t>并承诺一旦中标将按招标文件、投标文件、合同条款、技术规范要求的质量和进度完成全部委托任务。</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2.3.2  招标人或招标代理机构与投标人之间使用电子邮箱传送的文件，与公开登载的文件或者盖章发出的文件一样具有同等效力。</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2.3.3  招标人通过交易服务机构公开登载的文件，与盖章发出的文件一样具有同等效力。</w:t>
      </w:r>
    </w:p>
    <w:p>
      <w:pPr>
        <w:spacing w:line="360" w:lineRule="auto"/>
        <w:rPr>
          <w:rFonts w:ascii="宋体" w:hAnsi="宋体"/>
          <w:color w:val="auto"/>
          <w:sz w:val="24"/>
          <w:highlight w:val="none"/>
        </w:rPr>
      </w:pPr>
    </w:p>
    <w:p>
      <w:pPr>
        <w:spacing w:line="360" w:lineRule="auto"/>
        <w:rPr>
          <w:rFonts w:ascii="宋体" w:hAnsi="宋体"/>
          <w:dstrike/>
          <w:color w:val="auto"/>
          <w:sz w:val="24"/>
          <w:highlight w:val="none"/>
        </w:rPr>
      </w:pPr>
    </w:p>
    <w:p>
      <w:pPr>
        <w:spacing w:line="360" w:lineRule="auto"/>
        <w:rPr>
          <w:rFonts w:ascii="宋体" w:hAnsi="宋体"/>
          <w:dstrike/>
          <w:color w:val="auto"/>
          <w:sz w:val="24"/>
          <w:highlight w:val="none"/>
        </w:rPr>
      </w:pPr>
    </w:p>
    <w:p>
      <w:pPr>
        <w:spacing w:line="360" w:lineRule="auto"/>
        <w:rPr>
          <w:rFonts w:ascii="宋体" w:hAnsi="宋体"/>
          <w:dstrike/>
          <w:color w:val="auto"/>
          <w:sz w:val="24"/>
          <w:highlight w:val="none"/>
        </w:rPr>
      </w:pPr>
    </w:p>
    <w:p>
      <w:pPr>
        <w:pStyle w:val="4"/>
        <w:spacing w:line="360" w:lineRule="auto"/>
        <w:jc w:val="center"/>
        <w:rPr>
          <w:rFonts w:ascii="宋体" w:hAnsi="宋体"/>
          <w:b w:val="0"/>
          <w:color w:val="auto"/>
          <w:sz w:val="36"/>
          <w:szCs w:val="36"/>
          <w:highlight w:val="none"/>
        </w:rPr>
      </w:pPr>
      <w:r>
        <w:rPr>
          <w:rFonts w:ascii="宋体" w:hAnsi="宋体"/>
          <w:color w:val="auto"/>
          <w:sz w:val="24"/>
          <w:szCs w:val="24"/>
          <w:highlight w:val="none"/>
        </w:rPr>
        <w:br w:type="page"/>
      </w:r>
      <w:bookmarkStart w:id="3" w:name="_Toc32827930"/>
      <w:bookmarkStart w:id="4" w:name="_Toc9960"/>
      <w:r>
        <w:rPr>
          <w:rFonts w:hint="eastAsia"/>
          <w:color w:val="auto"/>
          <w:sz w:val="36"/>
          <w:szCs w:val="36"/>
          <w:highlight w:val="none"/>
        </w:rPr>
        <w:t>第三章  投标</w:t>
      </w:r>
      <w:bookmarkEnd w:id="3"/>
      <w:bookmarkEnd w:id="4"/>
    </w:p>
    <w:p>
      <w:pPr>
        <w:spacing w:line="360" w:lineRule="auto"/>
        <w:ind w:left="850" w:hanging="849" w:hangingChars="354"/>
        <w:rPr>
          <w:rFonts w:ascii="宋体" w:hAnsi="宋体"/>
          <w:color w:val="auto"/>
          <w:sz w:val="24"/>
          <w:highlight w:val="none"/>
        </w:rPr>
      </w:pPr>
    </w:p>
    <w:p>
      <w:pPr>
        <w:spacing w:line="360" w:lineRule="auto"/>
        <w:ind w:left="853" w:hanging="849" w:hangingChars="354"/>
        <w:jc w:val="left"/>
        <w:rPr>
          <w:rFonts w:ascii="宋体" w:hAnsi="宋体"/>
          <w:b/>
          <w:color w:val="auto"/>
          <w:sz w:val="24"/>
          <w:highlight w:val="none"/>
        </w:rPr>
      </w:pPr>
      <w:r>
        <w:rPr>
          <w:rFonts w:hint="eastAsia" w:ascii="宋体" w:hAnsi="宋体"/>
          <w:b/>
          <w:color w:val="auto"/>
          <w:sz w:val="24"/>
          <w:highlight w:val="none"/>
        </w:rPr>
        <w:t>3.1    现场考察</w:t>
      </w:r>
    </w:p>
    <w:p>
      <w:pPr>
        <w:spacing w:line="360" w:lineRule="auto"/>
        <w:ind w:left="850" w:hanging="849" w:hangingChars="354"/>
        <w:jc w:val="left"/>
        <w:rPr>
          <w:rFonts w:ascii="宋体" w:hAnsi="宋体"/>
          <w:color w:val="auto"/>
          <w:sz w:val="24"/>
          <w:highlight w:val="none"/>
        </w:rPr>
      </w:pP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 xml:space="preserve">3.1.1  </w:t>
      </w:r>
      <w:r>
        <w:rPr>
          <w:rFonts w:hint="eastAsia" w:ascii="宋体" w:hAnsi="宋体"/>
          <w:color w:val="auto"/>
          <w:sz w:val="24"/>
          <w:highlight w:val="none"/>
          <w:u w:val="single"/>
        </w:rPr>
        <w:t>现场考察由投标人自行考察，招标人不统一安排现场考察</w:t>
      </w:r>
      <w:r>
        <w:rPr>
          <w:rFonts w:hint="eastAsia" w:ascii="宋体" w:hAnsi="宋体"/>
          <w:color w:val="auto"/>
          <w:sz w:val="24"/>
          <w:highlight w:val="none"/>
        </w:rPr>
        <w:t>。</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 xml:space="preserve">3.1.2  </w:t>
      </w:r>
      <w:r>
        <w:rPr>
          <w:rFonts w:hint="eastAsia" w:ascii="宋体" w:hAnsi="宋体"/>
          <w:color w:val="auto"/>
          <w:sz w:val="24"/>
          <w:highlight w:val="none"/>
          <w:u w:val="single"/>
        </w:rPr>
        <w:t>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r>
        <w:rPr>
          <w:rFonts w:hint="eastAsia" w:ascii="宋体" w:hAnsi="宋体"/>
          <w:color w:val="auto"/>
          <w:sz w:val="24"/>
          <w:highlight w:val="none"/>
        </w:rPr>
        <w:t>。</w:t>
      </w:r>
    </w:p>
    <w:p>
      <w:pPr>
        <w:spacing w:line="360" w:lineRule="auto"/>
        <w:ind w:left="850" w:hanging="849" w:hangingChars="354"/>
        <w:jc w:val="left"/>
        <w:rPr>
          <w:rFonts w:ascii="宋体" w:hAnsi="宋体"/>
          <w:strike/>
          <w:color w:val="auto"/>
          <w:sz w:val="24"/>
          <w:highlight w:val="none"/>
        </w:rPr>
      </w:pPr>
      <w:r>
        <w:rPr>
          <w:rFonts w:hint="eastAsia" w:ascii="宋体" w:hAnsi="宋体"/>
          <w:strike/>
          <w:color w:val="auto"/>
          <w:sz w:val="24"/>
          <w:highlight w:val="none"/>
        </w:rPr>
        <w:t>3.1.3  现场考察期间招标人接受投标人代表的提问。</w:t>
      </w:r>
    </w:p>
    <w:p>
      <w:pPr>
        <w:spacing w:line="360" w:lineRule="auto"/>
        <w:ind w:left="850" w:hanging="849" w:hangingChars="354"/>
        <w:jc w:val="left"/>
        <w:rPr>
          <w:rFonts w:ascii="宋体" w:hAnsi="宋体"/>
          <w:color w:val="auto"/>
          <w:sz w:val="24"/>
          <w:highlight w:val="none"/>
        </w:rPr>
      </w:pPr>
    </w:p>
    <w:p>
      <w:pPr>
        <w:spacing w:line="360" w:lineRule="auto"/>
        <w:ind w:left="853" w:hanging="849" w:hangingChars="354"/>
        <w:rPr>
          <w:rFonts w:ascii="宋体" w:hAnsi="宋体"/>
          <w:color w:val="auto"/>
          <w:sz w:val="24"/>
          <w:highlight w:val="none"/>
        </w:rPr>
      </w:pPr>
      <w:r>
        <w:rPr>
          <w:rFonts w:hint="eastAsia" w:ascii="宋体" w:hAnsi="宋体"/>
          <w:b/>
          <w:bCs/>
          <w:color w:val="auto"/>
          <w:sz w:val="24"/>
          <w:highlight w:val="none"/>
        </w:rPr>
        <w:t>3.2    质疑和澄清</w:t>
      </w:r>
    </w:p>
    <w:p>
      <w:pPr>
        <w:spacing w:line="360" w:lineRule="auto"/>
        <w:ind w:left="850" w:hanging="849" w:hangingChars="354"/>
        <w:jc w:val="left"/>
        <w:rPr>
          <w:rFonts w:ascii="宋体" w:hAnsi="宋体"/>
          <w:color w:val="auto"/>
          <w:sz w:val="24"/>
          <w:highlight w:val="none"/>
        </w:rPr>
      </w:pP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3.2.1  投标人应认真审阅招标文件和有关资料，</w:t>
      </w:r>
      <w:r>
        <w:rPr>
          <w:rFonts w:ascii="宋体" w:hAnsi="宋体"/>
          <w:color w:val="auto"/>
          <w:sz w:val="24"/>
          <w:highlight w:val="none"/>
        </w:rPr>
        <w:t>尽力澄清一切疑点</w:t>
      </w:r>
      <w:r>
        <w:rPr>
          <w:rFonts w:hint="eastAsia" w:ascii="宋体" w:hAnsi="宋体"/>
          <w:color w:val="auto"/>
          <w:sz w:val="24"/>
          <w:highlight w:val="none"/>
        </w:rPr>
        <w:t>，</w:t>
      </w:r>
      <w:r>
        <w:rPr>
          <w:rFonts w:hint="eastAsia" w:ascii="宋体" w:hAnsi="宋体"/>
          <w:color w:val="auto"/>
          <w:sz w:val="24"/>
          <w:highlight w:val="none"/>
          <w:u w:val="single"/>
        </w:rPr>
        <w:t>自行</w:t>
      </w:r>
      <w:r>
        <w:rPr>
          <w:rFonts w:hint="eastAsia" w:ascii="宋体" w:hAnsi="宋体"/>
          <w:color w:val="auto"/>
          <w:sz w:val="24"/>
          <w:highlight w:val="none"/>
        </w:rPr>
        <w:t>对工程现场和周围环境进行勘察，以获取编制投标文件和签署合同所需的所有资料。</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 xml:space="preserve">3.2.2  </w:t>
      </w:r>
      <w:r>
        <w:rPr>
          <w:rFonts w:hint="eastAsia" w:ascii="_x000B__x000C_" w:hAnsi="_x000B__x000C_"/>
          <w:color w:val="auto"/>
          <w:sz w:val="24"/>
          <w:highlight w:val="none"/>
        </w:rPr>
        <w:t>投标人和其他利害关系人</w:t>
      </w:r>
      <w:r>
        <w:rPr>
          <w:rFonts w:hint="eastAsia" w:ascii="宋体" w:hAnsi="宋体"/>
          <w:color w:val="auto"/>
          <w:sz w:val="24"/>
          <w:highlight w:val="none"/>
        </w:rPr>
        <w:t>如对招标文件及随后收到的有关资料有任何异议的，应当在投标截止时间10日前向招标人提出。招标人应当自收到异议之日起3日内作出答复；作出答复前，应当暂停招标投标活动。</w:t>
      </w:r>
    </w:p>
    <w:p>
      <w:pPr>
        <w:spacing w:line="360" w:lineRule="auto"/>
        <w:ind w:left="850" w:hanging="849" w:hangingChars="354"/>
        <w:rPr>
          <w:rFonts w:ascii="宋体" w:hAnsi="宋体"/>
          <w:color w:val="auto"/>
          <w:sz w:val="24"/>
          <w:szCs w:val="24"/>
          <w:highlight w:val="none"/>
        </w:rPr>
      </w:pPr>
      <w:r>
        <w:rPr>
          <w:rFonts w:hint="eastAsia" w:ascii="宋体" w:hAnsi="宋体"/>
          <w:color w:val="auto"/>
          <w:sz w:val="24"/>
          <w:highlight w:val="none"/>
        </w:rPr>
        <w:t xml:space="preserve">3.2.3 </w:t>
      </w:r>
      <w:r>
        <w:rPr>
          <w:rFonts w:hint="eastAsia" w:ascii="宋体" w:hAnsi="宋体"/>
          <w:color w:val="auto"/>
          <w:sz w:val="24"/>
          <w:szCs w:val="24"/>
          <w:highlight w:val="none"/>
        </w:rPr>
        <w:t xml:space="preserve"> 投标人需要澄清的问题应</w:t>
      </w:r>
      <w:r>
        <w:rPr>
          <w:rFonts w:hint="eastAsia" w:ascii="宋体" w:hAnsi="宋体" w:cs="宋体"/>
          <w:color w:val="auto"/>
          <w:sz w:val="24"/>
          <w:szCs w:val="24"/>
          <w:highlight w:val="none"/>
          <w:u w:val="single"/>
        </w:rPr>
        <w:t>在投标截止时间18个日历天前</w:t>
      </w:r>
      <w:r>
        <w:rPr>
          <w:rFonts w:hint="eastAsia" w:ascii="宋体" w:hAnsi="宋体"/>
          <w:color w:val="auto"/>
          <w:sz w:val="24"/>
          <w:szCs w:val="24"/>
          <w:highlight w:val="none"/>
        </w:rPr>
        <w:t>，按交易平台的操作指引上传至交易平台网站。招标人应在递交投标文件截止时间</w:t>
      </w:r>
      <w:r>
        <w:rPr>
          <w:rFonts w:hint="eastAsia" w:ascii="宋体" w:hAnsi="宋体" w:cs="宋体"/>
          <w:color w:val="auto"/>
          <w:sz w:val="24"/>
          <w:szCs w:val="24"/>
          <w:highlight w:val="none"/>
          <w:u w:val="single"/>
        </w:rPr>
        <w:t>15个日历天前</w:t>
      </w:r>
      <w:r>
        <w:rPr>
          <w:rFonts w:hint="eastAsia" w:ascii="宋体" w:hAnsi="宋体"/>
          <w:color w:val="auto"/>
          <w:sz w:val="24"/>
          <w:szCs w:val="24"/>
          <w:highlight w:val="none"/>
        </w:rPr>
        <w:t>解答投标人对招标文件提出的疑问，</w:t>
      </w:r>
      <w:r>
        <w:rPr>
          <w:rFonts w:hint="eastAsia" w:ascii="宋体" w:hAnsi="宋体" w:cs="宋体"/>
          <w:color w:val="auto"/>
          <w:sz w:val="24"/>
          <w:szCs w:val="24"/>
          <w:highlight w:val="none"/>
          <w:u w:val="single"/>
        </w:rPr>
        <w:t>形成答疑纪要，在广州公共资源交易中心网站项目查询中本项目详情页里面发布。</w:t>
      </w:r>
      <w:r>
        <w:rPr>
          <w:rFonts w:hint="eastAsia" w:ascii="宋体" w:hAnsi="宋体"/>
          <w:color w:val="auto"/>
          <w:sz w:val="24"/>
          <w:szCs w:val="24"/>
          <w:highlight w:val="none"/>
        </w:rPr>
        <w:t>。不足15日的，招标人应当顺延投标文件的截止时间。</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3.2.4  澄清或答疑纪要是招标文件的组成部分，对投标人起约束作用。若招标答疑纪要或澄清与招标文件有矛盾时，以交易平台网站最后发布的答疑纪要或澄清为准。</w:t>
      </w:r>
    </w:p>
    <w:p>
      <w:pPr>
        <w:spacing w:line="360" w:lineRule="auto"/>
        <w:ind w:left="850" w:hanging="849" w:hangingChars="354"/>
        <w:jc w:val="left"/>
        <w:rPr>
          <w:rFonts w:ascii="宋体" w:hAnsi="宋体"/>
          <w:color w:val="auto"/>
          <w:sz w:val="24"/>
          <w:highlight w:val="none"/>
          <w:u w:val="single"/>
        </w:rPr>
      </w:pPr>
      <w:r>
        <w:rPr>
          <w:rFonts w:hint="eastAsia" w:ascii="宋体" w:hAnsi="宋体"/>
          <w:color w:val="auto"/>
          <w:sz w:val="24"/>
          <w:highlight w:val="none"/>
        </w:rPr>
        <w:t>3.2.5  网上答疑的</w:t>
      </w:r>
      <w:r>
        <w:rPr>
          <w:rFonts w:hint="eastAsia" w:hAnsi="宋体" w:cs="宋体"/>
          <w:color w:val="auto"/>
          <w:sz w:val="24"/>
          <w:highlight w:val="none"/>
        </w:rPr>
        <w:t>具体操作详见交易平台发布的相关操作指引</w:t>
      </w:r>
      <w:r>
        <w:rPr>
          <w:rFonts w:hint="eastAsia" w:ascii="宋体" w:hAnsi="宋体"/>
          <w:color w:val="auto"/>
          <w:sz w:val="24"/>
          <w:highlight w:val="none"/>
        </w:rPr>
        <w:t>。</w:t>
      </w:r>
      <w:r>
        <w:rPr>
          <w:rFonts w:hint="eastAsia" w:ascii="宋体" w:hAnsi="宋体"/>
          <w:color w:val="auto"/>
          <w:sz w:val="24"/>
          <w:highlight w:val="none"/>
          <w:u w:val="single"/>
        </w:rPr>
        <w:t>招标答疑纪要一经在广州公共资源交易中心网站发布，视作已发放给所有投标人。招标答疑纪要为招标文件的一部分。投标人可在广州公共资源交易中心网站浏览、下载招标答疑纪要。若招标答疑纪要与招标文件有矛盾时，以广州公共资源交易中心网站最后发布的答疑纪要为准。</w:t>
      </w:r>
    </w:p>
    <w:p>
      <w:pPr>
        <w:spacing w:line="360" w:lineRule="auto"/>
        <w:ind w:left="850" w:hanging="849" w:hangingChars="354"/>
        <w:rPr>
          <w:rFonts w:ascii="宋体" w:hAnsi="宋体"/>
          <w:color w:val="auto"/>
          <w:sz w:val="24"/>
          <w:highlight w:val="none"/>
        </w:rPr>
      </w:pPr>
    </w:p>
    <w:p>
      <w:pPr>
        <w:spacing w:line="360" w:lineRule="auto"/>
        <w:ind w:left="853" w:hanging="849" w:hangingChars="354"/>
        <w:rPr>
          <w:rFonts w:ascii="宋体" w:hAnsi="宋体"/>
          <w:color w:val="auto"/>
          <w:sz w:val="24"/>
          <w:highlight w:val="none"/>
        </w:rPr>
      </w:pPr>
      <w:r>
        <w:rPr>
          <w:rFonts w:hint="eastAsia" w:ascii="宋体" w:hAnsi="宋体"/>
          <w:b/>
          <w:bCs/>
          <w:color w:val="auto"/>
          <w:sz w:val="24"/>
          <w:highlight w:val="none"/>
        </w:rPr>
        <w:t>3.3    投标文件编制要求</w:t>
      </w:r>
    </w:p>
    <w:p>
      <w:pPr>
        <w:spacing w:line="360" w:lineRule="auto"/>
        <w:ind w:left="850" w:hanging="849" w:hangingChars="354"/>
        <w:rPr>
          <w:rFonts w:ascii="宋体" w:hAnsi="宋体"/>
          <w:color w:val="auto"/>
          <w:sz w:val="24"/>
          <w:highlight w:val="none"/>
        </w:rPr>
      </w:pP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3.3.1  投标文件应做到清晰、完整，文本、图纸文件</w:t>
      </w:r>
      <w:r>
        <w:rPr>
          <w:rFonts w:ascii="宋体" w:hAnsi="宋体"/>
          <w:color w:val="auto"/>
          <w:sz w:val="24"/>
          <w:highlight w:val="none"/>
        </w:rPr>
        <w:t>大小应满足交易平台</w:t>
      </w:r>
      <w:r>
        <w:rPr>
          <w:rFonts w:hint="eastAsia" w:ascii="宋体" w:hAnsi="宋体"/>
          <w:color w:val="auto"/>
          <w:sz w:val="24"/>
          <w:highlight w:val="none"/>
        </w:rPr>
        <w:t>的</w:t>
      </w:r>
      <w:r>
        <w:rPr>
          <w:rFonts w:ascii="宋体" w:hAnsi="宋体"/>
          <w:color w:val="auto"/>
          <w:sz w:val="24"/>
          <w:highlight w:val="none"/>
        </w:rPr>
        <w:t>要求</w:t>
      </w:r>
      <w:r>
        <w:rPr>
          <w:rFonts w:hint="eastAsia" w:ascii="宋体" w:hAnsi="宋体"/>
          <w:color w:val="auto"/>
          <w:sz w:val="24"/>
          <w:highlight w:val="none"/>
        </w:rPr>
        <w:t>。</w:t>
      </w:r>
      <w:r>
        <w:rPr>
          <w:rFonts w:hint="eastAsia" w:hAnsi="宋体"/>
          <w:color w:val="auto"/>
          <w:sz w:val="24"/>
          <w:highlight w:val="none"/>
        </w:rPr>
        <w:t>除非另有规定，否则投标文件的</w:t>
      </w:r>
      <w:r>
        <w:rPr>
          <w:rFonts w:hint="eastAsia" w:ascii="宋体" w:hAnsi="宋体"/>
          <w:color w:val="auto"/>
          <w:sz w:val="24"/>
          <w:highlight w:val="none"/>
        </w:rPr>
        <w:t>计量单位宜采用国际标准计量单位，尺寸齐全、准确，</w:t>
      </w:r>
      <w:r>
        <w:rPr>
          <w:rFonts w:hint="eastAsia" w:hAnsi="宋体"/>
          <w:color w:val="auto"/>
          <w:sz w:val="24"/>
          <w:highlight w:val="none"/>
        </w:rPr>
        <w:t>所有文字说明和文字标注以中文为准，报价均为人民币，时间均为北京时间。</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3.3.2  每个投标人报送一个投标方案，投标文件应达到招标文件规定的深度，满足评审需要。不响应招标文件要求的投标文件可能被拒绝，责任由投标人自负。</w:t>
      </w:r>
    </w:p>
    <w:p>
      <w:pPr>
        <w:spacing w:line="360" w:lineRule="auto"/>
        <w:ind w:left="850" w:hanging="849" w:hangingChars="354"/>
        <w:jc w:val="left"/>
        <w:rPr>
          <w:rFonts w:ascii="宋体" w:hAnsi="宋体"/>
          <w:color w:val="auto"/>
          <w:kern w:val="0"/>
          <w:sz w:val="24"/>
          <w:highlight w:val="none"/>
        </w:rPr>
      </w:pPr>
      <w:r>
        <w:rPr>
          <w:rFonts w:hint="eastAsia" w:ascii="宋体" w:hAnsi="宋体"/>
          <w:color w:val="auto"/>
          <w:sz w:val="24"/>
          <w:highlight w:val="none"/>
        </w:rPr>
        <w:t xml:space="preserve">3.3.3 </w:t>
      </w:r>
      <w:r>
        <w:rPr>
          <w:rFonts w:hint="eastAsia" w:hAnsi="宋体" w:cs="宋体"/>
          <w:color w:val="auto"/>
          <w:sz w:val="24"/>
          <w:highlight w:val="none"/>
        </w:rPr>
        <w:t xml:space="preserve"> 投标文件全部采用电子文档，投标文件所附证书证件均为原件扫描件或</w:t>
      </w:r>
      <w:r>
        <w:rPr>
          <w:rFonts w:hAnsi="宋体" w:cs="宋体"/>
          <w:color w:val="auto"/>
          <w:sz w:val="24"/>
          <w:highlight w:val="none"/>
        </w:rPr>
        <w:t>电子证书</w:t>
      </w:r>
      <w:r>
        <w:rPr>
          <w:rFonts w:hint="eastAsia" w:hAnsi="宋体" w:cs="宋体"/>
          <w:color w:val="auto"/>
          <w:sz w:val="24"/>
          <w:highlight w:val="none"/>
        </w:rPr>
        <w:t>，并采用单位数字证书，按招标文件要求在相应位置加盖电子印章，投标文件中需个人签字或盖章的，应手签后扫描上传，具体操作详见交易平台发布的相关操作指引。</w:t>
      </w:r>
    </w:p>
    <w:p>
      <w:pPr>
        <w:spacing w:line="360" w:lineRule="auto"/>
        <w:ind w:left="850" w:hanging="849" w:hangingChars="354"/>
        <w:rPr>
          <w:color w:val="auto"/>
          <w:sz w:val="24"/>
          <w:highlight w:val="none"/>
        </w:rPr>
      </w:pPr>
      <w:r>
        <w:rPr>
          <w:rFonts w:hint="eastAsia" w:ascii="宋体" w:hAnsi="宋体"/>
          <w:color w:val="auto"/>
          <w:sz w:val="24"/>
          <w:highlight w:val="none"/>
        </w:rPr>
        <w:t xml:space="preserve">3.3.4  </w:t>
      </w:r>
      <w:r>
        <w:rPr>
          <w:rFonts w:hint="eastAsia" w:hAnsi="宋体" w:cs="宋体"/>
          <w:color w:val="auto"/>
          <w:sz w:val="24"/>
          <w:highlight w:val="none"/>
        </w:rPr>
        <w:t>投标文件加密要求</w:t>
      </w:r>
    </w:p>
    <w:p>
      <w:pPr>
        <w:spacing w:line="360" w:lineRule="auto"/>
        <w:ind w:left="850" w:hanging="849" w:hangingChars="354"/>
        <w:rPr>
          <w:rFonts w:hAnsi="宋体" w:cs="宋体"/>
          <w:color w:val="auto"/>
          <w:sz w:val="24"/>
          <w:highlight w:val="none"/>
        </w:rPr>
      </w:pPr>
      <w:r>
        <w:rPr>
          <w:rFonts w:hint="eastAsia" w:ascii="宋体" w:hAnsi="宋体"/>
          <w:color w:val="auto"/>
          <w:sz w:val="24"/>
          <w:highlight w:val="none"/>
        </w:rPr>
        <w:t>3.3.4.1</w:t>
      </w:r>
      <w:r>
        <w:rPr>
          <w:rFonts w:hint="eastAsia" w:hAnsi="宋体" w:cs="宋体"/>
          <w:color w:val="auto"/>
          <w:sz w:val="24"/>
          <w:highlight w:val="none"/>
        </w:rPr>
        <w:t>递交的电子投标文件必须进行加密。具体操作详见交易平台发布的相关操作指引。</w:t>
      </w:r>
    </w:p>
    <w:p>
      <w:pPr>
        <w:spacing w:line="360" w:lineRule="auto"/>
        <w:ind w:left="850" w:hanging="849" w:hangingChars="354"/>
        <w:rPr>
          <w:rFonts w:hAnsi="宋体" w:cs="宋体"/>
          <w:color w:val="auto"/>
          <w:sz w:val="24"/>
          <w:highlight w:val="none"/>
        </w:rPr>
      </w:pPr>
      <w:r>
        <w:rPr>
          <w:rFonts w:hint="eastAsia" w:ascii="宋体" w:hAnsi="宋体"/>
          <w:color w:val="auto"/>
          <w:sz w:val="24"/>
          <w:highlight w:val="none"/>
        </w:rPr>
        <w:t>3.3.4.2</w:t>
      </w:r>
      <w:r>
        <w:rPr>
          <w:rFonts w:hint="eastAsia" w:hAnsi="宋体" w:cs="宋体"/>
          <w:color w:val="auto"/>
          <w:sz w:val="24"/>
          <w:highlight w:val="none"/>
        </w:rPr>
        <w:t xml:space="preserve"> 未按要求加密的投标文件，交易平台将予以拒收。</w:t>
      </w:r>
    </w:p>
    <w:p>
      <w:pPr>
        <w:spacing w:line="360" w:lineRule="auto"/>
        <w:ind w:left="850" w:hanging="849" w:hangingChars="354"/>
        <w:rPr>
          <w:rFonts w:ascii="宋体" w:hAnsi="宋体"/>
          <w:color w:val="auto"/>
          <w:sz w:val="24"/>
          <w:highlight w:val="none"/>
        </w:rPr>
      </w:pPr>
    </w:p>
    <w:p>
      <w:pPr>
        <w:pStyle w:val="10"/>
        <w:spacing w:line="360" w:lineRule="auto"/>
        <w:ind w:left="853" w:hanging="849" w:hangingChars="354"/>
        <w:rPr>
          <w:rFonts w:hAnsi="宋体"/>
          <w:b/>
          <w:bCs/>
          <w:color w:val="auto"/>
          <w:sz w:val="24"/>
          <w:szCs w:val="24"/>
          <w:highlight w:val="none"/>
        </w:rPr>
      </w:pPr>
      <w:r>
        <w:rPr>
          <w:rFonts w:hint="eastAsia" w:hAnsi="宋体"/>
          <w:b/>
          <w:bCs/>
          <w:color w:val="auto"/>
          <w:sz w:val="24"/>
          <w:szCs w:val="24"/>
          <w:highlight w:val="none"/>
        </w:rPr>
        <w:t>3.4    延期</w:t>
      </w:r>
    </w:p>
    <w:p>
      <w:pPr>
        <w:spacing w:line="360" w:lineRule="auto"/>
        <w:ind w:left="850" w:hanging="849" w:hangingChars="354"/>
        <w:rPr>
          <w:rFonts w:ascii="宋体" w:hAnsi="宋体"/>
          <w:color w:val="auto"/>
          <w:sz w:val="24"/>
          <w:highlight w:val="none"/>
        </w:rPr>
      </w:pP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3.4.1  如果招标过程出现监督机构、招标管理机构要求暂停、重新评标等意外情形，招标投标各项期限相应延长</w:t>
      </w:r>
      <w:r>
        <w:rPr>
          <w:rFonts w:hAnsi="宋体"/>
          <w:color w:val="auto"/>
          <w:kern w:val="0"/>
          <w:sz w:val="24"/>
          <w:szCs w:val="24"/>
          <w:highlight w:val="none"/>
        </w:rPr>
        <w:t>。</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3.4.2  为使投标人在编制投标文件时把</w:t>
      </w:r>
      <w:r>
        <w:rPr>
          <w:rFonts w:hint="eastAsia" w:ascii="宋体" w:hAnsi="宋体"/>
          <w:color w:val="auto"/>
          <w:kern w:val="0"/>
          <w:sz w:val="24"/>
          <w:highlight w:val="none"/>
        </w:rPr>
        <w:t>招标人</w:t>
      </w:r>
      <w:r>
        <w:rPr>
          <w:rFonts w:ascii="宋体" w:hAnsi="宋体"/>
          <w:color w:val="auto"/>
          <w:kern w:val="0"/>
          <w:sz w:val="24"/>
          <w:highlight w:val="none"/>
        </w:rPr>
        <w:t>对招标文件</w:t>
      </w:r>
      <w:r>
        <w:rPr>
          <w:rFonts w:hint="eastAsia" w:ascii="宋体" w:hAnsi="宋体"/>
          <w:color w:val="auto"/>
          <w:kern w:val="0"/>
          <w:sz w:val="24"/>
          <w:highlight w:val="none"/>
        </w:rPr>
        <w:t>的</w:t>
      </w:r>
      <w:r>
        <w:rPr>
          <w:rFonts w:ascii="宋体" w:hAnsi="宋体"/>
          <w:color w:val="auto"/>
          <w:kern w:val="0"/>
          <w:sz w:val="24"/>
          <w:highlight w:val="none"/>
        </w:rPr>
        <w:t>澄清、修改</w:t>
      </w:r>
      <w:r>
        <w:rPr>
          <w:rFonts w:hint="eastAsia" w:ascii="宋体" w:hAnsi="宋体"/>
          <w:color w:val="auto"/>
          <w:kern w:val="0"/>
          <w:sz w:val="24"/>
          <w:highlight w:val="none"/>
        </w:rPr>
        <w:t>和</w:t>
      </w:r>
      <w:r>
        <w:rPr>
          <w:rFonts w:hint="eastAsia" w:ascii="宋体" w:hAnsi="宋体"/>
          <w:color w:val="auto"/>
          <w:sz w:val="24"/>
          <w:highlight w:val="none"/>
        </w:rPr>
        <w:t>补充内容考虑进去，招标人可以酌情延长提交投标文件的截止日期。</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 xml:space="preserve">3.4.3  </w:t>
      </w:r>
      <w:r>
        <w:rPr>
          <w:rFonts w:hAnsi="宋体"/>
          <w:color w:val="auto"/>
          <w:kern w:val="0"/>
          <w:sz w:val="24"/>
          <w:szCs w:val="24"/>
          <w:highlight w:val="none"/>
        </w:rPr>
        <w:t>某几个</w:t>
      </w:r>
      <w:r>
        <w:rPr>
          <w:rFonts w:hint="eastAsia" w:hAnsi="宋体"/>
          <w:color w:val="auto"/>
          <w:kern w:val="0"/>
          <w:sz w:val="24"/>
          <w:szCs w:val="24"/>
          <w:highlight w:val="none"/>
        </w:rPr>
        <w:t>投标人</w:t>
      </w:r>
      <w:r>
        <w:rPr>
          <w:rFonts w:hAnsi="宋体"/>
          <w:color w:val="auto"/>
          <w:kern w:val="0"/>
          <w:sz w:val="24"/>
          <w:szCs w:val="24"/>
          <w:highlight w:val="none"/>
        </w:rPr>
        <w:t>因无法控制的原因不能</w:t>
      </w:r>
      <w:r>
        <w:rPr>
          <w:rFonts w:hint="eastAsia" w:hAnsi="宋体"/>
          <w:color w:val="auto"/>
          <w:kern w:val="0"/>
          <w:sz w:val="24"/>
          <w:szCs w:val="24"/>
          <w:highlight w:val="none"/>
        </w:rPr>
        <w:t>如</w:t>
      </w:r>
      <w:r>
        <w:rPr>
          <w:rFonts w:hAnsi="宋体"/>
          <w:color w:val="auto"/>
          <w:kern w:val="0"/>
          <w:sz w:val="24"/>
          <w:szCs w:val="24"/>
          <w:highlight w:val="none"/>
        </w:rPr>
        <w:t>期提交投标</w:t>
      </w:r>
      <w:r>
        <w:rPr>
          <w:rFonts w:hint="eastAsia" w:hAnsi="宋体"/>
          <w:color w:val="auto"/>
          <w:kern w:val="0"/>
          <w:sz w:val="24"/>
          <w:szCs w:val="24"/>
          <w:highlight w:val="none"/>
        </w:rPr>
        <w:t>文件</w:t>
      </w:r>
      <w:r>
        <w:rPr>
          <w:rFonts w:hAnsi="宋体"/>
          <w:color w:val="auto"/>
          <w:kern w:val="0"/>
          <w:sz w:val="24"/>
          <w:szCs w:val="24"/>
          <w:highlight w:val="none"/>
        </w:rPr>
        <w:t>，</w:t>
      </w:r>
      <w:r>
        <w:rPr>
          <w:rFonts w:hint="eastAsia" w:hAnsi="宋体"/>
          <w:color w:val="auto"/>
          <w:kern w:val="0"/>
          <w:sz w:val="24"/>
          <w:szCs w:val="24"/>
          <w:highlight w:val="none"/>
        </w:rPr>
        <w:t>影响到提交投标文件的人数少于三人，招标人</w:t>
      </w:r>
      <w:r>
        <w:rPr>
          <w:rFonts w:hAnsi="宋体"/>
          <w:color w:val="auto"/>
          <w:kern w:val="0"/>
          <w:sz w:val="24"/>
          <w:szCs w:val="24"/>
          <w:highlight w:val="none"/>
        </w:rPr>
        <w:t>可以决定展延截止日期。</w:t>
      </w:r>
      <w:r>
        <w:rPr>
          <w:rFonts w:hint="eastAsia" w:hAnsi="宋体"/>
          <w:color w:val="auto"/>
          <w:sz w:val="24"/>
          <w:szCs w:val="24"/>
          <w:highlight w:val="none"/>
        </w:rPr>
        <w:t>延长提交投标文件截标日期和截止时间的决定由招标人作出。</w:t>
      </w:r>
    </w:p>
    <w:p>
      <w:pPr>
        <w:spacing w:line="360" w:lineRule="auto"/>
        <w:ind w:left="850" w:hanging="849" w:hangingChars="354"/>
        <w:rPr>
          <w:rFonts w:ascii="宋体" w:hAnsi="宋体"/>
          <w:color w:val="auto"/>
          <w:sz w:val="24"/>
          <w:highlight w:val="none"/>
        </w:rPr>
      </w:pPr>
    </w:p>
    <w:p>
      <w:pPr>
        <w:spacing w:line="360" w:lineRule="auto"/>
        <w:ind w:left="853" w:hanging="849" w:hangingChars="354"/>
        <w:rPr>
          <w:rFonts w:ascii="宋体" w:hAnsi="宋体"/>
          <w:b/>
          <w:bCs/>
          <w:color w:val="auto"/>
          <w:sz w:val="24"/>
          <w:highlight w:val="none"/>
        </w:rPr>
      </w:pPr>
      <w:r>
        <w:rPr>
          <w:rFonts w:hint="eastAsia" w:ascii="宋体" w:hAnsi="宋体"/>
          <w:b/>
          <w:bCs/>
          <w:color w:val="auto"/>
          <w:sz w:val="24"/>
          <w:highlight w:val="none"/>
        </w:rPr>
        <w:t>3.5    投标时间</w:t>
      </w:r>
    </w:p>
    <w:p>
      <w:pPr>
        <w:spacing w:line="360" w:lineRule="auto"/>
        <w:ind w:left="850" w:hanging="849" w:hangingChars="354"/>
        <w:rPr>
          <w:rFonts w:ascii="宋体" w:hAnsi="宋体"/>
          <w:color w:val="auto"/>
          <w:sz w:val="24"/>
          <w:highlight w:val="none"/>
        </w:rPr>
      </w:pP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3.5.1  投标截止时间自本工程招标公告发布之日起计。</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3.5.2  具体投标截止时间以招标人（招标代理机构）的最新通知为准，请各投标人留意交易平台网站发布的本工程相关信息。</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3.5.3  到投标截止时间止，招标人收到的投标文件少于3家的，招标人将重新组织招标（当N个标段同时招标且不允许兼中时，若有效投标人不足N+2家，则重新组织招标）。</w:t>
      </w:r>
    </w:p>
    <w:p>
      <w:pPr>
        <w:spacing w:line="360" w:lineRule="auto"/>
        <w:ind w:left="850" w:hanging="849" w:hangingChars="354"/>
        <w:rPr>
          <w:rFonts w:ascii="宋体" w:hAnsi="宋体"/>
          <w:color w:val="auto"/>
          <w:sz w:val="24"/>
          <w:highlight w:val="none"/>
        </w:rPr>
      </w:pPr>
    </w:p>
    <w:p>
      <w:pPr>
        <w:spacing w:line="360" w:lineRule="auto"/>
        <w:ind w:left="853" w:hanging="849" w:hangingChars="354"/>
        <w:rPr>
          <w:rFonts w:ascii="宋体" w:hAnsi="宋体"/>
          <w:b/>
          <w:bCs/>
          <w:color w:val="auto"/>
          <w:sz w:val="24"/>
          <w:highlight w:val="none"/>
        </w:rPr>
      </w:pPr>
      <w:r>
        <w:rPr>
          <w:rFonts w:hint="eastAsia" w:ascii="宋体" w:hAnsi="宋体"/>
          <w:b/>
          <w:bCs/>
          <w:color w:val="auto"/>
          <w:sz w:val="24"/>
          <w:highlight w:val="none"/>
        </w:rPr>
        <w:t>3.6    投标文件的递交和接受</w:t>
      </w:r>
    </w:p>
    <w:p>
      <w:pPr>
        <w:spacing w:line="360" w:lineRule="auto"/>
        <w:ind w:left="850" w:hanging="849" w:hangingChars="354"/>
        <w:rPr>
          <w:rFonts w:ascii="宋体" w:hAnsi="宋体"/>
          <w:color w:val="auto"/>
          <w:sz w:val="24"/>
          <w:highlight w:val="none"/>
        </w:rPr>
      </w:pP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 xml:space="preserve">3.6.1  </w:t>
      </w:r>
      <w:r>
        <w:rPr>
          <w:rFonts w:ascii="宋体" w:hAnsi="宋体"/>
          <w:color w:val="auto"/>
          <w:sz w:val="24"/>
          <w:highlight w:val="none"/>
        </w:rPr>
        <w:t>投标人通过下载招标文件的</w:t>
      </w:r>
      <w:r>
        <w:rPr>
          <w:rFonts w:hint="eastAsia" w:ascii="宋体" w:hAnsi="宋体"/>
          <w:color w:val="auto"/>
          <w:sz w:val="24"/>
          <w:highlight w:val="none"/>
          <w:u w:val="single"/>
        </w:rPr>
        <w:t>广州公共资源交易中心</w:t>
      </w:r>
      <w:r>
        <w:rPr>
          <w:rFonts w:ascii="宋体" w:hAnsi="宋体"/>
          <w:color w:val="auto"/>
          <w:sz w:val="24"/>
          <w:highlight w:val="none"/>
        </w:rPr>
        <w:t>交易平台递交电子投标文件</w:t>
      </w:r>
      <w:r>
        <w:rPr>
          <w:rFonts w:hint="eastAsia" w:ascii="宋体" w:hAnsi="宋体"/>
          <w:color w:val="auto"/>
          <w:sz w:val="24"/>
          <w:highlight w:val="none"/>
        </w:rPr>
        <w:t>。</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 xml:space="preserve">3.6.2  </w:t>
      </w:r>
      <w:r>
        <w:rPr>
          <w:rFonts w:ascii="宋体" w:hAnsi="宋体"/>
          <w:color w:val="auto"/>
          <w:sz w:val="24"/>
          <w:highlight w:val="none"/>
        </w:rPr>
        <w:t>投标人完成电子投标文件上传后，交易平台即时向投标人发出递交回执通知。递交时间以递交回执通知载明的传输完成时间为准。</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3.6.3  如按招标公告要求需要提交</w:t>
      </w:r>
      <w:r>
        <w:rPr>
          <w:rFonts w:hint="eastAsia" w:ascii="宋体" w:hAnsi="宋体" w:cs="宋体"/>
          <w:color w:val="auto"/>
          <w:sz w:val="24"/>
          <w:highlight w:val="none"/>
        </w:rPr>
        <w:t>投标文件光盘（备用），备用光盘不得加密。如使用投标文件光盘（备用）时无法读取或导入的，则视为未提交投标文件。</w:t>
      </w:r>
    </w:p>
    <w:p>
      <w:pPr>
        <w:spacing w:line="360" w:lineRule="auto"/>
        <w:ind w:left="850" w:hanging="849" w:hangingChars="354"/>
        <w:jc w:val="left"/>
        <w:rPr>
          <w:rFonts w:ascii="宋体" w:hAnsi="宋体" w:cs="宋体"/>
          <w:color w:val="auto"/>
          <w:sz w:val="24"/>
          <w:highlight w:val="none"/>
        </w:rPr>
      </w:pPr>
      <w:r>
        <w:rPr>
          <w:rFonts w:hint="eastAsia" w:ascii="宋体" w:hAnsi="宋体"/>
          <w:color w:val="auto"/>
          <w:sz w:val="24"/>
          <w:highlight w:val="none"/>
        </w:rPr>
        <w:t xml:space="preserve">3.6.4  </w:t>
      </w:r>
      <w:r>
        <w:rPr>
          <w:rFonts w:ascii="宋体" w:hAnsi="宋体" w:cs="宋体"/>
          <w:color w:val="auto"/>
          <w:sz w:val="24"/>
          <w:highlight w:val="none"/>
        </w:rPr>
        <w:t>逾期送达的投标文件，交易平台将予以拒收。</w:t>
      </w:r>
    </w:p>
    <w:p>
      <w:pPr>
        <w:spacing w:line="360" w:lineRule="auto"/>
        <w:ind w:left="850" w:hanging="849" w:hangingChars="354"/>
        <w:jc w:val="left"/>
        <w:rPr>
          <w:rFonts w:ascii="宋体" w:hAnsi="宋体" w:cs="宋体"/>
          <w:color w:val="auto"/>
          <w:sz w:val="24"/>
          <w:highlight w:val="none"/>
        </w:rPr>
      </w:pPr>
    </w:p>
    <w:p>
      <w:pPr>
        <w:spacing w:line="360" w:lineRule="auto"/>
        <w:ind w:left="853" w:hanging="849" w:hangingChars="354"/>
        <w:jc w:val="left"/>
        <w:rPr>
          <w:b/>
          <w:color w:val="auto"/>
          <w:sz w:val="24"/>
          <w:highlight w:val="none"/>
        </w:rPr>
      </w:pPr>
      <w:r>
        <w:rPr>
          <w:rFonts w:hint="eastAsia" w:ascii="宋体" w:hAnsi="宋体"/>
          <w:b/>
          <w:color w:val="auto"/>
          <w:sz w:val="24"/>
          <w:highlight w:val="none"/>
        </w:rPr>
        <w:t xml:space="preserve">3.7    </w:t>
      </w:r>
      <w:r>
        <w:rPr>
          <w:b/>
          <w:color w:val="auto"/>
          <w:sz w:val="24"/>
          <w:highlight w:val="none"/>
        </w:rPr>
        <w:t>投标文件的修改与撤回</w:t>
      </w:r>
    </w:p>
    <w:p>
      <w:pPr>
        <w:spacing w:line="360" w:lineRule="auto"/>
        <w:ind w:left="853" w:hanging="849" w:hangingChars="354"/>
        <w:jc w:val="left"/>
        <w:rPr>
          <w:b/>
          <w:color w:val="auto"/>
          <w:sz w:val="24"/>
          <w:highlight w:val="none"/>
        </w:rPr>
      </w:pPr>
    </w:p>
    <w:p>
      <w:pPr>
        <w:spacing w:line="360" w:lineRule="auto"/>
        <w:ind w:left="850" w:hanging="849" w:hangingChars="354"/>
        <w:jc w:val="left"/>
        <w:rPr>
          <w:rFonts w:ascii="宋体" w:hAnsi="宋体" w:cs="宋体"/>
          <w:color w:val="auto"/>
          <w:sz w:val="24"/>
          <w:highlight w:val="none"/>
        </w:rPr>
      </w:pPr>
      <w:r>
        <w:rPr>
          <w:rFonts w:hint="eastAsia" w:ascii="宋体" w:hAnsi="宋体"/>
          <w:color w:val="auto"/>
          <w:sz w:val="24"/>
          <w:highlight w:val="none"/>
        </w:rPr>
        <w:t xml:space="preserve">3.7.1  </w:t>
      </w:r>
      <w:r>
        <w:rPr>
          <w:rFonts w:ascii="宋体" w:hAnsi="宋体" w:cs="宋体"/>
          <w:color w:val="auto"/>
          <w:sz w:val="24"/>
          <w:highlight w:val="none"/>
        </w:rPr>
        <w:t>在规定的投标截止时间前，投标人可以修改或撤回已递交的投标文件。</w:t>
      </w:r>
    </w:p>
    <w:p>
      <w:pPr>
        <w:spacing w:line="360" w:lineRule="auto"/>
        <w:ind w:left="850" w:hanging="849" w:hangingChars="354"/>
        <w:jc w:val="left"/>
        <w:rPr>
          <w:rFonts w:ascii="宋体" w:hAnsi="宋体" w:cs="宋体"/>
          <w:color w:val="auto"/>
          <w:sz w:val="24"/>
          <w:highlight w:val="none"/>
        </w:rPr>
      </w:pPr>
      <w:r>
        <w:rPr>
          <w:rFonts w:hint="eastAsia" w:ascii="宋体" w:hAnsi="宋体"/>
          <w:color w:val="auto"/>
          <w:sz w:val="24"/>
          <w:highlight w:val="none"/>
        </w:rPr>
        <w:t xml:space="preserve">3.7.2  </w:t>
      </w:r>
      <w:r>
        <w:rPr>
          <w:rFonts w:hint="eastAsia" w:ascii="宋体" w:hAnsi="宋体" w:cs="宋体"/>
          <w:color w:val="auto"/>
          <w:sz w:val="24"/>
          <w:highlight w:val="none"/>
        </w:rPr>
        <w:t>投标人修改或撤回已递交的投标文件，需在交易平台发出撤回通知，并按要求加盖电子印章。电子招标投标交易平台收到通知后，即时向投标人发布确认回执通知。</w:t>
      </w:r>
    </w:p>
    <w:p>
      <w:pPr>
        <w:spacing w:line="360" w:lineRule="auto"/>
        <w:ind w:left="850" w:hanging="849" w:hangingChars="354"/>
        <w:jc w:val="left"/>
        <w:rPr>
          <w:rFonts w:ascii="宋体" w:hAnsi="宋体" w:cs="宋体"/>
          <w:color w:val="auto"/>
          <w:sz w:val="24"/>
          <w:highlight w:val="none"/>
        </w:rPr>
      </w:pPr>
      <w:r>
        <w:rPr>
          <w:rFonts w:hint="eastAsia" w:ascii="宋体" w:hAnsi="宋体" w:cs="宋体"/>
          <w:color w:val="auto"/>
          <w:sz w:val="24"/>
          <w:highlight w:val="none"/>
        </w:rPr>
        <w:t>3.7.3  修改后再次递交的，按3.6的规定执行。</w:t>
      </w:r>
    </w:p>
    <w:p>
      <w:pPr>
        <w:spacing w:line="360" w:lineRule="auto"/>
        <w:ind w:left="850" w:hanging="849" w:hangingChars="354"/>
        <w:jc w:val="left"/>
        <w:rPr>
          <w:rFonts w:ascii="宋体" w:hAnsi="宋体" w:cs="宋体"/>
          <w:color w:val="auto"/>
          <w:sz w:val="24"/>
          <w:highlight w:val="none"/>
        </w:rPr>
      </w:pPr>
      <w:r>
        <w:rPr>
          <w:rFonts w:hint="eastAsia" w:ascii="宋体" w:hAnsi="宋体" w:cs="宋体"/>
          <w:color w:val="auto"/>
          <w:sz w:val="24"/>
          <w:highlight w:val="none"/>
        </w:rPr>
        <w:t>3.7.4  在投标截止时间后，投标人不得补充、修改或更换投标文件。</w:t>
      </w:r>
    </w:p>
    <w:p>
      <w:pPr>
        <w:spacing w:line="360" w:lineRule="auto"/>
        <w:ind w:left="850" w:hanging="849" w:hangingChars="354"/>
        <w:jc w:val="left"/>
        <w:rPr>
          <w:rFonts w:ascii="宋体" w:hAnsi="宋体" w:cs="宋体"/>
          <w:color w:val="auto"/>
          <w:sz w:val="24"/>
          <w:highlight w:val="none"/>
        </w:rPr>
      </w:pPr>
    </w:p>
    <w:p>
      <w:pPr>
        <w:spacing w:line="360" w:lineRule="auto"/>
        <w:ind w:left="853" w:hanging="849" w:hangingChars="354"/>
        <w:jc w:val="left"/>
        <w:rPr>
          <w:b/>
          <w:color w:val="auto"/>
          <w:sz w:val="24"/>
          <w:highlight w:val="none"/>
        </w:rPr>
      </w:pPr>
      <w:r>
        <w:rPr>
          <w:rFonts w:hint="eastAsia" w:ascii="宋体" w:hAnsi="宋体"/>
          <w:b/>
          <w:color w:val="auto"/>
          <w:sz w:val="24"/>
          <w:highlight w:val="none"/>
        </w:rPr>
        <w:t xml:space="preserve">3.8    </w:t>
      </w:r>
      <w:r>
        <w:rPr>
          <w:rFonts w:hint="eastAsia"/>
          <w:b/>
          <w:color w:val="auto"/>
          <w:sz w:val="24"/>
          <w:highlight w:val="none"/>
        </w:rPr>
        <w:t>电子招标投标解密失败及突发状况的补救</w:t>
      </w:r>
    </w:p>
    <w:p>
      <w:pPr>
        <w:spacing w:line="360" w:lineRule="auto"/>
        <w:ind w:left="853" w:hanging="849" w:hangingChars="354"/>
        <w:jc w:val="left"/>
        <w:rPr>
          <w:b/>
          <w:color w:val="auto"/>
          <w:sz w:val="24"/>
          <w:highlight w:val="none"/>
        </w:rPr>
      </w:pP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3.8.1  提交投标文件光盘备用</w:t>
      </w:r>
    </w:p>
    <w:p>
      <w:pPr>
        <w:spacing w:line="360" w:lineRule="auto"/>
        <w:ind w:left="850" w:hanging="849" w:hangingChars="354"/>
        <w:jc w:val="left"/>
        <w:rPr>
          <w:rFonts w:ascii="宋体" w:hAnsi="宋体" w:cs="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投标人可制作非加密的电子投标文件刻入光盘（1份</w:t>
      </w:r>
      <w:r>
        <w:rPr>
          <w:rFonts w:hint="eastAsia" w:ascii="宋体" w:hAnsi="宋体" w:cs="宋体"/>
          <w:color w:val="auto"/>
          <w:sz w:val="24"/>
          <w:highlight w:val="none"/>
          <w:u w:val="single"/>
        </w:rPr>
        <w:t>，内含3个光盘）：①设计方案（暗标，单独密封在密封袋中，不得标注或做任何可以辨认投标人及专业技术人员身份的名称、印章、商标、图形等），②用于揭晓设计方案的可识别投标人身份的文件，③开标信封、资格审查文件及其他文件（如有）</w:t>
      </w:r>
      <w:r>
        <w:rPr>
          <w:rFonts w:hint="eastAsia" w:ascii="宋体" w:hAnsi="宋体" w:cs="宋体"/>
          <w:color w:val="auto"/>
          <w:sz w:val="24"/>
          <w:highlight w:val="none"/>
        </w:rPr>
        <w:t>，在招标公告规定的时间、地点提交备用。刻录好的投标文件光盘密封在密封袋中，并在封口处加盖投标人单位公</w:t>
      </w:r>
      <w:r>
        <w:rPr>
          <w:rFonts w:hint="eastAsia" w:ascii="宋体" w:hAnsi="宋体" w:cs="宋体"/>
          <w:color w:val="auto"/>
          <w:sz w:val="24"/>
          <w:highlight w:val="none"/>
          <w:u w:val="single"/>
        </w:rPr>
        <w:t>章（设计方案光盘除外）。</w:t>
      </w:r>
      <w:r>
        <w:rPr>
          <w:rFonts w:hint="eastAsia" w:ascii="宋体" w:hAnsi="宋体" w:cs="宋体"/>
          <w:color w:val="auto"/>
          <w:sz w:val="24"/>
          <w:highlight w:val="none"/>
        </w:rPr>
        <w:t>密封袋上应写明项目名称和招标人名称</w:t>
      </w:r>
      <w:r>
        <w:rPr>
          <w:rFonts w:hint="eastAsia" w:ascii="宋体" w:hAnsi="宋体" w:cs="宋体"/>
          <w:color w:val="auto"/>
          <w:sz w:val="24"/>
          <w:highlight w:val="none"/>
          <w:u w:val="single"/>
        </w:rPr>
        <w:t>（设计方案光盘除外）</w:t>
      </w:r>
      <w:r>
        <w:rPr>
          <w:rFonts w:hint="eastAsia" w:ascii="宋体" w:hAnsi="宋体" w:cs="宋体"/>
          <w:color w:val="auto"/>
          <w:sz w:val="24"/>
          <w:highlight w:val="none"/>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pPr>
        <w:spacing w:line="360" w:lineRule="auto"/>
        <w:ind w:left="850" w:hanging="849" w:hangingChars="354"/>
        <w:jc w:val="left"/>
        <w:rPr>
          <w:rFonts w:ascii="宋体" w:hAnsi="宋体" w:cs="宋体"/>
          <w:color w:val="auto"/>
          <w:sz w:val="24"/>
          <w:highlight w:val="none"/>
        </w:rPr>
      </w:pPr>
      <w:r>
        <w:rPr>
          <w:rFonts w:hint="eastAsia" w:ascii="宋体" w:hAnsi="宋体" w:cs="宋体"/>
          <w:color w:val="auto"/>
          <w:sz w:val="24"/>
          <w:highlight w:val="none"/>
        </w:rPr>
        <w:t>3.8.2  补救方案</w:t>
      </w:r>
    </w:p>
    <w:p>
      <w:pPr>
        <w:spacing w:line="360" w:lineRule="auto"/>
        <w:ind w:left="850" w:hanging="849" w:hangingChars="354"/>
        <w:jc w:val="left"/>
        <w:rPr>
          <w:rFonts w:ascii="宋体" w:hAnsi="宋体" w:cs="宋体"/>
          <w:color w:val="auto"/>
          <w:sz w:val="24"/>
          <w:highlight w:val="none"/>
        </w:rPr>
      </w:pPr>
      <w:r>
        <w:rPr>
          <w:rFonts w:hint="eastAsia" w:ascii="宋体" w:hAnsi="宋体"/>
          <w:color w:val="auto"/>
          <w:sz w:val="24"/>
          <w:highlight w:val="none"/>
        </w:rPr>
        <w:t>3.8.2.1</w:t>
      </w:r>
      <w:r>
        <w:rPr>
          <w:rFonts w:hint="eastAsia" w:ascii="宋体" w:hAnsi="宋体" w:cs="宋体"/>
          <w:color w:val="auto"/>
          <w:sz w:val="24"/>
          <w:highlight w:val="none"/>
        </w:rPr>
        <w:t>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ind w:left="850" w:hanging="849" w:hangingChars="354"/>
        <w:jc w:val="left"/>
        <w:rPr>
          <w:rFonts w:ascii="宋体" w:hAnsi="宋体" w:cs="宋体"/>
          <w:color w:val="auto"/>
          <w:sz w:val="24"/>
          <w:highlight w:val="none"/>
        </w:rPr>
      </w:pPr>
      <w:r>
        <w:rPr>
          <w:rFonts w:hint="eastAsia" w:ascii="宋体" w:hAnsi="宋体"/>
          <w:color w:val="auto"/>
          <w:sz w:val="24"/>
          <w:highlight w:val="none"/>
        </w:rPr>
        <w:t>3.8.2.2</w:t>
      </w:r>
      <w:r>
        <w:rPr>
          <w:rFonts w:hint="eastAsia" w:ascii="宋体" w:hAnsi="宋体" w:cs="宋体"/>
          <w:color w:val="auto"/>
          <w:sz w:val="24"/>
          <w:highlight w:val="none"/>
        </w:rPr>
        <w:t>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pPr>
        <w:spacing w:line="360" w:lineRule="auto"/>
        <w:ind w:left="850" w:hanging="849" w:hangingChars="354"/>
        <w:jc w:val="left"/>
        <w:rPr>
          <w:rFonts w:ascii="宋体" w:hAnsi="宋体" w:cs="宋体"/>
          <w:color w:val="auto"/>
          <w:sz w:val="24"/>
          <w:highlight w:val="none"/>
        </w:rPr>
      </w:pPr>
      <w:r>
        <w:rPr>
          <w:rFonts w:hint="eastAsia" w:ascii="宋体" w:hAnsi="宋体"/>
          <w:color w:val="auto"/>
          <w:sz w:val="24"/>
          <w:highlight w:val="none"/>
        </w:rPr>
        <w:t>3.8.2.3</w:t>
      </w:r>
      <w:r>
        <w:rPr>
          <w:rFonts w:hint="eastAsia" w:ascii="宋体" w:hAnsi="宋体" w:cs="宋体"/>
          <w:color w:val="auto"/>
          <w:sz w:val="24"/>
          <w:highlight w:val="none"/>
        </w:rPr>
        <w:t>除发生上述情况外，开标评标均以投标人通过交易平台网上递交的电子投标文件为准。</w:t>
      </w:r>
    </w:p>
    <w:p>
      <w:pPr>
        <w:spacing w:line="360" w:lineRule="auto"/>
        <w:ind w:left="850" w:hanging="849" w:hangingChars="354"/>
        <w:jc w:val="left"/>
        <w:rPr>
          <w:color w:val="auto"/>
          <w:sz w:val="24"/>
          <w:highlight w:val="none"/>
        </w:rPr>
      </w:pPr>
    </w:p>
    <w:p>
      <w:pPr>
        <w:spacing w:line="360" w:lineRule="auto"/>
        <w:ind w:left="853" w:hanging="849" w:hangingChars="354"/>
        <w:rPr>
          <w:rFonts w:ascii="宋体" w:hAnsi="宋体"/>
          <w:b/>
          <w:bCs/>
          <w:color w:val="auto"/>
          <w:sz w:val="24"/>
          <w:highlight w:val="none"/>
        </w:rPr>
      </w:pPr>
      <w:r>
        <w:rPr>
          <w:rFonts w:hint="eastAsia" w:ascii="宋体" w:hAnsi="宋体"/>
          <w:b/>
          <w:bCs/>
          <w:color w:val="auto"/>
          <w:sz w:val="24"/>
          <w:highlight w:val="none"/>
        </w:rPr>
        <w:t>3.9    开标及投标文件编号</w:t>
      </w:r>
    </w:p>
    <w:p>
      <w:pPr>
        <w:spacing w:line="360" w:lineRule="auto"/>
        <w:ind w:left="850" w:hanging="849" w:hangingChars="354"/>
        <w:jc w:val="left"/>
        <w:rPr>
          <w:rFonts w:ascii="宋体" w:hAnsi="宋体"/>
          <w:color w:val="auto"/>
          <w:sz w:val="24"/>
          <w:highlight w:val="none"/>
        </w:rPr>
      </w:pP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3.9.1  在投标截止时间后半小时内，投标人通过递交投标</w:t>
      </w:r>
      <w:r>
        <w:rPr>
          <w:rFonts w:ascii="宋体" w:hAnsi="宋体"/>
          <w:color w:val="auto"/>
          <w:sz w:val="24"/>
          <w:highlight w:val="none"/>
        </w:rPr>
        <w:t>文件的</w:t>
      </w:r>
      <w:r>
        <w:rPr>
          <w:rFonts w:hint="eastAsia" w:ascii="宋体" w:hAnsi="宋体"/>
          <w:color w:val="auto"/>
          <w:sz w:val="24"/>
          <w:highlight w:val="none"/>
        </w:rPr>
        <w:t>交易平台对已递交的电子投标文件进行解密。投标人完成解密后，再由招标人进行解密。解密完成后，公布招标项目名称、投标人名称、开标信封文件和资格审查文件（如有）。未在规定时间内解密的投标</w:t>
      </w:r>
      <w:r>
        <w:rPr>
          <w:rFonts w:ascii="宋体" w:hAnsi="宋体"/>
          <w:color w:val="auto"/>
          <w:sz w:val="24"/>
          <w:highlight w:val="none"/>
        </w:rPr>
        <w:t>文件不参与开标</w:t>
      </w:r>
      <w:r>
        <w:rPr>
          <w:rFonts w:hint="eastAsia" w:ascii="宋体" w:hAnsi="宋体"/>
          <w:color w:val="auto"/>
          <w:sz w:val="24"/>
          <w:highlight w:val="none"/>
        </w:rPr>
        <w:t>、评标</w:t>
      </w:r>
      <w:r>
        <w:rPr>
          <w:rFonts w:ascii="宋体" w:hAnsi="宋体"/>
          <w:color w:val="auto"/>
          <w:sz w:val="24"/>
          <w:highlight w:val="none"/>
        </w:rPr>
        <w:t>。</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3.9.2  截标后，开标开始时间因故推迟的，相关评标信息仍以原定的开标开始时间的信息为准。</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3.9.3  备用光盘的读取按3</w:t>
      </w:r>
      <w:r>
        <w:rPr>
          <w:rFonts w:ascii="宋体" w:hAnsi="宋体"/>
          <w:color w:val="auto"/>
          <w:sz w:val="24"/>
          <w:highlight w:val="none"/>
        </w:rPr>
        <w:t>.8.2</w:t>
      </w:r>
      <w:r>
        <w:rPr>
          <w:rFonts w:hint="eastAsia" w:ascii="宋体" w:hAnsi="宋体"/>
          <w:color w:val="auto"/>
          <w:sz w:val="24"/>
          <w:highlight w:val="none"/>
        </w:rPr>
        <w:t>的规定执行。</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w:t>
      </w:r>
      <w:r>
        <w:rPr>
          <w:rFonts w:ascii="宋体" w:hAnsi="宋体"/>
          <w:color w:val="auto"/>
          <w:sz w:val="24"/>
          <w:highlight w:val="none"/>
        </w:rPr>
        <w:t>4</w:t>
      </w:r>
      <w:r>
        <w:rPr>
          <w:rFonts w:hint="eastAsia" w:ascii="宋体" w:hAnsi="宋体"/>
          <w:color w:val="auto"/>
          <w:sz w:val="24"/>
          <w:highlight w:val="none"/>
        </w:rPr>
        <w:t xml:space="preserve">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.9.5  </w:t>
      </w:r>
      <w:r>
        <w:rPr>
          <w:rFonts w:hint="eastAsia" w:ascii="宋体" w:hAnsi="宋体"/>
          <w:color w:val="auto"/>
          <w:sz w:val="24"/>
          <w:highlight w:val="none"/>
        </w:rPr>
        <w:t>开标</w:t>
      </w:r>
      <w:r>
        <w:rPr>
          <w:rFonts w:ascii="宋体" w:hAnsi="宋体"/>
          <w:color w:val="auto"/>
          <w:sz w:val="24"/>
          <w:highlight w:val="none"/>
        </w:rPr>
        <w:t>方式</w:t>
      </w:r>
      <w:r>
        <w:rPr>
          <w:rFonts w:hint="eastAsia" w:ascii="宋体" w:hAnsi="宋体"/>
          <w:color w:val="auto"/>
          <w:sz w:val="24"/>
          <w:highlight w:val="none"/>
        </w:rPr>
        <w:t>采用</w:t>
      </w:r>
      <w:r>
        <w:rPr>
          <w:rFonts w:ascii="宋体" w:hAnsi="宋体"/>
          <w:color w:val="auto"/>
          <w:sz w:val="24"/>
          <w:highlight w:val="none"/>
        </w:rPr>
        <w:t>电子</w:t>
      </w:r>
      <w:r>
        <w:rPr>
          <w:rFonts w:hint="eastAsia" w:ascii="宋体" w:hAnsi="宋体"/>
          <w:color w:val="auto"/>
          <w:sz w:val="24"/>
          <w:highlight w:val="none"/>
        </w:rPr>
        <w:t>开标和现场</w:t>
      </w:r>
      <w:r>
        <w:rPr>
          <w:rFonts w:ascii="宋体" w:hAnsi="宋体"/>
          <w:color w:val="auto"/>
          <w:sz w:val="24"/>
          <w:highlight w:val="none"/>
        </w:rPr>
        <w:t>开标</w:t>
      </w:r>
      <w:r>
        <w:rPr>
          <w:rFonts w:hint="eastAsia" w:ascii="宋体" w:hAnsi="宋体"/>
          <w:color w:val="auto"/>
          <w:sz w:val="24"/>
          <w:highlight w:val="none"/>
        </w:rPr>
        <w:t>两种</w:t>
      </w:r>
      <w:r>
        <w:rPr>
          <w:rFonts w:ascii="宋体" w:hAnsi="宋体"/>
          <w:color w:val="auto"/>
          <w:sz w:val="24"/>
          <w:highlight w:val="none"/>
        </w:rPr>
        <w:t>模式</w:t>
      </w:r>
      <w:r>
        <w:rPr>
          <w:rFonts w:hint="eastAsia" w:ascii="宋体" w:hAnsi="宋体"/>
          <w:color w:val="auto"/>
          <w:sz w:val="24"/>
          <w:highlight w:val="none"/>
        </w:rPr>
        <w:t>，投标人可</w:t>
      </w:r>
      <w:r>
        <w:rPr>
          <w:rFonts w:ascii="宋体" w:hAnsi="宋体"/>
          <w:color w:val="auto"/>
          <w:sz w:val="24"/>
          <w:highlight w:val="none"/>
        </w:rPr>
        <w:t>选择在开标室参与开标或</w:t>
      </w:r>
      <w:r>
        <w:rPr>
          <w:rFonts w:hint="eastAsia" w:ascii="宋体" w:hAnsi="宋体"/>
          <w:color w:val="auto"/>
          <w:sz w:val="24"/>
          <w:highlight w:val="none"/>
        </w:rPr>
        <w:t>准时在线参加开标，</w:t>
      </w:r>
      <w:r>
        <w:rPr>
          <w:rFonts w:ascii="宋体" w:hAnsi="宋体"/>
          <w:color w:val="auto"/>
          <w:sz w:val="24"/>
          <w:highlight w:val="none"/>
        </w:rPr>
        <w:t>也可不参加开标</w:t>
      </w:r>
      <w:r>
        <w:rPr>
          <w:rFonts w:hint="eastAsia" w:ascii="宋体" w:hAnsi="宋体"/>
          <w:color w:val="auto"/>
          <w:sz w:val="24"/>
          <w:highlight w:val="none"/>
        </w:rPr>
        <w:t>。参加</w:t>
      </w:r>
      <w:r>
        <w:rPr>
          <w:rFonts w:ascii="宋体" w:hAnsi="宋体"/>
          <w:color w:val="auto"/>
          <w:sz w:val="24"/>
          <w:highlight w:val="none"/>
        </w:rPr>
        <w:t>在线开标的投标人登录交易平台实时查看开标</w:t>
      </w:r>
      <w:r>
        <w:rPr>
          <w:rFonts w:hint="eastAsia" w:ascii="宋体" w:hAnsi="宋体"/>
          <w:color w:val="auto"/>
          <w:sz w:val="24"/>
          <w:highlight w:val="none"/>
        </w:rPr>
        <w:t>、</w:t>
      </w:r>
      <w:r>
        <w:rPr>
          <w:rFonts w:ascii="宋体" w:hAnsi="宋体"/>
          <w:color w:val="auto"/>
          <w:sz w:val="24"/>
          <w:highlight w:val="none"/>
        </w:rPr>
        <w:t>唱标情况</w:t>
      </w:r>
      <w:r>
        <w:rPr>
          <w:rFonts w:hint="eastAsia" w:ascii="宋体" w:hAnsi="宋体"/>
          <w:color w:val="auto"/>
          <w:sz w:val="24"/>
          <w:highlight w:val="none"/>
        </w:rPr>
        <w:t>。交易平台生成开标记录并向社会公众公布。</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3.9.6  参加</w:t>
      </w:r>
      <w:r>
        <w:rPr>
          <w:rFonts w:ascii="宋体" w:hAnsi="宋体"/>
          <w:color w:val="auto"/>
          <w:sz w:val="24"/>
          <w:highlight w:val="none"/>
        </w:rPr>
        <w:t>现场开标的投标人对开标结果有异议的，应当在开标现场提出，招标人应当当场作出答复，并制作记录。</w:t>
      </w:r>
    </w:p>
    <w:p>
      <w:pPr>
        <w:spacing w:line="360" w:lineRule="auto"/>
        <w:ind w:left="850" w:hanging="849" w:hangingChars="354"/>
        <w:rPr>
          <w:rFonts w:ascii="宋体" w:hAnsi="宋体"/>
          <w:color w:val="auto"/>
          <w:sz w:val="24"/>
          <w:highlight w:val="none"/>
        </w:rPr>
      </w:pPr>
      <w:r>
        <w:rPr>
          <w:rFonts w:ascii="宋体" w:hAnsi="宋体"/>
          <w:color w:val="auto"/>
          <w:sz w:val="24"/>
          <w:highlight w:val="none"/>
        </w:rPr>
        <w:t xml:space="preserve">3.9.7  </w:t>
      </w:r>
      <w:r>
        <w:rPr>
          <w:rFonts w:hint="eastAsia" w:ascii="宋体" w:hAnsi="宋体"/>
          <w:color w:val="auto"/>
          <w:sz w:val="24"/>
          <w:highlight w:val="none"/>
        </w:rPr>
        <w:t>参加</w:t>
      </w:r>
      <w:r>
        <w:rPr>
          <w:rFonts w:ascii="宋体" w:hAnsi="宋体"/>
          <w:color w:val="auto"/>
          <w:sz w:val="24"/>
          <w:highlight w:val="none"/>
        </w:rPr>
        <w:t>在线开标的</w:t>
      </w:r>
      <w:r>
        <w:rPr>
          <w:rFonts w:hint="eastAsia" w:ascii="宋体" w:hAnsi="宋体"/>
          <w:color w:val="auto"/>
          <w:sz w:val="24"/>
          <w:highlight w:val="none"/>
        </w:rPr>
        <w:t>投标人对开标结果有异议的，应当在唱标</w:t>
      </w:r>
      <w:r>
        <w:rPr>
          <w:rFonts w:ascii="宋体" w:hAnsi="宋体"/>
          <w:color w:val="auto"/>
          <w:sz w:val="24"/>
          <w:highlight w:val="none"/>
        </w:rPr>
        <w:t>结束后</w:t>
      </w:r>
      <w:r>
        <w:rPr>
          <w:rFonts w:hint="eastAsia" w:ascii="宋体" w:hAnsi="宋体"/>
          <w:color w:val="auto"/>
          <w:sz w:val="24"/>
          <w:highlight w:val="none"/>
        </w:rPr>
        <w:t>的规定</w:t>
      </w:r>
      <w:r>
        <w:rPr>
          <w:rFonts w:ascii="宋体" w:hAnsi="宋体"/>
          <w:color w:val="auto"/>
          <w:sz w:val="24"/>
          <w:highlight w:val="none"/>
        </w:rPr>
        <w:t>时间内</w:t>
      </w:r>
      <w:r>
        <w:rPr>
          <w:rFonts w:hint="eastAsia" w:ascii="宋体" w:hAnsi="宋体"/>
          <w:color w:val="auto"/>
          <w:sz w:val="24"/>
          <w:highlight w:val="none"/>
        </w:rPr>
        <w:t>、</w:t>
      </w:r>
      <w:r>
        <w:rPr>
          <w:rFonts w:ascii="宋体" w:hAnsi="宋体"/>
          <w:color w:val="auto"/>
          <w:sz w:val="24"/>
          <w:highlight w:val="none"/>
        </w:rPr>
        <w:t>使用单位数字证书登录交易平台后通过交易平台提出。</w:t>
      </w:r>
      <w:r>
        <w:rPr>
          <w:rFonts w:hint="eastAsia" w:ascii="宋体" w:hAnsi="宋体"/>
          <w:color w:val="auto"/>
          <w:sz w:val="24"/>
          <w:highlight w:val="none"/>
        </w:rPr>
        <w:t>招标人</w:t>
      </w:r>
      <w:r>
        <w:rPr>
          <w:rFonts w:ascii="宋体" w:hAnsi="宋体"/>
          <w:color w:val="auto"/>
          <w:sz w:val="24"/>
          <w:highlight w:val="none"/>
        </w:rPr>
        <w:t>授权招标代理机构</w:t>
      </w:r>
      <w:r>
        <w:rPr>
          <w:rFonts w:hint="eastAsia" w:ascii="宋体" w:hAnsi="宋体"/>
          <w:color w:val="auto"/>
          <w:sz w:val="24"/>
          <w:highlight w:val="none"/>
        </w:rPr>
        <w:t>工作</w:t>
      </w:r>
      <w:r>
        <w:rPr>
          <w:rFonts w:ascii="宋体" w:hAnsi="宋体"/>
          <w:color w:val="auto"/>
          <w:sz w:val="24"/>
          <w:highlight w:val="none"/>
        </w:rPr>
        <w:t>人员使用</w:t>
      </w:r>
      <w:r>
        <w:rPr>
          <w:rFonts w:hint="eastAsia" w:ascii="宋体" w:hAnsi="宋体"/>
          <w:color w:val="auto"/>
          <w:sz w:val="24"/>
          <w:highlight w:val="none"/>
        </w:rPr>
        <w:t>招标</w:t>
      </w:r>
      <w:r>
        <w:rPr>
          <w:rFonts w:ascii="宋体" w:hAnsi="宋体"/>
          <w:color w:val="auto"/>
          <w:sz w:val="24"/>
          <w:highlight w:val="none"/>
        </w:rPr>
        <w:t>代理机构数字证书登录交易平台答复异议，异议答复是招标人真实意</w:t>
      </w:r>
      <w:r>
        <w:rPr>
          <w:rFonts w:hint="eastAsia" w:ascii="宋体" w:hAnsi="宋体"/>
          <w:color w:val="auto"/>
          <w:sz w:val="24"/>
          <w:highlight w:val="none"/>
        </w:rPr>
        <w:t>思表示</w:t>
      </w:r>
      <w:r>
        <w:rPr>
          <w:rFonts w:ascii="宋体" w:hAnsi="宋体"/>
          <w:color w:val="auto"/>
          <w:sz w:val="24"/>
          <w:highlight w:val="none"/>
        </w:rPr>
        <w:t>。</w:t>
      </w:r>
      <w:r>
        <w:rPr>
          <w:rFonts w:hint="eastAsia" w:ascii="宋体" w:hAnsi="宋体"/>
          <w:color w:val="auto"/>
          <w:sz w:val="24"/>
          <w:highlight w:val="none"/>
        </w:rPr>
        <w:t>未答复</w:t>
      </w:r>
      <w:r>
        <w:rPr>
          <w:rFonts w:ascii="宋体" w:hAnsi="宋体"/>
          <w:color w:val="auto"/>
          <w:sz w:val="24"/>
          <w:highlight w:val="none"/>
        </w:rPr>
        <w:t>的，开标程序不得结束。</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3.9.8  投标人</w:t>
      </w:r>
      <w:r>
        <w:rPr>
          <w:rFonts w:ascii="宋体" w:hAnsi="宋体"/>
          <w:color w:val="auto"/>
          <w:sz w:val="24"/>
          <w:highlight w:val="none"/>
        </w:rPr>
        <w:t>未参加开标或在规定的时间内未提出异议的，视为对开标无异议。</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w:t>
      </w:r>
      <w:r>
        <w:rPr>
          <w:rFonts w:ascii="宋体" w:hAnsi="宋体"/>
          <w:color w:val="auto"/>
          <w:sz w:val="24"/>
          <w:highlight w:val="none"/>
        </w:rPr>
        <w:t>9</w:t>
      </w:r>
      <w:r>
        <w:rPr>
          <w:rFonts w:hint="eastAsia" w:ascii="宋体" w:hAnsi="宋体"/>
          <w:color w:val="auto"/>
          <w:sz w:val="24"/>
          <w:highlight w:val="none"/>
        </w:rPr>
        <w:t xml:space="preserve">  开标时，两个（含两个）以上的投标人加密打包投标文件电脑机器特征码一致的，不参与下一程序，并由评标委员会否决其投标。</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3.9.</w:t>
      </w:r>
      <w:r>
        <w:rPr>
          <w:rFonts w:ascii="宋体" w:hAnsi="宋体"/>
          <w:color w:val="auto"/>
          <w:sz w:val="24"/>
          <w:highlight w:val="none"/>
        </w:rPr>
        <w:t xml:space="preserve">10 </w:t>
      </w:r>
      <w:r>
        <w:rPr>
          <w:rFonts w:hint="eastAsia" w:ascii="宋体" w:hAnsi="宋体"/>
          <w:color w:val="auto"/>
          <w:sz w:val="24"/>
          <w:highlight w:val="none"/>
        </w:rPr>
        <w:t>投标文件（设计方案）开标时不得开启，在</w:t>
      </w:r>
      <w:r>
        <w:rPr>
          <w:rFonts w:ascii="宋体" w:hAnsi="宋体"/>
          <w:color w:val="auto"/>
          <w:sz w:val="24"/>
          <w:highlight w:val="none"/>
        </w:rPr>
        <w:t>评标</w:t>
      </w:r>
      <w:r>
        <w:rPr>
          <w:rFonts w:hint="eastAsia" w:ascii="宋体" w:hAnsi="宋体"/>
          <w:color w:val="auto"/>
          <w:sz w:val="24"/>
          <w:highlight w:val="none"/>
        </w:rPr>
        <w:t>时由</w:t>
      </w:r>
      <w:r>
        <w:rPr>
          <w:rFonts w:ascii="宋体" w:hAnsi="宋体"/>
          <w:color w:val="auto"/>
          <w:sz w:val="24"/>
          <w:highlight w:val="none"/>
        </w:rPr>
        <w:t>交易平台</w:t>
      </w:r>
      <w:r>
        <w:rPr>
          <w:rFonts w:hint="eastAsia" w:ascii="宋体" w:hAnsi="宋体"/>
          <w:color w:val="auto"/>
          <w:sz w:val="24"/>
          <w:highlight w:val="none"/>
        </w:rPr>
        <w:t>随机编号后开启，交由评标委员会进行评审。编号所对应的投标人在投票结束前不得告知评标委员会、交易平台工作人员、招标人或招标代理机构。</w:t>
      </w:r>
    </w:p>
    <w:p>
      <w:pPr>
        <w:spacing w:line="360" w:lineRule="auto"/>
        <w:ind w:left="850" w:hanging="849" w:hangingChars="354"/>
        <w:jc w:val="left"/>
        <w:rPr>
          <w:rFonts w:ascii="宋体" w:hAnsi="宋体"/>
          <w:color w:val="auto"/>
          <w:sz w:val="24"/>
          <w:highlight w:val="none"/>
        </w:rPr>
      </w:pPr>
    </w:p>
    <w:p>
      <w:pPr>
        <w:spacing w:line="360" w:lineRule="auto"/>
        <w:ind w:left="853" w:hanging="849" w:hangingChars="354"/>
        <w:rPr>
          <w:rFonts w:ascii="宋体" w:hAnsi="宋体"/>
          <w:b/>
          <w:bCs/>
          <w:color w:val="auto"/>
          <w:sz w:val="24"/>
          <w:highlight w:val="none"/>
        </w:rPr>
      </w:pPr>
      <w:r>
        <w:rPr>
          <w:rFonts w:hint="eastAsia" w:ascii="宋体" w:hAnsi="宋体"/>
          <w:b/>
          <w:bCs/>
          <w:color w:val="auto"/>
          <w:sz w:val="24"/>
          <w:highlight w:val="none"/>
        </w:rPr>
        <w:t>3.10   投标保证</w:t>
      </w:r>
    </w:p>
    <w:p>
      <w:pPr>
        <w:spacing w:line="360" w:lineRule="auto"/>
        <w:ind w:left="850" w:hanging="849" w:hangingChars="354"/>
        <w:rPr>
          <w:rFonts w:ascii="宋体" w:hAnsi="宋体"/>
          <w:color w:val="auto"/>
          <w:sz w:val="24"/>
          <w:highlight w:val="none"/>
        </w:rPr>
      </w:pPr>
    </w:p>
    <w:p>
      <w:pPr>
        <w:spacing w:line="360" w:lineRule="auto"/>
        <w:ind w:left="850" w:hanging="849" w:hangingChars="354"/>
        <w:rPr>
          <w:rFonts w:hint="eastAsia" w:ascii="宋体" w:hAnsi="宋体"/>
          <w:color w:val="auto"/>
          <w:kern w:val="0"/>
          <w:sz w:val="24"/>
          <w:highlight w:val="none"/>
          <w:u w:val="single"/>
        </w:rPr>
      </w:pPr>
      <w:r>
        <w:rPr>
          <w:rFonts w:hint="eastAsia" w:ascii="宋体" w:hAnsi="宋体"/>
          <w:color w:val="auto"/>
          <w:kern w:val="0"/>
          <w:sz w:val="24"/>
          <w:highlight w:val="none"/>
        </w:rPr>
        <w:t>3.10.1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u w:val="single"/>
        </w:rPr>
        <w:t>投标经济补偿按招标公告规定支付。投标人需要提交投标保证金，投标保证金的形式：投标保证金可采用现金、支票、投标保函、投标保证保险、专业工程担保公司担保的形式，须在递交投标文件截止时间前完成缴纳。</w:t>
      </w:r>
    </w:p>
    <w:p>
      <w:pPr>
        <w:spacing w:line="360" w:lineRule="auto"/>
        <w:ind w:firstLine="960" w:firstLineChars="400"/>
        <w:rPr>
          <w:rFonts w:hint="eastAsia" w:ascii="宋体" w:hAnsi="宋体"/>
          <w:color w:val="auto"/>
          <w:kern w:val="0"/>
          <w:sz w:val="24"/>
          <w:highlight w:val="none"/>
          <w:u w:val="single"/>
        </w:rPr>
      </w:pPr>
      <w:r>
        <w:rPr>
          <w:rFonts w:hint="eastAsia" w:ascii="宋体" w:hAnsi="宋体"/>
          <w:color w:val="auto"/>
          <w:kern w:val="0"/>
          <w:sz w:val="24"/>
          <w:highlight w:val="none"/>
          <w:u w:val="single"/>
        </w:rPr>
        <w:t>投标保证金的金额：</w:t>
      </w:r>
      <w:r>
        <w:rPr>
          <w:rFonts w:hint="eastAsia" w:ascii="宋体" w:hAnsi="宋体"/>
          <w:color w:val="auto"/>
          <w:kern w:val="0"/>
          <w:sz w:val="24"/>
          <w:highlight w:val="none"/>
          <w:u w:val="single"/>
          <w:lang w:val="en-US" w:eastAsia="zh-CN"/>
        </w:rPr>
        <w:t>3</w:t>
      </w:r>
      <w:r>
        <w:rPr>
          <w:rFonts w:hint="eastAsia" w:ascii="宋体" w:hAnsi="宋体"/>
          <w:color w:val="auto"/>
          <w:kern w:val="0"/>
          <w:sz w:val="24"/>
          <w:highlight w:val="none"/>
          <w:u w:val="single"/>
        </w:rPr>
        <w:t xml:space="preserve">万元 </w:t>
      </w:r>
    </w:p>
    <w:p>
      <w:pPr>
        <w:numPr>
          <w:ilvl w:val="0"/>
          <w:numId w:val="2"/>
        </w:numPr>
        <w:spacing w:line="360" w:lineRule="auto"/>
        <w:ind w:left="850" w:hanging="849" w:hangingChars="354"/>
        <w:rPr>
          <w:rFonts w:hint="eastAsia" w:ascii="宋体" w:hAnsi="宋体"/>
          <w:color w:val="auto"/>
          <w:kern w:val="0"/>
          <w:sz w:val="24"/>
          <w:highlight w:val="none"/>
          <w:u w:val="single"/>
        </w:rPr>
      </w:pP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如采用现金、支票或汇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numPr>
          <w:ilvl w:val="0"/>
          <w:numId w:val="2"/>
        </w:numPr>
        <w:spacing w:line="360" w:lineRule="auto"/>
        <w:ind w:left="849" w:leftChars="0" w:hanging="849" w:hangingChars="354"/>
        <w:rPr>
          <w:rFonts w:hint="eastAsia" w:ascii="宋体" w:hAnsi="宋体"/>
          <w:color w:val="auto"/>
          <w:kern w:val="0"/>
          <w:sz w:val="24"/>
          <w:highlight w:val="none"/>
        </w:rPr>
      </w:pP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如采用保函或保险等形式提交的，银行保函需开具给招标人（必须是公司基本账户开户银行出具的银行保函）。保证保险需开具给招标人（受益人也必须是招标人），开具保证保险的保险费必须由投标人基本账户银行转账汇入保险公司指定的账户。在投标截止时间前单独密封递交至开标室，或可由中标候选人在中标候选人公示前提交并在网上公示，但投标人应在投标文件中提交投标保函或投标保证保险等的扫描件并加盖投标人印章。若以交易系统支持的电子保函或电子投标保证保险递交的，到账情况以开标时广州公共资源交易中心数据库查询信息为准</w:t>
      </w:r>
      <w:r>
        <w:rPr>
          <w:rFonts w:hint="eastAsia" w:ascii="宋体" w:hAnsi="宋体"/>
          <w:color w:val="auto"/>
          <w:kern w:val="0"/>
          <w:sz w:val="24"/>
          <w:highlight w:val="none"/>
          <w:u w:val="single"/>
          <w:lang w:eastAsia="zh-CN"/>
        </w:rPr>
        <w:t>。</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 xml:space="preserve">3.10.2 </w:t>
      </w:r>
      <w:r>
        <w:rPr>
          <w:rFonts w:hint="eastAsia" w:ascii="宋体" w:hAnsi="宋体"/>
          <w:color w:val="auto"/>
          <w:kern w:val="0"/>
          <w:sz w:val="24"/>
          <w:highlight w:val="none"/>
        </w:rPr>
        <w:t>投标有效期90天，</w:t>
      </w:r>
      <w:r>
        <w:rPr>
          <w:rFonts w:hint="eastAsia" w:ascii="宋体" w:hAnsi="宋体"/>
          <w:color w:val="auto"/>
          <w:sz w:val="24"/>
          <w:highlight w:val="none"/>
        </w:rPr>
        <w:t>从提交投标文件截止日起计算</w:t>
      </w:r>
      <w:r>
        <w:rPr>
          <w:rFonts w:hint="eastAsia" w:ascii="宋体" w:hAnsi="宋体"/>
          <w:color w:val="auto"/>
          <w:sz w:val="24"/>
          <w:highlight w:val="none"/>
          <w:u w:val="single"/>
        </w:rPr>
        <w:t>，如出现异议或投诉，则投标有效期自动延长至异议或投诉处理结束。</w:t>
      </w:r>
      <w:r>
        <w:rPr>
          <w:rFonts w:hint="eastAsia" w:ascii="宋体" w:hAnsi="宋体"/>
          <w:color w:val="auto"/>
          <w:sz w:val="24"/>
          <w:highlight w:val="none"/>
        </w:rPr>
        <w:t>在提交投标文件截止时间后到招标文件规定的投标有效期终止之前，投标人不得补充、修改或者撤回其投标文件</w:t>
      </w:r>
      <w:r>
        <w:rPr>
          <w:rFonts w:hint="eastAsia" w:ascii="宋体" w:hAnsi="宋体"/>
          <w:strike w:val="0"/>
          <w:dstrike w:val="0"/>
          <w:color w:val="auto"/>
          <w:sz w:val="24"/>
          <w:highlight w:val="none"/>
        </w:rPr>
        <w:t>，否则其保证金将被没收</w:t>
      </w:r>
      <w:r>
        <w:rPr>
          <w:rFonts w:hint="eastAsia" w:ascii="宋体" w:hAnsi="宋体"/>
          <w:color w:val="auto"/>
          <w:sz w:val="24"/>
          <w:highlight w:val="none"/>
        </w:rPr>
        <w:t>。</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3.10.3 招标人因特殊情况需要延长提交投标文件截止时间，投标人可以拒绝投标，招标人对退出的投标人不作任何经济补偿。同意延长投标有效期的投标人，在延长期内本招标文件的规定仍然适用。</w:t>
      </w:r>
    </w:p>
    <w:p>
      <w:pPr>
        <w:pStyle w:val="10"/>
        <w:spacing w:line="360" w:lineRule="auto"/>
        <w:ind w:left="850" w:hanging="849" w:hangingChars="354"/>
        <w:rPr>
          <w:rFonts w:hAnsi="宋体"/>
          <w:color w:val="auto"/>
          <w:sz w:val="24"/>
          <w:szCs w:val="24"/>
          <w:highlight w:val="none"/>
        </w:rPr>
      </w:pPr>
    </w:p>
    <w:p>
      <w:pPr>
        <w:pStyle w:val="10"/>
        <w:spacing w:line="360" w:lineRule="auto"/>
        <w:ind w:left="853" w:hanging="849" w:hangingChars="354"/>
        <w:rPr>
          <w:rFonts w:hAnsi="宋体"/>
          <w:color w:val="auto"/>
          <w:sz w:val="24"/>
          <w:szCs w:val="24"/>
          <w:highlight w:val="none"/>
        </w:rPr>
      </w:pPr>
      <w:r>
        <w:rPr>
          <w:rFonts w:hint="eastAsia" w:hAnsi="宋体"/>
          <w:b/>
          <w:bCs/>
          <w:color w:val="auto"/>
          <w:sz w:val="24"/>
          <w:szCs w:val="24"/>
          <w:highlight w:val="none"/>
        </w:rPr>
        <w:t>3.11    投标人不得存在下列情形之一：</w:t>
      </w:r>
    </w:p>
    <w:p>
      <w:pPr>
        <w:pStyle w:val="10"/>
        <w:spacing w:line="360" w:lineRule="auto"/>
        <w:ind w:left="850" w:hanging="849" w:hangingChars="354"/>
        <w:rPr>
          <w:rFonts w:hAnsi="宋体"/>
          <w:color w:val="auto"/>
          <w:sz w:val="24"/>
          <w:szCs w:val="24"/>
          <w:highlight w:val="none"/>
        </w:rPr>
      </w:pP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（1）为招标人不具有独立法人资格的附属机构（单位）；</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（2）与招标人存在利害关系且可能影响招标公正性；</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（3）与本招标项目的其他投标人为同一个单位负责人；</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（4）与本招标项目的其他投标人存在控股、管理关系；</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（5）为本招标项目的代建人；</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（6）为本招标项目的招标代理机构；</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（7）与本招标项目的代建人或招标代理机构同为一个法定代表人；</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（8）与本招标项目的代建人或招标代理机构存在控股或参股关系；</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（9）被依法暂停或者取消投标资格；</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（10）被责令停产停业、暂扣或者吊销许可证、暂扣或者吊销执照；</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（11）进入清算程序，或被宣告破产，或其他丧失履约能力的情形；</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（12）在最近三年内发生重大设计质量问题（以相关行业主管部门的行政处罚决定或司法机关出具的有关法律文书为准）；</w:t>
      </w:r>
    </w:p>
    <w:p>
      <w:pPr>
        <w:pStyle w:val="10"/>
        <w:numPr>
          <w:ilvl w:val="0"/>
          <w:numId w:val="3"/>
        </w:numPr>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被工商行政管理机关在全国企业信用信息公示系统中列入严重违法失信企业名单；</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（14）被最高人民法院在“信用中国”网站（www.creditchina.gov.cn）或各级信用信息共享平台中列入失信被执行人名单；</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（15）在近三年内投标人或其法定代表人、拟委任的项目负责人有行贿犯罪行为的。</w:t>
      </w:r>
    </w:p>
    <w:p>
      <w:pPr>
        <w:pStyle w:val="4"/>
        <w:jc w:val="center"/>
        <w:rPr>
          <w:color w:val="auto"/>
          <w:sz w:val="36"/>
          <w:szCs w:val="36"/>
          <w:highlight w:val="none"/>
        </w:rPr>
      </w:pPr>
      <w:r>
        <w:rPr>
          <w:rFonts w:hAnsi="宋体"/>
          <w:color w:val="auto"/>
          <w:highlight w:val="none"/>
        </w:rPr>
        <w:br w:type="page"/>
      </w:r>
      <w:bookmarkStart w:id="5" w:name="_Toc18763"/>
      <w:bookmarkStart w:id="6" w:name="_Toc32827931"/>
      <w:r>
        <w:rPr>
          <w:rFonts w:hint="eastAsia"/>
          <w:color w:val="auto"/>
          <w:highlight w:val="none"/>
        </w:rPr>
        <w:t>第四章  评标</w:t>
      </w:r>
      <w:bookmarkEnd w:id="5"/>
      <w:bookmarkEnd w:id="6"/>
    </w:p>
    <w:p>
      <w:pPr>
        <w:pStyle w:val="10"/>
        <w:spacing w:line="360" w:lineRule="auto"/>
        <w:ind w:left="425" w:hanging="424" w:hangingChars="177"/>
        <w:rPr>
          <w:rFonts w:hAnsi="宋体"/>
          <w:color w:val="auto"/>
          <w:sz w:val="24"/>
          <w:szCs w:val="24"/>
          <w:highlight w:val="none"/>
        </w:rPr>
      </w:pPr>
    </w:p>
    <w:p>
      <w:pPr>
        <w:spacing w:line="360" w:lineRule="auto"/>
        <w:ind w:left="426" w:hanging="424" w:hangingChars="177"/>
        <w:rPr>
          <w:rFonts w:ascii="宋体" w:hAnsi="宋体"/>
          <w:b/>
          <w:bCs/>
          <w:color w:val="auto"/>
          <w:sz w:val="24"/>
          <w:highlight w:val="none"/>
        </w:rPr>
      </w:pPr>
      <w:r>
        <w:rPr>
          <w:rFonts w:hint="eastAsia" w:ascii="宋体" w:hAnsi="宋体"/>
          <w:b/>
          <w:bCs/>
          <w:color w:val="auto"/>
          <w:sz w:val="24"/>
          <w:highlight w:val="none"/>
        </w:rPr>
        <w:t>4.1    否决投标</w:t>
      </w:r>
    </w:p>
    <w:p>
      <w:pPr>
        <w:spacing w:line="360" w:lineRule="auto"/>
        <w:ind w:left="425" w:hanging="424" w:hangingChars="177"/>
        <w:rPr>
          <w:rFonts w:ascii="宋体" w:hAnsi="宋体"/>
          <w:color w:val="auto"/>
          <w:sz w:val="24"/>
          <w:highlight w:val="none"/>
        </w:rPr>
      </w:pP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.1</w:t>
      </w:r>
      <w:r>
        <w:rPr>
          <w:rFonts w:hint="eastAsia" w:ascii="宋体" w:hAnsi="宋体"/>
          <w:color w:val="auto"/>
          <w:sz w:val="24"/>
          <w:highlight w:val="none"/>
        </w:rPr>
        <w:t xml:space="preserve">  投标人有下列情况之一的，评标委员会应当否决其投标：</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(a) 投标人与招标人、评标委员会成员或者其他投标人串通投标；</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(b) 投标人之间存在《广东省实施&lt;中华人民共和国招标投标法&gt;》第十六条所禁止的情形的；</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4.1.2  有下列情况之一的，评标委员会应当否决其投标：</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(a) 《投标书》未加盖投标人公章，也未经法定代表人或者其授权代表签字；</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(b) 《投标书》包含有招标人不能接受的偏差，并且投标人拒绝书面撤回偏差；</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(c)</w:t>
      </w:r>
      <w:r>
        <w:rPr>
          <w:rFonts w:ascii="宋体" w:hAnsi="宋体"/>
          <w:color w:val="auto"/>
          <w:sz w:val="24"/>
          <w:highlight w:val="none"/>
        </w:rPr>
        <w:t xml:space="preserve"> </w:t>
      </w:r>
      <w:r>
        <w:rPr>
          <w:rFonts w:hint="eastAsia" w:ascii="宋体" w:hAnsi="宋体"/>
          <w:color w:val="auto"/>
          <w:sz w:val="24"/>
          <w:highlight w:val="none"/>
        </w:rPr>
        <w:t>《投标人声明》未按规定格式填写或未加盖投标人公章（适用于未设资格审查环节的项目）；</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w:t>
      </w:r>
      <w:r>
        <w:rPr>
          <w:rFonts w:hint="eastAsia" w:ascii="宋体" w:hAnsi="宋体"/>
          <w:color w:val="auto"/>
          <w:sz w:val="24"/>
          <w:highlight w:val="none"/>
        </w:rPr>
        <w:t>3  投标文件有下列情况之一的，评标委员会应当否决其投标：</w:t>
      </w:r>
    </w:p>
    <w:p>
      <w:pPr>
        <w:spacing w:line="360" w:lineRule="auto"/>
        <w:ind w:left="425" w:hanging="424" w:hangingChars="177"/>
        <w:jc w:val="left"/>
        <w:rPr>
          <w:rFonts w:ascii="宋体" w:hAnsi="宋体"/>
          <w:color w:val="auto"/>
          <w:sz w:val="24"/>
          <w:highlight w:val="none"/>
        </w:rPr>
      </w:pPr>
      <w:r>
        <w:rPr>
          <w:rFonts w:hint="eastAsia" w:ascii="宋体" w:hAnsi="宋体"/>
          <w:color w:val="auto"/>
          <w:sz w:val="24"/>
          <w:highlight w:val="none"/>
        </w:rPr>
        <w:t xml:space="preserve">   (a) 投标人与其他投标人加密打包投标文件电脑机器特征码一致的；</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b</w:t>
      </w:r>
      <w:r>
        <w:rPr>
          <w:rFonts w:hint="eastAsia" w:ascii="宋体" w:hAnsi="宋体"/>
          <w:color w:val="auto"/>
          <w:sz w:val="24"/>
          <w:highlight w:val="none"/>
        </w:rPr>
        <w:t>) 投标人在设计方案内标注名称、印章、商标、图形等记认符号，使人辨认出投标人或其专业技术人员的身份；</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c</w:t>
      </w:r>
      <w:r>
        <w:rPr>
          <w:rFonts w:hint="eastAsia" w:ascii="宋体" w:hAnsi="宋体"/>
          <w:color w:val="auto"/>
          <w:sz w:val="24"/>
          <w:highlight w:val="none"/>
        </w:rPr>
        <w:t>)投标人之间存在《广东省实施&lt;中华人民共和国招标投标法&gt;》第十六条所禁止的情形的；</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（d）投标报价高于最高投标限价的。</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4.1.4  投标人有下列情况之一的，视为串通投标：</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(a) 递交投标文件前，</w:t>
      </w:r>
      <w:r>
        <w:rPr>
          <w:rFonts w:hint="eastAsia"/>
          <w:color w:val="auto"/>
          <w:sz w:val="24"/>
          <w:highlight w:val="none"/>
        </w:rPr>
        <w:t>投标人</w:t>
      </w:r>
      <w:r>
        <w:rPr>
          <w:rFonts w:hint="eastAsia" w:ascii="宋体" w:hAnsi="宋体"/>
          <w:color w:val="auto"/>
          <w:sz w:val="24"/>
          <w:highlight w:val="none"/>
        </w:rPr>
        <w:t>私下向招标人或其雇员出示或告知投标文件内容；</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(b) 评标表决结束前，</w:t>
      </w:r>
      <w:r>
        <w:rPr>
          <w:rFonts w:hint="eastAsia"/>
          <w:color w:val="auto"/>
          <w:sz w:val="24"/>
          <w:highlight w:val="none"/>
        </w:rPr>
        <w:t>投标人私下</w:t>
      </w:r>
      <w:r>
        <w:rPr>
          <w:rFonts w:hint="eastAsia" w:ascii="宋体" w:hAnsi="宋体"/>
          <w:color w:val="auto"/>
          <w:sz w:val="24"/>
          <w:highlight w:val="none"/>
        </w:rPr>
        <w:t>向评标委员会成员出示或告知投标文件内容；</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(c) 评标结果揭晓前，</w:t>
      </w:r>
      <w:r>
        <w:rPr>
          <w:rFonts w:hint="eastAsia"/>
          <w:color w:val="auto"/>
          <w:sz w:val="24"/>
          <w:highlight w:val="none"/>
        </w:rPr>
        <w:t>投标人</w:t>
      </w:r>
      <w:r>
        <w:rPr>
          <w:rFonts w:hint="eastAsia" w:ascii="宋体" w:hAnsi="宋体"/>
          <w:color w:val="auto"/>
          <w:sz w:val="24"/>
          <w:highlight w:val="none"/>
        </w:rPr>
        <w:t>与招标人</w:t>
      </w:r>
      <w:r>
        <w:rPr>
          <w:rFonts w:hint="eastAsia"/>
          <w:color w:val="auto"/>
          <w:sz w:val="24"/>
          <w:highlight w:val="none"/>
        </w:rPr>
        <w:t>就投标价格、投标方案等实质性内容进行谈判。</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w:t>
      </w:r>
      <w:r>
        <w:rPr>
          <w:rFonts w:hint="eastAsia" w:ascii="宋体" w:hAnsi="宋体"/>
          <w:color w:val="auto"/>
          <w:sz w:val="24"/>
          <w:highlight w:val="none"/>
        </w:rPr>
        <w:t>5  发生下列情形之一的，招标人应当重新组织招标：</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(a) 递交投标文件或通过资格审查的投标人不足三人；</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(b) 所有投标被否决，或者经评议有效投标的投标人少于三人；</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 xml:space="preserve">   (c) 经项目审批部门会同行业主管部门裁定招标投标结果无效；</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w:t>
      </w:r>
      <w:r>
        <w:rPr>
          <w:rFonts w:hint="eastAsia" w:ascii="宋体" w:hAnsi="宋体"/>
          <w:color w:val="auto"/>
          <w:sz w:val="24"/>
          <w:highlight w:val="none"/>
        </w:rPr>
        <w:t>6  否决投标的决定由评标委员会作出，其他投标人无权干涉。</w:t>
      </w:r>
    </w:p>
    <w:p>
      <w:pPr>
        <w:spacing w:line="360" w:lineRule="auto"/>
        <w:ind w:left="425" w:hanging="424" w:hangingChars="177"/>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w:t>
      </w:r>
      <w:r>
        <w:rPr>
          <w:rFonts w:hint="eastAsia" w:ascii="宋体" w:hAnsi="宋体"/>
          <w:color w:val="auto"/>
          <w:sz w:val="24"/>
          <w:highlight w:val="none"/>
        </w:rPr>
        <w:t>7  投标文件如果隐瞒不符合评审标准的事实，一切法律责任由投标人承担。</w:t>
      </w:r>
    </w:p>
    <w:p>
      <w:pPr>
        <w:spacing w:line="360" w:lineRule="auto"/>
        <w:ind w:left="425" w:hanging="424" w:hangingChars="177"/>
        <w:rPr>
          <w:rFonts w:ascii="宋体" w:hAnsi="宋体"/>
          <w:color w:val="auto"/>
          <w:sz w:val="24"/>
          <w:highlight w:val="none"/>
        </w:rPr>
      </w:pPr>
    </w:p>
    <w:p>
      <w:pPr>
        <w:pStyle w:val="10"/>
        <w:spacing w:line="360" w:lineRule="auto"/>
        <w:ind w:left="426" w:hanging="424" w:hangingChars="177"/>
        <w:rPr>
          <w:rFonts w:hAnsi="宋体"/>
          <w:b/>
          <w:bCs/>
          <w:color w:val="auto"/>
          <w:sz w:val="24"/>
          <w:szCs w:val="24"/>
          <w:highlight w:val="none"/>
        </w:rPr>
      </w:pPr>
      <w:r>
        <w:rPr>
          <w:rFonts w:hint="eastAsia" w:hAnsi="宋体"/>
          <w:b/>
          <w:bCs/>
          <w:color w:val="auto"/>
          <w:sz w:val="24"/>
          <w:szCs w:val="24"/>
          <w:highlight w:val="none"/>
        </w:rPr>
        <w:t>4.2    评标委员会</w:t>
      </w:r>
    </w:p>
    <w:p>
      <w:pPr>
        <w:pStyle w:val="10"/>
        <w:spacing w:line="360" w:lineRule="auto"/>
        <w:ind w:left="425" w:hanging="424" w:hangingChars="177"/>
        <w:rPr>
          <w:rFonts w:hAnsi="宋体"/>
          <w:color w:val="auto"/>
          <w:sz w:val="24"/>
          <w:szCs w:val="24"/>
          <w:highlight w:val="none"/>
        </w:rPr>
      </w:pP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4.2</w:t>
      </w:r>
      <w:r>
        <w:rPr>
          <w:rFonts w:hAnsi="宋体"/>
          <w:color w:val="auto"/>
          <w:sz w:val="24"/>
          <w:szCs w:val="24"/>
          <w:highlight w:val="none"/>
        </w:rPr>
        <w:t>.</w:t>
      </w:r>
      <w:r>
        <w:rPr>
          <w:rFonts w:hint="eastAsia" w:hAnsi="宋体"/>
          <w:color w:val="auto"/>
          <w:sz w:val="24"/>
          <w:szCs w:val="24"/>
          <w:highlight w:val="none"/>
        </w:rPr>
        <w:t xml:space="preserve">1  </w:t>
      </w:r>
      <w:r>
        <w:rPr>
          <w:rFonts w:hint="eastAsia" w:hAnsi="宋体"/>
          <w:color w:val="auto"/>
          <w:sz w:val="24"/>
          <w:szCs w:val="24"/>
          <w:highlight w:val="none"/>
          <w:u w:val="single"/>
        </w:rPr>
        <w:t>评标委员会由招标人依法组建，由广东省综合评标评审专家库随机抽取的专家5     名和业主代表2名组成，共7名</w:t>
      </w:r>
      <w:r>
        <w:rPr>
          <w:rFonts w:hint="eastAsia" w:hAnsi="宋体"/>
          <w:color w:val="auto"/>
          <w:sz w:val="24"/>
          <w:szCs w:val="24"/>
          <w:highlight w:val="none"/>
        </w:rPr>
        <w:t>。</w:t>
      </w:r>
    </w:p>
    <w:p>
      <w:pPr>
        <w:pStyle w:val="10"/>
        <w:spacing w:line="360" w:lineRule="auto"/>
        <w:ind w:left="850" w:hanging="849" w:hangingChars="354"/>
        <w:rPr>
          <w:rFonts w:hAnsi="宋体" w:cs="Arial"/>
          <w:color w:val="auto"/>
          <w:sz w:val="24"/>
          <w:szCs w:val="24"/>
          <w:highlight w:val="none"/>
        </w:rPr>
      </w:pPr>
      <w:r>
        <w:rPr>
          <w:rFonts w:hint="eastAsia" w:hAnsi="宋体"/>
          <w:color w:val="auto"/>
          <w:sz w:val="24"/>
          <w:szCs w:val="24"/>
          <w:highlight w:val="none"/>
        </w:rPr>
        <w:t>4.2.2  评标委员会随机产生一名负责人，主持评审工作，在每一轮投票中，负责人与其他成员有同等表决权。每一轮投票结束后，</w:t>
      </w:r>
      <w:r>
        <w:rPr>
          <w:rFonts w:hint="eastAsia" w:hAnsi="宋体" w:cs="Arial"/>
          <w:color w:val="auto"/>
          <w:sz w:val="24"/>
          <w:szCs w:val="24"/>
          <w:highlight w:val="none"/>
        </w:rPr>
        <w:t>如果有得票相同的投标方案，则评标委员会对得票相同的投标方案进行附加</w:t>
      </w:r>
      <w:r>
        <w:rPr>
          <w:rFonts w:hint="eastAsia" w:hAnsi="宋体"/>
          <w:color w:val="auto"/>
          <w:sz w:val="24"/>
          <w:szCs w:val="24"/>
          <w:highlight w:val="none"/>
        </w:rPr>
        <w:t>投票表决</w:t>
      </w:r>
      <w:r>
        <w:rPr>
          <w:rFonts w:hint="eastAsia" w:hAnsi="宋体" w:cs="Arial"/>
          <w:color w:val="auto"/>
          <w:sz w:val="24"/>
          <w:szCs w:val="24"/>
          <w:highlight w:val="none"/>
        </w:rPr>
        <w:t>排序和取舍。</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4.2.3  评标委员会成员至少应了解和熟悉招标的目标、范围、性质、主要技术要求和标准、商务条款、评标标准、评标方法和在评标过程中考虑的相关因素，并对所提出的评审意见承担个人责任。</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4.2.4  下列人员不得担任评标委员会成员：</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 xml:space="preserve">   (a) </w:t>
      </w:r>
      <w:r>
        <w:rPr>
          <w:rFonts w:hint="eastAsia"/>
          <w:color w:val="auto"/>
          <w:sz w:val="24"/>
          <w:szCs w:val="24"/>
          <w:highlight w:val="none"/>
        </w:rPr>
        <w:t>从事相关领域工作不满八年（</w:t>
      </w:r>
      <w:r>
        <w:rPr>
          <w:rFonts w:hint="eastAsia" w:hAnsi="宋体"/>
          <w:color w:val="auto"/>
          <w:sz w:val="24"/>
          <w:szCs w:val="24"/>
          <w:highlight w:val="none"/>
        </w:rPr>
        <w:t>招标人代表</w:t>
      </w:r>
      <w:r>
        <w:rPr>
          <w:rFonts w:hint="eastAsia"/>
          <w:color w:val="auto"/>
          <w:sz w:val="24"/>
          <w:szCs w:val="24"/>
          <w:highlight w:val="none"/>
        </w:rPr>
        <w:t>除外）；</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 xml:space="preserve">   (b) </w:t>
      </w:r>
      <w:r>
        <w:rPr>
          <w:rFonts w:hint="eastAsia"/>
          <w:color w:val="auto"/>
          <w:sz w:val="24"/>
          <w:szCs w:val="24"/>
          <w:highlight w:val="none"/>
        </w:rPr>
        <w:t>不具有高级职称或者同等专业水平（</w:t>
      </w:r>
      <w:r>
        <w:rPr>
          <w:rFonts w:hint="eastAsia" w:hAnsi="宋体"/>
          <w:color w:val="auto"/>
          <w:sz w:val="24"/>
          <w:szCs w:val="24"/>
          <w:highlight w:val="none"/>
        </w:rPr>
        <w:t>招标人代表</w:t>
      </w:r>
      <w:r>
        <w:rPr>
          <w:rFonts w:hint="eastAsia"/>
          <w:color w:val="auto"/>
          <w:sz w:val="24"/>
          <w:szCs w:val="24"/>
          <w:highlight w:val="none"/>
        </w:rPr>
        <w:t>除外）；</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 xml:space="preserve">   (c) 不熟悉评审本项目所必须的专业知识</w:t>
      </w:r>
      <w:r>
        <w:rPr>
          <w:rFonts w:hint="eastAsia"/>
          <w:color w:val="auto"/>
          <w:sz w:val="24"/>
          <w:szCs w:val="24"/>
          <w:highlight w:val="none"/>
        </w:rPr>
        <w:t>（</w:t>
      </w:r>
      <w:r>
        <w:rPr>
          <w:rFonts w:hint="eastAsia" w:hAnsi="宋体"/>
          <w:color w:val="auto"/>
          <w:sz w:val="24"/>
          <w:szCs w:val="24"/>
          <w:highlight w:val="none"/>
        </w:rPr>
        <w:t>招标人代表</w:t>
      </w:r>
      <w:r>
        <w:rPr>
          <w:rFonts w:hint="eastAsia"/>
          <w:color w:val="auto"/>
          <w:sz w:val="24"/>
          <w:szCs w:val="24"/>
          <w:highlight w:val="none"/>
        </w:rPr>
        <w:t>除外）</w:t>
      </w:r>
      <w:r>
        <w:rPr>
          <w:rFonts w:hint="eastAsia" w:hAnsi="宋体"/>
          <w:color w:val="auto"/>
          <w:sz w:val="24"/>
          <w:szCs w:val="24"/>
          <w:highlight w:val="none"/>
        </w:rPr>
        <w:t>；</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 xml:space="preserve">   (d) 评标前浏览过本项目的某个投标文件；</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 xml:space="preserve">   (e) 与投标人有利害关系；</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 xml:space="preserve">   (f) 招标代理机构的工作人员。</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4.2</w:t>
      </w:r>
      <w:r>
        <w:rPr>
          <w:rFonts w:hAnsi="宋体"/>
          <w:color w:val="auto"/>
          <w:sz w:val="24"/>
          <w:szCs w:val="24"/>
          <w:highlight w:val="none"/>
        </w:rPr>
        <w:t>.</w:t>
      </w:r>
      <w:r>
        <w:rPr>
          <w:rFonts w:hint="eastAsia" w:hAnsi="宋体"/>
          <w:color w:val="auto"/>
          <w:sz w:val="24"/>
          <w:szCs w:val="24"/>
          <w:highlight w:val="none"/>
        </w:rPr>
        <w:t>5  如果评标专家到达评标地点后发现不符合本项目评标资格，酬金或交通费用按相关规定执行。</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4.2</w:t>
      </w:r>
      <w:r>
        <w:rPr>
          <w:rFonts w:hAnsi="宋体"/>
          <w:color w:val="auto"/>
          <w:sz w:val="24"/>
          <w:szCs w:val="24"/>
          <w:highlight w:val="none"/>
        </w:rPr>
        <w:t>.</w:t>
      </w:r>
      <w:r>
        <w:rPr>
          <w:rFonts w:hint="eastAsia" w:hAnsi="宋体"/>
          <w:color w:val="auto"/>
          <w:sz w:val="24"/>
          <w:szCs w:val="24"/>
          <w:highlight w:val="none"/>
        </w:rPr>
        <w:t>6  评标委员会成员不得私下接触投标人，不得收受投标人的财物或者其他好处。</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4.2</w:t>
      </w:r>
      <w:r>
        <w:rPr>
          <w:rFonts w:ascii="宋体" w:hAnsi="宋体"/>
          <w:color w:val="auto"/>
          <w:sz w:val="24"/>
          <w:highlight w:val="none"/>
        </w:rPr>
        <w:t>.</w:t>
      </w:r>
      <w:r>
        <w:rPr>
          <w:rFonts w:hint="eastAsia" w:ascii="宋体" w:hAnsi="宋体"/>
          <w:color w:val="auto"/>
          <w:sz w:val="24"/>
          <w:highlight w:val="none"/>
        </w:rPr>
        <w:t>7  评标委员会开展工作期间发生的费用和劳务报酬由招标人承担，若招标人与招标代理机构另有协议，按协议执行。</w:t>
      </w:r>
    </w:p>
    <w:p>
      <w:pPr>
        <w:pStyle w:val="10"/>
        <w:spacing w:line="360" w:lineRule="auto"/>
        <w:ind w:left="850" w:hanging="849" w:hangingChars="354"/>
        <w:rPr>
          <w:rFonts w:hAnsi="宋体"/>
          <w:color w:val="auto"/>
          <w:sz w:val="24"/>
          <w:szCs w:val="24"/>
          <w:highlight w:val="none"/>
        </w:rPr>
      </w:pPr>
      <w:r>
        <w:rPr>
          <w:rFonts w:hint="eastAsia" w:hAnsi="宋体"/>
          <w:color w:val="auto"/>
          <w:sz w:val="24"/>
          <w:szCs w:val="24"/>
          <w:highlight w:val="none"/>
        </w:rPr>
        <w:t>4.2.8  评标结果在评标结束后公示，接受公众监督。</w:t>
      </w:r>
    </w:p>
    <w:p>
      <w:pPr>
        <w:pStyle w:val="10"/>
        <w:spacing w:line="360" w:lineRule="auto"/>
        <w:ind w:left="850" w:hanging="849" w:hangingChars="354"/>
        <w:rPr>
          <w:rFonts w:hAnsi="宋体"/>
          <w:color w:val="auto"/>
          <w:sz w:val="24"/>
          <w:szCs w:val="24"/>
          <w:highlight w:val="none"/>
        </w:rPr>
      </w:pPr>
    </w:p>
    <w:p>
      <w:pPr>
        <w:pStyle w:val="10"/>
        <w:spacing w:line="360" w:lineRule="auto"/>
        <w:ind w:left="853" w:hanging="849" w:hangingChars="354"/>
        <w:rPr>
          <w:rFonts w:hAnsi="宋体"/>
          <w:b/>
          <w:strike/>
          <w:color w:val="auto"/>
          <w:sz w:val="24"/>
          <w:szCs w:val="24"/>
          <w:highlight w:val="none"/>
        </w:rPr>
      </w:pPr>
      <w:r>
        <w:rPr>
          <w:rFonts w:hint="eastAsia" w:hAnsi="宋体"/>
          <w:b/>
          <w:strike/>
          <w:color w:val="auto"/>
          <w:sz w:val="24"/>
          <w:szCs w:val="24"/>
          <w:highlight w:val="none"/>
        </w:rPr>
        <w:t>4.3    定标委员会（如有）</w:t>
      </w:r>
    </w:p>
    <w:p>
      <w:pPr>
        <w:pStyle w:val="10"/>
        <w:spacing w:line="360" w:lineRule="auto"/>
        <w:ind w:left="850" w:hanging="849" w:hangingChars="354"/>
        <w:rPr>
          <w:rFonts w:hAnsi="宋体"/>
          <w:strike/>
          <w:color w:val="auto"/>
          <w:sz w:val="24"/>
          <w:szCs w:val="24"/>
          <w:highlight w:val="none"/>
        </w:rPr>
      </w:pPr>
      <w:r>
        <w:rPr>
          <w:rFonts w:hint="eastAsia" w:hAnsi="宋体"/>
          <w:strike/>
          <w:color w:val="auto"/>
          <w:sz w:val="24"/>
          <w:szCs w:val="24"/>
          <w:highlight w:val="none"/>
        </w:rPr>
        <w:t>4.3.1  定标委员会由招标人组建。组建办法详见附表15《定标委员会的组成》</w:t>
      </w:r>
    </w:p>
    <w:p>
      <w:pPr>
        <w:pStyle w:val="10"/>
        <w:spacing w:line="360" w:lineRule="auto"/>
        <w:ind w:left="850" w:hanging="849" w:hangingChars="354"/>
        <w:rPr>
          <w:rFonts w:hAnsi="宋体"/>
          <w:color w:val="auto"/>
          <w:sz w:val="24"/>
          <w:szCs w:val="24"/>
          <w:highlight w:val="none"/>
        </w:rPr>
      </w:pPr>
    </w:p>
    <w:p>
      <w:pPr>
        <w:spacing w:line="360" w:lineRule="auto"/>
        <w:ind w:left="853" w:hanging="849" w:hangingChars="354"/>
        <w:rPr>
          <w:rFonts w:ascii="宋体" w:hAnsi="宋体"/>
          <w:b/>
          <w:bCs/>
          <w:color w:val="auto"/>
          <w:sz w:val="24"/>
          <w:highlight w:val="none"/>
        </w:rPr>
      </w:pPr>
      <w:r>
        <w:rPr>
          <w:rFonts w:hint="eastAsia" w:ascii="宋体" w:hAnsi="宋体"/>
          <w:b/>
          <w:bCs/>
          <w:color w:val="auto"/>
          <w:sz w:val="24"/>
          <w:highlight w:val="none"/>
        </w:rPr>
        <w:t>4.4    评标原则</w:t>
      </w:r>
    </w:p>
    <w:p>
      <w:pPr>
        <w:spacing w:line="360" w:lineRule="auto"/>
        <w:ind w:left="850" w:hanging="849" w:hangingChars="354"/>
        <w:rPr>
          <w:rFonts w:ascii="宋体" w:hAnsi="宋体"/>
          <w:color w:val="auto"/>
          <w:sz w:val="24"/>
          <w:highlight w:val="none"/>
        </w:rPr>
      </w:pP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 xml:space="preserve">.1  </w:t>
      </w:r>
      <w:r>
        <w:rPr>
          <w:rFonts w:hint="eastAsia" w:hAnsi="宋体"/>
          <w:color w:val="auto"/>
          <w:sz w:val="24"/>
          <w:highlight w:val="none"/>
        </w:rPr>
        <w:t>评标委员会根据招标文件规定的评标标准和方法，对投标文件进行评审和比较，招标文件中没有规定的标准和方法不得作为评标的依据。</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.2  在符合招标文件规定的前提下，评标委员会主要对投标方案</w:t>
      </w:r>
      <w:r>
        <w:rPr>
          <w:rFonts w:ascii="宋体" w:hAnsi="宋体"/>
          <w:color w:val="auto"/>
          <w:sz w:val="24"/>
          <w:highlight w:val="none"/>
        </w:rPr>
        <w:t>的经济性</w:t>
      </w:r>
      <w:r>
        <w:rPr>
          <w:rFonts w:hint="eastAsia" w:ascii="宋体" w:hAnsi="宋体"/>
          <w:color w:val="auto"/>
          <w:sz w:val="24"/>
          <w:highlight w:val="none"/>
        </w:rPr>
        <w:t>、</w:t>
      </w:r>
      <w:r>
        <w:rPr>
          <w:rFonts w:ascii="宋体" w:hAnsi="宋体"/>
          <w:color w:val="auto"/>
          <w:sz w:val="24"/>
          <w:highlight w:val="none"/>
        </w:rPr>
        <w:t>独创性</w:t>
      </w:r>
      <w:r>
        <w:rPr>
          <w:rFonts w:hint="eastAsia" w:ascii="宋体" w:hAnsi="宋体"/>
          <w:color w:val="auto"/>
          <w:sz w:val="24"/>
          <w:highlight w:val="none"/>
        </w:rPr>
        <w:t>、优越性、功能和造型、运行和维护费用、对环境的影响等进行比选、评价和裁定，确定方案的优劣。</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.3  开标、评标过程发现的问题和产生的纠纷，由评标委员会负责裁决。裁决前，评标委员会应认真阅读招标文件的规定，并征询招标人、招标代理机构、交易服务机构、招标管理机构、监督机构等各方代表的意见。除非符合否决投标的条件，否则投标文件存在的其他缺陷和失误，由评标委员会在评估时综合考虑，不作否决投标处理。</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若在评标期间</w:t>
      </w:r>
      <w:r>
        <w:rPr>
          <w:rFonts w:hint="eastAsia" w:ascii="宋体" w:hAnsi="宋体"/>
          <w:b/>
          <w:color w:val="auto"/>
          <w:sz w:val="24"/>
          <w:highlight w:val="none"/>
          <w:u w:val="single"/>
        </w:rPr>
        <w:t>（设计</w:t>
      </w:r>
      <w:r>
        <w:rPr>
          <w:rFonts w:ascii="宋体" w:hAnsi="宋体"/>
          <w:b/>
          <w:color w:val="auto"/>
          <w:sz w:val="24"/>
          <w:highlight w:val="none"/>
          <w:u w:val="single"/>
        </w:rPr>
        <w:t>方案评审阶段除外</w:t>
      </w:r>
      <w:r>
        <w:rPr>
          <w:rFonts w:hint="eastAsia" w:ascii="宋体" w:hAnsi="宋体"/>
          <w:b/>
          <w:color w:val="auto"/>
          <w:sz w:val="24"/>
          <w:highlight w:val="none"/>
          <w:u w:val="single"/>
        </w:rPr>
        <w:t>）</w:t>
      </w:r>
      <w:r>
        <w:rPr>
          <w:rFonts w:hint="eastAsia" w:ascii="宋体" w:hAnsi="宋体"/>
          <w:color w:val="auto"/>
          <w:sz w:val="24"/>
          <w:highlight w:val="none"/>
          <w:u w:val="single"/>
        </w:rPr>
        <w:t>，经评标委员会两人以上（含两人）以书面形式提出动议，评标委员会应当书面发出澄清通知，要求投标人对投标文件含义不明确的内容作出澄清。</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投标人应以书面形式进行澄清，澄清中的承诺性意思表示在投标文件有效期内均对投标人有约束力。澄清不得超出投标文件的范围或改变投标文件的实质性内容，超出部分不作为评标委员会评审的依据。</w:t>
      </w:r>
    </w:p>
    <w:p>
      <w:pPr>
        <w:spacing w:line="360" w:lineRule="auto"/>
        <w:ind w:left="842" w:leftChars="228" w:hanging="364" w:hangingChars="152"/>
        <w:rPr>
          <w:rFonts w:ascii="宋体" w:hAnsi="宋体"/>
          <w:color w:val="auto"/>
          <w:sz w:val="24"/>
          <w:highlight w:val="none"/>
          <w:u w:val="single"/>
        </w:rPr>
      </w:pPr>
      <w:r>
        <w:rPr>
          <w:rFonts w:hint="eastAsia" w:ascii="宋体" w:hAnsi="宋体"/>
          <w:color w:val="auto"/>
          <w:sz w:val="24"/>
          <w:highlight w:val="none"/>
          <w:u w:val="single"/>
        </w:rPr>
        <w:t>评标委员会均应当阅读投标人的澄清，但应独立参考澄清对投标文件进行评审。</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5  如果少数投标人超越招标文件要求提交了模型、演示动画或发生其他特殊情况，评标委员会对超越招标文件要求的内容不进行评审，只评审该投标文件符合要求的内容。</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6  评标委员会经评审，认为所有投标都不符合招标文件要求的，可以否决所有投标。如果所有投标被否决而重新招标，评标委员会成员及其从业机构不得参加投标。</w:t>
      </w:r>
    </w:p>
    <w:p>
      <w:pPr>
        <w:spacing w:line="360" w:lineRule="auto"/>
        <w:ind w:left="850" w:hanging="849" w:hangingChars="354"/>
        <w:rPr>
          <w:rFonts w:ascii="宋体" w:hAnsi="宋体"/>
          <w:color w:val="auto"/>
          <w:sz w:val="24"/>
          <w:highlight w:val="none"/>
        </w:rPr>
      </w:pPr>
    </w:p>
    <w:p>
      <w:pPr>
        <w:spacing w:line="360" w:lineRule="auto"/>
        <w:ind w:left="853" w:hanging="849" w:hangingChars="354"/>
        <w:rPr>
          <w:rFonts w:ascii="宋体" w:hAnsi="宋体"/>
          <w:b/>
          <w:bCs/>
          <w:color w:val="auto"/>
          <w:sz w:val="24"/>
          <w:highlight w:val="none"/>
        </w:rPr>
      </w:pPr>
      <w:r>
        <w:rPr>
          <w:rFonts w:hint="eastAsia" w:ascii="宋体" w:hAnsi="宋体"/>
          <w:b/>
          <w:bCs/>
          <w:color w:val="auto"/>
          <w:sz w:val="24"/>
          <w:highlight w:val="none"/>
        </w:rPr>
        <w:t>4.</w:t>
      </w:r>
      <w:r>
        <w:rPr>
          <w:rFonts w:ascii="宋体" w:hAnsi="宋体"/>
          <w:b/>
          <w:bCs/>
          <w:color w:val="auto"/>
          <w:sz w:val="24"/>
          <w:highlight w:val="none"/>
        </w:rPr>
        <w:t>5</w:t>
      </w:r>
      <w:r>
        <w:rPr>
          <w:rFonts w:hint="eastAsia" w:ascii="宋体" w:hAnsi="宋体"/>
          <w:b/>
          <w:bCs/>
          <w:color w:val="auto"/>
          <w:sz w:val="24"/>
          <w:highlight w:val="none"/>
        </w:rPr>
        <w:t xml:space="preserve">    评标办法</w:t>
      </w:r>
    </w:p>
    <w:p>
      <w:pPr>
        <w:spacing w:line="360" w:lineRule="auto"/>
        <w:ind w:left="850" w:hanging="849" w:hangingChars="354"/>
        <w:rPr>
          <w:rFonts w:ascii="宋体" w:hAnsi="宋体"/>
          <w:b/>
          <w:bCs/>
          <w:color w:val="auto"/>
          <w:sz w:val="24"/>
          <w:highlight w:val="none"/>
        </w:rPr>
      </w:pPr>
      <w:r>
        <w:rPr>
          <w:rFonts w:hint="eastAsia" w:ascii="宋体" w:hAnsi="宋体"/>
          <w:color w:val="auto"/>
          <w:sz w:val="24"/>
          <w:highlight w:val="none"/>
        </w:rPr>
        <w:t>[注释] 招标人应在招标文件修改表中明确适用于</w:t>
      </w:r>
      <w:r>
        <w:rPr>
          <w:rFonts w:ascii="宋体" w:hAnsi="宋体"/>
          <w:color w:val="auto"/>
          <w:sz w:val="24"/>
          <w:highlight w:val="none"/>
        </w:rPr>
        <w:t>本项目的</w:t>
      </w:r>
      <w:r>
        <w:rPr>
          <w:rFonts w:hint="eastAsia" w:ascii="宋体" w:hAnsi="宋体"/>
          <w:color w:val="auto"/>
          <w:sz w:val="24"/>
          <w:highlight w:val="none"/>
        </w:rPr>
        <w:t>评标方法。</w:t>
      </w:r>
    </w:p>
    <w:p>
      <w:pPr>
        <w:spacing w:line="360" w:lineRule="auto"/>
        <w:ind w:left="850" w:hanging="849" w:hangingChars="354"/>
        <w:rPr>
          <w:rFonts w:ascii="宋体" w:hAnsi="宋体"/>
          <w:color w:val="auto"/>
          <w:sz w:val="24"/>
          <w:highlight w:val="none"/>
        </w:rPr>
      </w:pP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5</w:t>
      </w:r>
      <w:r>
        <w:rPr>
          <w:rFonts w:hint="eastAsia" w:ascii="宋体" w:hAnsi="宋体"/>
          <w:color w:val="auto"/>
          <w:sz w:val="24"/>
          <w:highlight w:val="none"/>
        </w:rPr>
        <w:t>.1  是否采用评定分离：</w:t>
      </w:r>
      <w:r>
        <w:rPr>
          <w:rFonts w:hint="eastAsia" w:ascii="宋体" w:hAnsi="宋体"/>
          <w:strike/>
          <w:color w:val="auto"/>
          <w:sz w:val="24"/>
          <w:highlight w:val="none"/>
        </w:rPr>
        <w:sym w:font="Wingdings 2" w:char="00A3"/>
      </w:r>
      <w:r>
        <w:rPr>
          <w:rFonts w:hint="eastAsia" w:ascii="宋体" w:hAnsi="宋体"/>
          <w:strike/>
          <w:color w:val="auto"/>
          <w:sz w:val="24"/>
          <w:highlight w:val="none"/>
        </w:rPr>
        <w:t>是，入围定标环节的投标人家数：</w:t>
      </w:r>
      <w:r>
        <w:rPr>
          <w:rFonts w:hint="eastAsia" w:ascii="宋体" w:hAnsi="宋体"/>
          <w:strike/>
          <w:color w:val="auto"/>
          <w:sz w:val="24"/>
          <w:highlight w:val="none"/>
          <w:u w:val="single"/>
        </w:rPr>
        <w:t xml:space="preserve">    </w:t>
      </w:r>
      <w:r>
        <w:rPr>
          <w:rFonts w:hint="eastAsia" w:ascii="宋体" w:hAnsi="宋体"/>
          <w:strike/>
          <w:color w:val="auto"/>
          <w:sz w:val="24"/>
          <w:highlight w:val="none"/>
        </w:rPr>
        <w:t>名；</w:t>
      </w:r>
      <w:r>
        <w:rPr>
          <w:rFonts w:ascii="宋体" w:hAnsi="宋体"/>
          <w:color w:val="auto"/>
          <w:sz w:val="24"/>
          <w:highlight w:val="none"/>
        </w:rPr>
        <w:t xml:space="preserve"> </w:t>
      </w:r>
    </w:p>
    <w:p>
      <w:pPr>
        <w:spacing w:line="360" w:lineRule="auto"/>
        <w:ind w:left="850" w:hanging="849" w:hangingChars="354"/>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s="宋体"/>
          <w:color w:val="auto"/>
          <w:sz w:val="24"/>
          <w:highlight w:val="none"/>
        </w:rPr>
        <w:t>■</w:t>
      </w:r>
      <w:r>
        <w:rPr>
          <w:rFonts w:hint="eastAsia" w:ascii="宋体" w:hAnsi="宋体"/>
          <w:color w:val="auto"/>
          <w:szCs w:val="21"/>
          <w:highlight w:val="none"/>
        </w:rPr>
        <w:t>否</w:t>
      </w:r>
      <w:r>
        <w:rPr>
          <w:rFonts w:hint="eastAsia" w:ascii="宋体" w:hAnsi="宋体"/>
          <w:color w:val="auto"/>
          <w:sz w:val="24"/>
          <w:highlight w:val="none"/>
        </w:rPr>
        <w:t>。</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 xml:space="preserve">  不采用评定分离项目的评标办法</w:t>
      </w:r>
    </w:p>
    <w:p>
      <w:pPr>
        <w:spacing w:line="360" w:lineRule="auto"/>
        <w:ind w:left="850" w:hanging="849" w:hangingChars="354"/>
        <w:jc w:val="left"/>
        <w:rPr>
          <w:rFonts w:ascii="宋体" w:hAnsi="宋体"/>
          <w:color w:val="auto"/>
          <w:sz w:val="24"/>
          <w:highlight w:val="none"/>
        </w:rPr>
      </w:pPr>
      <w:r>
        <w:rPr>
          <w:rFonts w:ascii="宋体" w:hAnsi="宋体"/>
          <w:color w:val="auto"/>
          <w:sz w:val="24"/>
          <w:highlight w:val="none"/>
        </w:rPr>
        <w:t>4.5.2.1</w:t>
      </w:r>
      <w:r>
        <w:rPr>
          <w:rFonts w:hint="eastAsia" w:ascii="宋体" w:hAnsi="宋体"/>
          <w:color w:val="auto"/>
          <w:sz w:val="24"/>
          <w:highlight w:val="none"/>
        </w:rPr>
        <w:t>招标人（招标代理机构）在不透露投标人身份的前提下（资格审查文件除外）将投标文件交给评标委员会，除4.</w:t>
      </w: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2.2</w:t>
      </w:r>
      <w:r>
        <w:rPr>
          <w:rFonts w:hint="eastAsia" w:ascii="宋体" w:hAnsi="宋体"/>
          <w:color w:val="auto"/>
          <w:sz w:val="24"/>
          <w:highlight w:val="none"/>
        </w:rPr>
        <w:t>(g)中规定，不需要投标人派代表介绍投标方案。</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2.2</w:t>
      </w:r>
      <w:r>
        <w:rPr>
          <w:rFonts w:hint="eastAsia" w:ascii="宋体" w:hAnsi="宋体"/>
          <w:color w:val="auto"/>
          <w:sz w:val="24"/>
          <w:highlight w:val="none"/>
        </w:rPr>
        <w:t>如果评标委员会成员在交易服务机构评标，将按方法</w:t>
      </w:r>
      <w:r>
        <w:rPr>
          <w:rFonts w:hint="eastAsia" w:ascii="宋体" w:hAnsi="宋体"/>
          <w:color w:val="auto"/>
          <w:sz w:val="24"/>
          <w:highlight w:val="none"/>
          <w:u w:val="single"/>
        </w:rPr>
        <w:t xml:space="preserve"> 二 </w:t>
      </w:r>
      <w:r>
        <w:rPr>
          <w:rFonts w:hint="eastAsia" w:ascii="宋体" w:hAnsi="宋体"/>
          <w:color w:val="auto"/>
          <w:sz w:val="24"/>
          <w:highlight w:val="none"/>
        </w:rPr>
        <w:t>规定的步骤进行：</w:t>
      </w:r>
    </w:p>
    <w:p>
      <w:pPr>
        <w:spacing w:line="360" w:lineRule="auto"/>
        <w:ind w:left="850" w:hanging="849" w:hangingChars="354"/>
        <w:jc w:val="left"/>
        <w:rPr>
          <w:rFonts w:ascii="宋体" w:hAnsi="宋体"/>
          <w:strike/>
          <w:color w:val="auto"/>
          <w:sz w:val="24"/>
          <w:highlight w:val="none"/>
        </w:rPr>
      </w:pPr>
      <w:r>
        <w:rPr>
          <w:rFonts w:hint="eastAsia" w:ascii="宋体" w:hAnsi="宋体"/>
          <w:color w:val="auto"/>
          <w:sz w:val="24"/>
          <w:highlight w:val="none"/>
        </w:rPr>
        <w:t xml:space="preserve">       </w:t>
      </w:r>
      <w:r>
        <w:rPr>
          <w:rFonts w:hint="eastAsia" w:ascii="宋体" w:hAnsi="宋体"/>
          <w:strike/>
          <w:color w:val="auto"/>
          <w:sz w:val="24"/>
          <w:highlight w:val="none"/>
        </w:rPr>
        <w:t>方法一（设有资格审查环节的一阶段评标法）：a、b、c、d、e、f、h、i、j</w:t>
      </w:r>
    </w:p>
    <w:p>
      <w:pPr>
        <w:spacing w:line="360" w:lineRule="auto"/>
        <w:ind w:left="850" w:hanging="849" w:hangingChars="354"/>
        <w:jc w:val="left"/>
        <w:rPr>
          <w:rFonts w:ascii="宋体" w:hAnsi="宋体"/>
          <w:color w:val="auto"/>
          <w:sz w:val="24"/>
          <w:highlight w:val="none"/>
        </w:rPr>
      </w:pPr>
      <w:r>
        <w:rPr>
          <w:rFonts w:hint="eastAsia" w:ascii="宋体" w:hAnsi="宋体"/>
          <w:color w:val="auto"/>
          <w:sz w:val="24"/>
          <w:highlight w:val="none"/>
        </w:rPr>
        <w:t xml:space="preserve">       方法二（设有资格审查环节的二阶段评标法）：a、b、c、d、e、f、g、h、i、j</w:t>
      </w:r>
    </w:p>
    <w:p>
      <w:pPr>
        <w:spacing w:line="360" w:lineRule="auto"/>
        <w:ind w:left="850" w:hanging="849" w:hangingChars="354"/>
        <w:jc w:val="left"/>
        <w:rPr>
          <w:rFonts w:ascii="宋体" w:hAnsi="宋体"/>
          <w:strike/>
          <w:color w:val="auto"/>
          <w:sz w:val="24"/>
          <w:highlight w:val="none"/>
        </w:rPr>
      </w:pPr>
      <w:r>
        <w:rPr>
          <w:rFonts w:ascii="宋体" w:hAnsi="宋体"/>
          <w:strike/>
          <w:color w:val="auto"/>
          <w:sz w:val="24"/>
          <w:highlight w:val="none"/>
        </w:rPr>
        <w:t xml:space="preserve">       </w:t>
      </w:r>
      <w:r>
        <w:rPr>
          <w:rFonts w:hint="eastAsia" w:ascii="宋体" w:hAnsi="宋体"/>
          <w:strike/>
          <w:color w:val="auto"/>
          <w:sz w:val="24"/>
          <w:highlight w:val="none"/>
        </w:rPr>
        <w:t>方法三（未设资格审查环节的一阶段评标法）：a、d、e、f、h、i、j</w:t>
      </w:r>
    </w:p>
    <w:p>
      <w:pPr>
        <w:spacing w:line="360" w:lineRule="auto"/>
        <w:ind w:left="850" w:hanging="849" w:hangingChars="354"/>
        <w:jc w:val="left"/>
        <w:rPr>
          <w:rFonts w:ascii="宋体" w:hAnsi="宋体"/>
          <w:strike/>
          <w:color w:val="auto"/>
          <w:sz w:val="24"/>
          <w:highlight w:val="none"/>
        </w:rPr>
      </w:pPr>
      <w:r>
        <w:rPr>
          <w:rFonts w:hint="eastAsia" w:ascii="宋体" w:hAnsi="宋体"/>
          <w:strike/>
          <w:color w:val="auto"/>
          <w:sz w:val="24"/>
          <w:highlight w:val="none"/>
        </w:rPr>
        <w:t xml:space="preserve">       方法四（未设资格审查环节的二阶段评标法）：a、d、e、f、g、h、i、j</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a</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评标委员会成员依据招标文件规定，否决两个（含两个）以上的加密打包投标文件电脑机器特征码一致的投标人，不参与下一阶段评审。</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(b)</w:t>
      </w:r>
      <w:r>
        <w:rPr>
          <w:rFonts w:ascii="宋体" w:hAnsi="宋体"/>
          <w:color w:val="auto"/>
          <w:sz w:val="24"/>
          <w:szCs w:val="24"/>
          <w:highlight w:val="none"/>
        </w:rPr>
        <w:t xml:space="preserve"> </w:t>
      </w:r>
      <w:r>
        <w:rPr>
          <w:rFonts w:hint="eastAsia" w:ascii="宋体" w:hAnsi="宋体"/>
          <w:color w:val="auto"/>
          <w:sz w:val="24"/>
          <w:szCs w:val="24"/>
          <w:highlight w:val="none"/>
        </w:rPr>
        <w:t>评标委员会成员依据招标文件规定，按</w:t>
      </w:r>
      <w:r>
        <w:rPr>
          <w:rFonts w:hint="eastAsia" w:ascii="宋体" w:hAnsi="宋体"/>
          <w:color w:val="auto"/>
          <w:sz w:val="24"/>
          <w:szCs w:val="24"/>
          <w:highlight w:val="none"/>
          <w:u w:val="single"/>
        </w:rPr>
        <w:t>附录9《资格审查表》</w:t>
      </w:r>
      <w:r>
        <w:rPr>
          <w:rFonts w:hint="eastAsia" w:ascii="宋体" w:hAnsi="宋体"/>
          <w:color w:val="auto"/>
          <w:sz w:val="24"/>
          <w:szCs w:val="24"/>
          <w:highlight w:val="none"/>
        </w:rPr>
        <w:t>对各投标人递交的投标文件进行资格审查。</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(c) 评标委员会成员汇总资格审查结果，编写资格审查报告。</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(d)</w:t>
      </w:r>
      <w:r>
        <w:rPr>
          <w:rFonts w:ascii="宋体" w:hAnsi="宋体"/>
          <w:color w:val="auto"/>
          <w:sz w:val="24"/>
          <w:szCs w:val="24"/>
          <w:highlight w:val="none"/>
        </w:rPr>
        <w:t xml:space="preserve"> </w:t>
      </w:r>
      <w:r>
        <w:rPr>
          <w:rFonts w:hint="eastAsia" w:ascii="宋体" w:hAnsi="宋体"/>
          <w:color w:val="auto"/>
          <w:sz w:val="24"/>
          <w:szCs w:val="24"/>
          <w:highlight w:val="none"/>
        </w:rPr>
        <w:t>评标委员会专家依据招标文件规定，按</w:t>
      </w:r>
      <w:r>
        <w:rPr>
          <w:rFonts w:hint="eastAsia" w:ascii="宋体" w:hAnsi="宋体"/>
          <w:color w:val="auto"/>
          <w:sz w:val="24"/>
          <w:szCs w:val="24"/>
          <w:highlight w:val="none"/>
          <w:u w:val="single"/>
        </w:rPr>
        <w:t>附录12《建筑工程设计方案评审记录表》</w:t>
      </w:r>
      <w:r>
        <w:rPr>
          <w:rFonts w:hint="eastAsia" w:ascii="宋体" w:hAnsi="宋体"/>
          <w:color w:val="auto"/>
          <w:sz w:val="24"/>
          <w:szCs w:val="24"/>
          <w:highlight w:val="none"/>
        </w:rPr>
        <w:t>、</w:t>
      </w:r>
      <w:r>
        <w:rPr>
          <w:rFonts w:hint="eastAsia" w:ascii="宋体" w:hAnsi="宋体"/>
          <w:color w:val="auto"/>
          <w:sz w:val="24"/>
          <w:szCs w:val="24"/>
          <w:highlight w:val="none"/>
          <w:u w:val="single"/>
        </w:rPr>
        <w:t>附录13《投标方案评语》</w:t>
      </w:r>
      <w:r>
        <w:rPr>
          <w:rFonts w:hint="eastAsia" w:ascii="宋体" w:hAnsi="宋体"/>
          <w:color w:val="auto"/>
          <w:sz w:val="24"/>
          <w:szCs w:val="24"/>
          <w:highlight w:val="none"/>
        </w:rPr>
        <w:t>对各投标人递交的投标文件进行评审。如果有否决投标提议，则评标委员会成员共同表决，按照少数服从多数的原则决定是否否决。</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(e) 以差额选举逐轮淘汰的记名投票方式选出所有投标方案的排序。（方案补偿费按(h)步骤确定的最终排序进行补偿）。</w:t>
      </w:r>
    </w:p>
    <w:p>
      <w:pPr>
        <w:pStyle w:val="6"/>
        <w:spacing w:line="360" w:lineRule="auto"/>
        <w:ind w:firstLine="480"/>
        <w:rPr>
          <w:color w:val="auto"/>
          <w:sz w:val="24"/>
          <w:highlight w:val="none"/>
        </w:rPr>
      </w:pPr>
      <w:r>
        <w:rPr>
          <w:rFonts w:hint="eastAsia" w:ascii="宋体" w:hAnsi="宋体"/>
          <w:color w:val="auto"/>
          <w:sz w:val="24"/>
          <w:highlight w:val="none"/>
        </w:rPr>
        <w:t>(f) 评标委员会揭晓投标人身份。</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(g) 采用二阶段评标法的，由方案排序前</w:t>
      </w:r>
      <w:r>
        <w:rPr>
          <w:rFonts w:ascii="宋体" w:hAnsi="宋体"/>
          <w:color w:val="auto"/>
          <w:sz w:val="24"/>
          <w:szCs w:val="24"/>
          <w:highlight w:val="none"/>
          <w:u w:val="single"/>
        </w:rPr>
        <w:t>3</w:t>
      </w:r>
      <w:r>
        <w:rPr>
          <w:rFonts w:hint="eastAsia" w:ascii="宋体" w:hAnsi="宋体"/>
          <w:color w:val="auto"/>
          <w:sz w:val="24"/>
          <w:szCs w:val="24"/>
          <w:highlight w:val="none"/>
        </w:rPr>
        <w:t>名的投标人(</w:t>
      </w:r>
      <w:r>
        <w:rPr>
          <w:rFonts w:hint="eastAsia" w:ascii="宋体" w:cs="宋体"/>
          <w:color w:val="auto"/>
          <w:kern w:val="0"/>
          <w:sz w:val="24"/>
          <w:szCs w:val="24"/>
          <w:highlight w:val="none"/>
        </w:rPr>
        <w:t>如方案排序</w:t>
      </w:r>
      <w:r>
        <w:rPr>
          <w:rFonts w:hint="eastAsia" w:ascii="宋体" w:cs="宋体"/>
          <w:color w:val="auto"/>
          <w:kern w:val="0"/>
          <w:sz w:val="24"/>
          <w:szCs w:val="24"/>
          <w:highlight w:val="none"/>
          <w:u w:val="single"/>
        </w:rPr>
        <w:t>前</w:t>
      </w:r>
      <w:r>
        <w:rPr>
          <w:rFonts w:ascii="宋体" w:cs="宋体"/>
          <w:color w:val="auto"/>
          <w:kern w:val="0"/>
          <w:sz w:val="24"/>
          <w:szCs w:val="24"/>
          <w:highlight w:val="none"/>
          <w:u w:val="single"/>
        </w:rPr>
        <w:t>3</w:t>
      </w:r>
      <w:r>
        <w:rPr>
          <w:rFonts w:hint="eastAsia" w:ascii="宋体" w:cs="宋体"/>
          <w:color w:val="auto"/>
          <w:kern w:val="0"/>
          <w:sz w:val="24"/>
          <w:szCs w:val="24"/>
          <w:highlight w:val="none"/>
          <w:u w:val="single"/>
        </w:rPr>
        <w:t>名</w:t>
      </w:r>
      <w:r>
        <w:rPr>
          <w:rFonts w:hint="eastAsia" w:ascii="宋体" w:cs="宋体"/>
          <w:color w:val="auto"/>
          <w:kern w:val="0"/>
          <w:sz w:val="24"/>
          <w:szCs w:val="24"/>
          <w:highlight w:val="none"/>
        </w:rPr>
        <w:t>的投标人存在不通过资格审查或有效性审查的情形，则按方案从高到低的排序从通过资格审查（如有）及有效性审查的投标人中替补</w:t>
      </w:r>
      <w:r>
        <w:rPr>
          <w:rFonts w:hint="eastAsia" w:ascii="宋体" w:cs="宋体"/>
          <w:color w:val="auto"/>
          <w:kern w:val="0"/>
          <w:sz w:val="24"/>
          <w:szCs w:val="24"/>
          <w:highlight w:val="none"/>
          <w:u w:val="single"/>
        </w:rPr>
        <w:t>，补齐</w:t>
      </w:r>
      <w:r>
        <w:rPr>
          <w:rFonts w:ascii="宋体" w:cs="宋体"/>
          <w:color w:val="auto"/>
          <w:kern w:val="0"/>
          <w:sz w:val="24"/>
          <w:szCs w:val="24"/>
          <w:highlight w:val="none"/>
          <w:u w:val="single"/>
        </w:rPr>
        <w:t>3</w:t>
      </w:r>
      <w:r>
        <w:rPr>
          <w:rFonts w:hint="eastAsia" w:ascii="宋体" w:cs="宋体"/>
          <w:color w:val="auto"/>
          <w:kern w:val="0"/>
          <w:sz w:val="24"/>
          <w:szCs w:val="24"/>
          <w:highlight w:val="none"/>
          <w:u w:val="single"/>
        </w:rPr>
        <w:t>名</w:t>
      </w:r>
      <w:r>
        <w:rPr>
          <w:rFonts w:hint="eastAsia" w:ascii="宋体" w:cs="宋体"/>
          <w:color w:val="auto"/>
          <w:kern w:val="0"/>
          <w:sz w:val="24"/>
          <w:szCs w:val="24"/>
          <w:highlight w:val="none"/>
        </w:rPr>
        <w:t>）</w:t>
      </w:r>
      <w:r>
        <w:rPr>
          <w:rFonts w:hint="eastAsia" w:ascii="宋体" w:hAnsi="宋体"/>
          <w:color w:val="auto"/>
          <w:sz w:val="24"/>
          <w:szCs w:val="24"/>
          <w:highlight w:val="none"/>
        </w:rPr>
        <w:t>讲解投标方案、解答疑问、介绍业绩、信誉和人员的能力，评标委员会成员再次共同表决，以差额选举逐轮淘汰的记名投票方式选出投标方案的排序</w:t>
      </w:r>
      <w:r>
        <w:rPr>
          <w:rFonts w:hint="eastAsia" w:ascii="宋体" w:hAnsi="宋体"/>
          <w:color w:val="auto"/>
          <w:sz w:val="24"/>
          <w:szCs w:val="24"/>
          <w:highlight w:val="none"/>
          <w:u w:val="single"/>
        </w:rPr>
        <w:t>（讲解</w:t>
      </w:r>
      <w:r>
        <w:rPr>
          <w:rFonts w:ascii="宋体" w:hAnsi="宋体"/>
          <w:color w:val="auto"/>
          <w:sz w:val="24"/>
          <w:szCs w:val="24"/>
          <w:highlight w:val="none"/>
          <w:u w:val="single"/>
        </w:rPr>
        <w:t>方案</w:t>
      </w:r>
      <w:r>
        <w:rPr>
          <w:rFonts w:hint="eastAsia" w:ascii="宋体" w:hAnsi="宋体"/>
          <w:color w:val="auto"/>
          <w:sz w:val="24"/>
          <w:szCs w:val="24"/>
          <w:highlight w:val="none"/>
          <w:u w:val="single"/>
        </w:rPr>
        <w:t>注意事项详见备注）</w:t>
      </w:r>
      <w:r>
        <w:rPr>
          <w:rFonts w:hint="eastAsia" w:ascii="宋体" w:hAnsi="宋体"/>
          <w:color w:val="auto"/>
          <w:sz w:val="24"/>
          <w:szCs w:val="24"/>
          <w:highlight w:val="none"/>
        </w:rPr>
        <w:t>。</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(h) 评标委员会按只有通过资格审查及有效性审查的投标人的投标文件方可进入下一阶段评审的评审原则，在揭晓投标人身份后，根据资格审查及有效性审查结果，取消被否决投标及未通过资格审查的投标人的投标方案的排序，其余通过资格审查及有效性审查的投标人的投标方案的排序依次上升替补确定，以此类推。评标委员会按投标方案最终排序的先后，依次推荐3名中标候选人。投标经济补偿费按投标方案的最终排序确定进行补偿。</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(i) 编写、签署评标报告，并标明最终中标候选人的排列顺序，评标报告由评标委员会全体成员签字，对评标结论持有异议的评标委员会成员可以书面方式阐述其不同意见和理由。</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(j) 评标委员会向招标人提交书面评标报告后即告解散，评标过程中使用的文件、表格以及其他资料应当即时归还招标人（招标代理机构）。</w:t>
      </w:r>
    </w:p>
    <w:p>
      <w:pPr>
        <w:pStyle w:val="6"/>
        <w:spacing w:line="360" w:lineRule="auto"/>
        <w:ind w:firstLine="480"/>
        <w:rPr>
          <w:color w:val="auto"/>
          <w:sz w:val="24"/>
          <w:highlight w:val="none"/>
          <w:u w:val="single"/>
        </w:rPr>
      </w:pPr>
      <w:r>
        <w:rPr>
          <w:rFonts w:hint="eastAsia"/>
          <w:color w:val="auto"/>
          <w:sz w:val="24"/>
          <w:highlight w:val="none"/>
          <w:u w:val="single"/>
        </w:rPr>
        <w:t>备注：1、</w:t>
      </w:r>
      <w:r>
        <w:rPr>
          <w:rFonts w:hint="eastAsia" w:ascii="宋体" w:hAnsi="宋体"/>
          <w:color w:val="auto"/>
          <w:sz w:val="24"/>
          <w:highlight w:val="none"/>
          <w:u w:val="single"/>
        </w:rPr>
        <w:t>讲解</w:t>
      </w:r>
      <w:r>
        <w:rPr>
          <w:rFonts w:ascii="宋体" w:hAnsi="宋体"/>
          <w:color w:val="auto"/>
          <w:sz w:val="24"/>
          <w:highlight w:val="none"/>
          <w:u w:val="single"/>
        </w:rPr>
        <w:t>方案的人员</w:t>
      </w:r>
      <w:r>
        <w:rPr>
          <w:rFonts w:hint="eastAsia" w:ascii="宋体" w:hAnsi="宋体"/>
          <w:color w:val="auto"/>
          <w:sz w:val="24"/>
          <w:highlight w:val="none"/>
          <w:u w:val="single"/>
        </w:rPr>
        <w:t>组成：由项目</w:t>
      </w:r>
      <w:r>
        <w:rPr>
          <w:rFonts w:hint="eastAsia"/>
          <w:color w:val="auto"/>
          <w:sz w:val="24"/>
          <w:highlight w:val="none"/>
          <w:u w:val="single"/>
        </w:rPr>
        <w:t>负责人和项目组成员组成(参与人员须是本单位的在职人员，不超过2人）。</w:t>
      </w:r>
    </w:p>
    <w:p>
      <w:pPr>
        <w:pStyle w:val="6"/>
        <w:spacing w:line="360" w:lineRule="auto"/>
        <w:ind w:firstLine="480"/>
        <w:rPr>
          <w:color w:val="auto"/>
          <w:sz w:val="24"/>
          <w:highlight w:val="none"/>
          <w:u w:val="single"/>
        </w:rPr>
      </w:pPr>
      <w:r>
        <w:rPr>
          <w:rFonts w:hint="eastAsia"/>
          <w:color w:val="auto"/>
          <w:sz w:val="24"/>
          <w:highlight w:val="none"/>
          <w:u w:val="single"/>
        </w:rPr>
        <w:t>2、</w:t>
      </w:r>
      <w:r>
        <w:rPr>
          <w:rFonts w:hint="eastAsia" w:ascii="宋体" w:hAnsi="宋体"/>
          <w:color w:val="auto"/>
          <w:sz w:val="24"/>
          <w:highlight w:val="none"/>
          <w:u w:val="single"/>
        </w:rPr>
        <w:t>讲解</w:t>
      </w:r>
      <w:r>
        <w:rPr>
          <w:rFonts w:ascii="宋体" w:hAnsi="宋体"/>
          <w:color w:val="auto"/>
          <w:sz w:val="24"/>
          <w:highlight w:val="none"/>
          <w:u w:val="single"/>
        </w:rPr>
        <w:t>方案</w:t>
      </w:r>
      <w:r>
        <w:rPr>
          <w:rFonts w:hint="eastAsia"/>
          <w:color w:val="auto"/>
          <w:sz w:val="24"/>
          <w:highlight w:val="none"/>
          <w:u w:val="single"/>
        </w:rPr>
        <w:t>人员的到场要求：投标人在参加讲解时，应向招标人（招标代理）出示一份加盖公章的法定代表人证明书及授权委托书，并提供答辩人员在本单位2022年4月的有效社保证明（退休返聘人员须提供退休证、返聘合同）复印件并加盖单位公章)。由参与讲解的人员出示身份证原件，核对确认身份后签到。未能出示前述证明文件的单位不予参加讲解环节。</w:t>
      </w:r>
    </w:p>
    <w:p>
      <w:pPr>
        <w:pStyle w:val="6"/>
        <w:spacing w:line="360" w:lineRule="auto"/>
        <w:ind w:firstLine="480"/>
        <w:rPr>
          <w:color w:val="auto"/>
          <w:sz w:val="24"/>
          <w:highlight w:val="none"/>
          <w:u w:val="single"/>
        </w:rPr>
      </w:pPr>
      <w:r>
        <w:rPr>
          <w:rFonts w:hint="eastAsia"/>
          <w:color w:val="auto"/>
          <w:sz w:val="24"/>
          <w:highlight w:val="none"/>
          <w:u w:val="single"/>
        </w:rPr>
        <w:t>3、讲解形式与要求：讲解人员介绍方案、陈述亮点，评委针对陈述内容及勘察设计方案提问，由答辩人员进行解答。</w:t>
      </w:r>
    </w:p>
    <w:p>
      <w:pPr>
        <w:spacing w:line="360" w:lineRule="auto"/>
        <w:ind w:left="846" w:leftChars="202" w:hanging="422" w:hangingChars="176"/>
        <w:jc w:val="left"/>
        <w:rPr>
          <w:rFonts w:ascii="宋体" w:hAnsi="宋体"/>
          <w:color w:val="auto"/>
          <w:sz w:val="24"/>
          <w:szCs w:val="24"/>
          <w:highlight w:val="none"/>
        </w:rPr>
      </w:pPr>
      <w:r>
        <w:rPr>
          <w:rFonts w:hint="eastAsia"/>
          <w:color w:val="auto"/>
          <w:sz w:val="24"/>
          <w:szCs w:val="24"/>
          <w:highlight w:val="none"/>
          <w:u w:val="single"/>
        </w:rPr>
        <w:t>4、讲解时长控制：每投标人控制在10分钟内。</w:t>
      </w:r>
    </w:p>
    <w:p>
      <w:pPr>
        <w:spacing w:line="360" w:lineRule="auto"/>
        <w:ind w:left="850" w:hanging="849" w:hangingChars="354"/>
        <w:jc w:val="left"/>
        <w:rPr>
          <w:rFonts w:ascii="宋体" w:hAnsi="宋体"/>
          <w:color w:val="auto"/>
          <w:sz w:val="24"/>
          <w:szCs w:val="24"/>
          <w:highlight w:val="none"/>
        </w:rPr>
      </w:pPr>
      <w:r>
        <w:rPr>
          <w:rFonts w:hint="eastAsia" w:ascii="宋体" w:hAnsi="宋体"/>
          <w:color w:val="auto"/>
          <w:sz w:val="24"/>
          <w:szCs w:val="24"/>
          <w:highlight w:val="none"/>
        </w:rPr>
        <w:t xml:space="preserve"> </w:t>
      </w:r>
    </w:p>
    <w:p>
      <w:pPr>
        <w:spacing w:line="360" w:lineRule="auto"/>
        <w:ind w:left="844" w:leftChars="201" w:hanging="422" w:hangingChars="176"/>
        <w:rPr>
          <w:rFonts w:ascii="宋体" w:hAnsi="宋体"/>
          <w:color w:val="auto"/>
          <w:sz w:val="24"/>
          <w:highlight w:val="none"/>
        </w:rPr>
      </w:pPr>
      <w:r>
        <w:rPr>
          <w:rFonts w:hint="eastAsia" w:ascii="宋体" w:hAnsi="宋体"/>
          <w:color w:val="auto"/>
          <w:sz w:val="24"/>
          <w:highlight w:val="none"/>
        </w:rPr>
        <w:t xml:space="preserve"> </w:t>
      </w:r>
    </w:p>
    <w:p>
      <w:pPr>
        <w:pStyle w:val="4"/>
        <w:spacing w:line="360" w:lineRule="auto"/>
        <w:ind w:left="844" w:leftChars="201" w:hanging="422" w:hangingChars="176"/>
        <w:jc w:val="center"/>
        <w:rPr>
          <w:color w:val="auto"/>
          <w:sz w:val="36"/>
          <w:szCs w:val="36"/>
          <w:highlight w:val="none"/>
        </w:rPr>
      </w:pPr>
      <w:r>
        <w:rPr>
          <w:color w:val="auto"/>
          <w:sz w:val="24"/>
          <w:szCs w:val="24"/>
          <w:highlight w:val="none"/>
        </w:rPr>
        <w:br w:type="page"/>
      </w:r>
      <w:bookmarkStart w:id="7" w:name="_Toc17704"/>
      <w:bookmarkStart w:id="8" w:name="_Toc32827932"/>
      <w:r>
        <w:rPr>
          <w:rFonts w:hint="eastAsia"/>
          <w:color w:val="auto"/>
          <w:sz w:val="36"/>
          <w:szCs w:val="36"/>
          <w:highlight w:val="none"/>
        </w:rPr>
        <w:t>第五章  定标</w:t>
      </w:r>
      <w:bookmarkEnd w:id="7"/>
      <w:bookmarkEnd w:id="8"/>
    </w:p>
    <w:p>
      <w:pPr>
        <w:rPr>
          <w:rFonts w:ascii="宋体" w:hAnsi="宋体"/>
          <w:color w:val="auto"/>
          <w:highlight w:val="none"/>
        </w:rPr>
      </w:pPr>
    </w:p>
    <w:p>
      <w:pPr>
        <w:spacing w:line="360" w:lineRule="auto"/>
        <w:jc w:val="left"/>
        <w:rPr>
          <w:rFonts w:ascii="宋体" w:hAnsi="宋体"/>
          <w:b/>
          <w:color w:val="auto"/>
          <w:sz w:val="24"/>
          <w:highlight w:val="none"/>
        </w:rPr>
      </w:pPr>
      <w:r>
        <w:rPr>
          <w:rFonts w:hint="eastAsia" w:ascii="宋体" w:hAnsi="宋体"/>
          <w:b/>
          <w:color w:val="auto"/>
          <w:sz w:val="24"/>
          <w:highlight w:val="none"/>
        </w:rPr>
        <w:t>5.1    确定中标人</w:t>
      </w: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采用方式</w:t>
      </w:r>
      <w:r>
        <w:rPr>
          <w:rFonts w:hint="eastAsia" w:ascii="宋体" w:hAnsi="宋体"/>
          <w:color w:val="auto"/>
          <w:sz w:val="24"/>
          <w:highlight w:val="none"/>
          <w:u w:val="single"/>
        </w:rPr>
        <w:t xml:space="preserve"> 一 </w:t>
      </w:r>
      <w:r>
        <w:rPr>
          <w:rFonts w:hint="eastAsia" w:ascii="宋体" w:hAnsi="宋体"/>
          <w:color w:val="auto"/>
          <w:sz w:val="24"/>
          <w:highlight w:val="none"/>
        </w:rPr>
        <w:t>确定中标人：</w:t>
      </w:r>
    </w:p>
    <w:p>
      <w:pPr>
        <w:spacing w:line="360" w:lineRule="auto"/>
        <w:jc w:val="left"/>
        <w:rPr>
          <w:rFonts w:ascii="宋体" w:hAnsi="宋体"/>
          <w:color w:val="auto"/>
          <w:sz w:val="24"/>
          <w:highlight w:val="none"/>
        </w:rPr>
      </w:pPr>
    </w:p>
    <w:p>
      <w:pPr>
        <w:spacing w:line="360" w:lineRule="auto"/>
        <w:jc w:val="left"/>
        <w:rPr>
          <w:rFonts w:ascii="宋体" w:hAnsi="宋体"/>
          <w:b/>
          <w:color w:val="auto"/>
          <w:sz w:val="24"/>
          <w:highlight w:val="none"/>
        </w:rPr>
      </w:pPr>
      <w:r>
        <w:rPr>
          <w:rFonts w:hint="eastAsia" w:ascii="宋体" w:hAnsi="宋体"/>
          <w:b/>
          <w:color w:val="auto"/>
          <w:sz w:val="24"/>
          <w:highlight w:val="none"/>
        </w:rPr>
        <w:t>方式一（适用于设置资格审查环节的项目）：</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 xml:space="preserve">5.1.1  </w:t>
      </w:r>
      <w:r>
        <w:rPr>
          <w:rFonts w:hint="eastAsia"/>
          <w:color w:val="auto"/>
          <w:sz w:val="24"/>
          <w:highlight w:val="none"/>
        </w:rPr>
        <w:t>招标人在评标委员会或</w:t>
      </w:r>
      <w:r>
        <w:rPr>
          <w:color w:val="auto"/>
          <w:sz w:val="24"/>
          <w:highlight w:val="none"/>
        </w:rPr>
        <w:t>定标委员会</w:t>
      </w:r>
      <w:r>
        <w:rPr>
          <w:rFonts w:hint="eastAsia"/>
          <w:color w:val="auto"/>
          <w:sz w:val="24"/>
          <w:highlight w:val="none"/>
        </w:rPr>
        <w:t>推荐的</w:t>
      </w:r>
      <w:r>
        <w:rPr>
          <w:rFonts w:hint="eastAsia" w:ascii="宋体" w:hAnsi="宋体"/>
          <w:color w:val="auto"/>
          <w:sz w:val="24"/>
          <w:highlight w:val="none"/>
        </w:rPr>
        <w:t>中标候选人中确定中标人。</w:t>
      </w:r>
    </w:p>
    <w:p>
      <w:pPr>
        <w:spacing w:line="360" w:lineRule="auto"/>
        <w:ind w:left="821" w:hanging="820" w:hangingChars="342"/>
        <w:jc w:val="left"/>
        <w:rPr>
          <w:color w:val="auto"/>
          <w:sz w:val="24"/>
          <w:highlight w:val="none"/>
        </w:rPr>
      </w:pPr>
      <w:r>
        <w:rPr>
          <w:rFonts w:hint="eastAsia" w:ascii="宋体" w:hAnsi="宋体"/>
          <w:color w:val="auto"/>
          <w:sz w:val="24"/>
          <w:highlight w:val="none"/>
        </w:rPr>
        <w:t>5.1.2</w:t>
      </w:r>
      <w:r>
        <w:rPr>
          <w:color w:val="auto"/>
          <w:sz w:val="24"/>
          <w:highlight w:val="none"/>
        </w:rPr>
        <w:t xml:space="preserve">  </w:t>
      </w:r>
      <w:r>
        <w:rPr>
          <w:rFonts w:hint="eastAsia"/>
          <w:color w:val="auto"/>
          <w:sz w:val="24"/>
          <w:highlight w:val="none"/>
        </w:rPr>
        <w:t>招标人确定中标人：</w:t>
      </w:r>
    </w:p>
    <w:p>
      <w:pPr>
        <w:spacing w:line="360" w:lineRule="auto"/>
        <w:ind w:left="735" w:leftChars="350"/>
        <w:jc w:val="left"/>
        <w:rPr>
          <w:rFonts w:ascii="宋体" w:hAnsi="宋体"/>
          <w:color w:val="auto"/>
          <w:sz w:val="24"/>
          <w:highlight w:val="none"/>
        </w:rPr>
      </w:pPr>
      <w:r>
        <w:rPr>
          <w:rFonts w:hint="eastAsia" w:ascii="宋体" w:hAnsi="宋体"/>
          <w:color w:val="auto"/>
          <w:sz w:val="24"/>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w:t>
      </w:r>
      <w:r>
        <w:rPr>
          <w:rFonts w:hint="eastAsia"/>
          <w:color w:val="auto"/>
          <w:sz w:val="24"/>
          <w:highlight w:val="none"/>
        </w:rPr>
        <w:t>或</w:t>
      </w:r>
      <w:r>
        <w:rPr>
          <w:color w:val="auto"/>
          <w:sz w:val="24"/>
          <w:highlight w:val="none"/>
        </w:rPr>
        <w:t>定标委员会</w:t>
      </w:r>
      <w:r>
        <w:rPr>
          <w:rFonts w:hint="eastAsia" w:ascii="宋体" w:hAnsi="宋体"/>
          <w:color w:val="auto"/>
          <w:sz w:val="24"/>
          <w:highlight w:val="none"/>
        </w:rPr>
        <w:t>提出的中标候选人名单排序依次确定其他中标候选人为中标人，也可以重新招标。</w:t>
      </w:r>
      <w:r>
        <w:rPr>
          <w:rFonts w:hint="eastAsia"/>
          <w:color w:val="auto"/>
          <w:sz w:val="24"/>
          <w:highlight w:val="none"/>
        </w:rPr>
        <w:t>如定标委员会直接确定中标人的，可省略此步骤。</w:t>
      </w:r>
    </w:p>
    <w:p>
      <w:pPr>
        <w:spacing w:line="360" w:lineRule="auto"/>
        <w:ind w:left="720" w:hanging="720" w:hangingChars="300"/>
        <w:rPr>
          <w:rFonts w:ascii="宋体" w:hAnsi="宋体"/>
          <w:color w:val="auto"/>
          <w:sz w:val="24"/>
          <w:highlight w:val="none"/>
        </w:rPr>
      </w:pPr>
      <w:r>
        <w:rPr>
          <w:rFonts w:hint="eastAsia" w:ascii="宋体" w:hAnsi="宋体"/>
          <w:color w:val="auto"/>
          <w:sz w:val="24"/>
          <w:highlight w:val="none"/>
        </w:rPr>
        <w:t>5.1.3 在产生中标候选人后，招标人将中标候选人的投标文件商务部分（包括报价清单、人员、业绩、奖项等资料）在交易平台和广东省招标投标监管网公开。</w:t>
      </w:r>
    </w:p>
    <w:p>
      <w:pPr>
        <w:spacing w:line="360" w:lineRule="auto"/>
        <w:jc w:val="left"/>
        <w:rPr>
          <w:rFonts w:ascii="宋体" w:hAnsi="宋体"/>
          <w:color w:val="auto"/>
          <w:sz w:val="24"/>
          <w:highlight w:val="none"/>
        </w:rPr>
      </w:pPr>
    </w:p>
    <w:p>
      <w:pPr>
        <w:spacing w:line="360" w:lineRule="auto"/>
        <w:rPr>
          <w:rFonts w:ascii="宋体" w:hAnsi="宋体"/>
          <w:b/>
          <w:strike/>
          <w:color w:val="auto"/>
          <w:sz w:val="24"/>
          <w:highlight w:val="none"/>
        </w:rPr>
      </w:pPr>
      <w:r>
        <w:rPr>
          <w:rFonts w:hint="eastAsia" w:ascii="宋体" w:hAnsi="宋体"/>
          <w:b/>
          <w:strike/>
          <w:color w:val="auto"/>
          <w:sz w:val="24"/>
          <w:highlight w:val="none"/>
        </w:rPr>
        <w:t>方式二（适用于未设资格审查环节的项目）：</w:t>
      </w:r>
    </w:p>
    <w:p>
      <w:pPr>
        <w:spacing w:line="360" w:lineRule="auto"/>
        <w:ind w:left="821" w:hanging="820" w:hangingChars="342"/>
        <w:jc w:val="left"/>
        <w:rPr>
          <w:rFonts w:ascii="宋体" w:hAnsi="宋体"/>
          <w:strike/>
          <w:color w:val="auto"/>
          <w:sz w:val="24"/>
          <w:highlight w:val="none"/>
        </w:rPr>
      </w:pPr>
      <w:r>
        <w:rPr>
          <w:rFonts w:hint="eastAsia" w:ascii="宋体" w:hAnsi="宋体"/>
          <w:strike/>
          <w:color w:val="auto"/>
          <w:sz w:val="24"/>
          <w:highlight w:val="none"/>
        </w:rPr>
        <w:t xml:space="preserve">5.1.1  </w:t>
      </w:r>
      <w:r>
        <w:rPr>
          <w:rFonts w:hint="eastAsia"/>
          <w:strike/>
          <w:color w:val="auto"/>
          <w:sz w:val="24"/>
          <w:highlight w:val="none"/>
        </w:rPr>
        <w:t>招标人依据评标委员会或</w:t>
      </w:r>
      <w:r>
        <w:rPr>
          <w:strike/>
          <w:color w:val="auto"/>
          <w:sz w:val="24"/>
          <w:highlight w:val="none"/>
        </w:rPr>
        <w:t>定标委员会</w:t>
      </w:r>
      <w:r>
        <w:rPr>
          <w:rFonts w:hint="eastAsia"/>
          <w:strike/>
          <w:color w:val="auto"/>
          <w:sz w:val="24"/>
          <w:highlight w:val="none"/>
        </w:rPr>
        <w:t>推荐的</w:t>
      </w:r>
      <w:r>
        <w:rPr>
          <w:rFonts w:hint="eastAsia" w:ascii="宋体" w:hAnsi="宋体"/>
          <w:strike/>
          <w:color w:val="auto"/>
          <w:sz w:val="24"/>
          <w:highlight w:val="none"/>
        </w:rPr>
        <w:t>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pPr>
        <w:spacing w:line="360" w:lineRule="auto"/>
        <w:ind w:left="821" w:hanging="820" w:hangingChars="342"/>
        <w:jc w:val="left"/>
        <w:rPr>
          <w:rFonts w:ascii="宋体" w:hAnsi="宋体"/>
          <w:strike/>
          <w:color w:val="auto"/>
          <w:sz w:val="24"/>
          <w:highlight w:val="none"/>
        </w:rPr>
      </w:pPr>
      <w:r>
        <w:rPr>
          <w:rFonts w:hint="eastAsia" w:ascii="宋体" w:hAnsi="宋体"/>
          <w:strike/>
          <w:color w:val="auto"/>
          <w:sz w:val="24"/>
          <w:highlight w:val="none"/>
        </w:rPr>
        <w:t>5.1.2</w:t>
      </w:r>
      <w:r>
        <w:rPr>
          <w:strike/>
          <w:color w:val="auto"/>
          <w:sz w:val="24"/>
          <w:highlight w:val="none"/>
        </w:rPr>
        <w:t xml:space="preserve">  </w:t>
      </w:r>
      <w:r>
        <w:rPr>
          <w:rFonts w:hint="eastAsia" w:ascii="宋体" w:hAnsi="宋体"/>
          <w:strike/>
          <w:color w:val="auto"/>
          <w:sz w:val="24"/>
          <w:highlight w:val="none"/>
        </w:rPr>
        <w:t>排名第一的中标候选人放弃中标、因不可抗力不能履行合同、不按照招标文件要求提交履约保证金，或者被查实存在影响中标结果的违法行为等情形，不符合中标条件的，招标人可以按照评标委员会</w:t>
      </w:r>
      <w:r>
        <w:rPr>
          <w:rFonts w:hint="eastAsia"/>
          <w:strike/>
          <w:color w:val="auto"/>
          <w:sz w:val="24"/>
          <w:highlight w:val="none"/>
        </w:rPr>
        <w:t>或</w:t>
      </w:r>
      <w:r>
        <w:rPr>
          <w:strike/>
          <w:color w:val="auto"/>
          <w:sz w:val="24"/>
          <w:highlight w:val="none"/>
        </w:rPr>
        <w:t>定标委员会</w:t>
      </w:r>
      <w:r>
        <w:rPr>
          <w:rFonts w:hint="eastAsia" w:ascii="宋体" w:hAnsi="宋体"/>
          <w:strike/>
          <w:color w:val="auto"/>
          <w:sz w:val="24"/>
          <w:highlight w:val="none"/>
        </w:rPr>
        <w:t>提出的中标候选人名单排序依次确定其他通过资格复核的中标候选人为中标人，也可以重新招标。</w:t>
      </w:r>
    </w:p>
    <w:p>
      <w:pPr>
        <w:spacing w:line="360" w:lineRule="auto"/>
        <w:ind w:left="821" w:hanging="820" w:hangingChars="342"/>
        <w:jc w:val="left"/>
        <w:rPr>
          <w:rFonts w:ascii="宋体" w:hAnsi="宋体"/>
          <w:strike/>
          <w:color w:val="auto"/>
          <w:sz w:val="24"/>
          <w:highlight w:val="none"/>
        </w:rPr>
      </w:pPr>
      <w:r>
        <w:rPr>
          <w:rFonts w:hint="eastAsia" w:ascii="宋体" w:hAnsi="宋体"/>
          <w:strike/>
          <w:color w:val="auto"/>
          <w:sz w:val="24"/>
          <w:highlight w:val="none"/>
        </w:rPr>
        <w:t>5.1.</w:t>
      </w:r>
      <w:r>
        <w:rPr>
          <w:rFonts w:ascii="宋体" w:hAnsi="宋体"/>
          <w:strike/>
          <w:color w:val="auto"/>
          <w:sz w:val="24"/>
          <w:highlight w:val="none"/>
        </w:rPr>
        <w:t>3  定标委员会直接确定中标人，</w:t>
      </w:r>
      <w:r>
        <w:rPr>
          <w:rFonts w:hint="eastAsia" w:ascii="宋体" w:hAnsi="宋体"/>
          <w:strike/>
          <w:color w:val="auto"/>
          <w:sz w:val="24"/>
          <w:highlight w:val="none"/>
        </w:rPr>
        <w:t>中标人</w:t>
      </w:r>
      <w:r>
        <w:rPr>
          <w:rFonts w:ascii="宋体" w:hAnsi="宋体"/>
          <w:strike/>
          <w:color w:val="auto"/>
          <w:sz w:val="24"/>
          <w:highlight w:val="none"/>
        </w:rPr>
        <w:t>未能通过资格复核的，招标失败</w:t>
      </w:r>
      <w:r>
        <w:rPr>
          <w:rFonts w:hint="eastAsia" w:ascii="宋体" w:hAnsi="宋体"/>
          <w:strike/>
          <w:color w:val="auto"/>
          <w:sz w:val="24"/>
          <w:highlight w:val="none"/>
        </w:rPr>
        <w:t>。</w:t>
      </w:r>
      <w:r>
        <w:rPr>
          <w:rFonts w:ascii="宋体" w:hAnsi="宋体"/>
          <w:strike/>
          <w:color w:val="auto"/>
          <w:sz w:val="24"/>
          <w:highlight w:val="none"/>
        </w:rPr>
        <w:t>招标人</w:t>
      </w:r>
      <w:r>
        <w:rPr>
          <w:rFonts w:hint="eastAsia" w:ascii="宋体" w:hAnsi="宋体"/>
          <w:strike/>
          <w:color w:val="auto"/>
          <w:sz w:val="24"/>
          <w:highlight w:val="none"/>
        </w:rPr>
        <w:t>应</w:t>
      </w:r>
      <w:r>
        <w:rPr>
          <w:rFonts w:ascii="宋体" w:hAnsi="宋体"/>
          <w:strike/>
          <w:color w:val="auto"/>
          <w:sz w:val="24"/>
          <w:highlight w:val="none"/>
        </w:rPr>
        <w:t>重新组织招标。</w:t>
      </w:r>
    </w:p>
    <w:p>
      <w:pPr>
        <w:spacing w:line="360" w:lineRule="auto"/>
        <w:ind w:left="840" w:hanging="840" w:hangingChars="350"/>
        <w:rPr>
          <w:rFonts w:ascii="宋体" w:hAnsi="宋体"/>
          <w:strike/>
          <w:color w:val="auto"/>
          <w:sz w:val="24"/>
          <w:highlight w:val="none"/>
        </w:rPr>
      </w:pPr>
      <w:r>
        <w:rPr>
          <w:rFonts w:hint="eastAsia" w:ascii="宋体" w:hAnsi="宋体"/>
          <w:strike/>
          <w:color w:val="auto"/>
          <w:sz w:val="24"/>
          <w:highlight w:val="none"/>
        </w:rPr>
        <w:t>5.1.</w:t>
      </w:r>
      <w:r>
        <w:rPr>
          <w:rFonts w:ascii="宋体" w:hAnsi="宋体"/>
          <w:strike/>
          <w:color w:val="auto"/>
          <w:sz w:val="24"/>
          <w:highlight w:val="none"/>
        </w:rPr>
        <w:t>4</w:t>
      </w:r>
      <w:r>
        <w:rPr>
          <w:rFonts w:hint="eastAsia" w:ascii="宋体" w:hAnsi="宋体"/>
          <w:strike/>
          <w:color w:val="auto"/>
          <w:sz w:val="24"/>
          <w:highlight w:val="none"/>
        </w:rPr>
        <w:t xml:space="preserve"> </w:t>
      </w:r>
      <w:r>
        <w:rPr>
          <w:rFonts w:ascii="宋体" w:hAnsi="宋体"/>
          <w:strike/>
          <w:color w:val="auto"/>
          <w:sz w:val="24"/>
          <w:highlight w:val="none"/>
        </w:rPr>
        <w:t xml:space="preserve"> </w:t>
      </w:r>
      <w:r>
        <w:rPr>
          <w:rFonts w:hint="eastAsia" w:ascii="宋体" w:hAnsi="宋体"/>
          <w:strike/>
          <w:color w:val="auto"/>
          <w:sz w:val="24"/>
          <w:highlight w:val="none"/>
        </w:rPr>
        <w:t>在产生中标候选人后，招标人将中标候选人的投标文件商务部分（包括报价清单、人员、业绩、奖项等资料）在交易平台和广东省招标投标监管网公开。</w:t>
      </w:r>
    </w:p>
    <w:p>
      <w:pPr>
        <w:spacing w:line="360" w:lineRule="auto"/>
        <w:ind w:left="840" w:hanging="840" w:hangingChars="350"/>
        <w:rPr>
          <w:rFonts w:ascii="宋体" w:hAnsi="宋体"/>
          <w:color w:val="auto"/>
          <w:sz w:val="24"/>
          <w:highlight w:val="none"/>
        </w:rPr>
      </w:pPr>
    </w:p>
    <w:p>
      <w:pPr>
        <w:spacing w:line="360" w:lineRule="auto"/>
        <w:jc w:val="left"/>
        <w:rPr>
          <w:rFonts w:ascii="宋体" w:hAnsi="宋体"/>
          <w:b/>
          <w:color w:val="auto"/>
          <w:sz w:val="24"/>
          <w:highlight w:val="none"/>
        </w:rPr>
      </w:pPr>
      <w:r>
        <w:rPr>
          <w:rFonts w:hint="eastAsia" w:ascii="宋体" w:hAnsi="宋体"/>
          <w:b/>
          <w:color w:val="auto"/>
          <w:sz w:val="24"/>
          <w:highlight w:val="none"/>
        </w:rPr>
        <w:t>5.2    中标资格审核及中标通知</w:t>
      </w:r>
    </w:p>
    <w:p>
      <w:pPr>
        <w:spacing w:line="360" w:lineRule="auto"/>
        <w:rPr>
          <w:rFonts w:ascii="宋体" w:hAnsi="宋体"/>
          <w:color w:val="auto"/>
          <w:sz w:val="24"/>
          <w:highlight w:val="none"/>
        </w:rPr>
      </w:pP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 xml:space="preserve">5.2.1  </w:t>
      </w:r>
      <w:r>
        <w:rPr>
          <w:rFonts w:hint="eastAsia"/>
          <w:color w:val="auto"/>
          <w:sz w:val="24"/>
          <w:highlight w:val="none"/>
        </w:rPr>
        <w:t>招标人发出中标通知书前，与中标人落实以下事项：</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a</w:t>
      </w:r>
      <w:r>
        <w:rPr>
          <w:rFonts w:hint="eastAsia" w:ascii="宋体" w:hAnsi="宋体"/>
          <w:color w:val="auto"/>
          <w:sz w:val="24"/>
          <w:highlight w:val="none"/>
        </w:rPr>
        <w:t>) 投标文件是否有明显抄袭行为；</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b</w:t>
      </w:r>
      <w:r>
        <w:rPr>
          <w:rFonts w:hint="eastAsia" w:ascii="宋体" w:hAnsi="宋体"/>
          <w:color w:val="auto"/>
          <w:sz w:val="24"/>
          <w:highlight w:val="none"/>
        </w:rPr>
        <w:t>) 投标文件是否有侵犯他人著作权和特许权；</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c</w:t>
      </w:r>
      <w:r>
        <w:rPr>
          <w:rFonts w:hint="eastAsia" w:ascii="宋体" w:hAnsi="宋体"/>
          <w:color w:val="auto"/>
          <w:sz w:val="24"/>
          <w:highlight w:val="none"/>
        </w:rPr>
        <w:t>) 投标文件是否有参加过其他竞赛，或在其他竞赛中获奖的作品。</w:t>
      </w:r>
    </w:p>
    <w:p>
      <w:pPr>
        <w:spacing w:line="360" w:lineRule="auto"/>
        <w:ind w:left="849" w:leftChars="404" w:hanging="1"/>
        <w:rPr>
          <w:rFonts w:ascii="宋体" w:hAnsi="宋体"/>
          <w:color w:val="auto"/>
          <w:sz w:val="24"/>
          <w:highlight w:val="none"/>
        </w:rPr>
      </w:pPr>
      <w:r>
        <w:rPr>
          <w:rFonts w:hint="eastAsia" w:ascii="宋体" w:hAnsi="宋体"/>
          <w:color w:val="auto"/>
          <w:sz w:val="24"/>
          <w:highlight w:val="none"/>
        </w:rPr>
        <w:t>中标人</w:t>
      </w:r>
      <w:r>
        <w:rPr>
          <w:rFonts w:ascii="宋体" w:hAnsi="宋体"/>
          <w:color w:val="auto"/>
          <w:sz w:val="24"/>
          <w:highlight w:val="none"/>
        </w:rPr>
        <w:t>出现以上情形的，</w:t>
      </w:r>
      <w:r>
        <w:rPr>
          <w:rFonts w:hint="eastAsia" w:ascii="宋体" w:hAnsi="宋体"/>
          <w:color w:val="auto"/>
          <w:sz w:val="24"/>
          <w:highlight w:val="none"/>
        </w:rPr>
        <w:t>中标无效。招标人按照《中华人民共和国招标投标法实施条例》第五十五条的规定依次确定中标人或重新招标。</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5.2.</w:t>
      </w:r>
      <w:r>
        <w:rPr>
          <w:rFonts w:ascii="宋体" w:hAnsi="宋体"/>
          <w:color w:val="auto"/>
          <w:sz w:val="24"/>
          <w:highlight w:val="none"/>
        </w:rPr>
        <w:t>2</w:t>
      </w:r>
      <w:r>
        <w:rPr>
          <w:rFonts w:hint="eastAsia" w:ascii="宋体" w:hAnsi="宋体"/>
          <w:color w:val="auto"/>
          <w:sz w:val="24"/>
          <w:highlight w:val="none"/>
        </w:rPr>
        <w:t xml:space="preserve">  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w:t>
      </w:r>
      <w:r>
        <w:rPr>
          <w:rFonts w:hint="eastAsia" w:hAnsi="宋体"/>
          <w:color w:val="auto"/>
          <w:sz w:val="24"/>
          <w:highlight w:val="none"/>
        </w:rPr>
        <w:t>分包单位必须经招标人认可</w:t>
      </w:r>
      <w:r>
        <w:rPr>
          <w:rFonts w:hint="eastAsia" w:ascii="宋体" w:hAnsi="宋体"/>
          <w:color w:val="auto"/>
          <w:sz w:val="24"/>
          <w:highlight w:val="none"/>
        </w:rPr>
        <w:t>。</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5.2.</w:t>
      </w:r>
      <w:r>
        <w:rPr>
          <w:rFonts w:ascii="宋体" w:hAnsi="宋体"/>
          <w:color w:val="auto"/>
          <w:sz w:val="24"/>
          <w:highlight w:val="none"/>
        </w:rPr>
        <w:t>3</w:t>
      </w:r>
      <w:r>
        <w:rPr>
          <w:rFonts w:hint="eastAsia" w:ascii="宋体" w:hAnsi="宋体"/>
          <w:color w:val="auto"/>
          <w:sz w:val="24"/>
          <w:highlight w:val="none"/>
        </w:rPr>
        <w:t xml:space="preserve">  如果中标候选人的报价不符合招标文件规定，招标人有权作出修正，招标人的修正备忘录在得到中标候选人的同意后向其颁发中标通知书。</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5.2.</w:t>
      </w:r>
      <w:r>
        <w:rPr>
          <w:rFonts w:ascii="宋体" w:hAnsi="宋体"/>
          <w:color w:val="auto"/>
          <w:sz w:val="24"/>
          <w:highlight w:val="none"/>
        </w:rPr>
        <w:t>4</w:t>
      </w:r>
      <w:r>
        <w:rPr>
          <w:rFonts w:hint="eastAsia" w:ascii="宋体" w:hAnsi="宋体"/>
          <w:color w:val="auto"/>
          <w:sz w:val="24"/>
          <w:highlight w:val="none"/>
        </w:rPr>
        <w:t xml:space="preserve">  </w:t>
      </w:r>
      <w:r>
        <w:rPr>
          <w:rFonts w:hint="eastAsia" w:hAnsi="宋体"/>
          <w:color w:val="auto"/>
          <w:sz w:val="24"/>
          <w:highlight w:val="none"/>
        </w:rPr>
        <w:t>中标人确定后，招标人</w:t>
      </w:r>
      <w:r>
        <w:rPr>
          <w:rFonts w:hint="eastAsia" w:ascii="宋体" w:hAnsi="宋体"/>
          <w:color w:val="auto"/>
          <w:sz w:val="24"/>
          <w:highlight w:val="none"/>
        </w:rPr>
        <w:t>（</w:t>
      </w:r>
      <w:r>
        <w:rPr>
          <w:rFonts w:hint="eastAsia" w:hAnsi="宋体"/>
          <w:color w:val="auto"/>
          <w:sz w:val="24"/>
          <w:highlight w:val="none"/>
        </w:rPr>
        <w:t>招标代理机构）通过交易平台和广东省招标投标监管网公示中标结果。</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5.2.</w:t>
      </w:r>
      <w:r>
        <w:rPr>
          <w:rFonts w:ascii="宋体" w:hAnsi="宋体"/>
          <w:color w:val="auto"/>
          <w:sz w:val="24"/>
          <w:highlight w:val="none"/>
        </w:rPr>
        <w:t>5</w:t>
      </w:r>
      <w:r>
        <w:rPr>
          <w:rFonts w:hint="eastAsia" w:ascii="宋体" w:hAnsi="宋体"/>
          <w:color w:val="auto"/>
          <w:sz w:val="24"/>
          <w:highlight w:val="none"/>
        </w:rPr>
        <w:t xml:space="preserve">  </w:t>
      </w:r>
      <w:r>
        <w:rPr>
          <w:rFonts w:hint="eastAsia" w:hAnsi="宋体"/>
          <w:color w:val="auto"/>
          <w:sz w:val="24"/>
          <w:highlight w:val="none"/>
        </w:rPr>
        <w:t>招标人自确定中标人之日起十五日内向招标管理机构提交招标投标情况的书面报告。</w:t>
      </w:r>
    </w:p>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5.3    其他</w:t>
      </w:r>
    </w:p>
    <w:p>
      <w:pPr>
        <w:spacing w:line="360" w:lineRule="auto"/>
        <w:rPr>
          <w:rFonts w:ascii="宋体" w:hAnsi="宋体"/>
          <w:color w:val="auto"/>
          <w:sz w:val="24"/>
          <w:highlight w:val="none"/>
        </w:rPr>
      </w:pP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1</w:t>
      </w:r>
      <w:r>
        <w:rPr>
          <w:rFonts w:hint="eastAsia" w:ascii="宋体" w:hAnsi="宋体"/>
          <w:color w:val="auto"/>
          <w:sz w:val="24"/>
          <w:highlight w:val="none"/>
        </w:rPr>
        <w:t xml:space="preserve">  凡是以他人名义投标，或者投标人</w:t>
      </w:r>
      <w:r>
        <w:rPr>
          <w:rFonts w:hint="eastAsia"/>
          <w:color w:val="auto"/>
          <w:sz w:val="24"/>
          <w:highlight w:val="none"/>
        </w:rPr>
        <w:t>允许其他单位或者个人以投标人的名义投标承揽业务的，均属违法行为，招标人对这些单位或个人的损失概不负责，对这些单位或个人的投诉概不受理。</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2</w:t>
      </w:r>
      <w:r>
        <w:rPr>
          <w:rFonts w:hint="eastAsia" w:ascii="宋体" w:hAnsi="宋体"/>
          <w:color w:val="auto"/>
          <w:sz w:val="24"/>
          <w:highlight w:val="none"/>
        </w:rPr>
        <w:t xml:space="preserve">  本次招标由交易服务机构对各投标人提交的成果和评标过程、评标结果予以见证，若有纠纷，将按现行法律、法规通过友好协商或诉讼程序解决。</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3</w:t>
      </w:r>
      <w:r>
        <w:rPr>
          <w:rFonts w:hint="eastAsia" w:ascii="宋体" w:hAnsi="宋体"/>
          <w:color w:val="auto"/>
          <w:sz w:val="24"/>
          <w:highlight w:val="none"/>
        </w:rPr>
        <w:t xml:space="preserve">  腐败与欺诈行为</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在招标和合同实施期间，招标人要求投标人和承包人遵守最高的道德标准。</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3</w:t>
      </w:r>
      <w:r>
        <w:rPr>
          <w:rFonts w:hint="eastAsia" w:ascii="宋体" w:hAnsi="宋体"/>
          <w:color w:val="auto"/>
          <w:sz w:val="24"/>
          <w:highlight w:val="none"/>
        </w:rPr>
        <w:t>.1对本条款的规定，特定义如下词汇：</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1）、“腐败行为”是指在招标或合同执行期间，通过提供、给予、接受或索要任何有价值的东西，从而影响招标人有关人员工作的行为；</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3</w:t>
      </w:r>
      <w:r>
        <w:rPr>
          <w:rFonts w:hint="eastAsia" w:ascii="宋体" w:hAnsi="宋体"/>
          <w:color w:val="auto"/>
          <w:sz w:val="24"/>
          <w:highlight w:val="none"/>
        </w:rPr>
        <w:t>.2如果投标人被认定在本招标的竞争中有腐败或欺诈行为，则会被取消投标资格。</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3</w:t>
      </w:r>
      <w:r>
        <w:rPr>
          <w:rFonts w:hint="eastAsia" w:ascii="宋体" w:hAnsi="宋体"/>
          <w:color w:val="auto"/>
          <w:sz w:val="24"/>
          <w:highlight w:val="none"/>
        </w:rPr>
        <w:t>.3投标人如在本项目中存在串通投标、弄虚作假、行贿情形的，中标无效，行政监督部门将对其违法行为进行政处罚并通报。该投标人将被招标人列入黑名单并限制其参与招标人后续项目的投标。</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5.3.4  投标人如在本项目中存在串通投标、弄虚作假、行贿情形且在评标、</w:t>
      </w:r>
      <w:r>
        <w:rPr>
          <w:rFonts w:ascii="宋体" w:hAnsi="宋体"/>
          <w:color w:val="auto"/>
          <w:sz w:val="24"/>
          <w:highlight w:val="none"/>
        </w:rPr>
        <w:t>定标</w:t>
      </w:r>
      <w:r>
        <w:rPr>
          <w:rFonts w:hint="eastAsia" w:ascii="宋体" w:hAnsi="宋体"/>
          <w:color w:val="auto"/>
          <w:sz w:val="24"/>
          <w:highlight w:val="none"/>
        </w:rPr>
        <w:t>过程中未被发现的，该投标不改变本项目评标、</w:t>
      </w:r>
      <w:r>
        <w:rPr>
          <w:rFonts w:ascii="宋体" w:hAnsi="宋体"/>
          <w:color w:val="auto"/>
          <w:sz w:val="24"/>
          <w:highlight w:val="none"/>
        </w:rPr>
        <w:t>定标</w:t>
      </w:r>
      <w:r>
        <w:rPr>
          <w:rFonts w:hint="eastAsia" w:ascii="宋体" w:hAnsi="宋体"/>
          <w:color w:val="auto"/>
          <w:sz w:val="24"/>
          <w:highlight w:val="none"/>
        </w:rPr>
        <w:t>结果排序，其中标无效。招标人按照《中华人民共和国招标投标法实施条例》第五十五条的规定依次确定中标人或重新招标。</w:t>
      </w:r>
    </w:p>
    <w:p>
      <w:pPr>
        <w:spacing w:line="360" w:lineRule="auto"/>
        <w:ind w:left="821" w:hanging="820" w:hangingChars="342"/>
        <w:rPr>
          <w:rFonts w:hint="eastAsia" w:ascii="宋体" w:hAnsi="宋体"/>
          <w:color w:val="auto"/>
          <w:sz w:val="24"/>
          <w:highlight w:val="none"/>
          <w:u w:val="single"/>
        </w:rPr>
      </w:pPr>
      <w:r>
        <w:rPr>
          <w:rFonts w:hint="eastAsia" w:ascii="宋体" w:hAnsi="宋体"/>
          <w:color w:val="auto"/>
          <w:sz w:val="24"/>
          <w:highlight w:val="none"/>
          <w:u w:val="single"/>
        </w:rPr>
        <w:t>5.3.5中标人确定后，由中标单位交纳公共资源交易服务费。</w:t>
      </w:r>
    </w:p>
    <w:p>
      <w:pPr>
        <w:spacing w:line="360" w:lineRule="auto"/>
        <w:ind w:left="821" w:hanging="820" w:hangingChars="342"/>
        <w:rPr>
          <w:rFonts w:hint="eastAsia" w:ascii="宋体" w:hAnsi="宋体"/>
          <w:color w:val="auto"/>
          <w:sz w:val="24"/>
          <w:highlight w:val="none"/>
          <w:u w:val="single"/>
        </w:rPr>
      </w:pP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6</w:t>
      </w:r>
      <w:r>
        <w:rPr>
          <w:rFonts w:hint="eastAsia" w:ascii="宋体" w:hAnsi="宋体"/>
          <w:color w:val="auto"/>
          <w:sz w:val="24"/>
          <w:highlight w:val="none"/>
          <w:u w:val="single"/>
        </w:rPr>
        <w:t>在签订合同前，中标人应</w:t>
      </w:r>
      <w:r>
        <w:rPr>
          <w:rFonts w:hint="eastAsia" w:ascii="宋体" w:hAnsi="宋体"/>
          <w:color w:val="auto"/>
          <w:sz w:val="24"/>
          <w:highlight w:val="none"/>
          <w:u w:val="single"/>
          <w:lang w:val="en-US" w:eastAsia="zh-CN"/>
        </w:rPr>
        <w:t>按</w:t>
      </w:r>
      <w:r>
        <w:rPr>
          <w:rFonts w:hint="eastAsia" w:ascii="宋体" w:hAnsi="宋体"/>
          <w:color w:val="auto"/>
          <w:sz w:val="24"/>
          <w:highlight w:val="none"/>
          <w:u w:val="single"/>
        </w:rPr>
        <w:t>招标文件第</w:t>
      </w:r>
      <w:r>
        <w:rPr>
          <w:rFonts w:hint="eastAsia" w:ascii="宋体" w:hAnsi="宋体"/>
          <w:color w:val="auto"/>
          <w:sz w:val="24"/>
          <w:highlight w:val="none"/>
          <w:u w:val="single"/>
          <w:lang w:val="en-US" w:eastAsia="zh-CN"/>
        </w:rPr>
        <w:t>八</w:t>
      </w:r>
      <w:r>
        <w:rPr>
          <w:rFonts w:hint="eastAsia" w:ascii="宋体" w:hAnsi="宋体"/>
          <w:color w:val="auto"/>
          <w:sz w:val="24"/>
          <w:highlight w:val="none"/>
          <w:u w:val="single"/>
        </w:rPr>
        <w:t>章“合同条款及格式”规定的或者事先经过招标人书面认可的履约保证金格式向招标人提交履约保证金，履约保证金为中标合同金额的10%。联合体中标的，其履约保证金以联合体各方或者联合体中牵头人的名义提交。</w:t>
      </w:r>
    </w:p>
    <w:p>
      <w:pPr>
        <w:spacing w:line="360" w:lineRule="auto"/>
        <w:ind w:left="821" w:hanging="820" w:hangingChars="342"/>
        <w:rPr>
          <w:rFonts w:hint="eastAsia" w:ascii="宋体" w:hAnsi="宋体"/>
          <w:color w:val="auto"/>
          <w:sz w:val="24"/>
          <w:highlight w:val="none"/>
          <w:u w:val="single"/>
        </w:rPr>
      </w:pP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 xml:space="preserve">7 </w:t>
      </w:r>
      <w:r>
        <w:rPr>
          <w:rFonts w:hint="eastAsia" w:ascii="宋体" w:hAnsi="宋体"/>
          <w:color w:val="auto"/>
          <w:sz w:val="24"/>
          <w:highlight w:val="none"/>
          <w:u w:val="single"/>
        </w:rPr>
        <w:t>中标人不能按要求提交履约保证金的，视为放弃中标，其投标保证金不予退还，给招标人造成的损失超过投标保证金数额的，中标人还应当对超过部分予以赔偿。</w:t>
      </w:r>
    </w:p>
    <w:p>
      <w:pPr>
        <w:pStyle w:val="4"/>
        <w:spacing w:line="360" w:lineRule="auto"/>
        <w:jc w:val="center"/>
        <w:rPr>
          <w:color w:val="auto"/>
          <w:sz w:val="36"/>
          <w:szCs w:val="36"/>
          <w:highlight w:val="none"/>
          <w:lang w:val="en-US"/>
        </w:rPr>
      </w:pPr>
      <w:r>
        <w:rPr>
          <w:color w:val="auto"/>
          <w:sz w:val="24"/>
          <w:szCs w:val="24"/>
          <w:highlight w:val="none"/>
          <w:lang w:val="en-US"/>
        </w:rPr>
        <w:br w:type="page"/>
      </w:r>
      <w:bookmarkStart w:id="9" w:name="_Toc25202"/>
      <w:bookmarkStart w:id="10" w:name="_Toc32827933"/>
      <w:r>
        <w:rPr>
          <w:rFonts w:hint="eastAsia"/>
          <w:color w:val="auto"/>
          <w:sz w:val="36"/>
          <w:szCs w:val="36"/>
          <w:highlight w:val="none"/>
        </w:rPr>
        <w:t>第六章</w:t>
      </w:r>
      <w:r>
        <w:rPr>
          <w:rFonts w:hint="eastAsia"/>
          <w:color w:val="auto"/>
          <w:sz w:val="36"/>
          <w:szCs w:val="36"/>
          <w:highlight w:val="none"/>
          <w:lang w:val="en-US"/>
        </w:rPr>
        <w:t xml:space="preserve">  </w:t>
      </w:r>
      <w:r>
        <w:rPr>
          <w:rFonts w:hint="eastAsia"/>
          <w:color w:val="auto"/>
          <w:sz w:val="36"/>
          <w:szCs w:val="36"/>
          <w:highlight w:val="none"/>
        </w:rPr>
        <w:t>授予合同</w:t>
      </w:r>
      <w:bookmarkEnd w:id="9"/>
      <w:bookmarkEnd w:id="10"/>
    </w:p>
    <w:p>
      <w:pPr>
        <w:spacing w:line="360" w:lineRule="auto"/>
        <w:rPr>
          <w:rFonts w:ascii="宋体" w:hAnsi="宋体"/>
          <w:b/>
          <w:bCs/>
          <w:color w:val="auto"/>
          <w:sz w:val="24"/>
          <w:highlight w:val="none"/>
        </w:rPr>
      </w:pPr>
      <w:r>
        <w:rPr>
          <w:rFonts w:hint="eastAsia" w:ascii="宋体" w:hAnsi="宋体"/>
          <w:b/>
          <w:bCs/>
          <w:color w:val="auto"/>
          <w:sz w:val="24"/>
          <w:highlight w:val="none"/>
        </w:rPr>
        <w:t>6.1    授予合同</w:t>
      </w:r>
    </w:p>
    <w:p>
      <w:pPr>
        <w:spacing w:line="360" w:lineRule="auto"/>
        <w:rPr>
          <w:rFonts w:ascii="宋体" w:hAnsi="宋体"/>
          <w:color w:val="auto"/>
          <w:sz w:val="24"/>
          <w:highlight w:val="none"/>
        </w:rPr>
      </w:pPr>
    </w:p>
    <w:p>
      <w:pPr>
        <w:pStyle w:val="10"/>
        <w:spacing w:line="360" w:lineRule="auto"/>
        <w:ind w:left="821" w:hanging="820" w:hangingChars="342"/>
        <w:jc w:val="left"/>
        <w:rPr>
          <w:rFonts w:hAnsi="宋体"/>
          <w:color w:val="auto"/>
          <w:sz w:val="24"/>
          <w:szCs w:val="24"/>
          <w:highlight w:val="none"/>
        </w:rPr>
      </w:pPr>
      <w:r>
        <w:rPr>
          <w:rFonts w:hint="eastAsia" w:hAnsi="宋体"/>
          <w:color w:val="auto"/>
          <w:sz w:val="24"/>
          <w:szCs w:val="24"/>
          <w:highlight w:val="none"/>
        </w:rPr>
        <w:t>6.1.1  招标人一般将合同授予中标人，合同必须在投标有效期或投标人接受的延长期内授出。</w:t>
      </w:r>
    </w:p>
    <w:p>
      <w:pPr>
        <w:pStyle w:val="10"/>
        <w:spacing w:line="360" w:lineRule="auto"/>
        <w:ind w:left="821" w:hanging="820" w:hangingChars="342"/>
        <w:jc w:val="left"/>
        <w:rPr>
          <w:rFonts w:hAnsi="宋体"/>
          <w:color w:val="auto"/>
          <w:sz w:val="24"/>
          <w:szCs w:val="24"/>
          <w:highlight w:val="none"/>
        </w:rPr>
      </w:pPr>
      <w:r>
        <w:rPr>
          <w:rFonts w:hint="eastAsia" w:hAnsi="宋体"/>
          <w:color w:val="auto"/>
          <w:sz w:val="24"/>
          <w:szCs w:val="24"/>
          <w:highlight w:val="none"/>
        </w:rPr>
        <w:t>6.1.2  中标通知书是合同的组成部分，</w:t>
      </w:r>
      <w:r>
        <w:rPr>
          <w:rFonts w:hint="eastAsia" w:hAnsi="宋体"/>
          <w:color w:val="auto"/>
          <w:kern w:val="0"/>
          <w:sz w:val="24"/>
          <w:szCs w:val="24"/>
          <w:highlight w:val="none"/>
        </w:rPr>
        <w:t>任何单位和个人</w:t>
      </w:r>
      <w:r>
        <w:rPr>
          <w:rFonts w:hAnsi="宋体"/>
          <w:color w:val="auto"/>
          <w:kern w:val="0"/>
          <w:sz w:val="24"/>
          <w:szCs w:val="24"/>
          <w:highlight w:val="none"/>
        </w:rPr>
        <w:t>不得采取有碍合同生效或履行的行动。</w:t>
      </w:r>
    </w:p>
    <w:p>
      <w:pPr>
        <w:pStyle w:val="10"/>
        <w:spacing w:line="360" w:lineRule="auto"/>
        <w:ind w:left="821" w:hanging="820" w:hangingChars="342"/>
        <w:jc w:val="left"/>
        <w:rPr>
          <w:rFonts w:hAnsi="宋体"/>
          <w:color w:val="auto"/>
          <w:sz w:val="24"/>
          <w:szCs w:val="24"/>
          <w:highlight w:val="none"/>
        </w:rPr>
      </w:pPr>
      <w:r>
        <w:rPr>
          <w:rFonts w:hint="eastAsia" w:hAnsi="宋体"/>
          <w:color w:val="auto"/>
          <w:sz w:val="24"/>
          <w:szCs w:val="24"/>
          <w:highlight w:val="none"/>
        </w:rPr>
        <w:t>6.1.3  联合体中标的，由所有联合体成员法定代表人签署授权委托书，指定牵头人或代表，授权其代表所有联合体成员与招标人签订合同，负责整个合同实施阶段的协调工作。招标人认为必要时，联合体各方应当共同与招标人签订合同，为实施合同共同和分别承担责任。</w:t>
      </w:r>
    </w:p>
    <w:p>
      <w:pPr>
        <w:pStyle w:val="10"/>
        <w:spacing w:line="360" w:lineRule="auto"/>
        <w:ind w:left="821" w:hanging="820" w:hangingChars="342"/>
        <w:jc w:val="left"/>
        <w:rPr>
          <w:rFonts w:hAnsi="宋体"/>
          <w:color w:val="auto"/>
          <w:sz w:val="24"/>
          <w:szCs w:val="24"/>
          <w:highlight w:val="none"/>
        </w:rPr>
      </w:pPr>
      <w:r>
        <w:rPr>
          <w:rFonts w:hint="eastAsia" w:hAnsi="宋体"/>
          <w:color w:val="auto"/>
          <w:sz w:val="24"/>
          <w:szCs w:val="24"/>
          <w:highlight w:val="none"/>
        </w:rPr>
        <w:t>6.1.4  中标人必须签署并执行招标文件规定的合同条件，</w:t>
      </w:r>
      <w:r>
        <w:rPr>
          <w:rFonts w:hAnsi="宋体"/>
          <w:color w:val="auto"/>
          <w:kern w:val="0"/>
          <w:sz w:val="24"/>
          <w:szCs w:val="24"/>
          <w:highlight w:val="none"/>
        </w:rPr>
        <w:t>如</w:t>
      </w:r>
      <w:r>
        <w:rPr>
          <w:rFonts w:hint="eastAsia" w:hAnsi="宋体"/>
          <w:color w:val="auto"/>
          <w:kern w:val="0"/>
          <w:sz w:val="24"/>
          <w:szCs w:val="24"/>
          <w:highlight w:val="none"/>
        </w:rPr>
        <w:t>中标人</w:t>
      </w:r>
      <w:r>
        <w:rPr>
          <w:rFonts w:hAnsi="宋体"/>
          <w:color w:val="auto"/>
          <w:kern w:val="0"/>
          <w:sz w:val="24"/>
          <w:szCs w:val="24"/>
          <w:highlight w:val="none"/>
        </w:rPr>
        <w:t>所提供的投标条件</w:t>
      </w:r>
      <w:r>
        <w:rPr>
          <w:rFonts w:hint="eastAsia" w:hAnsi="宋体"/>
          <w:color w:val="auto"/>
          <w:kern w:val="0"/>
          <w:sz w:val="24"/>
          <w:szCs w:val="24"/>
          <w:highlight w:val="none"/>
        </w:rPr>
        <w:t>（报价、工期、估算工程造价）比其他投标</w:t>
      </w:r>
      <w:r>
        <w:rPr>
          <w:rFonts w:hAnsi="宋体"/>
          <w:color w:val="auto"/>
          <w:kern w:val="0"/>
          <w:sz w:val="24"/>
          <w:szCs w:val="24"/>
          <w:highlight w:val="none"/>
        </w:rPr>
        <w:t>异常低，</w:t>
      </w:r>
      <w:r>
        <w:rPr>
          <w:rFonts w:hint="eastAsia" w:hAnsi="宋体"/>
          <w:color w:val="auto"/>
          <w:kern w:val="0"/>
          <w:sz w:val="24"/>
          <w:szCs w:val="24"/>
          <w:highlight w:val="none"/>
        </w:rPr>
        <w:t>招标人</w:t>
      </w:r>
      <w:r>
        <w:rPr>
          <w:rFonts w:hAnsi="宋体"/>
          <w:color w:val="auto"/>
          <w:kern w:val="0"/>
          <w:sz w:val="24"/>
          <w:szCs w:val="24"/>
          <w:highlight w:val="none"/>
        </w:rPr>
        <w:t>可要求</w:t>
      </w:r>
      <w:r>
        <w:rPr>
          <w:rFonts w:hint="eastAsia" w:hAnsi="宋体"/>
          <w:color w:val="auto"/>
          <w:kern w:val="0"/>
          <w:sz w:val="24"/>
          <w:szCs w:val="24"/>
          <w:highlight w:val="none"/>
        </w:rPr>
        <w:t>中</w:t>
      </w:r>
      <w:r>
        <w:rPr>
          <w:rFonts w:hAnsi="宋体"/>
          <w:color w:val="auto"/>
          <w:kern w:val="0"/>
          <w:sz w:val="24"/>
          <w:szCs w:val="24"/>
          <w:highlight w:val="none"/>
        </w:rPr>
        <w:t>标人对遵守参加投标的各项条件和履行合同的能力作出保证。</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6.1.5  招标人提供证据证明中标人有下列行为之一的，经有关行政监督部门确认，该中标无效，招标人不与中标人签订合同：</w:t>
      </w:r>
    </w:p>
    <w:p>
      <w:pPr>
        <w:spacing w:line="360" w:lineRule="auto"/>
        <w:rPr>
          <w:rFonts w:ascii="宋体" w:hAnsi="宋体"/>
          <w:color w:val="auto"/>
          <w:sz w:val="24"/>
          <w:highlight w:val="none"/>
        </w:rPr>
      </w:pPr>
      <w:r>
        <w:rPr>
          <w:rFonts w:hint="eastAsia" w:ascii="宋体" w:hAnsi="宋体"/>
          <w:color w:val="auto"/>
          <w:sz w:val="24"/>
          <w:highlight w:val="none"/>
        </w:rPr>
        <w:t xml:space="preserve">   (a) 不能兑现投标承诺；</w:t>
      </w:r>
    </w:p>
    <w:p>
      <w:pPr>
        <w:spacing w:line="360" w:lineRule="auto"/>
        <w:rPr>
          <w:rFonts w:ascii="宋体" w:hAnsi="宋体"/>
          <w:color w:val="auto"/>
          <w:sz w:val="24"/>
          <w:highlight w:val="none"/>
        </w:rPr>
      </w:pPr>
      <w:r>
        <w:rPr>
          <w:rFonts w:hint="eastAsia" w:ascii="宋体" w:hAnsi="宋体"/>
          <w:color w:val="auto"/>
          <w:sz w:val="24"/>
          <w:highlight w:val="none"/>
        </w:rPr>
        <w:t xml:space="preserve">   (b) 弄虚作假骗取中标；</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（c）</w:t>
      </w:r>
      <w:r>
        <w:rPr>
          <w:rFonts w:hint="eastAsia" w:hAnsi="宋体"/>
          <w:color w:val="auto"/>
          <w:sz w:val="24"/>
          <w:highlight w:val="none"/>
        </w:rPr>
        <w:t>在招标、投标、评标、定标以及授予合同过程中，对招标人、代理机构、其他投标人、评标委员会成员、</w:t>
      </w:r>
      <w:r>
        <w:rPr>
          <w:rFonts w:hint="eastAsia" w:hAnsi="宋体"/>
          <w:color w:val="auto"/>
          <w:kern w:val="0"/>
          <w:sz w:val="24"/>
          <w:highlight w:val="none"/>
        </w:rPr>
        <w:t>交易服务机构的</w:t>
      </w:r>
      <w:r>
        <w:rPr>
          <w:rFonts w:hint="eastAsia" w:hAnsi="宋体"/>
          <w:color w:val="auto"/>
          <w:sz w:val="24"/>
          <w:highlight w:val="none"/>
        </w:rPr>
        <w:t>工作人员行贿、</w:t>
      </w:r>
      <w:r>
        <w:rPr>
          <w:rFonts w:hAnsi="宋体"/>
          <w:color w:val="auto"/>
          <w:kern w:val="0"/>
          <w:sz w:val="24"/>
          <w:highlight w:val="none"/>
        </w:rPr>
        <w:t>利诱</w:t>
      </w:r>
      <w:r>
        <w:rPr>
          <w:rFonts w:hint="eastAsia" w:hAnsi="宋体"/>
          <w:color w:val="auto"/>
          <w:kern w:val="0"/>
          <w:sz w:val="24"/>
          <w:highlight w:val="none"/>
        </w:rPr>
        <w:t>、</w:t>
      </w:r>
      <w:r>
        <w:rPr>
          <w:rFonts w:hint="eastAsia" w:hAnsi="宋体"/>
          <w:color w:val="auto"/>
          <w:sz w:val="24"/>
          <w:highlight w:val="none"/>
        </w:rPr>
        <w:t>欺诈或者施加影响；</w:t>
      </w:r>
    </w:p>
    <w:p>
      <w:pPr>
        <w:spacing w:line="360" w:lineRule="auto"/>
        <w:rPr>
          <w:rFonts w:ascii="宋体" w:hAnsi="宋体"/>
          <w:color w:val="auto"/>
          <w:sz w:val="24"/>
          <w:highlight w:val="none"/>
        </w:rPr>
      </w:pPr>
      <w:r>
        <w:rPr>
          <w:rFonts w:hint="eastAsia" w:ascii="宋体" w:hAnsi="宋体"/>
          <w:color w:val="auto"/>
          <w:sz w:val="24"/>
          <w:highlight w:val="none"/>
        </w:rPr>
        <w:t xml:space="preserve">   (d) 擅自将任务转包其他单位；</w:t>
      </w:r>
    </w:p>
    <w:p>
      <w:pPr>
        <w:spacing w:line="360" w:lineRule="auto"/>
        <w:rPr>
          <w:rFonts w:ascii="宋体" w:hAnsi="宋体"/>
          <w:color w:val="auto"/>
          <w:sz w:val="24"/>
          <w:highlight w:val="none"/>
        </w:rPr>
      </w:pPr>
      <w:r>
        <w:rPr>
          <w:rFonts w:hint="eastAsia" w:ascii="宋体" w:hAnsi="宋体"/>
          <w:color w:val="auto"/>
          <w:sz w:val="24"/>
          <w:highlight w:val="none"/>
        </w:rPr>
        <w:t xml:space="preserve">   (e) 中标人实质上不符合投标资格</w:t>
      </w:r>
      <w:r>
        <w:rPr>
          <w:rFonts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 xml:space="preserve">   (f) 法律、法规规定的其他损害招标人利益和社会公共利益的情形。</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4"/>
        <w:spacing w:line="360" w:lineRule="auto"/>
        <w:jc w:val="center"/>
        <w:rPr>
          <w:color w:val="auto"/>
          <w:sz w:val="36"/>
          <w:szCs w:val="36"/>
          <w:highlight w:val="none"/>
        </w:rPr>
      </w:pPr>
      <w:r>
        <w:rPr>
          <w:color w:val="auto"/>
          <w:sz w:val="24"/>
          <w:szCs w:val="24"/>
          <w:highlight w:val="none"/>
        </w:rPr>
        <w:br w:type="page"/>
      </w:r>
      <w:bookmarkStart w:id="11" w:name="_Toc32827934"/>
      <w:bookmarkStart w:id="12" w:name="_Toc27175"/>
      <w:r>
        <w:rPr>
          <w:rFonts w:hint="eastAsia"/>
          <w:color w:val="auto"/>
          <w:sz w:val="36"/>
          <w:szCs w:val="36"/>
          <w:highlight w:val="none"/>
        </w:rPr>
        <w:t>第七章  知识产权</w:t>
      </w:r>
      <w:bookmarkEnd w:id="11"/>
      <w:bookmarkEnd w:id="12"/>
    </w:p>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7.1    公开展示</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1</w:t>
      </w:r>
      <w:r>
        <w:rPr>
          <w:rFonts w:hint="eastAsia" w:ascii="宋体" w:hAnsi="宋体"/>
          <w:color w:val="auto"/>
          <w:sz w:val="24"/>
          <w:highlight w:val="none"/>
        </w:rPr>
        <w:t xml:space="preserve">  按招标文件规定获得补偿的投标文件，评标后不予退回。</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2</w:t>
      </w:r>
      <w:r>
        <w:rPr>
          <w:rFonts w:hint="eastAsia" w:ascii="宋体" w:hAnsi="宋体"/>
          <w:color w:val="auto"/>
          <w:sz w:val="24"/>
          <w:highlight w:val="none"/>
        </w:rPr>
        <w:t xml:space="preserve">  招标人有权在评标结束后公开展示获得补偿费用的所有投标方案成果，并通过传播媒介、杂志、书刊或其它形式介绍、展示及评价该方案成果，所有展示、推介、广告均不再向投标人支付费用。</w:t>
      </w:r>
    </w:p>
    <w:p>
      <w:pPr>
        <w:spacing w:line="360" w:lineRule="auto"/>
        <w:rPr>
          <w:rFonts w:ascii="宋体" w:hAnsi="宋体"/>
          <w:b/>
          <w:bCs/>
          <w:color w:val="auto"/>
          <w:sz w:val="24"/>
          <w:highlight w:val="none"/>
        </w:rPr>
      </w:pPr>
      <w:r>
        <w:rPr>
          <w:rFonts w:hint="eastAsia" w:ascii="宋体" w:hAnsi="宋体"/>
          <w:b/>
          <w:bCs/>
          <w:color w:val="auto"/>
          <w:sz w:val="24"/>
          <w:highlight w:val="none"/>
        </w:rPr>
        <w:t>7.2    知识产权转移</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7.2.1  授予合同并支付</w:t>
      </w:r>
      <w:r>
        <w:rPr>
          <w:rFonts w:hint="eastAsia" w:ascii="宋体" w:hAnsi="宋体"/>
          <w:color w:val="auto"/>
          <w:sz w:val="24"/>
          <w:highlight w:val="none"/>
          <w:u w:val="single"/>
        </w:rPr>
        <w:t>预付款</w:t>
      </w:r>
      <w:r>
        <w:rPr>
          <w:rFonts w:hint="eastAsia" w:ascii="宋体" w:hAnsi="宋体"/>
          <w:color w:val="auto"/>
          <w:sz w:val="24"/>
          <w:highlight w:val="none"/>
        </w:rPr>
        <w:t>后，中标方案的发表权、展览权、使用权归招标人和中标人共有。</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7.2.2  授予合同并支付</w:t>
      </w:r>
      <w:r>
        <w:rPr>
          <w:rFonts w:hint="eastAsia" w:ascii="宋体" w:hAnsi="宋体"/>
          <w:color w:val="auto"/>
          <w:sz w:val="24"/>
          <w:highlight w:val="none"/>
          <w:u w:val="single"/>
        </w:rPr>
        <w:t>预付款</w:t>
      </w:r>
      <w:r>
        <w:rPr>
          <w:rFonts w:hint="eastAsia" w:ascii="宋体" w:hAnsi="宋体"/>
          <w:color w:val="auto"/>
          <w:sz w:val="24"/>
          <w:highlight w:val="none"/>
        </w:rPr>
        <w:t>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如果招标人、中标人</w:t>
      </w:r>
      <w:r>
        <w:rPr>
          <w:rFonts w:hint="eastAsia" w:ascii="宋体" w:hAnsi="宋体"/>
          <w:color w:val="auto"/>
          <w:sz w:val="24"/>
          <w:highlight w:val="none"/>
          <w:u w:val="single"/>
        </w:rPr>
        <w:t>参考使用获得补偿费用的投标方案成果的部分内容（且不另行支付费用），该参考部分内容的</w:t>
      </w:r>
      <w:r>
        <w:rPr>
          <w:rFonts w:hint="eastAsia" w:ascii="宋体" w:hAnsi="宋体"/>
          <w:color w:val="auto"/>
          <w:sz w:val="24"/>
          <w:highlight w:val="none"/>
        </w:rPr>
        <w:t>发表权、展览权、使用权归招标人和中标人共有。</w:t>
      </w:r>
    </w:p>
    <w:p>
      <w:pPr>
        <w:spacing w:line="360" w:lineRule="auto"/>
        <w:rPr>
          <w:rFonts w:ascii="宋体" w:hAnsi="宋体"/>
          <w:b/>
          <w:bCs/>
          <w:color w:val="auto"/>
          <w:sz w:val="24"/>
          <w:highlight w:val="none"/>
        </w:rPr>
      </w:pPr>
      <w:r>
        <w:rPr>
          <w:rFonts w:hint="eastAsia" w:ascii="宋体" w:hAnsi="宋体"/>
          <w:b/>
          <w:bCs/>
          <w:color w:val="auto"/>
          <w:sz w:val="24"/>
          <w:highlight w:val="none"/>
        </w:rPr>
        <w:t>7.3    其他</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7.3.1  除特殊情况外，招标人有权在工程建设中根据需要对选定的实施方案进行调整和修改。招标人有权在实施方案中参考使用获得补偿费用的所有投标方案成果的部分内容</w:t>
      </w:r>
      <w:r>
        <w:rPr>
          <w:rFonts w:hint="eastAsia" w:ascii="宋体" w:hAnsi="宋体"/>
          <w:color w:val="auto"/>
          <w:sz w:val="24"/>
          <w:highlight w:val="none"/>
          <w:u w:val="single"/>
        </w:rPr>
        <w:t>，且不另行支付费用；获得补偿费用的投标人有义务出席相关的方案审查或汇报会议（如需）</w:t>
      </w:r>
      <w:r>
        <w:rPr>
          <w:rFonts w:hint="eastAsia" w:ascii="宋体" w:hAnsi="宋体"/>
          <w:color w:val="auto"/>
          <w:sz w:val="24"/>
          <w:highlight w:val="none"/>
        </w:rPr>
        <w:t>。</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7.3.2  投标人保证投标文件及资料均未侵犯他人的知识产权，否则必须承担全部责任。若投标人使用了他人的专利、专有技术，涉及的费用由投标人负责。</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7.3.3  中标人未经招标人许可，不得将中标方案成果整体用于其他相同或类似项目的投标和设计（专利权除外）。</w:t>
      </w:r>
    </w:p>
    <w:p>
      <w:pPr>
        <w:spacing w:line="360" w:lineRule="auto"/>
        <w:rPr>
          <w:rFonts w:ascii="宋体" w:hAnsi="宋体"/>
          <w:color w:val="auto"/>
          <w:sz w:val="24"/>
          <w:highlight w:val="none"/>
        </w:rPr>
      </w:pPr>
      <w:r>
        <w:rPr>
          <w:rFonts w:hint="eastAsia" w:ascii="宋体" w:hAnsi="宋体"/>
          <w:color w:val="auto"/>
          <w:sz w:val="24"/>
          <w:highlight w:val="none"/>
        </w:rPr>
        <w:t>7.3.4  招标人有权无须事先征求中标人的同意而披露关于中标人的名称、地址、合同条款。</w:t>
      </w:r>
    </w:p>
    <w:p>
      <w:pPr>
        <w:spacing w:line="360" w:lineRule="auto"/>
        <w:rPr>
          <w:rFonts w:ascii="宋体" w:hAnsi="宋体"/>
          <w:color w:val="auto"/>
          <w:sz w:val="24"/>
          <w:highlight w:val="none"/>
        </w:rPr>
      </w:pPr>
    </w:p>
    <w:p>
      <w:pPr>
        <w:keepNext/>
        <w:keepLines/>
        <w:spacing w:line="360" w:lineRule="auto"/>
        <w:jc w:val="center"/>
        <w:outlineLvl w:val="0"/>
        <w:rPr>
          <w:rFonts w:ascii="Times New Roman" w:hAnsi="Times New Roman"/>
          <w:b/>
          <w:bCs/>
          <w:color w:val="auto"/>
          <w:kern w:val="44"/>
          <w:sz w:val="36"/>
          <w:szCs w:val="36"/>
          <w:highlight w:val="none"/>
        </w:rPr>
      </w:pPr>
      <w:r>
        <w:rPr>
          <w:rFonts w:ascii="宋体" w:hAnsi="宋体"/>
          <w:bCs/>
          <w:color w:val="auto"/>
          <w:kern w:val="44"/>
          <w:szCs w:val="21"/>
          <w:highlight w:val="none"/>
        </w:rPr>
        <w:br w:type="page"/>
      </w:r>
    </w:p>
    <w:p>
      <w:pPr>
        <w:keepNext/>
        <w:keepLines/>
        <w:spacing w:line="360" w:lineRule="auto"/>
        <w:jc w:val="center"/>
        <w:outlineLvl w:val="0"/>
        <w:rPr>
          <w:rFonts w:ascii="Times New Roman" w:hAnsi="Times New Roman"/>
          <w:b/>
          <w:bCs/>
          <w:color w:val="auto"/>
          <w:kern w:val="44"/>
          <w:sz w:val="36"/>
          <w:szCs w:val="36"/>
          <w:highlight w:val="none"/>
        </w:rPr>
      </w:pPr>
      <w:bookmarkStart w:id="13" w:name="_Toc15805"/>
      <w:r>
        <w:rPr>
          <w:rFonts w:hint="eastAsia" w:ascii="Times New Roman" w:hAnsi="Times New Roman"/>
          <w:b/>
          <w:bCs/>
          <w:color w:val="auto"/>
          <w:kern w:val="44"/>
          <w:sz w:val="36"/>
          <w:szCs w:val="36"/>
          <w:highlight w:val="none"/>
        </w:rPr>
        <w:t>第八章  合同条款</w:t>
      </w:r>
      <w:bookmarkEnd w:id="13"/>
    </w:p>
    <w:p>
      <w:pPr>
        <w:spacing w:line="360" w:lineRule="auto"/>
        <w:jc w:val="center"/>
        <w:rPr>
          <w:rFonts w:ascii="宋体" w:hAnsi="宋体"/>
          <w:color w:val="auto"/>
          <w:szCs w:val="21"/>
          <w:highlight w:val="none"/>
        </w:rPr>
        <w:sectPr>
          <w:footerReference r:id="rId9" w:type="default"/>
          <w:type w:val="nextColumn"/>
          <w:pgSz w:w="11906" w:h="16838"/>
          <w:pgMar w:top="1134" w:right="1134" w:bottom="1134" w:left="1134" w:header="851" w:footer="992" w:gutter="0"/>
          <w:cols w:space="720" w:num="1"/>
          <w:docGrid w:type="linesAndChars" w:linePitch="312" w:charSpace="0"/>
        </w:sectPr>
      </w:pPr>
      <w:r>
        <w:rPr>
          <w:rFonts w:hint="eastAsia" w:ascii="宋体" w:hAnsi="宋体" w:cs="宋体"/>
          <w:color w:val="auto"/>
          <w:szCs w:val="21"/>
          <w:highlight w:val="none"/>
        </w:rPr>
        <w:t>（另册）</w:t>
      </w:r>
    </w:p>
    <w:p>
      <w:pPr>
        <w:keepNext/>
        <w:keepLines/>
        <w:spacing w:line="360" w:lineRule="auto"/>
        <w:outlineLvl w:val="0"/>
        <w:rPr>
          <w:rFonts w:ascii="宋体" w:hAnsi="宋体"/>
          <w:b/>
          <w:bCs/>
          <w:color w:val="auto"/>
          <w:kern w:val="44"/>
          <w:szCs w:val="21"/>
          <w:highlight w:val="none"/>
        </w:rPr>
      </w:pPr>
      <w:bookmarkStart w:id="14" w:name="_Toc9867"/>
      <w:r>
        <w:rPr>
          <w:rFonts w:hint="eastAsia" w:ascii="宋体" w:hAnsi="宋体"/>
          <w:b/>
          <w:bCs/>
          <w:color w:val="auto"/>
          <w:kern w:val="44"/>
          <w:szCs w:val="21"/>
          <w:highlight w:val="none"/>
        </w:rPr>
        <w:t>附录1 投标申请表（投入人员承诺）</w:t>
      </w:r>
      <w:bookmarkEnd w:id="14"/>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投标申请表</w:t>
      </w:r>
      <w:r>
        <w:rPr>
          <w:rFonts w:hint="eastAsia" w:ascii="宋体" w:hAnsi="宋体"/>
          <w:b/>
          <w:bCs/>
          <w:color w:val="auto"/>
          <w:sz w:val="36"/>
          <w:szCs w:val="36"/>
          <w:highlight w:val="none"/>
        </w:rPr>
        <w:t>（投入人员承诺）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74"/>
        <w:gridCol w:w="2748"/>
        <w:gridCol w:w="3013"/>
        <w:gridCol w:w="1221"/>
        <w:gridCol w:w="5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74" w:type="dxa"/>
            <w:vAlign w:val="center"/>
          </w:tcPr>
          <w:p>
            <w:pPr>
              <w:spacing w:line="360" w:lineRule="auto"/>
              <w:jc w:val="center"/>
              <w:rPr>
                <w:rFonts w:ascii="宋体" w:hAnsi="宋体"/>
                <w:color w:val="auto"/>
                <w:highlight w:val="none"/>
              </w:rPr>
            </w:pPr>
            <w:r>
              <w:rPr>
                <w:rFonts w:hint="eastAsia" w:ascii="宋体" w:hAnsi="宋体"/>
                <w:color w:val="auto"/>
                <w:highlight w:val="none"/>
              </w:rPr>
              <w:t>姓名</w:t>
            </w:r>
          </w:p>
        </w:tc>
        <w:tc>
          <w:tcPr>
            <w:tcW w:w="2748" w:type="dxa"/>
            <w:vAlign w:val="center"/>
          </w:tcPr>
          <w:p>
            <w:pPr>
              <w:spacing w:line="360" w:lineRule="auto"/>
              <w:jc w:val="center"/>
              <w:rPr>
                <w:rFonts w:ascii="宋体" w:hAnsi="宋体"/>
                <w:color w:val="auto"/>
                <w:highlight w:val="none"/>
              </w:rPr>
            </w:pPr>
            <w:r>
              <w:rPr>
                <w:rFonts w:hint="eastAsia" w:ascii="宋体" w:hAnsi="宋体"/>
                <w:color w:val="auto"/>
                <w:highlight w:val="none"/>
              </w:rPr>
              <w:t>专业分工</w:t>
            </w:r>
          </w:p>
        </w:tc>
        <w:tc>
          <w:tcPr>
            <w:tcW w:w="3013" w:type="dxa"/>
            <w:vAlign w:val="center"/>
          </w:tcPr>
          <w:p>
            <w:pPr>
              <w:spacing w:line="360" w:lineRule="auto"/>
              <w:jc w:val="center"/>
              <w:rPr>
                <w:rFonts w:ascii="宋体" w:hAnsi="宋体"/>
                <w:color w:val="auto"/>
                <w:highlight w:val="none"/>
              </w:rPr>
            </w:pPr>
            <w:r>
              <w:rPr>
                <w:rFonts w:hint="eastAsia" w:ascii="宋体" w:hAnsi="宋体"/>
                <w:color w:val="auto"/>
                <w:highlight w:val="none"/>
              </w:rPr>
              <w:t>专业职称</w:t>
            </w:r>
          </w:p>
        </w:tc>
        <w:tc>
          <w:tcPr>
            <w:tcW w:w="1221" w:type="dxa"/>
            <w:vAlign w:val="center"/>
          </w:tcPr>
          <w:p>
            <w:pPr>
              <w:spacing w:line="360" w:lineRule="auto"/>
              <w:jc w:val="center"/>
              <w:rPr>
                <w:rFonts w:ascii="宋体" w:hAnsi="宋体"/>
                <w:color w:val="auto"/>
                <w:highlight w:val="none"/>
              </w:rPr>
            </w:pPr>
            <w:r>
              <w:rPr>
                <w:rFonts w:hint="eastAsia" w:ascii="宋体" w:hAnsi="宋体"/>
                <w:color w:val="auto"/>
                <w:highlight w:val="none"/>
              </w:rPr>
              <w:t>工龄（年）</w:t>
            </w:r>
          </w:p>
        </w:tc>
        <w:tc>
          <w:tcPr>
            <w:tcW w:w="5397" w:type="dxa"/>
            <w:vAlign w:val="center"/>
          </w:tcPr>
          <w:p>
            <w:pPr>
              <w:spacing w:line="360" w:lineRule="auto"/>
              <w:jc w:val="center"/>
              <w:rPr>
                <w:rFonts w:ascii="宋体" w:hAnsi="宋体"/>
                <w:color w:val="auto"/>
                <w:highlight w:val="none"/>
              </w:rPr>
            </w:pPr>
            <w:r>
              <w:rPr>
                <w:rFonts w:hint="eastAsia" w:hAnsi="宋体"/>
                <w:color w:val="auto"/>
                <w:highlight w:val="none"/>
              </w:rPr>
              <w:t>主要作品、业绩、著作名称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仿宋_GB2312" w:hAnsi="宋体" w:eastAsia="仿宋_GB2312"/>
                <w:color w:val="auto"/>
                <w:sz w:val="32"/>
                <w:szCs w:val="21"/>
                <w:highlight w:val="none"/>
              </w:rPr>
            </w:pPr>
          </w:p>
        </w:tc>
        <w:tc>
          <w:tcPr>
            <w:tcW w:w="1074" w:type="dxa"/>
            <w:vAlign w:val="center"/>
          </w:tcPr>
          <w:p>
            <w:pPr>
              <w:spacing w:line="360" w:lineRule="auto"/>
              <w:jc w:val="center"/>
              <w:rPr>
                <w:rFonts w:ascii="仿宋_GB2312" w:hAnsi="宋体" w:eastAsia="仿宋_GB2312"/>
                <w:color w:val="auto"/>
                <w:sz w:val="32"/>
                <w:szCs w:val="21"/>
                <w:highlight w:val="none"/>
              </w:rPr>
            </w:pPr>
          </w:p>
        </w:tc>
        <w:tc>
          <w:tcPr>
            <w:tcW w:w="2748" w:type="dxa"/>
            <w:vAlign w:val="center"/>
          </w:tcPr>
          <w:p>
            <w:pPr>
              <w:spacing w:line="360" w:lineRule="auto"/>
              <w:jc w:val="center"/>
              <w:rPr>
                <w:rFonts w:ascii="宋体" w:hAnsi="宋体"/>
                <w:color w:val="auto"/>
                <w:highlight w:val="none"/>
              </w:rPr>
            </w:pPr>
            <w:r>
              <w:rPr>
                <w:rFonts w:hint="eastAsia" w:ascii="宋体" w:hAnsi="宋体" w:cs="Courier New"/>
                <w:color w:val="auto"/>
                <w:sz w:val="24"/>
                <w:szCs w:val="21"/>
                <w:highlight w:val="none"/>
              </w:rPr>
              <w:t>项目负责人</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p>
        </w:tc>
        <w:tc>
          <w:tcPr>
            <w:tcW w:w="1074" w:type="dxa"/>
            <w:vAlign w:val="center"/>
          </w:tcPr>
          <w:p>
            <w:pPr>
              <w:spacing w:line="360" w:lineRule="auto"/>
              <w:jc w:val="center"/>
              <w:rPr>
                <w:rFonts w:ascii="宋体" w:hAnsi="宋体"/>
                <w:color w:val="auto"/>
                <w:szCs w:val="21"/>
                <w:highlight w:val="none"/>
              </w:rPr>
            </w:pPr>
          </w:p>
        </w:tc>
        <w:tc>
          <w:tcPr>
            <w:tcW w:w="2748" w:type="dxa"/>
            <w:vAlign w:val="center"/>
          </w:tcPr>
          <w:p>
            <w:pPr>
              <w:spacing w:line="360" w:lineRule="auto"/>
              <w:jc w:val="center"/>
              <w:rPr>
                <w:rFonts w:ascii="宋体" w:hAnsi="宋体"/>
                <w:color w:val="auto"/>
                <w:highlight w:val="none"/>
              </w:rPr>
            </w:pPr>
            <w:r>
              <w:rPr>
                <w:rFonts w:hint="eastAsia" w:ascii="宋体" w:hAnsi="宋体" w:cs="Courier New"/>
                <w:color w:val="auto"/>
                <w:sz w:val="24"/>
                <w:szCs w:val="21"/>
                <w:highlight w:val="none"/>
              </w:rPr>
              <w:t>结构专业负责人</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p>
        </w:tc>
        <w:tc>
          <w:tcPr>
            <w:tcW w:w="1074" w:type="dxa"/>
            <w:vAlign w:val="center"/>
          </w:tcPr>
          <w:p>
            <w:pPr>
              <w:spacing w:line="360" w:lineRule="auto"/>
              <w:jc w:val="center"/>
              <w:rPr>
                <w:rFonts w:ascii="宋体" w:hAnsi="宋体"/>
                <w:color w:val="auto"/>
                <w:szCs w:val="21"/>
                <w:highlight w:val="none"/>
              </w:rPr>
            </w:pPr>
          </w:p>
        </w:tc>
        <w:tc>
          <w:tcPr>
            <w:tcW w:w="2748" w:type="dxa"/>
            <w:vAlign w:val="center"/>
          </w:tcPr>
          <w:p>
            <w:pPr>
              <w:spacing w:line="360" w:lineRule="auto"/>
              <w:jc w:val="center"/>
              <w:rPr>
                <w:rFonts w:ascii="宋体" w:hAnsi="宋体"/>
                <w:color w:val="auto"/>
                <w:highlight w:val="none"/>
              </w:rPr>
            </w:pPr>
            <w:r>
              <w:rPr>
                <w:rFonts w:hint="eastAsia" w:ascii="宋体" w:hAnsi="宋体" w:cs="Courier New"/>
                <w:color w:val="auto"/>
                <w:sz w:val="24"/>
                <w:szCs w:val="21"/>
                <w:highlight w:val="none"/>
              </w:rPr>
              <w:t>建筑专业负责人</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p>
        </w:tc>
        <w:tc>
          <w:tcPr>
            <w:tcW w:w="1074" w:type="dxa"/>
            <w:vAlign w:val="center"/>
          </w:tcPr>
          <w:p>
            <w:pPr>
              <w:spacing w:line="360" w:lineRule="auto"/>
              <w:jc w:val="center"/>
              <w:rPr>
                <w:rFonts w:ascii="宋体" w:hAnsi="宋体"/>
                <w:color w:val="auto"/>
                <w:szCs w:val="21"/>
                <w:highlight w:val="none"/>
              </w:rPr>
            </w:pPr>
          </w:p>
        </w:tc>
        <w:tc>
          <w:tcPr>
            <w:tcW w:w="2748" w:type="dxa"/>
            <w:vAlign w:val="center"/>
          </w:tcPr>
          <w:p>
            <w:pPr>
              <w:spacing w:line="360" w:lineRule="auto"/>
              <w:jc w:val="center"/>
              <w:rPr>
                <w:rFonts w:ascii="宋体" w:hAnsi="宋体"/>
                <w:color w:val="auto"/>
                <w:highlight w:val="none"/>
              </w:rPr>
            </w:pPr>
            <w:r>
              <w:rPr>
                <w:rFonts w:hint="eastAsia" w:ascii="宋体" w:hAnsi="宋体" w:cs="Courier New"/>
                <w:color w:val="auto"/>
                <w:sz w:val="24"/>
                <w:szCs w:val="21"/>
                <w:highlight w:val="none"/>
              </w:rPr>
              <w:t>暖通专业负责人</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p>
        </w:tc>
        <w:tc>
          <w:tcPr>
            <w:tcW w:w="1074" w:type="dxa"/>
            <w:vAlign w:val="center"/>
          </w:tcPr>
          <w:p>
            <w:pPr>
              <w:spacing w:line="360" w:lineRule="auto"/>
              <w:jc w:val="center"/>
              <w:rPr>
                <w:rFonts w:ascii="宋体" w:hAnsi="宋体"/>
                <w:color w:val="auto"/>
                <w:szCs w:val="21"/>
                <w:highlight w:val="none"/>
              </w:rPr>
            </w:pPr>
          </w:p>
        </w:tc>
        <w:tc>
          <w:tcPr>
            <w:tcW w:w="2748" w:type="dxa"/>
            <w:vAlign w:val="center"/>
          </w:tcPr>
          <w:p>
            <w:pPr>
              <w:spacing w:line="360" w:lineRule="auto"/>
              <w:jc w:val="center"/>
              <w:rPr>
                <w:rFonts w:ascii="宋体" w:hAnsi="宋体" w:cs="Courier New"/>
                <w:color w:val="auto"/>
                <w:sz w:val="24"/>
                <w:szCs w:val="21"/>
                <w:highlight w:val="none"/>
              </w:rPr>
            </w:pPr>
            <w:r>
              <w:rPr>
                <w:rFonts w:hint="eastAsia" w:ascii="宋体" w:hAnsi="宋体" w:cs="Courier New"/>
                <w:color w:val="auto"/>
                <w:sz w:val="24"/>
                <w:szCs w:val="21"/>
                <w:highlight w:val="none"/>
              </w:rPr>
              <w:t>电气专业负责人</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p>
        </w:tc>
        <w:tc>
          <w:tcPr>
            <w:tcW w:w="1074" w:type="dxa"/>
            <w:vAlign w:val="center"/>
          </w:tcPr>
          <w:p>
            <w:pPr>
              <w:spacing w:line="360" w:lineRule="auto"/>
              <w:jc w:val="center"/>
              <w:rPr>
                <w:rFonts w:ascii="宋体" w:hAnsi="宋体"/>
                <w:color w:val="auto"/>
                <w:szCs w:val="21"/>
                <w:highlight w:val="none"/>
              </w:rPr>
            </w:pPr>
          </w:p>
        </w:tc>
        <w:tc>
          <w:tcPr>
            <w:tcW w:w="2748" w:type="dxa"/>
            <w:vAlign w:val="center"/>
          </w:tcPr>
          <w:p>
            <w:pPr>
              <w:spacing w:line="360" w:lineRule="auto"/>
              <w:jc w:val="center"/>
              <w:rPr>
                <w:rFonts w:ascii="宋体" w:hAnsi="宋体" w:cs="Courier New"/>
                <w:color w:val="auto"/>
                <w:sz w:val="24"/>
                <w:szCs w:val="21"/>
                <w:highlight w:val="none"/>
              </w:rPr>
            </w:pPr>
            <w:r>
              <w:rPr>
                <w:rFonts w:hint="eastAsia" w:ascii="宋体" w:hAnsi="宋体" w:cs="Courier New"/>
                <w:color w:val="auto"/>
                <w:sz w:val="24"/>
                <w:szCs w:val="21"/>
                <w:highlight w:val="none"/>
              </w:rPr>
              <w:t>给排水专业负责人</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p>
        </w:tc>
        <w:tc>
          <w:tcPr>
            <w:tcW w:w="1074" w:type="dxa"/>
            <w:vAlign w:val="center"/>
          </w:tcPr>
          <w:p>
            <w:pPr>
              <w:spacing w:line="360" w:lineRule="auto"/>
              <w:jc w:val="center"/>
              <w:rPr>
                <w:rFonts w:ascii="宋体" w:hAnsi="宋体"/>
                <w:color w:val="auto"/>
                <w:szCs w:val="21"/>
                <w:highlight w:val="none"/>
              </w:rPr>
            </w:pPr>
          </w:p>
        </w:tc>
        <w:tc>
          <w:tcPr>
            <w:tcW w:w="2748" w:type="dxa"/>
            <w:vAlign w:val="center"/>
          </w:tcPr>
          <w:p>
            <w:pPr>
              <w:spacing w:line="360" w:lineRule="auto"/>
              <w:jc w:val="center"/>
              <w:rPr>
                <w:rFonts w:ascii="宋体" w:hAnsi="宋体" w:cs="Courier New"/>
                <w:color w:val="auto"/>
                <w:sz w:val="24"/>
                <w:szCs w:val="21"/>
                <w:highlight w:val="none"/>
              </w:rPr>
            </w:pPr>
            <w:r>
              <w:rPr>
                <w:rFonts w:hint="eastAsia" w:ascii="宋体" w:hAnsi="宋体" w:cs="Courier New"/>
                <w:color w:val="auto"/>
                <w:sz w:val="24"/>
                <w:szCs w:val="21"/>
                <w:highlight w:val="none"/>
              </w:rPr>
              <w:t>概预算专业负责人</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vAlign w:val="center"/>
          </w:tcPr>
          <w:p>
            <w:pPr>
              <w:spacing w:line="360" w:lineRule="auto"/>
              <w:jc w:val="center"/>
              <w:rPr>
                <w:rFonts w:ascii="宋体" w:hAnsi="宋体"/>
                <w:color w:val="auto"/>
                <w:szCs w:val="21"/>
                <w:highlight w:val="none"/>
              </w:rPr>
            </w:pPr>
          </w:p>
        </w:tc>
        <w:tc>
          <w:tcPr>
            <w:tcW w:w="1074" w:type="dxa"/>
            <w:vAlign w:val="center"/>
          </w:tcPr>
          <w:p>
            <w:pPr>
              <w:spacing w:line="360" w:lineRule="auto"/>
              <w:jc w:val="center"/>
              <w:rPr>
                <w:rFonts w:ascii="宋体" w:hAnsi="宋体"/>
                <w:color w:val="auto"/>
                <w:szCs w:val="21"/>
                <w:highlight w:val="none"/>
              </w:rPr>
            </w:pPr>
          </w:p>
        </w:tc>
        <w:tc>
          <w:tcPr>
            <w:tcW w:w="2748" w:type="dxa"/>
            <w:vAlign w:val="center"/>
          </w:tcPr>
          <w:p>
            <w:pPr>
              <w:spacing w:line="360" w:lineRule="auto"/>
              <w:jc w:val="center"/>
              <w:rPr>
                <w:rFonts w:ascii="宋体" w:hAnsi="宋体" w:cs="Courier New"/>
                <w:color w:val="auto"/>
                <w:sz w:val="24"/>
                <w:szCs w:val="21"/>
                <w:highlight w:val="none"/>
              </w:rPr>
            </w:pPr>
            <w:r>
              <w:rPr>
                <w:rFonts w:ascii="宋体" w:hAnsi="宋体" w:cs="Courier New"/>
                <w:color w:val="auto"/>
                <w:sz w:val="24"/>
                <w:szCs w:val="21"/>
                <w:highlight w:val="none"/>
              </w:rPr>
              <w:t>……</w:t>
            </w:r>
          </w:p>
        </w:tc>
        <w:tc>
          <w:tcPr>
            <w:tcW w:w="3013" w:type="dxa"/>
            <w:vAlign w:val="center"/>
          </w:tcPr>
          <w:p>
            <w:pPr>
              <w:spacing w:line="360" w:lineRule="auto"/>
              <w:jc w:val="center"/>
              <w:rPr>
                <w:rFonts w:ascii="宋体" w:hAnsi="宋体"/>
                <w:color w:val="auto"/>
                <w:szCs w:val="21"/>
                <w:highlight w:val="none"/>
              </w:rPr>
            </w:pPr>
          </w:p>
        </w:tc>
        <w:tc>
          <w:tcPr>
            <w:tcW w:w="1221" w:type="dxa"/>
            <w:vAlign w:val="center"/>
          </w:tcPr>
          <w:p>
            <w:pPr>
              <w:spacing w:line="360" w:lineRule="auto"/>
              <w:jc w:val="center"/>
              <w:rPr>
                <w:rFonts w:ascii="宋体" w:hAnsi="宋体"/>
                <w:color w:val="auto"/>
                <w:szCs w:val="21"/>
                <w:highlight w:val="none"/>
              </w:rPr>
            </w:pPr>
          </w:p>
        </w:tc>
        <w:tc>
          <w:tcPr>
            <w:tcW w:w="5397" w:type="dxa"/>
            <w:vAlign w:val="center"/>
          </w:tcPr>
          <w:p>
            <w:pPr>
              <w:spacing w:line="360" w:lineRule="auto"/>
              <w:jc w:val="center"/>
              <w:rPr>
                <w:rFonts w:ascii="宋体" w:hAnsi="宋体"/>
                <w:color w:val="auto"/>
                <w:szCs w:val="21"/>
                <w:highlight w:val="none"/>
              </w:rPr>
            </w:pPr>
          </w:p>
        </w:tc>
      </w:tr>
    </w:tbl>
    <w:p>
      <w:pPr>
        <w:spacing w:line="360" w:lineRule="auto"/>
        <w:jc w:val="left"/>
        <w:rPr>
          <w:rFonts w:ascii="宋体" w:hAnsi="宋体" w:cs="Courier New"/>
          <w:color w:val="auto"/>
          <w:sz w:val="24"/>
          <w:szCs w:val="21"/>
          <w:highlight w:val="none"/>
        </w:rPr>
      </w:pPr>
    </w:p>
    <w:p>
      <w:pPr>
        <w:spacing w:line="360" w:lineRule="auto"/>
        <w:jc w:val="left"/>
        <w:rPr>
          <w:rFonts w:ascii="宋体" w:hAnsi="宋体"/>
          <w:color w:val="auto"/>
          <w:highlight w:val="none"/>
        </w:rPr>
        <w:sectPr>
          <w:pgSz w:w="16838" w:h="11906" w:orient="landscape"/>
          <w:pgMar w:top="1440" w:right="1440" w:bottom="1466" w:left="1440" w:header="851" w:footer="992" w:gutter="0"/>
          <w:cols w:space="720" w:num="1"/>
          <w:docGrid w:type="linesAndChars" w:linePitch="312" w:charSpace="0"/>
        </w:sectPr>
      </w:pPr>
      <w:r>
        <w:rPr>
          <w:rFonts w:hint="eastAsia" w:ascii="宋体" w:hAnsi="宋体" w:cs="Courier New"/>
          <w:color w:val="auto"/>
          <w:sz w:val="24"/>
          <w:szCs w:val="21"/>
          <w:highlight w:val="none"/>
        </w:rPr>
        <w:t xml:space="preserve">注：按“设计任务书”表《各专业设计人员投入要求》要求进行配备；本表除项目负责人外，其他人员均不作为资格审查的条件。  </w:t>
      </w:r>
      <w:r>
        <w:rPr>
          <w:rFonts w:hint="eastAsia" w:ascii="宋体" w:hAnsi="宋体"/>
          <w:color w:val="auto"/>
          <w:highlight w:val="none"/>
        </w:rPr>
        <w:t xml:space="preserve">                                            </w:t>
      </w:r>
    </w:p>
    <w:p>
      <w:pPr>
        <w:keepNext/>
        <w:keepLines/>
        <w:spacing w:line="360" w:lineRule="auto"/>
        <w:outlineLvl w:val="0"/>
        <w:rPr>
          <w:rFonts w:ascii="宋体" w:hAnsi="宋体"/>
          <w:b/>
          <w:bCs/>
          <w:color w:val="auto"/>
          <w:kern w:val="44"/>
          <w:sz w:val="44"/>
          <w:szCs w:val="44"/>
          <w:highlight w:val="none"/>
        </w:rPr>
      </w:pPr>
      <w:bookmarkStart w:id="15" w:name="_Toc5729"/>
      <w:r>
        <w:rPr>
          <w:rFonts w:hint="eastAsia" w:ascii="宋体" w:hAnsi="宋体"/>
          <w:b/>
          <w:bCs/>
          <w:color w:val="auto"/>
          <w:kern w:val="44"/>
          <w:szCs w:val="21"/>
          <w:highlight w:val="none"/>
        </w:rPr>
        <w:t>附件2</w:t>
      </w:r>
      <w:r>
        <w:rPr>
          <w:rFonts w:hint="eastAsia" w:ascii="宋体" w:hAnsi="宋体" w:cs="宋体"/>
          <w:b/>
          <w:bCs/>
          <w:color w:val="auto"/>
          <w:szCs w:val="21"/>
          <w:highlight w:val="none"/>
        </w:rPr>
        <w:t>方案设计及初步设计投标文件编制要求</w:t>
      </w:r>
      <w:bookmarkEnd w:id="15"/>
    </w:p>
    <w:p>
      <w:pPr>
        <w:spacing w:line="360" w:lineRule="auto"/>
        <w:jc w:val="center"/>
        <w:rPr>
          <w:rFonts w:ascii="宋体" w:hAnsi="宋体"/>
          <w:b/>
          <w:bCs/>
          <w:color w:val="auto"/>
          <w:sz w:val="32"/>
          <w:highlight w:val="none"/>
        </w:rPr>
      </w:pPr>
      <w:r>
        <w:rPr>
          <w:rFonts w:hint="eastAsia" w:ascii="宋体" w:hAnsi="宋体"/>
          <w:b/>
          <w:color w:val="auto"/>
          <w:sz w:val="32"/>
          <w:highlight w:val="none"/>
          <w:u w:val="single"/>
        </w:rPr>
        <w:t>方案设计及初步</w:t>
      </w:r>
      <w:r>
        <w:rPr>
          <w:rFonts w:hint="eastAsia" w:ascii="宋体" w:hAnsi="宋体"/>
          <w:b/>
          <w:color w:val="auto"/>
          <w:sz w:val="32"/>
          <w:highlight w:val="none"/>
        </w:rPr>
        <w:t>设计</w:t>
      </w:r>
      <w:r>
        <w:rPr>
          <w:rFonts w:hint="eastAsia" w:ascii="宋体" w:hAnsi="宋体"/>
          <w:b/>
          <w:bCs/>
          <w:color w:val="auto"/>
          <w:sz w:val="32"/>
          <w:highlight w:val="none"/>
        </w:rPr>
        <w:t>投标文件编制要求</w:t>
      </w:r>
    </w:p>
    <w:p>
      <w:pPr>
        <w:spacing w:line="360" w:lineRule="auto"/>
        <w:jc w:val="center"/>
        <w:rPr>
          <w:rFonts w:ascii="宋体" w:hAnsi="宋体"/>
          <w:strike/>
          <w:color w:val="auto"/>
          <w:sz w:val="24"/>
          <w:highlight w:val="none"/>
        </w:rPr>
      </w:pPr>
      <w:r>
        <w:rPr>
          <w:rFonts w:hint="eastAsia" w:ascii="宋体" w:hAnsi="宋体"/>
          <w:strike/>
          <w:color w:val="auto"/>
          <w:sz w:val="24"/>
          <w:highlight w:val="none"/>
        </w:rPr>
        <w:t>（适用于设计和勘察设计投标）</w:t>
      </w:r>
    </w:p>
    <w:p>
      <w:pPr>
        <w:spacing w:line="360" w:lineRule="auto"/>
        <w:rPr>
          <w:rFonts w:ascii="宋体" w:hAnsi="宋体"/>
          <w:color w:val="auto"/>
          <w:sz w:val="24"/>
          <w:highlight w:val="none"/>
        </w:rPr>
      </w:pPr>
      <w:r>
        <w:rPr>
          <w:rFonts w:hint="eastAsia" w:ascii="宋体" w:hAnsi="宋体"/>
          <w:b/>
          <w:bCs/>
          <w:color w:val="auto"/>
          <w:sz w:val="24"/>
          <w:highlight w:val="none"/>
        </w:rPr>
        <w:t>1   投标文件</w:t>
      </w:r>
    </w:p>
    <w:p>
      <w:pPr>
        <w:spacing w:line="360" w:lineRule="auto"/>
        <w:jc w:val="left"/>
        <w:rPr>
          <w:rFonts w:ascii="宋体" w:hAnsi="宋体"/>
          <w:color w:val="auto"/>
          <w:sz w:val="24"/>
          <w:highlight w:val="none"/>
        </w:rPr>
      </w:pP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1.1    投标文件由下列资料组成。</w:t>
      </w:r>
    </w:p>
    <w:p>
      <w:pPr>
        <w:spacing w:line="360" w:lineRule="auto"/>
        <w:jc w:val="left"/>
        <w:rPr>
          <w:rFonts w:ascii="宋体" w:hAnsi="宋体"/>
          <w:color w:val="auto"/>
          <w:sz w:val="24"/>
          <w:highlight w:val="none"/>
        </w:rPr>
      </w:pPr>
      <w:r>
        <w:rPr>
          <w:rFonts w:hint="eastAsia" w:hAnsi="宋体"/>
          <w:color w:val="auto"/>
          <w:sz w:val="24"/>
          <w:highlight w:val="none"/>
        </w:rPr>
        <w:t xml:space="preserve">  </w:t>
      </w:r>
      <w:r>
        <w:rPr>
          <w:rFonts w:hint="eastAsia" w:ascii="宋体" w:hAnsi="宋体"/>
          <w:color w:val="auto"/>
          <w:sz w:val="24"/>
          <w:highlight w:val="none"/>
        </w:rPr>
        <w:t xml:space="preserve"> (a) 开标信封。   </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(b) 设计方案。</w:t>
      </w:r>
    </w:p>
    <w:p>
      <w:pPr>
        <w:spacing w:line="360" w:lineRule="auto"/>
        <w:jc w:val="left"/>
        <w:rPr>
          <w:rFonts w:ascii="宋体" w:hAnsi="宋体"/>
          <w:dstrike/>
          <w:color w:val="auto"/>
          <w:sz w:val="24"/>
          <w:highlight w:val="none"/>
        </w:rPr>
      </w:pPr>
      <w:r>
        <w:rPr>
          <w:rFonts w:hint="eastAsia" w:ascii="宋体" w:hAnsi="宋体"/>
          <w:color w:val="auto"/>
          <w:sz w:val="24"/>
          <w:highlight w:val="none"/>
        </w:rPr>
        <w:t xml:space="preserve">   (c) 资格审查文件</w:t>
      </w:r>
      <w:r>
        <w:rPr>
          <w:rFonts w:hint="eastAsia" w:ascii="宋体" w:hAnsi="宋体"/>
          <w:strike/>
          <w:color w:val="auto"/>
          <w:sz w:val="24"/>
          <w:highlight w:val="none"/>
        </w:rPr>
        <w:t>（如果招标人要求提供）</w:t>
      </w:r>
      <w:r>
        <w:rPr>
          <w:rFonts w:hint="eastAsia" w:ascii="宋体" w:hAnsi="宋体"/>
          <w:color w:val="auto"/>
          <w:sz w:val="24"/>
          <w:highlight w:val="none"/>
        </w:rPr>
        <w:t>。</w:t>
      </w:r>
    </w:p>
    <w:p>
      <w:pPr>
        <w:spacing w:line="360" w:lineRule="auto"/>
        <w:jc w:val="left"/>
        <w:rPr>
          <w:rFonts w:hAnsi="宋体"/>
          <w:color w:val="auto"/>
          <w:sz w:val="24"/>
          <w:highlight w:val="none"/>
        </w:rPr>
      </w:pPr>
    </w:p>
    <w:p>
      <w:pPr>
        <w:spacing w:line="360" w:lineRule="auto"/>
        <w:rPr>
          <w:rFonts w:ascii="宋体" w:hAnsi="宋体"/>
          <w:color w:val="auto"/>
          <w:sz w:val="24"/>
          <w:highlight w:val="none"/>
        </w:rPr>
      </w:pPr>
      <w:r>
        <w:rPr>
          <w:rFonts w:hint="eastAsia" w:ascii="宋体" w:hAnsi="宋体"/>
          <w:b/>
          <w:bCs/>
          <w:color w:val="auto"/>
          <w:sz w:val="24"/>
          <w:highlight w:val="none"/>
        </w:rPr>
        <w:t>2    保密要求</w:t>
      </w:r>
    </w:p>
    <w:p>
      <w:pPr>
        <w:spacing w:line="360" w:lineRule="auto"/>
        <w:rPr>
          <w:rFonts w:ascii="宋体" w:hAnsi="宋体"/>
          <w:color w:val="auto"/>
          <w:sz w:val="24"/>
          <w:highlight w:val="none"/>
        </w:rPr>
      </w:pP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2.1    投标文件必须隐匿投标人及专业技术人员的名称，除了《投标书》（格式见附录）</w:t>
      </w:r>
      <w:r>
        <w:rPr>
          <w:rFonts w:hint="eastAsia" w:ascii="宋体" w:hAnsi="宋体"/>
          <w:strike w:val="0"/>
          <w:color w:val="auto"/>
          <w:sz w:val="24"/>
          <w:highlight w:val="none"/>
        </w:rPr>
        <w:t>、《联合体共同投标协议》</w:t>
      </w:r>
      <w:r>
        <w:rPr>
          <w:rFonts w:hint="eastAsia" w:ascii="宋体" w:hAnsi="宋体"/>
          <w:b/>
          <w:bCs/>
          <w:strike w:val="0"/>
          <w:color w:val="auto"/>
          <w:sz w:val="24"/>
          <w:highlight w:val="none"/>
        </w:rPr>
        <w:t>（联合体投标人提供</w:t>
      </w:r>
      <w:r>
        <w:rPr>
          <w:rFonts w:hint="eastAsia" w:ascii="宋体" w:hAnsi="宋体"/>
          <w:b/>
          <w:bCs/>
          <w:strike w:val="0"/>
          <w:color w:val="auto"/>
          <w:sz w:val="24"/>
          <w:highlight w:val="none"/>
          <w:lang w:eastAsia="zh-CN"/>
        </w:rPr>
        <w:t>，</w:t>
      </w:r>
      <w:r>
        <w:rPr>
          <w:rFonts w:hint="eastAsia" w:ascii="宋体" w:hAnsi="宋体"/>
          <w:strike w:val="0"/>
          <w:color w:val="auto"/>
          <w:sz w:val="24"/>
          <w:highlight w:val="none"/>
        </w:rPr>
        <w:t>格式见附录</w:t>
      </w:r>
      <w:r>
        <w:rPr>
          <w:rFonts w:hint="eastAsia" w:ascii="宋体" w:hAnsi="宋体"/>
          <w:b/>
          <w:bCs/>
          <w:strike w:val="0"/>
          <w:color w:val="auto"/>
          <w:sz w:val="24"/>
          <w:highlight w:val="none"/>
        </w:rPr>
        <w:t>）</w:t>
      </w:r>
      <w:r>
        <w:rPr>
          <w:rFonts w:hint="eastAsia" w:ascii="宋体" w:hAnsi="宋体"/>
          <w:color w:val="auto"/>
          <w:sz w:val="24"/>
          <w:highlight w:val="none"/>
        </w:rPr>
        <w:t>、《投标人声明》和资格审查文件外，投标人不得在设计方案上标注或做任何可以辨认投标人及专业技术人员身份的名称、印章、商标、图形等。</w:t>
      </w:r>
    </w:p>
    <w:p>
      <w:pPr>
        <w:spacing w:line="360" w:lineRule="auto"/>
        <w:ind w:left="410" w:hanging="410" w:hangingChars="171"/>
        <w:rPr>
          <w:rFonts w:ascii="宋体" w:hAnsi="宋体"/>
          <w:color w:val="auto"/>
          <w:sz w:val="24"/>
          <w:highlight w:val="none"/>
        </w:rPr>
      </w:pP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3      开标信封</w:t>
      </w:r>
    </w:p>
    <w:p>
      <w:pPr>
        <w:spacing w:line="360" w:lineRule="auto"/>
        <w:rPr>
          <w:rFonts w:ascii="宋体" w:hAnsi="宋体"/>
          <w:color w:val="auto"/>
          <w:sz w:val="24"/>
          <w:highlight w:val="none"/>
        </w:rPr>
      </w:pP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3.1    开标信封内附填妥并签字盖章的《投标书》（格式见附录6）</w:t>
      </w:r>
      <w:r>
        <w:rPr>
          <w:rFonts w:hint="eastAsia" w:ascii="宋体" w:hAnsi="宋体"/>
          <w:strike w:val="0"/>
          <w:color w:val="auto"/>
          <w:sz w:val="24"/>
          <w:highlight w:val="none"/>
        </w:rPr>
        <w:t>，联合体同时附填妥并签字盖章的《联合体共同投标协议》</w:t>
      </w:r>
      <w:r>
        <w:rPr>
          <w:rFonts w:hint="eastAsia" w:ascii="宋体" w:hAnsi="宋体"/>
          <w:b/>
          <w:bCs/>
          <w:strike w:val="0"/>
          <w:color w:val="auto"/>
          <w:sz w:val="24"/>
          <w:highlight w:val="none"/>
        </w:rPr>
        <w:t>（联合体投标人提供</w:t>
      </w:r>
      <w:r>
        <w:rPr>
          <w:rFonts w:hint="eastAsia" w:ascii="宋体" w:hAnsi="宋体"/>
          <w:b/>
          <w:bCs/>
          <w:strike w:val="0"/>
          <w:color w:val="auto"/>
          <w:sz w:val="24"/>
          <w:highlight w:val="none"/>
          <w:lang w:val="en-US" w:eastAsia="zh-CN"/>
        </w:rPr>
        <w:t>,</w:t>
      </w:r>
      <w:r>
        <w:rPr>
          <w:rFonts w:hint="eastAsia" w:ascii="宋体" w:hAnsi="宋体"/>
          <w:strike w:val="0"/>
          <w:color w:val="auto"/>
          <w:sz w:val="24"/>
          <w:highlight w:val="none"/>
        </w:rPr>
        <w:t>格式见附录7</w:t>
      </w:r>
      <w:r>
        <w:rPr>
          <w:rFonts w:hint="eastAsia" w:ascii="宋体" w:hAnsi="宋体"/>
          <w:b/>
          <w:bCs/>
          <w:strike w:val="0"/>
          <w:color w:val="auto"/>
          <w:sz w:val="24"/>
          <w:highlight w:val="none"/>
        </w:rPr>
        <w:t>）</w:t>
      </w:r>
      <w:r>
        <w:rPr>
          <w:rFonts w:hint="eastAsia" w:ascii="宋体" w:hAnsi="宋体"/>
          <w:color w:val="auto"/>
          <w:sz w:val="24"/>
          <w:highlight w:val="none"/>
        </w:rPr>
        <w:t>。未设资格审查环节的项目，还应提供填妥并盖章的《投标人声明》（格式见附录</w:t>
      </w:r>
      <w:r>
        <w:rPr>
          <w:rFonts w:ascii="宋体" w:hAnsi="宋体"/>
          <w:color w:val="auto"/>
          <w:sz w:val="24"/>
          <w:highlight w:val="none"/>
        </w:rPr>
        <w:t>8</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4      设计方案</w:t>
      </w:r>
    </w:p>
    <w:p>
      <w:pPr>
        <w:pStyle w:val="3"/>
        <w:spacing w:line="360" w:lineRule="auto"/>
        <w:ind w:firstLine="0" w:firstLineChars="0"/>
        <w:rPr>
          <w:rFonts w:hAnsi="宋体"/>
          <w:color w:val="auto"/>
          <w:sz w:val="24"/>
          <w:szCs w:val="24"/>
          <w:highlight w:val="none"/>
        </w:rPr>
      </w:pP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4.1    设计方案内容（文件</w:t>
      </w:r>
      <w:r>
        <w:rPr>
          <w:rFonts w:hAnsi="宋体"/>
          <w:color w:val="auto"/>
          <w:sz w:val="24"/>
          <w:szCs w:val="24"/>
          <w:highlight w:val="none"/>
        </w:rPr>
        <w:t>大小不得超过</w:t>
      </w:r>
      <w:r>
        <w:rPr>
          <w:rFonts w:hint="eastAsia" w:hAnsi="宋体"/>
          <w:color w:val="auto"/>
          <w:sz w:val="24"/>
          <w:szCs w:val="24"/>
          <w:highlight w:val="none"/>
        </w:rPr>
        <w:t>500M）：</w:t>
      </w: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 xml:space="preserve">   (a) 首页：写明项目名称、设计作品主题（不宜超过20个字）、编制年月；</w:t>
      </w: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 xml:space="preserve">   (b) 目录；</w:t>
      </w: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 xml:space="preserve">   (c) 设计说明书；</w:t>
      </w: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 xml:space="preserve">   (d) 设计图纸（需包括表现图、分析示意图、总平面图等，可以水平或垂直展示）；</w:t>
      </w: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 xml:space="preserve">   (e) 《设计费报价表》（见附录</w:t>
      </w:r>
      <w:r>
        <w:rPr>
          <w:rFonts w:hAnsi="宋体"/>
          <w:color w:val="auto"/>
          <w:sz w:val="24"/>
          <w:szCs w:val="24"/>
          <w:highlight w:val="none"/>
        </w:rPr>
        <w:t>3</w:t>
      </w:r>
      <w:r>
        <w:rPr>
          <w:rFonts w:hint="eastAsia" w:hAnsi="宋体"/>
          <w:color w:val="auto"/>
          <w:sz w:val="24"/>
          <w:szCs w:val="24"/>
          <w:highlight w:val="none"/>
        </w:rPr>
        <w:t>）；</w:t>
      </w:r>
    </w:p>
    <w:p>
      <w:pPr>
        <w:spacing w:line="360" w:lineRule="auto"/>
        <w:ind w:left="775" w:leftChars="150" w:hanging="460" w:hangingChars="192"/>
        <w:rPr>
          <w:rFonts w:hAnsi="宋体"/>
          <w:strike/>
          <w:color w:val="auto"/>
          <w:sz w:val="24"/>
          <w:highlight w:val="none"/>
        </w:rPr>
      </w:pPr>
      <w:r>
        <w:rPr>
          <w:rFonts w:hint="eastAsia" w:hAnsi="宋体"/>
          <w:strike/>
          <w:color w:val="auto"/>
          <w:sz w:val="24"/>
          <w:highlight w:val="none"/>
        </w:rPr>
        <w:t>(f) 除上述报价外，如果有另需付费的项目，应详细列明勘察工作和收费标准（内容、数量、单价、合价）(适用于含勘察内容的项目)；</w:t>
      </w:r>
    </w:p>
    <w:p>
      <w:pPr>
        <w:spacing w:line="360" w:lineRule="auto"/>
        <w:ind w:left="2"/>
        <w:rPr>
          <w:rFonts w:ascii="宋体" w:hAnsi="宋体"/>
          <w:color w:val="auto"/>
          <w:sz w:val="24"/>
          <w:highlight w:val="none"/>
        </w:rPr>
      </w:pPr>
      <w:r>
        <w:rPr>
          <w:rFonts w:hint="eastAsia" w:hAnsi="宋体"/>
          <w:color w:val="auto"/>
          <w:sz w:val="24"/>
          <w:highlight w:val="none"/>
        </w:rPr>
        <w:t xml:space="preserve">   (f) </w:t>
      </w:r>
      <w:r>
        <w:rPr>
          <w:rFonts w:hint="eastAsia" w:ascii="宋体" w:hAnsi="宋体"/>
          <w:color w:val="auto"/>
          <w:sz w:val="24"/>
          <w:highlight w:val="none"/>
        </w:rPr>
        <w:t>《工期计划表》（方案修改、初步设计的总工时和工期）；</w:t>
      </w:r>
    </w:p>
    <w:p>
      <w:pPr>
        <w:spacing w:line="360" w:lineRule="auto"/>
        <w:rPr>
          <w:rFonts w:ascii="宋体" w:hAnsi="宋体"/>
          <w:color w:val="auto"/>
          <w:sz w:val="24"/>
          <w:highlight w:val="none"/>
        </w:rPr>
      </w:pPr>
      <w:r>
        <w:rPr>
          <w:rFonts w:hint="eastAsia" w:hAnsi="宋体"/>
          <w:color w:val="auto"/>
          <w:sz w:val="24"/>
          <w:highlight w:val="none"/>
        </w:rPr>
        <w:t xml:space="preserve">   (g) </w:t>
      </w:r>
      <w:r>
        <w:rPr>
          <w:rFonts w:hint="eastAsia" w:ascii="宋体" w:hAnsi="宋体"/>
          <w:color w:val="auto"/>
          <w:sz w:val="24"/>
          <w:highlight w:val="none"/>
        </w:rPr>
        <w:t>投标人</w:t>
      </w:r>
      <w:r>
        <w:rPr>
          <w:rFonts w:ascii="宋体" w:hAnsi="宋体"/>
          <w:color w:val="auto"/>
          <w:sz w:val="24"/>
          <w:highlight w:val="none"/>
        </w:rPr>
        <w:t>提出的</w:t>
      </w:r>
      <w:r>
        <w:rPr>
          <w:rFonts w:hint="eastAsia" w:ascii="宋体" w:hAnsi="宋体"/>
          <w:color w:val="auto"/>
          <w:sz w:val="24"/>
          <w:highlight w:val="none"/>
        </w:rPr>
        <w:t>建议、</w:t>
      </w:r>
      <w:r>
        <w:rPr>
          <w:rFonts w:ascii="宋体" w:hAnsi="宋体"/>
          <w:color w:val="auto"/>
          <w:sz w:val="24"/>
          <w:highlight w:val="none"/>
        </w:rPr>
        <w:t>工程创新</w:t>
      </w:r>
      <w:r>
        <w:rPr>
          <w:rFonts w:hint="eastAsia" w:ascii="宋体" w:hAnsi="宋体"/>
          <w:color w:val="auto"/>
          <w:sz w:val="24"/>
          <w:highlight w:val="none"/>
        </w:rPr>
        <w:t>和替代方案（如果有）；</w:t>
      </w:r>
    </w:p>
    <w:p>
      <w:pPr>
        <w:spacing w:line="360" w:lineRule="auto"/>
        <w:rPr>
          <w:rFonts w:ascii="宋体" w:hAnsi="宋体"/>
          <w:color w:val="auto"/>
          <w:sz w:val="24"/>
          <w:highlight w:val="none"/>
        </w:rPr>
      </w:pPr>
      <w:r>
        <w:rPr>
          <w:rFonts w:hint="eastAsia" w:hAnsi="宋体"/>
          <w:color w:val="auto"/>
          <w:sz w:val="24"/>
          <w:highlight w:val="none"/>
        </w:rPr>
        <w:t xml:space="preserve">   (h) </w:t>
      </w:r>
      <w:r>
        <w:rPr>
          <w:rFonts w:hint="eastAsia" w:ascii="宋体" w:hAnsi="宋体"/>
          <w:color w:val="auto"/>
          <w:sz w:val="24"/>
          <w:highlight w:val="none"/>
        </w:rPr>
        <w:t>完成本项目的难点，保障工期、质量的主要措施；</w:t>
      </w:r>
    </w:p>
    <w:p>
      <w:pPr>
        <w:spacing w:line="360" w:lineRule="auto"/>
        <w:ind w:left="821" w:hanging="820" w:hangingChars="342"/>
        <w:rPr>
          <w:rFonts w:ascii="宋体" w:hAnsi="宋体"/>
          <w:strike/>
          <w:color w:val="auto"/>
          <w:sz w:val="24"/>
          <w:highlight w:val="none"/>
        </w:rPr>
      </w:pPr>
      <w:r>
        <w:rPr>
          <w:rFonts w:hint="eastAsia" w:hAnsi="宋体"/>
          <w:strike/>
          <w:color w:val="auto"/>
          <w:sz w:val="24"/>
          <w:highlight w:val="none"/>
        </w:rPr>
        <w:t xml:space="preserve">   (i) </w:t>
      </w:r>
      <w:r>
        <w:rPr>
          <w:rFonts w:hint="eastAsia" w:ascii="宋体" w:hAnsi="宋体"/>
          <w:strike/>
          <w:color w:val="auto"/>
          <w:sz w:val="24"/>
          <w:highlight w:val="none"/>
        </w:rPr>
        <w:t>针对项目场地采用的原位试验种类。勘察方案（勘察手段、方法及工艺）及建议，本次勘察的难点及建议</w:t>
      </w:r>
      <w:r>
        <w:rPr>
          <w:rFonts w:hint="eastAsia" w:hAnsi="宋体"/>
          <w:strike/>
          <w:color w:val="auto"/>
          <w:sz w:val="24"/>
          <w:highlight w:val="none"/>
        </w:rPr>
        <w:t>(适用于含勘察内容的项目)；</w:t>
      </w:r>
    </w:p>
    <w:p>
      <w:pPr>
        <w:spacing w:line="360" w:lineRule="auto"/>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j</w:t>
      </w:r>
      <w:r>
        <w:rPr>
          <w:rFonts w:hint="eastAsia" w:hAnsi="宋体"/>
          <w:strike/>
          <w:color w:val="auto"/>
          <w:sz w:val="24"/>
          <w:highlight w:val="none"/>
        </w:rPr>
        <w:t xml:space="preserve">) </w:t>
      </w:r>
      <w:r>
        <w:rPr>
          <w:rFonts w:hint="eastAsia" w:ascii="宋体" w:hAnsi="宋体"/>
          <w:strike/>
          <w:color w:val="auto"/>
          <w:sz w:val="24"/>
          <w:highlight w:val="none"/>
        </w:rPr>
        <w:t>勘察工作流程和相应的工期进度计划</w:t>
      </w:r>
      <w:r>
        <w:rPr>
          <w:rFonts w:hint="eastAsia" w:hAnsi="宋体"/>
          <w:strike/>
          <w:color w:val="auto"/>
          <w:sz w:val="24"/>
          <w:highlight w:val="none"/>
        </w:rPr>
        <w:t>(适用于含勘察内容的项目)；</w:t>
      </w:r>
    </w:p>
    <w:p>
      <w:pPr>
        <w:spacing w:line="360" w:lineRule="auto"/>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k</w:t>
      </w:r>
      <w:r>
        <w:rPr>
          <w:rFonts w:hint="eastAsia" w:hAnsi="宋体"/>
          <w:strike/>
          <w:color w:val="auto"/>
          <w:sz w:val="24"/>
          <w:highlight w:val="none"/>
        </w:rPr>
        <w:t xml:space="preserve">) </w:t>
      </w:r>
      <w:r>
        <w:rPr>
          <w:rFonts w:hint="eastAsia" w:ascii="宋体" w:hAnsi="宋体"/>
          <w:strike/>
          <w:color w:val="auto"/>
          <w:sz w:val="24"/>
          <w:highlight w:val="none"/>
        </w:rPr>
        <w:t>投入本项目的人数、工种、设备</w:t>
      </w:r>
      <w:r>
        <w:rPr>
          <w:rFonts w:hint="eastAsia" w:hAnsi="宋体"/>
          <w:strike/>
          <w:color w:val="auto"/>
          <w:sz w:val="24"/>
          <w:highlight w:val="none"/>
        </w:rPr>
        <w:t>(适用于含勘察内容的项目)；</w:t>
      </w:r>
    </w:p>
    <w:p>
      <w:pPr>
        <w:spacing w:line="360" w:lineRule="auto"/>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l</w:t>
      </w:r>
      <w:r>
        <w:rPr>
          <w:rFonts w:hint="eastAsia" w:hAnsi="宋体"/>
          <w:strike/>
          <w:color w:val="auto"/>
          <w:sz w:val="24"/>
          <w:highlight w:val="none"/>
        </w:rPr>
        <w:t xml:space="preserve">) </w:t>
      </w:r>
      <w:r>
        <w:rPr>
          <w:rFonts w:hint="eastAsia" w:ascii="宋体" w:hAnsi="宋体"/>
          <w:strike/>
          <w:color w:val="auto"/>
          <w:sz w:val="24"/>
          <w:highlight w:val="none"/>
        </w:rPr>
        <w:t>勘察报告综合评价深度，勘察成果文件内容目录</w:t>
      </w:r>
      <w:r>
        <w:rPr>
          <w:rFonts w:hint="eastAsia" w:hAnsi="宋体"/>
          <w:strike/>
          <w:color w:val="auto"/>
          <w:sz w:val="24"/>
          <w:highlight w:val="none"/>
        </w:rPr>
        <w:t>(适用于含勘察内容的项目)；</w:t>
      </w:r>
    </w:p>
    <w:p>
      <w:pPr>
        <w:spacing w:line="360" w:lineRule="auto"/>
        <w:ind w:left="821" w:hanging="820" w:hangingChars="342"/>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m</w:t>
      </w:r>
      <w:r>
        <w:rPr>
          <w:rFonts w:hint="eastAsia" w:hAnsi="宋体"/>
          <w:strike/>
          <w:color w:val="auto"/>
          <w:sz w:val="24"/>
          <w:highlight w:val="none"/>
        </w:rPr>
        <w:t xml:space="preserve">) </w:t>
      </w:r>
      <w:r>
        <w:rPr>
          <w:rFonts w:hint="eastAsia" w:ascii="宋体" w:hAnsi="宋体"/>
          <w:strike/>
          <w:color w:val="auto"/>
          <w:sz w:val="24"/>
          <w:highlight w:val="none"/>
        </w:rPr>
        <w:t>投标人掌握的勘察工作有关的法律法规、标准、规范一览表</w:t>
      </w:r>
      <w:r>
        <w:rPr>
          <w:rFonts w:hint="eastAsia" w:hAnsi="宋体"/>
          <w:strike/>
          <w:color w:val="auto"/>
          <w:sz w:val="24"/>
          <w:highlight w:val="none"/>
        </w:rPr>
        <w:t>(适用于含勘察内容的项目)；</w:t>
      </w:r>
    </w:p>
    <w:p>
      <w:pPr>
        <w:spacing w:line="360" w:lineRule="auto"/>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n</w:t>
      </w:r>
      <w:r>
        <w:rPr>
          <w:rFonts w:hint="eastAsia" w:hAnsi="宋体"/>
          <w:strike/>
          <w:color w:val="auto"/>
          <w:sz w:val="24"/>
          <w:highlight w:val="none"/>
        </w:rPr>
        <w:t xml:space="preserve">) </w:t>
      </w:r>
      <w:r>
        <w:rPr>
          <w:rFonts w:hint="eastAsia" w:ascii="宋体" w:hAnsi="宋体"/>
          <w:strike/>
          <w:color w:val="auto"/>
          <w:sz w:val="24"/>
          <w:highlight w:val="none"/>
        </w:rPr>
        <w:t>需要建设单位、设计单位配合的事项</w:t>
      </w:r>
      <w:r>
        <w:rPr>
          <w:rFonts w:hint="eastAsia" w:hAnsi="宋体"/>
          <w:strike/>
          <w:color w:val="auto"/>
          <w:sz w:val="24"/>
          <w:highlight w:val="none"/>
        </w:rPr>
        <w:t>(适用于含勘察内容的项目)；</w:t>
      </w:r>
    </w:p>
    <w:p>
      <w:pPr>
        <w:spacing w:line="360" w:lineRule="auto"/>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o</w:t>
      </w:r>
      <w:r>
        <w:rPr>
          <w:rFonts w:hint="eastAsia" w:hAnsi="宋体"/>
          <w:strike/>
          <w:color w:val="auto"/>
          <w:sz w:val="24"/>
          <w:highlight w:val="none"/>
        </w:rPr>
        <w:t xml:space="preserve">) </w:t>
      </w:r>
      <w:r>
        <w:rPr>
          <w:rFonts w:hint="eastAsia" w:ascii="宋体" w:hAnsi="宋体"/>
          <w:strike/>
          <w:color w:val="auto"/>
          <w:sz w:val="24"/>
          <w:highlight w:val="none"/>
        </w:rPr>
        <w:t>发生追记行为的相应赔偿办法</w:t>
      </w:r>
      <w:r>
        <w:rPr>
          <w:rFonts w:hint="eastAsia" w:hAnsi="宋体"/>
          <w:strike/>
          <w:color w:val="auto"/>
          <w:sz w:val="24"/>
          <w:highlight w:val="none"/>
        </w:rPr>
        <w:t>(适用于含勘察内容的项目)；</w:t>
      </w:r>
    </w:p>
    <w:p>
      <w:pPr>
        <w:spacing w:line="360" w:lineRule="auto"/>
        <w:ind w:left="821" w:hanging="820" w:hangingChars="342"/>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p</w:t>
      </w:r>
      <w:r>
        <w:rPr>
          <w:rFonts w:hint="eastAsia" w:hAnsi="宋体"/>
          <w:strike/>
          <w:color w:val="auto"/>
          <w:sz w:val="24"/>
          <w:highlight w:val="none"/>
        </w:rPr>
        <w:t xml:space="preserve">) </w:t>
      </w:r>
      <w:r>
        <w:rPr>
          <w:rFonts w:hint="eastAsia" w:ascii="宋体" w:hAnsi="宋体"/>
          <w:strike/>
          <w:color w:val="auto"/>
          <w:sz w:val="24"/>
          <w:highlight w:val="none"/>
        </w:rPr>
        <w:t>投标人参与施工验槽，解决工程设计和施工中与勘察工作有关问题的服务承诺、响应时间、相关费用</w:t>
      </w:r>
      <w:r>
        <w:rPr>
          <w:rFonts w:hint="eastAsia" w:hAnsi="宋体"/>
          <w:strike/>
          <w:color w:val="auto"/>
          <w:sz w:val="24"/>
          <w:highlight w:val="none"/>
        </w:rPr>
        <w:t>(适用于含勘察内容的项目)；</w:t>
      </w:r>
    </w:p>
    <w:p>
      <w:pPr>
        <w:spacing w:line="360" w:lineRule="auto"/>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q</w:t>
      </w:r>
      <w:r>
        <w:rPr>
          <w:rFonts w:hint="eastAsia" w:hAnsi="宋体"/>
          <w:strike/>
          <w:color w:val="auto"/>
          <w:sz w:val="24"/>
          <w:highlight w:val="none"/>
        </w:rPr>
        <w:t xml:space="preserve">) </w:t>
      </w:r>
      <w:r>
        <w:rPr>
          <w:rFonts w:hint="eastAsia" w:ascii="宋体" w:hAnsi="宋体"/>
          <w:strike/>
          <w:color w:val="auto"/>
          <w:sz w:val="24"/>
          <w:highlight w:val="none"/>
        </w:rPr>
        <w:t>技术培训和职业道德教育情况</w:t>
      </w:r>
      <w:r>
        <w:rPr>
          <w:rFonts w:hint="eastAsia" w:hAnsi="宋体"/>
          <w:strike/>
          <w:color w:val="auto"/>
          <w:sz w:val="24"/>
          <w:highlight w:val="none"/>
        </w:rPr>
        <w:t>(适用于含勘察内容的项目)；</w:t>
      </w:r>
    </w:p>
    <w:p>
      <w:pPr>
        <w:spacing w:line="360" w:lineRule="auto"/>
        <w:rPr>
          <w:rFonts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r</w:t>
      </w:r>
      <w:r>
        <w:rPr>
          <w:rFonts w:hint="eastAsia" w:hAnsi="宋体"/>
          <w:strike/>
          <w:color w:val="auto"/>
          <w:sz w:val="24"/>
          <w:highlight w:val="none"/>
        </w:rPr>
        <w:t xml:space="preserve">) </w:t>
      </w:r>
      <w:r>
        <w:rPr>
          <w:rFonts w:hint="eastAsia" w:ascii="宋体" w:hAnsi="宋体"/>
          <w:strike/>
          <w:color w:val="auto"/>
          <w:sz w:val="24"/>
          <w:highlight w:val="none"/>
        </w:rPr>
        <w:t>以往完工项目的资料分类编目、装订、归档保存的情况</w:t>
      </w:r>
      <w:r>
        <w:rPr>
          <w:rFonts w:hint="eastAsia" w:hAnsi="宋体"/>
          <w:strike/>
          <w:color w:val="auto"/>
          <w:sz w:val="24"/>
          <w:highlight w:val="none"/>
        </w:rPr>
        <w:t xml:space="preserve">(适用于含勘察内容的项目)；   </w:t>
      </w:r>
    </w:p>
    <w:p>
      <w:pPr>
        <w:spacing w:line="360" w:lineRule="auto"/>
        <w:rPr>
          <w:rFonts w:ascii="宋体" w:hAnsi="宋体"/>
          <w:color w:val="auto"/>
          <w:sz w:val="24"/>
          <w:highlight w:val="none"/>
        </w:rPr>
      </w:pPr>
      <w:r>
        <w:rPr>
          <w:rFonts w:hint="eastAsia" w:hAnsi="宋体"/>
          <w:color w:val="auto"/>
          <w:sz w:val="24"/>
          <w:highlight w:val="none"/>
        </w:rPr>
        <w:t>(</w:t>
      </w:r>
      <w:r>
        <w:rPr>
          <w:rFonts w:hAnsi="宋体"/>
          <w:color w:val="auto"/>
          <w:sz w:val="24"/>
          <w:highlight w:val="none"/>
        </w:rPr>
        <w:t>s</w:t>
      </w:r>
      <w:r>
        <w:rPr>
          <w:rFonts w:hint="eastAsia" w:hAnsi="宋体"/>
          <w:color w:val="auto"/>
          <w:sz w:val="24"/>
          <w:highlight w:val="none"/>
        </w:rPr>
        <w:t xml:space="preserve">) </w:t>
      </w:r>
      <w:r>
        <w:rPr>
          <w:rFonts w:hint="eastAsia" w:ascii="宋体" w:hAnsi="宋体"/>
          <w:color w:val="auto"/>
          <w:sz w:val="24"/>
          <w:highlight w:val="none"/>
        </w:rPr>
        <w:t>投标人认为有必要提供的其他资料。</w:t>
      </w:r>
    </w:p>
    <w:p>
      <w:pPr>
        <w:spacing w:line="360" w:lineRule="auto"/>
        <w:rPr>
          <w:rFonts w:ascii="宋体" w:hAnsi="宋体"/>
          <w:color w:val="auto"/>
          <w:sz w:val="24"/>
          <w:highlight w:val="none"/>
        </w:rPr>
      </w:pPr>
    </w:p>
    <w:p>
      <w:pPr>
        <w:spacing w:line="360" w:lineRule="auto"/>
        <w:rPr>
          <w:rFonts w:ascii="宋体" w:hAnsi="宋体"/>
          <w:b/>
          <w:strike/>
          <w:color w:val="auto"/>
          <w:sz w:val="24"/>
          <w:highlight w:val="none"/>
        </w:rPr>
      </w:pPr>
      <w:r>
        <w:rPr>
          <w:rFonts w:ascii="宋体" w:hAnsi="宋体"/>
          <w:b/>
          <w:strike/>
          <w:color w:val="auto"/>
          <w:sz w:val="24"/>
          <w:highlight w:val="none"/>
        </w:rPr>
        <w:t>5</w:t>
      </w:r>
      <w:r>
        <w:rPr>
          <w:rFonts w:hint="eastAsia" w:ascii="宋体" w:hAnsi="宋体"/>
          <w:b/>
          <w:strike/>
          <w:color w:val="auto"/>
          <w:sz w:val="24"/>
          <w:highlight w:val="none"/>
        </w:rPr>
        <w:t xml:space="preserve">      </w:t>
      </w:r>
      <w:r>
        <w:rPr>
          <w:rFonts w:hint="eastAsia" w:ascii="宋体" w:hAnsi="宋体"/>
          <w:b/>
          <w:bCs/>
          <w:strike/>
          <w:color w:val="auto"/>
          <w:sz w:val="24"/>
          <w:highlight w:val="none"/>
        </w:rPr>
        <w:t>深度要求</w:t>
      </w:r>
    </w:p>
    <w:p>
      <w:pPr>
        <w:spacing w:line="360" w:lineRule="auto"/>
        <w:rPr>
          <w:rFonts w:ascii="宋体" w:hAnsi="宋体"/>
          <w:strike/>
          <w:color w:val="auto"/>
          <w:sz w:val="24"/>
          <w:highlight w:val="none"/>
        </w:rPr>
      </w:pPr>
    </w:p>
    <w:p>
      <w:pPr>
        <w:spacing w:line="360" w:lineRule="auto"/>
        <w:ind w:left="821" w:hanging="820" w:hangingChars="342"/>
        <w:jc w:val="left"/>
        <w:rPr>
          <w:rFonts w:ascii="宋体" w:hAnsi="宋体"/>
          <w:strike/>
          <w:color w:val="auto"/>
          <w:sz w:val="24"/>
          <w:highlight w:val="none"/>
        </w:rPr>
      </w:pPr>
      <w:r>
        <w:rPr>
          <w:rFonts w:ascii="宋体" w:hAnsi="宋体"/>
          <w:strike/>
          <w:color w:val="auto"/>
          <w:sz w:val="24"/>
          <w:highlight w:val="none"/>
        </w:rPr>
        <w:t>5</w:t>
      </w:r>
      <w:r>
        <w:rPr>
          <w:rFonts w:hint="eastAsia" w:ascii="宋体" w:hAnsi="宋体"/>
          <w:strike/>
          <w:color w:val="auto"/>
          <w:sz w:val="24"/>
          <w:highlight w:val="none"/>
        </w:rPr>
        <w:t>.1    投标深度要求：</w:t>
      </w:r>
    </w:p>
    <w:p>
      <w:pPr>
        <w:spacing w:line="360" w:lineRule="auto"/>
        <w:ind w:left="821" w:hanging="820" w:hangingChars="342"/>
        <w:jc w:val="left"/>
        <w:rPr>
          <w:rFonts w:ascii="宋体" w:hAnsi="宋体"/>
          <w:strike/>
          <w:color w:val="auto"/>
          <w:sz w:val="24"/>
          <w:highlight w:val="none"/>
        </w:rPr>
      </w:pPr>
      <w:r>
        <w:rPr>
          <w:rFonts w:hint="eastAsia" w:hAnsi="宋体"/>
          <w:strike/>
          <w:color w:val="auto"/>
          <w:sz w:val="24"/>
          <w:highlight w:val="none"/>
        </w:rPr>
        <w:t xml:space="preserve">   (a) </w:t>
      </w:r>
      <w:r>
        <w:rPr>
          <w:rFonts w:hint="eastAsia" w:ascii="宋体" w:hAnsi="宋体"/>
          <w:strike/>
          <w:color w:val="auto"/>
          <w:sz w:val="24"/>
          <w:highlight w:val="none"/>
        </w:rPr>
        <w:t>建筑工程设计投标文件宜达到建设部《建筑工程设计文件编制深度规定》（2016年版）相应设计阶段的要求。</w:t>
      </w:r>
    </w:p>
    <w:p>
      <w:pPr>
        <w:spacing w:line="360" w:lineRule="auto"/>
        <w:ind w:left="821" w:hanging="820" w:hangingChars="342"/>
        <w:jc w:val="left"/>
        <w:rPr>
          <w:rFonts w:ascii="宋体" w:hAnsi="宋体"/>
          <w:strike/>
          <w:color w:val="auto"/>
          <w:sz w:val="24"/>
          <w:highlight w:val="none"/>
        </w:rPr>
      </w:pPr>
      <w:r>
        <w:rPr>
          <w:rFonts w:hint="eastAsia" w:ascii="宋体" w:hAnsi="宋体"/>
          <w:strike/>
          <w:color w:val="auto"/>
          <w:sz w:val="24"/>
          <w:highlight w:val="none"/>
        </w:rPr>
        <w:t xml:space="preserve">  </w:t>
      </w:r>
      <w:r>
        <w:rPr>
          <w:rFonts w:hint="eastAsia" w:hAnsi="宋体"/>
          <w:strike/>
          <w:color w:val="auto"/>
          <w:sz w:val="24"/>
          <w:highlight w:val="none"/>
        </w:rPr>
        <w:t xml:space="preserve"> </w:t>
      </w:r>
      <w:r>
        <w:rPr>
          <w:rFonts w:hAnsi="宋体"/>
          <w:strike/>
          <w:color w:val="auto"/>
          <w:sz w:val="24"/>
          <w:highlight w:val="none"/>
        </w:rPr>
        <w:t>（</w:t>
      </w:r>
      <w:r>
        <w:rPr>
          <w:rFonts w:hint="eastAsia" w:hAnsi="宋体"/>
          <w:strike/>
          <w:color w:val="auto"/>
          <w:sz w:val="24"/>
          <w:highlight w:val="none"/>
        </w:rPr>
        <w:t>b</w:t>
      </w:r>
      <w:r>
        <w:rPr>
          <w:rFonts w:hAnsi="宋体"/>
          <w:strike/>
          <w:color w:val="auto"/>
          <w:sz w:val="24"/>
          <w:highlight w:val="none"/>
        </w:rPr>
        <w:t>）</w:t>
      </w:r>
      <w:r>
        <w:rPr>
          <w:rFonts w:hint="eastAsia" w:hAnsi="宋体"/>
          <w:strike/>
          <w:color w:val="auto"/>
          <w:sz w:val="24"/>
          <w:highlight w:val="none"/>
        </w:rPr>
        <w:t xml:space="preserve"> </w:t>
      </w:r>
      <w:r>
        <w:rPr>
          <w:rFonts w:hint="eastAsia" w:ascii="宋体" w:hAnsi="宋体"/>
          <w:strike/>
          <w:color w:val="auto"/>
          <w:sz w:val="24"/>
          <w:highlight w:val="none"/>
        </w:rPr>
        <w:t>装饰工程设计投标文件，应提供效果图、平面布置图、天花平面图、立面图，以及《材料表》和《投资估算表》。《投资估算表》应列出明细表，豪华灯具、地毯、洁具、重要设备应列出品牌、型号、数量和价格，所有活动家具不包括在工程造价估算以内。</w:t>
      </w:r>
    </w:p>
    <w:p>
      <w:pPr>
        <w:spacing w:line="360" w:lineRule="auto"/>
        <w:jc w:val="left"/>
        <w:rPr>
          <w:rFonts w:ascii="宋体" w:hAnsi="宋体"/>
          <w:strike/>
          <w:color w:val="auto"/>
          <w:sz w:val="24"/>
          <w:highlight w:val="none"/>
        </w:rPr>
      </w:pPr>
      <w:r>
        <w:rPr>
          <w:rFonts w:hint="eastAsia" w:ascii="宋体" w:hAnsi="宋体"/>
          <w:strike/>
          <w:color w:val="auto"/>
          <w:sz w:val="24"/>
          <w:highlight w:val="none"/>
        </w:rPr>
        <w:t xml:space="preserve"> </w:t>
      </w:r>
      <w:r>
        <w:rPr>
          <w:rFonts w:hint="eastAsia" w:hAnsi="宋体"/>
          <w:strike/>
          <w:color w:val="auto"/>
          <w:sz w:val="24"/>
          <w:highlight w:val="none"/>
        </w:rPr>
        <w:t xml:space="preserve">  (c) </w:t>
      </w:r>
      <w:r>
        <w:rPr>
          <w:rFonts w:hint="eastAsia" w:ascii="宋体" w:hAnsi="宋体"/>
          <w:strike/>
          <w:color w:val="auto"/>
          <w:sz w:val="24"/>
          <w:highlight w:val="none"/>
        </w:rPr>
        <w:t>设计独特具有独创性的节点位置，应该提供示意图。</w:t>
      </w:r>
    </w:p>
    <w:p>
      <w:pPr>
        <w:spacing w:line="360" w:lineRule="auto"/>
        <w:jc w:val="left"/>
        <w:rPr>
          <w:rFonts w:ascii="宋体" w:hAnsi="宋体"/>
          <w:color w:val="auto"/>
          <w:sz w:val="24"/>
          <w:highlight w:val="none"/>
        </w:rPr>
      </w:pPr>
    </w:p>
    <w:p>
      <w:pPr>
        <w:spacing w:line="360" w:lineRule="auto"/>
        <w:jc w:val="left"/>
        <w:rPr>
          <w:rFonts w:ascii="宋体" w:hAnsi="宋体"/>
          <w:b/>
          <w:bCs/>
          <w:color w:val="auto"/>
          <w:sz w:val="24"/>
          <w:highlight w:val="none"/>
        </w:rPr>
      </w:pPr>
      <w:r>
        <w:rPr>
          <w:rFonts w:ascii="宋体" w:hAnsi="宋体"/>
          <w:b/>
          <w:bCs/>
          <w:color w:val="auto"/>
          <w:sz w:val="24"/>
          <w:highlight w:val="none"/>
        </w:rPr>
        <w:t>6</w:t>
      </w:r>
      <w:r>
        <w:rPr>
          <w:rFonts w:hint="eastAsia" w:ascii="宋体" w:hAnsi="宋体"/>
          <w:b/>
          <w:bCs/>
          <w:color w:val="auto"/>
          <w:sz w:val="24"/>
          <w:highlight w:val="none"/>
        </w:rPr>
        <w:t xml:space="preserve">    资格审查文件（如有）</w:t>
      </w:r>
    </w:p>
    <w:p>
      <w:pPr>
        <w:pStyle w:val="3"/>
        <w:spacing w:line="360" w:lineRule="auto"/>
        <w:ind w:firstLine="0" w:firstLineChars="0"/>
        <w:rPr>
          <w:rFonts w:hAnsi="宋体"/>
          <w:color w:val="auto"/>
          <w:sz w:val="24"/>
          <w:szCs w:val="24"/>
          <w:highlight w:val="none"/>
        </w:rPr>
      </w:pPr>
    </w:p>
    <w:p>
      <w:pPr>
        <w:pStyle w:val="3"/>
        <w:spacing w:line="360" w:lineRule="auto"/>
        <w:ind w:firstLine="0" w:firstLineChars="0"/>
        <w:rPr>
          <w:rFonts w:hAnsi="宋体"/>
          <w:color w:val="auto"/>
          <w:sz w:val="24"/>
          <w:szCs w:val="24"/>
          <w:highlight w:val="none"/>
        </w:rPr>
      </w:pPr>
      <w:r>
        <w:rPr>
          <w:rFonts w:hAnsi="宋体"/>
          <w:color w:val="auto"/>
          <w:sz w:val="24"/>
          <w:szCs w:val="24"/>
          <w:highlight w:val="none"/>
        </w:rPr>
        <w:t>6</w:t>
      </w:r>
      <w:r>
        <w:rPr>
          <w:rFonts w:hint="eastAsia" w:hAnsi="宋体"/>
          <w:color w:val="auto"/>
          <w:sz w:val="24"/>
          <w:szCs w:val="24"/>
          <w:highlight w:val="none"/>
        </w:rPr>
        <w:t>.1   资格审查文件内容：</w:t>
      </w: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 xml:space="preserve">   (a) 目录；</w:t>
      </w:r>
    </w:p>
    <w:p>
      <w:pPr>
        <w:pStyle w:val="3"/>
        <w:spacing w:line="360" w:lineRule="auto"/>
        <w:ind w:firstLine="0" w:firstLineChars="0"/>
        <w:rPr>
          <w:rFonts w:hAnsi="宋体"/>
          <w:color w:val="auto"/>
          <w:sz w:val="24"/>
          <w:szCs w:val="24"/>
          <w:highlight w:val="none"/>
        </w:rPr>
      </w:pPr>
      <w:r>
        <w:rPr>
          <w:rFonts w:hint="eastAsia" w:hAnsi="宋体"/>
          <w:color w:val="auto"/>
          <w:sz w:val="24"/>
          <w:szCs w:val="24"/>
          <w:highlight w:val="none"/>
        </w:rPr>
        <w:t xml:space="preserve">   (b) 填妥并签字盖章的《投标书》（投标人无需提供，评标委员会根据“开标信封”中的《投标书》进行评审。投标人再次提供且不一致的，以“开标信封”中的《投标书》为准）；</w:t>
      </w:r>
    </w:p>
    <w:p>
      <w:pPr>
        <w:pStyle w:val="3"/>
        <w:spacing w:line="360" w:lineRule="auto"/>
        <w:ind w:firstLine="360" w:firstLineChars="150"/>
        <w:rPr>
          <w:rFonts w:hAnsi="宋体"/>
          <w:color w:val="auto"/>
          <w:sz w:val="24"/>
          <w:szCs w:val="24"/>
          <w:highlight w:val="none"/>
        </w:rPr>
      </w:pPr>
      <w:r>
        <w:rPr>
          <w:rFonts w:hint="eastAsia" w:hAnsi="宋体"/>
          <w:color w:val="auto"/>
          <w:sz w:val="24"/>
          <w:szCs w:val="24"/>
          <w:highlight w:val="none"/>
        </w:rPr>
        <w:t>(c) 填妥并签字盖章的《投标人声明》（格式见附录8）；</w:t>
      </w:r>
    </w:p>
    <w:p>
      <w:pPr>
        <w:spacing w:line="360" w:lineRule="auto"/>
        <w:ind w:left="821" w:hanging="820" w:hangingChars="342"/>
        <w:rPr>
          <w:rFonts w:ascii="宋体" w:hAnsi="宋体"/>
          <w:strike w:val="0"/>
          <w:color w:val="auto"/>
          <w:sz w:val="24"/>
          <w:highlight w:val="none"/>
        </w:rPr>
      </w:pPr>
      <w:r>
        <w:rPr>
          <w:rFonts w:hint="eastAsia" w:ascii="宋体" w:hAnsi="宋体"/>
          <w:strike w:val="0"/>
          <w:color w:val="auto"/>
          <w:sz w:val="24"/>
          <w:highlight w:val="none"/>
        </w:rPr>
        <w:t xml:space="preserve">   (d) 填妥并签字盖章的《联合体投标协议》</w:t>
      </w:r>
      <w:r>
        <w:rPr>
          <w:rFonts w:hint="eastAsia" w:ascii="宋体" w:hAnsi="宋体"/>
          <w:b/>
          <w:bCs/>
          <w:strike w:val="0"/>
          <w:color w:val="auto"/>
          <w:sz w:val="24"/>
          <w:highlight w:val="none"/>
        </w:rPr>
        <w:t>（联合体投标人提供）</w:t>
      </w:r>
      <w:r>
        <w:rPr>
          <w:rFonts w:hint="eastAsia" w:ascii="宋体" w:hAnsi="宋体"/>
          <w:strike w:val="0"/>
          <w:color w:val="auto"/>
          <w:sz w:val="24"/>
          <w:highlight w:val="none"/>
        </w:rPr>
        <w:t>（</w:t>
      </w:r>
      <w:r>
        <w:rPr>
          <w:rFonts w:hint="eastAsia" w:hAnsi="宋体"/>
          <w:strike w:val="0"/>
          <w:color w:val="auto"/>
          <w:sz w:val="24"/>
          <w:highlight w:val="none"/>
        </w:rPr>
        <w:t>投标人无需提供，评标委员会根据“开标信封”中的《</w:t>
      </w:r>
      <w:r>
        <w:rPr>
          <w:rFonts w:hint="eastAsia" w:ascii="宋体" w:hAnsi="宋体"/>
          <w:strike w:val="0"/>
          <w:color w:val="auto"/>
          <w:sz w:val="24"/>
          <w:highlight w:val="none"/>
        </w:rPr>
        <w:t>联合体投标协议</w:t>
      </w:r>
      <w:r>
        <w:rPr>
          <w:rFonts w:hint="eastAsia" w:hAnsi="宋体"/>
          <w:strike w:val="0"/>
          <w:color w:val="auto"/>
          <w:sz w:val="24"/>
          <w:highlight w:val="none"/>
        </w:rPr>
        <w:t>》进行评审。投标人再次提供且不一致的，以“开标信封”中的《</w:t>
      </w:r>
      <w:r>
        <w:rPr>
          <w:rFonts w:hint="eastAsia" w:ascii="宋体" w:hAnsi="宋体"/>
          <w:strike w:val="0"/>
          <w:color w:val="auto"/>
          <w:sz w:val="24"/>
          <w:highlight w:val="none"/>
        </w:rPr>
        <w:t>联合体投标协议</w:t>
      </w:r>
      <w:r>
        <w:rPr>
          <w:rFonts w:hint="eastAsia" w:hAnsi="宋体"/>
          <w:strike w:val="0"/>
          <w:color w:val="auto"/>
          <w:sz w:val="24"/>
          <w:highlight w:val="none"/>
        </w:rPr>
        <w:t>》为准</w:t>
      </w:r>
      <w:r>
        <w:rPr>
          <w:rFonts w:hint="eastAsia" w:ascii="宋体" w:hAnsi="宋体"/>
          <w:strike w:val="0"/>
          <w:color w:val="auto"/>
          <w:sz w:val="24"/>
          <w:highlight w:val="none"/>
        </w:rPr>
        <w:t>）；</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(e) 填妥并签字盖章的《合作设计协议》（外国或香港、澳门、台湾的设计企业提供）（格式自定）；</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(f)</w:t>
      </w:r>
      <w:r>
        <w:rPr>
          <w:rFonts w:hint="eastAsia" w:hAnsi="宋体"/>
          <w:color w:val="auto"/>
          <w:sz w:val="24"/>
          <w:highlight w:val="none"/>
        </w:rPr>
        <w:t xml:space="preserve"> 投标人</w:t>
      </w:r>
      <w:r>
        <w:rPr>
          <w:rFonts w:hint="eastAsia" w:ascii="宋体" w:hAnsi="宋体"/>
          <w:color w:val="auto"/>
          <w:sz w:val="24"/>
          <w:highlight w:val="none"/>
        </w:rPr>
        <w:t>资质证书；</w:t>
      </w:r>
    </w:p>
    <w:p>
      <w:pPr>
        <w:spacing w:line="360" w:lineRule="auto"/>
        <w:ind w:left="789" w:leftChars="67" w:hanging="648" w:hangingChars="270"/>
        <w:rPr>
          <w:rFonts w:ascii="宋体" w:hAnsi="宋体"/>
          <w:color w:val="auto"/>
          <w:sz w:val="24"/>
          <w:highlight w:val="none"/>
        </w:rPr>
      </w:pPr>
      <w:r>
        <w:rPr>
          <w:rFonts w:hint="eastAsia" w:hAnsi="宋体"/>
          <w:color w:val="auto"/>
          <w:sz w:val="24"/>
          <w:highlight w:val="none"/>
        </w:rPr>
        <w:t xml:space="preserve"> </w:t>
      </w:r>
      <w:r>
        <w:rPr>
          <w:rFonts w:hint="eastAsia" w:ascii="宋体" w:hAnsi="宋体"/>
          <w:color w:val="auto"/>
          <w:sz w:val="24"/>
          <w:highlight w:val="none"/>
        </w:rPr>
        <w:t xml:space="preserve"> (g) </w:t>
      </w:r>
      <w:r>
        <w:rPr>
          <w:rFonts w:hint="eastAsia" w:hAnsi="宋体"/>
          <w:color w:val="auto"/>
          <w:sz w:val="24"/>
          <w:highlight w:val="none"/>
        </w:rPr>
        <w:t>申请人已在</w:t>
      </w:r>
      <w:r>
        <w:rPr>
          <w:rFonts w:hint="eastAsia" w:ascii="宋体" w:hAnsi="宋体"/>
          <w:color w:val="auto"/>
          <w:sz w:val="24"/>
          <w:highlight w:val="none"/>
        </w:rPr>
        <w:t>广州市住房和城乡建设局</w:t>
      </w:r>
      <w:r>
        <w:rPr>
          <w:rFonts w:hint="eastAsia" w:ascii="Times New Roman" w:hAnsi="宋体"/>
          <w:color w:val="auto"/>
          <w:sz w:val="24"/>
          <w:highlight w:val="none"/>
        </w:rPr>
        <w:t>建立信用</w:t>
      </w:r>
      <w:r>
        <w:rPr>
          <w:rFonts w:hint="eastAsia" w:hAnsi="宋体"/>
          <w:color w:val="auto"/>
          <w:sz w:val="24"/>
          <w:highlight w:val="none"/>
        </w:rPr>
        <w:t>档案</w:t>
      </w:r>
      <w:r>
        <w:rPr>
          <w:rFonts w:hint="eastAsia" w:ascii="宋体" w:hAnsi="宋体"/>
          <w:color w:val="auto"/>
          <w:sz w:val="24"/>
          <w:highlight w:val="none"/>
        </w:rPr>
        <w:t>；</w:t>
      </w:r>
    </w:p>
    <w:p>
      <w:pPr>
        <w:spacing w:line="360" w:lineRule="auto"/>
        <w:ind w:left="759" w:leftChars="167" w:hanging="408" w:hangingChars="170"/>
        <w:rPr>
          <w:rFonts w:ascii="宋体" w:hAnsi="宋体"/>
          <w:color w:val="auto"/>
          <w:sz w:val="24"/>
          <w:highlight w:val="none"/>
        </w:rPr>
      </w:pPr>
      <w:r>
        <w:rPr>
          <w:rFonts w:hint="eastAsia" w:ascii="宋体" w:hAnsi="宋体"/>
          <w:color w:val="auto"/>
          <w:sz w:val="24"/>
          <w:highlight w:val="none"/>
        </w:rPr>
        <w:t>(h)</w:t>
      </w:r>
      <w:r>
        <w:rPr>
          <w:rFonts w:hint="eastAsia" w:hAnsi="宋体"/>
          <w:color w:val="auto"/>
          <w:sz w:val="24"/>
          <w:highlight w:val="none"/>
        </w:rPr>
        <w:t xml:space="preserve"> 投标申请表（附录1）；</w:t>
      </w:r>
    </w:p>
    <w:p>
      <w:pPr>
        <w:spacing w:line="360" w:lineRule="auto"/>
        <w:rPr>
          <w:rFonts w:ascii="宋体" w:hAnsi="宋体"/>
          <w:color w:val="auto"/>
          <w:sz w:val="24"/>
          <w:highlight w:val="none"/>
        </w:rPr>
      </w:pPr>
      <w:r>
        <w:rPr>
          <w:rFonts w:hint="eastAsia" w:hAnsi="宋体"/>
          <w:color w:val="auto"/>
          <w:sz w:val="24"/>
          <w:highlight w:val="none"/>
        </w:rPr>
        <w:t xml:space="preserve">   </w:t>
      </w:r>
      <w:r>
        <w:rPr>
          <w:rFonts w:hint="eastAsia" w:ascii="宋体" w:hAnsi="宋体"/>
          <w:color w:val="auto"/>
          <w:sz w:val="24"/>
          <w:highlight w:val="none"/>
        </w:rPr>
        <w:t xml:space="preserve">(i) </w:t>
      </w:r>
      <w:r>
        <w:rPr>
          <w:rFonts w:hint="eastAsia" w:hAnsi="宋体"/>
          <w:color w:val="auto"/>
          <w:sz w:val="24"/>
          <w:highlight w:val="none"/>
        </w:rPr>
        <w:t>拟派</w:t>
      </w:r>
      <w:r>
        <w:rPr>
          <w:rFonts w:hint="eastAsia" w:ascii="宋体" w:hAnsi="宋体"/>
          <w:color w:val="auto"/>
          <w:sz w:val="24"/>
          <w:highlight w:val="none"/>
        </w:rPr>
        <w:t>项目负责人注册执业资格证书或职称证书；</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(j)</w:t>
      </w:r>
      <w:r>
        <w:rPr>
          <w:rFonts w:hint="eastAsia" w:hAnsi="宋体"/>
          <w:color w:val="auto"/>
          <w:sz w:val="24"/>
          <w:highlight w:val="none"/>
        </w:rPr>
        <w:t xml:space="preserve"> 拟派各专业负责人</w:t>
      </w:r>
      <w:r>
        <w:rPr>
          <w:rFonts w:hint="eastAsia" w:ascii="宋体" w:hAnsi="宋体"/>
          <w:color w:val="auto"/>
          <w:sz w:val="24"/>
          <w:highlight w:val="none"/>
        </w:rPr>
        <w:t>职称证书及工作简历；</w:t>
      </w:r>
    </w:p>
    <w:p>
      <w:pPr>
        <w:spacing w:line="360" w:lineRule="auto"/>
        <w:ind w:firstLine="480" w:firstLineChars="200"/>
        <w:rPr>
          <w:rFonts w:hint="default" w:eastAsia="宋体"/>
          <w:color w:val="auto"/>
          <w:highlight w:val="none"/>
          <w:lang w:val="en-US" w:eastAsia="zh-CN"/>
        </w:rPr>
      </w:pPr>
      <w:r>
        <w:rPr>
          <w:rFonts w:hint="eastAsia" w:ascii="宋体" w:hAnsi="宋体"/>
          <w:color w:val="auto"/>
          <w:sz w:val="24"/>
          <w:highlight w:val="none"/>
        </w:rPr>
        <w:t>(</w:t>
      </w:r>
      <w:r>
        <w:rPr>
          <w:rFonts w:hint="eastAsia" w:ascii="宋体" w:hAnsi="宋体"/>
          <w:color w:val="auto"/>
          <w:sz w:val="24"/>
          <w:highlight w:val="none"/>
          <w:lang w:val="en-US" w:eastAsia="zh-CN"/>
        </w:rPr>
        <w:t>k</w:t>
      </w:r>
      <w:r>
        <w:rPr>
          <w:rFonts w:hint="eastAsia" w:ascii="宋体" w:hAnsi="宋体"/>
          <w:color w:val="auto"/>
          <w:sz w:val="24"/>
          <w:highlight w:val="none"/>
        </w:rPr>
        <w:t>)</w:t>
      </w:r>
      <w:r>
        <w:rPr>
          <w:rFonts w:hint="eastAsia" w:ascii="宋体" w:hAnsi="宋体"/>
          <w:color w:val="auto"/>
          <w:sz w:val="24"/>
          <w:highlight w:val="none"/>
          <w:lang w:val="en-US" w:eastAsia="zh-CN"/>
        </w:rPr>
        <w:t>投标保证金</w:t>
      </w:r>
    </w:p>
    <w:p>
      <w:pPr>
        <w:spacing w:line="360" w:lineRule="auto"/>
        <w:rPr>
          <w:rFonts w:ascii="宋体" w:hAnsi="宋体"/>
          <w:color w:val="auto"/>
          <w:sz w:val="24"/>
          <w:highlight w:val="none"/>
        </w:rPr>
      </w:pPr>
      <w:r>
        <w:rPr>
          <w:rFonts w:hint="eastAsia" w:hAnsi="宋体"/>
          <w:color w:val="auto"/>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l</w:t>
      </w:r>
      <w:r>
        <w:rPr>
          <w:rFonts w:hint="eastAsia" w:ascii="宋体" w:hAnsi="宋体"/>
          <w:color w:val="auto"/>
          <w:sz w:val="24"/>
          <w:highlight w:val="none"/>
        </w:rPr>
        <w:t>) 投标人认为有必要提供的其他资料。</w:t>
      </w:r>
    </w:p>
    <w:p>
      <w:pPr>
        <w:spacing w:line="360" w:lineRule="auto"/>
        <w:ind w:firstLine="480" w:firstLineChars="200"/>
        <w:rPr>
          <w:rFonts w:ascii="微软雅黑" w:hAnsi="微软雅黑" w:cs="微软雅黑"/>
          <w:color w:val="auto"/>
          <w:sz w:val="16"/>
          <w:szCs w:val="16"/>
          <w:highlight w:val="none"/>
        </w:rPr>
      </w:pPr>
      <w:r>
        <w:rPr>
          <w:rFonts w:hint="eastAsia" w:ascii="宋体" w:hAnsi="宋体"/>
          <w:color w:val="auto"/>
          <w:sz w:val="24"/>
          <w:highlight w:val="none"/>
        </w:rPr>
        <w:t>注：格审查文件中的(f)、(g)取自广州市住房和城乡建设局企业信用档案信息库，投标人档案信息库中记录的该部分上传件将被视为投标人递交投标文件的一部分，不需重复提交。评标委员会对该部分资料的审查将以投标截止时间在广州市住房和城乡建设局企业信用档案信息库内上传件为依据。若招标人延长投标截止时间的，以上资料的评审时点也相应延长。投标人应及时维护其在广州市住房和城乡建设局企业信用档案信息库登记的信息及上传件，确保各项信息及上传件在有效期内。</w:t>
      </w:r>
    </w:p>
    <w:p>
      <w:pPr>
        <w:spacing w:line="360" w:lineRule="auto"/>
        <w:ind w:left="361" w:hanging="361" w:hangingChars="150"/>
        <w:rPr>
          <w:rFonts w:ascii="宋体" w:hAnsi="宋体"/>
          <w:b/>
          <w:bCs/>
          <w:strike/>
          <w:color w:val="auto"/>
          <w:sz w:val="24"/>
          <w:highlight w:val="none"/>
        </w:rPr>
      </w:pPr>
      <w:r>
        <w:rPr>
          <w:rFonts w:hint="eastAsia" w:ascii="宋体" w:hAnsi="宋体"/>
          <w:b/>
          <w:bCs/>
          <w:strike/>
          <w:color w:val="auto"/>
          <w:sz w:val="24"/>
          <w:highlight w:val="none"/>
        </w:rPr>
        <w:t>7</w:t>
      </w:r>
      <w:r>
        <w:rPr>
          <w:rFonts w:ascii="宋体" w:hAnsi="宋体"/>
          <w:b/>
          <w:bCs/>
          <w:strike/>
          <w:color w:val="auto"/>
          <w:sz w:val="24"/>
          <w:highlight w:val="none"/>
        </w:rPr>
        <w:t xml:space="preserve">    </w:t>
      </w:r>
      <w:r>
        <w:rPr>
          <w:rFonts w:hint="eastAsia" w:ascii="宋体" w:hAnsi="宋体"/>
          <w:b/>
          <w:bCs/>
          <w:strike/>
          <w:color w:val="auto"/>
          <w:sz w:val="24"/>
          <w:highlight w:val="none"/>
        </w:rPr>
        <w:t>定标资料（如有）</w:t>
      </w:r>
      <w:bookmarkStart w:id="30" w:name="_GoBack"/>
      <w:bookmarkEnd w:id="30"/>
    </w:p>
    <w:p>
      <w:pPr>
        <w:spacing w:line="360" w:lineRule="auto"/>
        <w:ind w:left="360" w:hanging="360" w:hangingChars="150"/>
        <w:rPr>
          <w:rFonts w:ascii="宋体" w:hAnsi="宋体"/>
          <w:strike/>
          <w:color w:val="auto"/>
          <w:sz w:val="24"/>
          <w:highlight w:val="none"/>
        </w:rPr>
      </w:pPr>
      <w:r>
        <w:rPr>
          <w:rFonts w:hint="eastAsia" w:ascii="宋体" w:hAnsi="宋体"/>
          <w:strike/>
          <w:color w:val="auto"/>
          <w:sz w:val="24"/>
          <w:highlight w:val="none"/>
        </w:rPr>
        <w:t>（由招标人自定）</w:t>
      </w:r>
    </w:p>
    <w:p>
      <w:pPr>
        <w:spacing w:line="360" w:lineRule="auto"/>
        <w:ind w:firstLine="480" w:firstLineChars="200"/>
        <w:rPr>
          <w:rFonts w:ascii="宋体" w:hAnsi="宋体" w:cs="宋体"/>
          <w:color w:val="auto"/>
          <w:szCs w:val="24"/>
          <w:highlight w:val="none"/>
        </w:rPr>
      </w:pPr>
      <w:r>
        <w:rPr>
          <w:rFonts w:ascii="宋体" w:hAnsi="宋体"/>
          <w:strike/>
          <w:color w:val="auto"/>
          <w:sz w:val="24"/>
          <w:highlight w:val="none"/>
        </w:rPr>
        <w:br w:type="page"/>
      </w:r>
    </w:p>
    <w:p>
      <w:pPr>
        <w:keepNext/>
        <w:keepLines/>
        <w:spacing w:line="360" w:lineRule="auto"/>
        <w:outlineLvl w:val="0"/>
        <w:rPr>
          <w:rFonts w:ascii="宋体" w:hAnsi="宋体"/>
          <w:color w:val="auto"/>
          <w:kern w:val="44"/>
          <w:sz w:val="44"/>
          <w:szCs w:val="44"/>
          <w:highlight w:val="none"/>
        </w:rPr>
      </w:pPr>
      <w:bookmarkStart w:id="16" w:name="_Toc2387"/>
      <w:r>
        <w:rPr>
          <w:rFonts w:hint="eastAsia" w:ascii="宋体" w:hAnsi="宋体"/>
          <w:b/>
          <w:bCs/>
          <w:color w:val="auto"/>
          <w:kern w:val="44"/>
          <w:szCs w:val="21"/>
          <w:highlight w:val="none"/>
        </w:rPr>
        <w:t>附件3设计费报价表</w:t>
      </w:r>
      <w:bookmarkEnd w:id="16"/>
    </w:p>
    <w:p>
      <w:pPr>
        <w:spacing w:line="360" w:lineRule="auto"/>
        <w:ind w:firstLine="649" w:firstLineChars="202"/>
        <w:jc w:val="center"/>
        <w:rPr>
          <w:rFonts w:ascii="仿宋_GB2312" w:hAnsi="仿宋_GB2312" w:eastAsia="仿宋_GB2312" w:cs="仿宋_GB2312"/>
          <w:b/>
          <w:bCs/>
          <w:color w:val="auto"/>
          <w:sz w:val="32"/>
          <w:szCs w:val="32"/>
          <w:highlight w:val="none"/>
        </w:rPr>
      </w:pPr>
      <w:r>
        <w:rPr>
          <w:rFonts w:hint="eastAsia" w:ascii="宋体" w:hAnsi="宋体" w:cs="仿宋_GB2312"/>
          <w:b/>
          <w:bCs/>
          <w:color w:val="auto"/>
          <w:sz w:val="32"/>
          <w:szCs w:val="32"/>
          <w:highlight w:val="none"/>
        </w:rPr>
        <w:t>设计费报价表</w:t>
      </w:r>
    </w:p>
    <w:tbl>
      <w:tblPr>
        <w:tblStyle w:val="1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475"/>
        <w:gridCol w:w="115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序号</w:t>
            </w:r>
          </w:p>
        </w:tc>
        <w:tc>
          <w:tcPr>
            <w:tcW w:w="547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项</w:t>
            </w:r>
          </w:p>
        </w:tc>
        <w:tc>
          <w:tcPr>
            <w:tcW w:w="115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报价</w:t>
            </w:r>
          </w:p>
        </w:tc>
        <w:tc>
          <w:tcPr>
            <w:tcW w:w="1745" w:type="dxa"/>
          </w:tcPr>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1</w:t>
            </w:r>
          </w:p>
        </w:tc>
        <w:tc>
          <w:tcPr>
            <w:tcW w:w="5475"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方案设计费</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2</w:t>
            </w:r>
          </w:p>
        </w:tc>
        <w:tc>
          <w:tcPr>
            <w:tcW w:w="5475"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初步设计费</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3</w:t>
            </w:r>
          </w:p>
        </w:tc>
        <w:tc>
          <w:tcPr>
            <w:tcW w:w="5475"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概算编制费</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 w:val="24"/>
                <w:highlight w:val="none"/>
              </w:rPr>
            </w:pPr>
          </w:p>
        </w:tc>
        <w:tc>
          <w:tcPr>
            <w:tcW w:w="5475"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 w:val="24"/>
                <w:highlight w:val="none"/>
              </w:rPr>
            </w:pPr>
          </w:p>
        </w:tc>
        <w:tc>
          <w:tcPr>
            <w:tcW w:w="5475"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设计费小计</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spacing w:line="360" w:lineRule="auto"/>
              <w:rPr>
                <w:rFonts w:ascii="宋体" w:hAnsi="宋体" w:cs="仿宋_GB2312"/>
                <w:color w:val="auto"/>
                <w:sz w:val="24"/>
                <w:highlight w:val="none"/>
              </w:rPr>
            </w:pPr>
          </w:p>
        </w:tc>
        <w:tc>
          <w:tcPr>
            <w:tcW w:w="5475" w:type="dxa"/>
          </w:tcPr>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设计费合计</w:t>
            </w:r>
          </w:p>
        </w:tc>
        <w:tc>
          <w:tcPr>
            <w:tcW w:w="1155" w:type="dxa"/>
          </w:tcPr>
          <w:p>
            <w:pPr>
              <w:spacing w:line="360" w:lineRule="auto"/>
              <w:rPr>
                <w:rFonts w:ascii="宋体" w:hAnsi="宋体" w:cs="仿宋_GB2312"/>
                <w:color w:val="auto"/>
                <w:szCs w:val="21"/>
                <w:highlight w:val="none"/>
              </w:rPr>
            </w:pPr>
          </w:p>
        </w:tc>
        <w:tc>
          <w:tcPr>
            <w:tcW w:w="1745" w:type="dxa"/>
          </w:tcPr>
          <w:p>
            <w:pPr>
              <w:spacing w:line="360" w:lineRule="auto"/>
              <w:rPr>
                <w:rFonts w:ascii="宋体" w:hAnsi="宋体" w:cs="仿宋_GB2312"/>
                <w:color w:val="auto"/>
                <w:szCs w:val="21"/>
                <w:highlight w:val="none"/>
              </w:rPr>
            </w:pPr>
          </w:p>
        </w:tc>
      </w:tr>
    </w:tbl>
    <w:p>
      <w:pPr>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注释：投标人根据《设计费报价表》的要求进行报价。投标人报价应不高于限价。</w:t>
      </w:r>
    </w:p>
    <w:p>
      <w:pPr>
        <w:spacing w:line="360" w:lineRule="auto"/>
        <w:ind w:firstLine="567" w:firstLineChars="270"/>
        <w:jc w:val="left"/>
        <w:rPr>
          <w:rFonts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br w:type="page"/>
      </w:r>
    </w:p>
    <w:p>
      <w:pPr>
        <w:keepNext/>
        <w:keepLines/>
        <w:spacing w:line="360" w:lineRule="auto"/>
        <w:outlineLvl w:val="0"/>
        <w:rPr>
          <w:rFonts w:ascii="宋体" w:hAnsi="宋体"/>
          <w:b/>
          <w:bCs/>
          <w:strike/>
          <w:color w:val="auto"/>
          <w:kern w:val="44"/>
          <w:sz w:val="24"/>
          <w:szCs w:val="44"/>
          <w:highlight w:val="none"/>
        </w:rPr>
      </w:pPr>
      <w:bookmarkStart w:id="17" w:name="_Toc25999"/>
      <w:r>
        <w:rPr>
          <w:rFonts w:hint="eastAsia" w:ascii="宋体" w:hAnsi="宋体"/>
          <w:b/>
          <w:bCs/>
          <w:strike/>
          <w:color w:val="auto"/>
          <w:kern w:val="44"/>
          <w:szCs w:val="21"/>
          <w:highlight w:val="none"/>
        </w:rPr>
        <w:t>附录4建筑工程设计方案测试记录表</w:t>
      </w:r>
      <w:bookmarkEnd w:id="17"/>
    </w:p>
    <w:p>
      <w:pPr>
        <w:spacing w:line="360" w:lineRule="auto"/>
        <w:jc w:val="center"/>
        <w:rPr>
          <w:rFonts w:ascii="宋体" w:hAnsi="宋体"/>
          <w:b/>
          <w:bCs/>
          <w:strike/>
          <w:color w:val="auto"/>
          <w:sz w:val="32"/>
          <w:highlight w:val="none"/>
        </w:rPr>
      </w:pPr>
      <w:r>
        <w:rPr>
          <w:rFonts w:hint="eastAsia" w:ascii="宋体" w:hAnsi="宋体"/>
          <w:b/>
          <w:bCs/>
          <w:strike/>
          <w:color w:val="auto"/>
          <w:sz w:val="32"/>
          <w:highlight w:val="none"/>
        </w:rPr>
        <w:t>建筑工程设计方案测试记录表</w:t>
      </w:r>
    </w:p>
    <w:p>
      <w:pPr>
        <w:spacing w:line="360" w:lineRule="auto"/>
        <w:jc w:val="center"/>
        <w:rPr>
          <w:rFonts w:ascii="宋体" w:hAnsi="宋体"/>
          <w:strike/>
          <w:color w:val="auto"/>
          <w:highlight w:val="none"/>
        </w:rPr>
      </w:pPr>
      <w:r>
        <w:rPr>
          <w:rFonts w:hint="eastAsia" w:ascii="宋体" w:hAnsi="宋体"/>
          <w:strike/>
          <w:color w:val="auto"/>
          <w:highlight w:val="none"/>
        </w:rPr>
        <w:t>（本表宜装订放在设计投标文本文件的设计说明书前面）</w:t>
      </w:r>
    </w:p>
    <w:p>
      <w:pPr>
        <w:spacing w:line="360" w:lineRule="auto"/>
        <w:jc w:val="left"/>
        <w:rPr>
          <w:rFonts w:ascii="宋体" w:hAnsi="宋体"/>
          <w:strike/>
          <w:color w:val="auto"/>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0"/>
        <w:gridCol w:w="108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r>
              <w:rPr>
                <w:rFonts w:hint="eastAsia" w:ascii="宋体" w:hAnsi="宋体"/>
                <w:strike/>
                <w:color w:val="auto"/>
                <w:highlight w:val="none"/>
              </w:rPr>
              <w:t>序号</w:t>
            </w:r>
          </w:p>
        </w:tc>
        <w:tc>
          <w:tcPr>
            <w:tcW w:w="3960" w:type="dxa"/>
          </w:tcPr>
          <w:p>
            <w:pPr>
              <w:spacing w:line="360" w:lineRule="auto"/>
              <w:jc w:val="center"/>
              <w:rPr>
                <w:rFonts w:ascii="宋体" w:hAnsi="宋体"/>
                <w:strike/>
                <w:color w:val="auto"/>
                <w:highlight w:val="none"/>
              </w:rPr>
            </w:pPr>
            <w:r>
              <w:rPr>
                <w:rFonts w:hint="eastAsia" w:ascii="宋体" w:hAnsi="宋体"/>
                <w:strike/>
                <w:color w:val="auto"/>
                <w:highlight w:val="none"/>
              </w:rPr>
              <w:t>指标</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单位</w:t>
            </w:r>
          </w:p>
        </w:tc>
        <w:tc>
          <w:tcPr>
            <w:tcW w:w="3492" w:type="dxa"/>
          </w:tcPr>
          <w:p>
            <w:pPr>
              <w:spacing w:line="360" w:lineRule="auto"/>
              <w:jc w:val="center"/>
              <w:rPr>
                <w:rFonts w:ascii="宋体" w:hAnsi="宋体"/>
                <w:strike/>
                <w:color w:val="auto"/>
                <w:highlight w:val="none"/>
              </w:rPr>
            </w:pPr>
            <w:r>
              <w:rPr>
                <w:rFonts w:hint="eastAsia" w:ascii="宋体" w:hAnsi="宋体"/>
                <w:strike/>
                <w:color w:val="auto"/>
                <w:highlight w:val="none"/>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基地面积</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建筑容积率</w:t>
            </w:r>
          </w:p>
        </w:tc>
        <w:tc>
          <w:tcPr>
            <w:tcW w:w="1080" w:type="dxa"/>
          </w:tcPr>
          <w:p>
            <w:pPr>
              <w:spacing w:line="360" w:lineRule="auto"/>
              <w:jc w:val="center"/>
              <w:rPr>
                <w:rFonts w:ascii="宋体" w:hAnsi="宋体"/>
                <w:strike/>
                <w:color w:val="auto"/>
                <w:highlight w:val="none"/>
              </w:rPr>
            </w:pP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建筑密度</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仿宋_GB2312" w:hAnsi="宋体" w:eastAsia="仿宋_GB2312"/>
                <w:strike/>
                <w:color w:val="auto"/>
                <w:sz w:val="32"/>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绿地率</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总建筑面积</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地上建筑面积</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地下建筑面积</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室内停车位</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个</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室外停车位</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个</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住宅总户数</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户</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90平方米以下户型住宅户数</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户</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住宅</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宾馆</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商业</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办公</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仿宋_GB2312" w:hAnsi="宋体" w:eastAsia="仿宋_GB2312"/>
                <w:strike/>
                <w:color w:val="auto"/>
                <w:sz w:val="32"/>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文教体卫</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工业仓储</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站场设施</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        ]用途</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        ]用途</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        ]用途</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仿宋_GB2312" w:hAnsi="宋体" w:eastAsia="仿宋_GB2312"/>
                <w:strike/>
                <w:color w:val="auto"/>
                <w:sz w:val="32"/>
                <w:highlight w:val="none"/>
              </w:rPr>
            </w:pPr>
          </w:p>
        </w:tc>
        <w:tc>
          <w:tcPr>
            <w:tcW w:w="3960" w:type="dxa"/>
          </w:tcPr>
          <w:p>
            <w:pPr>
              <w:spacing w:line="360" w:lineRule="auto"/>
              <w:rPr>
                <w:rFonts w:ascii="宋体" w:hAnsi="宋体"/>
                <w:strike/>
                <w:color w:val="auto"/>
                <w:highlight w:val="none"/>
              </w:rPr>
            </w:pPr>
            <w:r>
              <w:rPr>
                <w:rFonts w:hint="eastAsia" w:ascii="仿宋_GB2312" w:hAnsi="宋体" w:eastAsia="仿宋_GB2312"/>
                <w:strike/>
                <w:color w:val="auto"/>
                <w:sz w:val="32"/>
                <w:highlight w:val="none"/>
              </w:rPr>
              <w:t>[        ]</w:t>
            </w:r>
            <w:r>
              <w:rPr>
                <w:rFonts w:hint="eastAsia" w:ascii="宋体" w:hAnsi="宋体"/>
                <w:strike/>
                <w:color w:val="auto"/>
                <w:highlight w:val="none"/>
              </w:rPr>
              <w:t>用途</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        ]用途</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平方米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trike/>
                <w:color w:val="auto"/>
                <w:highlight w:val="none"/>
              </w:rPr>
            </w:pPr>
          </w:p>
        </w:tc>
        <w:tc>
          <w:tcPr>
            <w:tcW w:w="3960" w:type="dxa"/>
          </w:tcPr>
          <w:p>
            <w:pPr>
              <w:spacing w:line="360" w:lineRule="auto"/>
              <w:rPr>
                <w:rFonts w:ascii="宋体" w:hAnsi="宋体"/>
                <w:strike/>
                <w:color w:val="auto"/>
                <w:highlight w:val="none"/>
              </w:rPr>
            </w:pPr>
            <w:r>
              <w:rPr>
                <w:rFonts w:hint="eastAsia" w:ascii="宋体" w:hAnsi="宋体"/>
                <w:strike/>
                <w:color w:val="auto"/>
                <w:highlight w:val="none"/>
              </w:rPr>
              <w:t>建筑总高度</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米</w:t>
            </w:r>
          </w:p>
        </w:tc>
        <w:tc>
          <w:tcPr>
            <w:tcW w:w="3492" w:type="dxa"/>
          </w:tcPr>
          <w:p>
            <w:pPr>
              <w:spacing w:line="360" w:lineRule="auto"/>
              <w:jc w:val="center"/>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left"/>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地上层数</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层</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left"/>
              <w:rPr>
                <w:rFonts w:ascii="仿宋_GB2312" w:hAnsi="宋体" w:eastAsia="仿宋_GB2312"/>
                <w:strike/>
                <w:color w:val="auto"/>
                <w:sz w:val="32"/>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地下层数</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层</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left"/>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电梯</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台</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left"/>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楼梯</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樘</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left"/>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主入口朝向</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方向</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left"/>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r>
              <w:rPr>
                <w:rFonts w:hint="eastAsia" w:ascii="宋体" w:hAnsi="宋体"/>
                <w:strike/>
                <w:color w:val="auto"/>
                <w:highlight w:val="none"/>
              </w:rPr>
              <w:t>无日照采光的房间</w:t>
            </w:r>
          </w:p>
        </w:tc>
        <w:tc>
          <w:tcPr>
            <w:tcW w:w="1080" w:type="dxa"/>
          </w:tcPr>
          <w:p>
            <w:pPr>
              <w:spacing w:line="360" w:lineRule="auto"/>
              <w:jc w:val="center"/>
              <w:rPr>
                <w:rFonts w:ascii="宋体" w:hAnsi="宋体"/>
                <w:strike/>
                <w:color w:val="auto"/>
                <w:highlight w:val="none"/>
              </w:rPr>
            </w:pPr>
            <w:r>
              <w:rPr>
                <w:rFonts w:hint="eastAsia" w:ascii="宋体" w:hAnsi="宋体"/>
                <w:strike/>
                <w:color w:val="auto"/>
                <w:highlight w:val="none"/>
              </w:rPr>
              <w:t>个</w:t>
            </w:r>
          </w:p>
        </w:tc>
        <w:tc>
          <w:tcPr>
            <w:tcW w:w="3492" w:type="dxa"/>
          </w:tcPr>
          <w:p>
            <w:pPr>
              <w:spacing w:line="360" w:lineRule="auto"/>
              <w:jc w:val="left"/>
              <w:rPr>
                <w:rFonts w:ascii="宋体" w:hAnsi="宋体"/>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left"/>
              <w:rPr>
                <w:rFonts w:ascii="宋体" w:hAnsi="宋体"/>
                <w:strike/>
                <w:color w:val="auto"/>
                <w:highlight w:val="none"/>
              </w:rPr>
            </w:pPr>
          </w:p>
        </w:tc>
        <w:tc>
          <w:tcPr>
            <w:tcW w:w="3960" w:type="dxa"/>
          </w:tcPr>
          <w:p>
            <w:pPr>
              <w:spacing w:line="360" w:lineRule="auto"/>
              <w:jc w:val="left"/>
              <w:rPr>
                <w:rFonts w:ascii="宋体" w:hAnsi="宋体"/>
                <w:strike/>
                <w:color w:val="auto"/>
                <w:highlight w:val="none"/>
              </w:rPr>
            </w:pPr>
          </w:p>
        </w:tc>
        <w:tc>
          <w:tcPr>
            <w:tcW w:w="1080" w:type="dxa"/>
          </w:tcPr>
          <w:p>
            <w:pPr>
              <w:spacing w:line="360" w:lineRule="auto"/>
              <w:jc w:val="left"/>
              <w:rPr>
                <w:rFonts w:ascii="宋体" w:hAnsi="宋体"/>
                <w:strike/>
                <w:color w:val="auto"/>
                <w:highlight w:val="none"/>
              </w:rPr>
            </w:pPr>
          </w:p>
        </w:tc>
        <w:tc>
          <w:tcPr>
            <w:tcW w:w="3492" w:type="dxa"/>
          </w:tcPr>
          <w:p>
            <w:pPr>
              <w:spacing w:line="360" w:lineRule="auto"/>
              <w:jc w:val="left"/>
              <w:rPr>
                <w:rFonts w:ascii="宋体" w:hAnsi="宋体"/>
                <w:strike/>
                <w:color w:val="auto"/>
                <w:highlight w:val="none"/>
              </w:rPr>
            </w:pPr>
          </w:p>
        </w:tc>
      </w:tr>
    </w:tbl>
    <w:p>
      <w:pPr>
        <w:spacing w:line="360" w:lineRule="auto"/>
        <w:jc w:val="left"/>
        <w:rPr>
          <w:rFonts w:ascii="宋体" w:hAnsi="宋体"/>
          <w:strike/>
          <w:color w:val="auto"/>
          <w:highlight w:val="none"/>
        </w:rPr>
      </w:pPr>
      <w:r>
        <w:rPr>
          <w:rFonts w:hint="eastAsia" w:ascii="宋体" w:hAnsi="宋体"/>
          <w:strike/>
          <w:color w:val="auto"/>
          <w:highlight w:val="none"/>
        </w:rPr>
        <w:t>数值栏由投标人填写。为了确保评选的精确性，在评标委员会评审之前，招标人（招标代理机构）可委托专业人士对设计方案进行测试，借助CAD</w:t>
      </w:r>
    </w:p>
    <w:p>
      <w:pPr>
        <w:spacing w:line="360" w:lineRule="auto"/>
        <w:jc w:val="left"/>
        <w:rPr>
          <w:rFonts w:ascii="宋体" w:hAnsi="宋体"/>
          <w:strike/>
          <w:color w:val="auto"/>
          <w:highlight w:val="none"/>
        </w:rPr>
      </w:pPr>
    </w:p>
    <w:p>
      <w:pPr>
        <w:spacing w:line="360" w:lineRule="auto"/>
        <w:jc w:val="left"/>
        <w:rPr>
          <w:rFonts w:ascii="宋体" w:hAnsi="宋体"/>
          <w:strike/>
          <w:color w:val="auto"/>
          <w:highlight w:val="none"/>
        </w:rPr>
      </w:pPr>
    </w:p>
    <w:p>
      <w:pPr>
        <w:keepNext/>
        <w:keepLines/>
        <w:spacing w:line="360" w:lineRule="auto"/>
        <w:outlineLvl w:val="0"/>
        <w:rPr>
          <w:rFonts w:ascii="宋体" w:hAnsi="宋体"/>
          <w:b/>
          <w:bCs/>
          <w:strike/>
          <w:color w:val="auto"/>
          <w:kern w:val="44"/>
          <w:sz w:val="44"/>
          <w:szCs w:val="44"/>
          <w:highlight w:val="none"/>
        </w:rPr>
      </w:pPr>
      <w:r>
        <w:rPr>
          <w:rFonts w:ascii="宋体" w:hAnsi="宋体"/>
          <w:strike/>
          <w:color w:val="auto"/>
          <w:kern w:val="44"/>
          <w:sz w:val="44"/>
          <w:szCs w:val="44"/>
          <w:highlight w:val="none"/>
        </w:rPr>
        <w:br w:type="page"/>
      </w:r>
      <w:bookmarkStart w:id="18" w:name="_Toc31827"/>
      <w:r>
        <w:rPr>
          <w:rFonts w:hint="eastAsia" w:ascii="宋体" w:hAnsi="宋体"/>
          <w:b/>
          <w:bCs/>
          <w:strike/>
          <w:color w:val="auto"/>
          <w:kern w:val="44"/>
          <w:szCs w:val="21"/>
          <w:highlight w:val="none"/>
        </w:rPr>
        <w:t>附录5勘察投标文件编制要求</w:t>
      </w:r>
      <w:bookmarkEnd w:id="18"/>
    </w:p>
    <w:p>
      <w:pPr>
        <w:spacing w:line="360" w:lineRule="auto"/>
        <w:jc w:val="center"/>
        <w:rPr>
          <w:rFonts w:ascii="宋体" w:hAnsi="宋体"/>
          <w:b/>
          <w:bCs/>
          <w:strike/>
          <w:color w:val="auto"/>
          <w:sz w:val="32"/>
          <w:highlight w:val="none"/>
        </w:rPr>
      </w:pPr>
      <w:r>
        <w:rPr>
          <w:rFonts w:hint="eastAsia" w:ascii="宋体" w:hAnsi="宋体"/>
          <w:b/>
          <w:strike/>
          <w:color w:val="auto"/>
          <w:sz w:val="32"/>
          <w:highlight w:val="none"/>
        </w:rPr>
        <w:t>勘察</w:t>
      </w:r>
      <w:r>
        <w:rPr>
          <w:rFonts w:hint="eastAsia" w:ascii="宋体" w:hAnsi="宋体"/>
          <w:b/>
          <w:bCs/>
          <w:strike/>
          <w:color w:val="auto"/>
          <w:sz w:val="32"/>
          <w:highlight w:val="none"/>
        </w:rPr>
        <w:t>投标文件编制要求</w:t>
      </w:r>
    </w:p>
    <w:p>
      <w:pPr>
        <w:spacing w:line="360" w:lineRule="auto"/>
        <w:jc w:val="center"/>
        <w:rPr>
          <w:rFonts w:ascii="宋体" w:hAnsi="宋体"/>
          <w:strike/>
          <w:color w:val="auto"/>
          <w:sz w:val="24"/>
          <w:highlight w:val="none"/>
        </w:rPr>
      </w:pPr>
      <w:r>
        <w:rPr>
          <w:rFonts w:hint="eastAsia" w:ascii="宋体" w:hAnsi="宋体"/>
          <w:strike/>
          <w:color w:val="auto"/>
          <w:sz w:val="24"/>
          <w:highlight w:val="none"/>
        </w:rPr>
        <w:t>（只适用于勘察投标）</w:t>
      </w:r>
    </w:p>
    <w:p>
      <w:pPr>
        <w:spacing w:line="360" w:lineRule="auto"/>
        <w:jc w:val="center"/>
        <w:rPr>
          <w:rFonts w:ascii="宋体" w:hAnsi="宋体"/>
          <w:strike/>
          <w:color w:val="auto"/>
          <w:sz w:val="24"/>
          <w:highlight w:val="none"/>
        </w:rPr>
      </w:pPr>
    </w:p>
    <w:p>
      <w:pPr>
        <w:spacing w:line="360" w:lineRule="auto"/>
        <w:jc w:val="left"/>
        <w:rPr>
          <w:rFonts w:ascii="宋体" w:hAnsi="宋体"/>
          <w:strike/>
          <w:color w:val="auto"/>
          <w:sz w:val="24"/>
          <w:highlight w:val="none"/>
        </w:rPr>
      </w:pPr>
      <w:r>
        <w:rPr>
          <w:rFonts w:hint="eastAsia" w:ascii="宋体" w:hAnsi="宋体"/>
          <w:b/>
          <w:strike/>
          <w:color w:val="auto"/>
          <w:sz w:val="24"/>
          <w:highlight w:val="none"/>
        </w:rPr>
        <w:t>1</w:t>
      </w:r>
      <w:r>
        <w:rPr>
          <w:rFonts w:hint="eastAsia" w:ascii="宋体" w:hAnsi="宋体"/>
          <w:b/>
          <w:bCs/>
          <w:strike/>
          <w:color w:val="auto"/>
          <w:sz w:val="24"/>
          <w:highlight w:val="none"/>
        </w:rPr>
        <w:t xml:space="preserve">      投标文件</w:t>
      </w:r>
    </w:p>
    <w:p>
      <w:pPr>
        <w:spacing w:line="360" w:lineRule="auto"/>
        <w:jc w:val="left"/>
        <w:rPr>
          <w:rFonts w:ascii="宋体" w:hAnsi="宋体"/>
          <w:strike/>
          <w:color w:val="auto"/>
          <w:sz w:val="24"/>
          <w:highlight w:val="none"/>
        </w:rPr>
      </w:pPr>
    </w:p>
    <w:p>
      <w:pPr>
        <w:spacing w:line="360" w:lineRule="auto"/>
        <w:ind w:left="821" w:hanging="820" w:hangingChars="342"/>
        <w:rPr>
          <w:rFonts w:ascii="宋体" w:hAnsi="宋体"/>
          <w:strike/>
          <w:color w:val="auto"/>
          <w:sz w:val="24"/>
          <w:highlight w:val="none"/>
        </w:rPr>
      </w:pPr>
      <w:r>
        <w:rPr>
          <w:rFonts w:hint="eastAsia" w:ascii="宋体" w:hAnsi="宋体"/>
          <w:strike/>
          <w:color w:val="auto"/>
          <w:sz w:val="24"/>
          <w:highlight w:val="none"/>
        </w:rPr>
        <w:t>1.1    投标文件由下列资料组成。</w:t>
      </w:r>
    </w:p>
    <w:p>
      <w:pPr>
        <w:spacing w:line="360" w:lineRule="auto"/>
        <w:jc w:val="left"/>
        <w:rPr>
          <w:rFonts w:ascii="宋体" w:hAnsi="宋体"/>
          <w:strike/>
          <w:color w:val="auto"/>
          <w:sz w:val="24"/>
          <w:highlight w:val="none"/>
        </w:rPr>
      </w:pPr>
      <w:r>
        <w:rPr>
          <w:rFonts w:hint="eastAsia" w:ascii="宋体" w:hAnsi="宋体"/>
          <w:strike/>
          <w:color w:val="auto"/>
          <w:sz w:val="24"/>
          <w:highlight w:val="none"/>
        </w:rPr>
        <w:t xml:space="preserve">   (a) 开标信封。</w:t>
      </w:r>
    </w:p>
    <w:p>
      <w:pPr>
        <w:spacing w:line="360" w:lineRule="auto"/>
        <w:jc w:val="left"/>
        <w:rPr>
          <w:rFonts w:ascii="宋体" w:hAnsi="宋体"/>
          <w:strike/>
          <w:color w:val="auto"/>
          <w:sz w:val="24"/>
          <w:highlight w:val="none"/>
        </w:rPr>
      </w:pPr>
      <w:r>
        <w:rPr>
          <w:rFonts w:hint="eastAsia" w:ascii="宋体" w:hAnsi="宋体"/>
          <w:strike/>
          <w:color w:val="auto"/>
          <w:sz w:val="24"/>
          <w:highlight w:val="none"/>
        </w:rPr>
        <w:t xml:space="preserve">   (b) 勘察方案。</w:t>
      </w:r>
    </w:p>
    <w:p>
      <w:pPr>
        <w:spacing w:line="360" w:lineRule="auto"/>
        <w:jc w:val="left"/>
        <w:rPr>
          <w:rFonts w:ascii="宋体" w:hAnsi="宋体"/>
          <w:strike/>
          <w:color w:val="auto"/>
          <w:sz w:val="24"/>
          <w:highlight w:val="none"/>
        </w:rPr>
      </w:pPr>
      <w:r>
        <w:rPr>
          <w:rFonts w:hint="eastAsia" w:ascii="宋体" w:hAnsi="宋体"/>
          <w:strike/>
          <w:color w:val="auto"/>
          <w:sz w:val="24"/>
          <w:highlight w:val="none"/>
        </w:rPr>
        <w:t xml:space="preserve">   (c) 资格审查文件（如果招标人要求提供）。</w:t>
      </w:r>
    </w:p>
    <w:p>
      <w:pPr>
        <w:spacing w:line="360" w:lineRule="auto"/>
        <w:jc w:val="left"/>
        <w:rPr>
          <w:rFonts w:ascii="宋体" w:hAnsi="宋体"/>
          <w:strike/>
          <w:color w:val="auto"/>
          <w:sz w:val="24"/>
          <w:highlight w:val="none"/>
        </w:rPr>
      </w:pPr>
    </w:p>
    <w:p>
      <w:pPr>
        <w:spacing w:line="360" w:lineRule="auto"/>
        <w:rPr>
          <w:rFonts w:ascii="宋体" w:hAnsi="宋体"/>
          <w:strike/>
          <w:color w:val="auto"/>
          <w:sz w:val="24"/>
          <w:highlight w:val="none"/>
        </w:rPr>
      </w:pPr>
      <w:r>
        <w:rPr>
          <w:rFonts w:hint="eastAsia" w:ascii="宋体" w:hAnsi="宋体"/>
          <w:b/>
          <w:bCs/>
          <w:strike/>
          <w:color w:val="auto"/>
          <w:sz w:val="24"/>
          <w:highlight w:val="none"/>
        </w:rPr>
        <w:t>2      保密要求</w:t>
      </w:r>
    </w:p>
    <w:p>
      <w:pPr>
        <w:spacing w:line="360" w:lineRule="auto"/>
        <w:rPr>
          <w:rFonts w:ascii="宋体" w:hAnsi="宋体"/>
          <w:strike/>
          <w:color w:val="auto"/>
          <w:sz w:val="24"/>
          <w:highlight w:val="none"/>
        </w:rPr>
      </w:pPr>
    </w:p>
    <w:p>
      <w:pPr>
        <w:spacing w:line="360" w:lineRule="auto"/>
        <w:ind w:left="821" w:hanging="820" w:hangingChars="342"/>
        <w:jc w:val="left"/>
        <w:rPr>
          <w:rFonts w:ascii="宋体" w:hAnsi="宋体"/>
          <w:strike/>
          <w:color w:val="auto"/>
          <w:sz w:val="24"/>
          <w:highlight w:val="none"/>
        </w:rPr>
      </w:pPr>
      <w:r>
        <w:rPr>
          <w:rFonts w:hint="eastAsia" w:ascii="宋体" w:hAnsi="宋体"/>
          <w:strike/>
          <w:color w:val="auto"/>
          <w:sz w:val="24"/>
          <w:highlight w:val="none"/>
        </w:rPr>
        <w:t>2.1    投标文件必须隐匿投标人及专业技术人员的名称，除了《投标书》（格式见附录6）、《联合体投标协议》（格式见附录7）、《投标人声明》和资格审查文件（如有）内的分辨投标人身份的文件外，投标人不得在投标文件的勘察方案上标注或做任何可以辨认投标人及专业技术人员身份的名称、印章、商标、图形等。</w:t>
      </w:r>
    </w:p>
    <w:p>
      <w:pPr>
        <w:spacing w:line="360" w:lineRule="auto"/>
        <w:ind w:left="410" w:hanging="410" w:hangingChars="171"/>
        <w:rPr>
          <w:rFonts w:ascii="宋体" w:hAnsi="宋体"/>
          <w:strike/>
          <w:color w:val="auto"/>
          <w:sz w:val="24"/>
          <w:highlight w:val="none"/>
        </w:rPr>
      </w:pPr>
    </w:p>
    <w:p>
      <w:pPr>
        <w:spacing w:line="360" w:lineRule="auto"/>
        <w:jc w:val="left"/>
        <w:rPr>
          <w:rFonts w:ascii="宋体" w:hAnsi="宋体"/>
          <w:b/>
          <w:bCs/>
          <w:strike/>
          <w:color w:val="auto"/>
          <w:sz w:val="24"/>
          <w:highlight w:val="none"/>
        </w:rPr>
      </w:pPr>
      <w:r>
        <w:rPr>
          <w:rFonts w:hint="eastAsia" w:ascii="宋体" w:hAnsi="宋体"/>
          <w:b/>
          <w:bCs/>
          <w:strike/>
          <w:color w:val="auto"/>
          <w:sz w:val="24"/>
          <w:highlight w:val="none"/>
        </w:rPr>
        <w:t>3      开标信封</w:t>
      </w:r>
    </w:p>
    <w:p>
      <w:pPr>
        <w:spacing w:line="360" w:lineRule="auto"/>
        <w:rPr>
          <w:rFonts w:ascii="宋体" w:hAnsi="宋体"/>
          <w:strike/>
          <w:color w:val="auto"/>
          <w:sz w:val="24"/>
          <w:highlight w:val="none"/>
        </w:rPr>
      </w:pPr>
    </w:p>
    <w:p>
      <w:pPr>
        <w:spacing w:line="360" w:lineRule="auto"/>
        <w:ind w:left="821" w:hanging="820" w:hangingChars="342"/>
        <w:rPr>
          <w:rFonts w:ascii="宋体" w:hAnsi="宋体"/>
          <w:strike/>
          <w:color w:val="auto"/>
          <w:sz w:val="24"/>
          <w:highlight w:val="none"/>
        </w:rPr>
      </w:pPr>
      <w:r>
        <w:rPr>
          <w:rFonts w:hint="eastAsia" w:ascii="宋体" w:hAnsi="宋体"/>
          <w:strike/>
          <w:color w:val="auto"/>
          <w:sz w:val="24"/>
          <w:highlight w:val="none"/>
        </w:rPr>
        <w:t>3.1    开标信封内附填妥并签字盖章的《投标书》（格式见附录6），联合体同时附填妥并签字盖章的《联合体投标协议》（格式见附录7）。未设资格审查环节的项目，还应提供填妥并盖章的《投标人声明》（格式见附录</w:t>
      </w:r>
      <w:r>
        <w:rPr>
          <w:rFonts w:ascii="宋体" w:hAnsi="宋体"/>
          <w:strike/>
          <w:color w:val="auto"/>
          <w:sz w:val="24"/>
          <w:highlight w:val="none"/>
        </w:rPr>
        <w:t>8</w:t>
      </w:r>
      <w:r>
        <w:rPr>
          <w:rFonts w:hint="eastAsia" w:ascii="宋体" w:hAnsi="宋体"/>
          <w:strike/>
          <w:color w:val="auto"/>
          <w:sz w:val="24"/>
          <w:highlight w:val="none"/>
        </w:rPr>
        <w:t>）。</w:t>
      </w:r>
    </w:p>
    <w:p>
      <w:pPr>
        <w:spacing w:line="360" w:lineRule="auto"/>
        <w:rPr>
          <w:rFonts w:ascii="宋体" w:hAnsi="宋体"/>
          <w:strike/>
          <w:color w:val="auto"/>
          <w:sz w:val="24"/>
          <w:highlight w:val="none"/>
        </w:rPr>
      </w:pPr>
    </w:p>
    <w:p>
      <w:pPr>
        <w:spacing w:line="360" w:lineRule="auto"/>
        <w:rPr>
          <w:rFonts w:ascii="宋体" w:hAnsi="宋体"/>
          <w:strike/>
          <w:color w:val="auto"/>
          <w:sz w:val="24"/>
          <w:highlight w:val="none"/>
        </w:rPr>
      </w:pPr>
    </w:p>
    <w:p>
      <w:pPr>
        <w:spacing w:line="360" w:lineRule="auto"/>
        <w:rPr>
          <w:rFonts w:ascii="宋体" w:hAnsi="宋体"/>
          <w:b/>
          <w:strike/>
          <w:color w:val="auto"/>
          <w:sz w:val="24"/>
          <w:highlight w:val="none"/>
        </w:rPr>
      </w:pPr>
      <w:r>
        <w:rPr>
          <w:rFonts w:hint="eastAsia" w:ascii="宋体" w:hAnsi="宋体"/>
          <w:b/>
          <w:strike/>
          <w:color w:val="auto"/>
          <w:sz w:val="24"/>
          <w:highlight w:val="none"/>
        </w:rPr>
        <w:t>4      勘察方案</w:t>
      </w:r>
    </w:p>
    <w:p>
      <w:pPr>
        <w:spacing w:line="360" w:lineRule="auto"/>
        <w:rPr>
          <w:rFonts w:ascii="宋体" w:hAnsi="宋体"/>
          <w:strike/>
          <w:color w:val="auto"/>
          <w:sz w:val="24"/>
          <w:highlight w:val="none"/>
        </w:rPr>
      </w:pPr>
    </w:p>
    <w:p>
      <w:pPr>
        <w:spacing w:line="360" w:lineRule="auto"/>
        <w:rPr>
          <w:rFonts w:ascii="宋体" w:hAnsi="宋体"/>
          <w:strike/>
          <w:color w:val="auto"/>
          <w:sz w:val="24"/>
          <w:szCs w:val="24"/>
          <w:highlight w:val="none"/>
        </w:rPr>
      </w:pPr>
      <w:r>
        <w:rPr>
          <w:rFonts w:hint="eastAsia" w:ascii="宋体" w:hAnsi="宋体"/>
          <w:strike/>
          <w:color w:val="auto"/>
          <w:sz w:val="24"/>
          <w:szCs w:val="24"/>
          <w:highlight w:val="none"/>
        </w:rPr>
        <w:t>4.1    勘察方案内容（文件</w:t>
      </w:r>
      <w:r>
        <w:rPr>
          <w:rFonts w:ascii="宋体" w:hAnsi="宋体"/>
          <w:strike/>
          <w:color w:val="auto"/>
          <w:sz w:val="24"/>
          <w:szCs w:val="24"/>
          <w:highlight w:val="none"/>
        </w:rPr>
        <w:t>大小不得超过</w:t>
      </w:r>
      <w:r>
        <w:rPr>
          <w:rFonts w:hint="eastAsia" w:ascii="宋体" w:hAnsi="宋体"/>
          <w:strike/>
          <w:color w:val="auto"/>
          <w:sz w:val="24"/>
          <w:szCs w:val="24"/>
          <w:highlight w:val="none"/>
        </w:rPr>
        <w:t>500M）：</w:t>
      </w:r>
    </w:p>
    <w:p>
      <w:pPr>
        <w:spacing w:line="360" w:lineRule="auto"/>
        <w:rPr>
          <w:rFonts w:ascii="宋体" w:hAnsi="宋体"/>
          <w:strike/>
          <w:color w:val="auto"/>
          <w:sz w:val="24"/>
          <w:highlight w:val="none"/>
        </w:rPr>
      </w:pPr>
      <w:r>
        <w:rPr>
          <w:rFonts w:hint="eastAsia" w:hAnsi="宋体"/>
          <w:strike/>
          <w:color w:val="auto"/>
          <w:sz w:val="24"/>
          <w:highlight w:val="none"/>
        </w:rPr>
        <w:t xml:space="preserve">   (a) </w:t>
      </w:r>
      <w:r>
        <w:rPr>
          <w:rFonts w:hint="eastAsia" w:ascii="宋体" w:hAnsi="宋体"/>
          <w:strike/>
          <w:color w:val="auto"/>
          <w:sz w:val="24"/>
          <w:highlight w:val="none"/>
        </w:rPr>
        <w:t>首页：写明项目名称、编制年月；</w:t>
      </w:r>
    </w:p>
    <w:p>
      <w:pPr>
        <w:spacing w:line="360" w:lineRule="auto"/>
        <w:rPr>
          <w:rFonts w:ascii="宋体" w:hAnsi="宋体"/>
          <w:strike/>
          <w:color w:val="auto"/>
          <w:sz w:val="24"/>
          <w:szCs w:val="24"/>
          <w:highlight w:val="none"/>
        </w:rPr>
      </w:pPr>
      <w:r>
        <w:rPr>
          <w:rFonts w:hint="eastAsia" w:ascii="宋体" w:hAnsi="宋体"/>
          <w:strike/>
          <w:color w:val="auto"/>
          <w:sz w:val="24"/>
          <w:szCs w:val="24"/>
          <w:highlight w:val="none"/>
        </w:rPr>
        <w:t xml:space="preserve">   (b) 目录；</w:t>
      </w:r>
    </w:p>
    <w:p>
      <w:pPr>
        <w:spacing w:line="360" w:lineRule="auto"/>
        <w:ind w:left="821" w:hanging="820" w:hangingChars="342"/>
        <w:rPr>
          <w:rFonts w:ascii="宋体" w:hAnsi="宋体"/>
          <w:strike/>
          <w:color w:val="auto"/>
          <w:sz w:val="24"/>
          <w:highlight w:val="none"/>
        </w:rPr>
      </w:pPr>
      <w:r>
        <w:rPr>
          <w:rFonts w:hint="eastAsia" w:hAnsi="宋体"/>
          <w:strike/>
          <w:color w:val="auto"/>
          <w:sz w:val="24"/>
          <w:highlight w:val="none"/>
        </w:rPr>
        <w:t xml:space="preserve">  </w:t>
      </w:r>
      <w:r>
        <w:rPr>
          <w:rFonts w:hAnsi="宋体"/>
          <w:strike/>
          <w:color w:val="auto"/>
          <w:sz w:val="24"/>
          <w:highlight w:val="none"/>
        </w:rPr>
        <w:t>（c）</w:t>
      </w:r>
      <w:r>
        <w:rPr>
          <w:rFonts w:hint="eastAsia" w:hAnsi="宋体"/>
          <w:strike/>
          <w:color w:val="auto"/>
          <w:sz w:val="24"/>
          <w:highlight w:val="none"/>
        </w:rPr>
        <w:t>《勘察设计费报价表》（见附录3）</w:t>
      </w:r>
      <w:r>
        <w:rPr>
          <w:rFonts w:hint="eastAsia" w:ascii="宋体" w:hAnsi="宋体"/>
          <w:strike/>
          <w:color w:val="auto"/>
          <w:sz w:val="24"/>
          <w:highlight w:val="none"/>
        </w:rPr>
        <w:t xml:space="preserve">； </w:t>
      </w:r>
    </w:p>
    <w:p>
      <w:pPr>
        <w:spacing w:line="360" w:lineRule="auto"/>
        <w:ind w:left="818" w:hanging="818" w:hangingChars="341"/>
        <w:rPr>
          <w:rFonts w:ascii="宋体" w:hAnsi="宋体"/>
          <w:strike/>
          <w:color w:val="auto"/>
          <w:sz w:val="24"/>
          <w:highlight w:val="none"/>
        </w:rPr>
      </w:pPr>
      <w:r>
        <w:rPr>
          <w:rFonts w:hint="eastAsia" w:hAnsi="宋体"/>
          <w:strike/>
          <w:color w:val="auto"/>
          <w:sz w:val="24"/>
          <w:highlight w:val="none"/>
        </w:rPr>
        <w:t xml:space="preserve">   (d) </w:t>
      </w:r>
      <w:r>
        <w:rPr>
          <w:rFonts w:hint="eastAsia" w:ascii="宋体" w:hAnsi="宋体"/>
          <w:strike/>
          <w:color w:val="auto"/>
          <w:sz w:val="24"/>
          <w:highlight w:val="none"/>
        </w:rPr>
        <w:t xml:space="preserve">除上述报价外，如果有另需付费的项目，应详细列明勘察工作和收费标准（内容、数量、单价、合价）； </w:t>
      </w:r>
    </w:p>
    <w:p>
      <w:pPr>
        <w:spacing w:line="360" w:lineRule="auto"/>
        <w:ind w:left="821" w:hanging="820" w:hangingChars="342"/>
        <w:rPr>
          <w:rFonts w:ascii="宋体" w:hAnsi="宋体"/>
          <w:strike/>
          <w:color w:val="auto"/>
          <w:sz w:val="24"/>
          <w:highlight w:val="none"/>
        </w:rPr>
      </w:pPr>
      <w:r>
        <w:rPr>
          <w:rFonts w:hint="eastAsia" w:hAnsi="宋体"/>
          <w:strike/>
          <w:color w:val="auto"/>
          <w:sz w:val="24"/>
          <w:highlight w:val="none"/>
        </w:rPr>
        <w:t xml:space="preserve">   (e) </w:t>
      </w:r>
      <w:r>
        <w:rPr>
          <w:rFonts w:hint="eastAsia" w:ascii="宋体" w:hAnsi="宋体"/>
          <w:strike/>
          <w:color w:val="auto"/>
          <w:sz w:val="24"/>
          <w:highlight w:val="none"/>
        </w:rPr>
        <w:t>针对项目场地采用的原位试验种类。勘察方案（勘察手段、方法及工艺）及建议，本次勘察的难点及建议；</w:t>
      </w:r>
    </w:p>
    <w:p>
      <w:pPr>
        <w:spacing w:line="360" w:lineRule="auto"/>
        <w:rPr>
          <w:rFonts w:ascii="宋体" w:hAnsi="宋体"/>
          <w:strike/>
          <w:color w:val="auto"/>
          <w:sz w:val="24"/>
          <w:highlight w:val="none"/>
        </w:rPr>
      </w:pPr>
      <w:r>
        <w:rPr>
          <w:rFonts w:hint="eastAsia" w:hAnsi="宋体"/>
          <w:strike/>
          <w:color w:val="auto"/>
          <w:sz w:val="24"/>
          <w:highlight w:val="none"/>
        </w:rPr>
        <w:t xml:space="preserve">   (f) </w:t>
      </w:r>
      <w:r>
        <w:rPr>
          <w:rFonts w:hint="eastAsia" w:ascii="宋体" w:hAnsi="宋体"/>
          <w:strike/>
          <w:color w:val="auto"/>
          <w:sz w:val="24"/>
          <w:highlight w:val="none"/>
        </w:rPr>
        <w:t>勘察工作流程和相应的工期进度计划；</w:t>
      </w:r>
    </w:p>
    <w:p>
      <w:pPr>
        <w:spacing w:line="360" w:lineRule="auto"/>
        <w:rPr>
          <w:rFonts w:ascii="宋体" w:hAnsi="宋体"/>
          <w:strike/>
          <w:color w:val="auto"/>
          <w:sz w:val="24"/>
          <w:highlight w:val="none"/>
        </w:rPr>
      </w:pPr>
      <w:r>
        <w:rPr>
          <w:rFonts w:hint="eastAsia" w:hAnsi="宋体"/>
          <w:strike/>
          <w:color w:val="auto"/>
          <w:sz w:val="24"/>
          <w:highlight w:val="none"/>
        </w:rPr>
        <w:t xml:space="preserve">   (g) </w:t>
      </w:r>
      <w:r>
        <w:rPr>
          <w:rFonts w:hint="eastAsia" w:ascii="宋体" w:hAnsi="宋体"/>
          <w:strike/>
          <w:color w:val="auto"/>
          <w:sz w:val="24"/>
          <w:highlight w:val="none"/>
        </w:rPr>
        <w:t>投入本项目的人数、工种、设备；</w:t>
      </w:r>
    </w:p>
    <w:p>
      <w:pPr>
        <w:spacing w:line="360" w:lineRule="auto"/>
        <w:rPr>
          <w:rFonts w:ascii="宋体" w:hAnsi="宋体"/>
          <w:strike/>
          <w:color w:val="auto"/>
          <w:sz w:val="24"/>
          <w:highlight w:val="none"/>
        </w:rPr>
      </w:pPr>
      <w:r>
        <w:rPr>
          <w:rFonts w:hint="eastAsia" w:hAnsi="宋体"/>
          <w:strike/>
          <w:color w:val="auto"/>
          <w:sz w:val="24"/>
          <w:highlight w:val="none"/>
        </w:rPr>
        <w:t xml:space="preserve">   (h) </w:t>
      </w:r>
      <w:r>
        <w:rPr>
          <w:rFonts w:hint="eastAsia" w:ascii="宋体" w:hAnsi="宋体"/>
          <w:strike/>
          <w:color w:val="auto"/>
          <w:sz w:val="24"/>
          <w:highlight w:val="none"/>
        </w:rPr>
        <w:t>勘察报告综合评价深度，勘察成果文件内容目录；</w:t>
      </w:r>
    </w:p>
    <w:p>
      <w:pPr>
        <w:spacing w:line="360" w:lineRule="auto"/>
        <w:rPr>
          <w:rFonts w:ascii="宋体" w:hAnsi="宋体"/>
          <w:strike/>
          <w:color w:val="auto"/>
          <w:sz w:val="24"/>
          <w:highlight w:val="none"/>
        </w:rPr>
      </w:pPr>
      <w:r>
        <w:rPr>
          <w:rFonts w:hint="eastAsia" w:hAnsi="宋体"/>
          <w:strike/>
          <w:color w:val="auto"/>
          <w:sz w:val="24"/>
          <w:highlight w:val="none"/>
        </w:rPr>
        <w:t xml:space="preserve">   (i) </w:t>
      </w:r>
      <w:r>
        <w:rPr>
          <w:rFonts w:hint="eastAsia" w:ascii="宋体" w:hAnsi="宋体"/>
          <w:strike/>
          <w:color w:val="auto"/>
          <w:sz w:val="24"/>
          <w:highlight w:val="none"/>
        </w:rPr>
        <w:t>投标人掌握的勘察工作有关的法律法规、标准、规范一览表；</w:t>
      </w:r>
    </w:p>
    <w:p>
      <w:pPr>
        <w:spacing w:line="360" w:lineRule="auto"/>
        <w:rPr>
          <w:rFonts w:ascii="宋体" w:hAnsi="宋体"/>
          <w:strike/>
          <w:color w:val="auto"/>
          <w:sz w:val="24"/>
          <w:highlight w:val="none"/>
        </w:rPr>
      </w:pPr>
      <w:r>
        <w:rPr>
          <w:rFonts w:hint="eastAsia" w:hAnsi="宋体"/>
          <w:strike/>
          <w:color w:val="auto"/>
          <w:sz w:val="24"/>
          <w:highlight w:val="none"/>
        </w:rPr>
        <w:t xml:space="preserve">   (j) </w:t>
      </w:r>
      <w:r>
        <w:rPr>
          <w:rFonts w:hint="eastAsia" w:ascii="宋体" w:hAnsi="宋体"/>
          <w:strike/>
          <w:color w:val="auto"/>
          <w:sz w:val="24"/>
          <w:highlight w:val="none"/>
        </w:rPr>
        <w:t>需要建设单位、设计单位配合的事项；</w:t>
      </w:r>
    </w:p>
    <w:p>
      <w:pPr>
        <w:spacing w:line="360" w:lineRule="auto"/>
        <w:rPr>
          <w:rFonts w:ascii="宋体" w:hAnsi="宋体"/>
          <w:strike/>
          <w:color w:val="auto"/>
          <w:sz w:val="24"/>
          <w:highlight w:val="none"/>
        </w:rPr>
      </w:pPr>
      <w:r>
        <w:rPr>
          <w:rFonts w:hint="eastAsia" w:hAnsi="宋体"/>
          <w:strike/>
          <w:color w:val="auto"/>
          <w:sz w:val="24"/>
          <w:highlight w:val="none"/>
        </w:rPr>
        <w:t xml:space="preserve">   (k) </w:t>
      </w:r>
      <w:r>
        <w:rPr>
          <w:rFonts w:hint="eastAsia" w:ascii="宋体" w:hAnsi="宋体"/>
          <w:strike/>
          <w:color w:val="auto"/>
          <w:sz w:val="24"/>
          <w:highlight w:val="none"/>
        </w:rPr>
        <w:t>发生追记行为的相应赔偿办法；</w:t>
      </w:r>
    </w:p>
    <w:p>
      <w:pPr>
        <w:spacing w:line="360" w:lineRule="auto"/>
        <w:ind w:left="821" w:hanging="820" w:hangingChars="342"/>
        <w:rPr>
          <w:rFonts w:ascii="宋体" w:hAnsi="宋体"/>
          <w:strike/>
          <w:color w:val="auto"/>
          <w:sz w:val="24"/>
          <w:highlight w:val="none"/>
        </w:rPr>
      </w:pPr>
      <w:r>
        <w:rPr>
          <w:rFonts w:hint="eastAsia" w:hAnsi="宋体"/>
          <w:strike/>
          <w:color w:val="auto"/>
          <w:sz w:val="24"/>
          <w:highlight w:val="none"/>
        </w:rPr>
        <w:t xml:space="preserve">   (l) </w:t>
      </w:r>
      <w:r>
        <w:rPr>
          <w:rFonts w:hint="eastAsia" w:ascii="宋体" w:hAnsi="宋体"/>
          <w:strike/>
          <w:color w:val="auto"/>
          <w:sz w:val="24"/>
          <w:highlight w:val="none"/>
        </w:rPr>
        <w:t>投标人参与施工验槽，解决工程设计和施工中与勘察工作有关问题的服务承诺、响应时间、相关费用。</w:t>
      </w:r>
    </w:p>
    <w:p>
      <w:pPr>
        <w:spacing w:line="360" w:lineRule="auto"/>
        <w:rPr>
          <w:rFonts w:ascii="宋体" w:hAnsi="宋体"/>
          <w:strike/>
          <w:color w:val="auto"/>
          <w:sz w:val="24"/>
          <w:highlight w:val="none"/>
        </w:rPr>
      </w:pPr>
      <w:r>
        <w:rPr>
          <w:rFonts w:hint="eastAsia" w:hAnsi="宋体"/>
          <w:strike/>
          <w:color w:val="auto"/>
          <w:sz w:val="24"/>
          <w:highlight w:val="none"/>
        </w:rPr>
        <w:t xml:space="preserve">   (m) </w:t>
      </w:r>
      <w:r>
        <w:rPr>
          <w:rFonts w:hint="eastAsia" w:ascii="宋体" w:hAnsi="宋体"/>
          <w:strike/>
          <w:color w:val="auto"/>
          <w:sz w:val="24"/>
          <w:highlight w:val="none"/>
        </w:rPr>
        <w:t>技术培训和职业道德教育情况。</w:t>
      </w:r>
    </w:p>
    <w:p>
      <w:pPr>
        <w:spacing w:line="360" w:lineRule="auto"/>
        <w:rPr>
          <w:rFonts w:ascii="宋体" w:hAnsi="宋体"/>
          <w:strike/>
          <w:color w:val="auto"/>
          <w:sz w:val="24"/>
          <w:highlight w:val="none"/>
        </w:rPr>
      </w:pPr>
      <w:r>
        <w:rPr>
          <w:rFonts w:hint="eastAsia" w:hAnsi="宋体"/>
          <w:strike/>
          <w:color w:val="auto"/>
          <w:sz w:val="24"/>
          <w:highlight w:val="none"/>
        </w:rPr>
        <w:t xml:space="preserve">   (n) </w:t>
      </w:r>
      <w:r>
        <w:rPr>
          <w:rFonts w:hint="eastAsia" w:ascii="宋体" w:hAnsi="宋体"/>
          <w:strike/>
          <w:color w:val="auto"/>
          <w:sz w:val="24"/>
          <w:highlight w:val="none"/>
        </w:rPr>
        <w:t>以往完工项目的资料分类编目、装订、归档保存的情况。</w:t>
      </w:r>
    </w:p>
    <w:p>
      <w:pPr>
        <w:spacing w:line="360" w:lineRule="auto"/>
        <w:rPr>
          <w:rFonts w:ascii="宋体" w:hAnsi="宋体"/>
          <w:strike/>
          <w:color w:val="auto"/>
          <w:sz w:val="24"/>
          <w:highlight w:val="none"/>
        </w:rPr>
      </w:pPr>
    </w:p>
    <w:p>
      <w:pPr>
        <w:spacing w:line="360" w:lineRule="auto"/>
        <w:jc w:val="left"/>
        <w:rPr>
          <w:rFonts w:ascii="宋体" w:hAnsi="宋体"/>
          <w:b/>
          <w:bCs/>
          <w:strike/>
          <w:color w:val="auto"/>
          <w:sz w:val="24"/>
          <w:highlight w:val="none"/>
        </w:rPr>
      </w:pPr>
      <w:r>
        <w:rPr>
          <w:rFonts w:hint="eastAsia" w:ascii="宋体" w:hAnsi="宋体"/>
          <w:b/>
          <w:bCs/>
          <w:strike/>
          <w:color w:val="auto"/>
          <w:sz w:val="24"/>
          <w:highlight w:val="none"/>
        </w:rPr>
        <w:t>5   资格审查文件（如有）</w:t>
      </w:r>
    </w:p>
    <w:p>
      <w:pPr>
        <w:spacing w:line="360" w:lineRule="auto"/>
        <w:rPr>
          <w:rFonts w:ascii="宋体" w:hAnsi="宋体"/>
          <w:strike/>
          <w:color w:val="auto"/>
          <w:sz w:val="24"/>
          <w:szCs w:val="24"/>
          <w:highlight w:val="none"/>
        </w:rPr>
      </w:pPr>
    </w:p>
    <w:p>
      <w:pPr>
        <w:spacing w:line="360" w:lineRule="auto"/>
        <w:rPr>
          <w:rFonts w:ascii="宋体" w:hAnsi="宋体"/>
          <w:strike/>
          <w:color w:val="auto"/>
          <w:sz w:val="24"/>
          <w:szCs w:val="24"/>
          <w:highlight w:val="none"/>
        </w:rPr>
      </w:pPr>
      <w:r>
        <w:rPr>
          <w:rFonts w:hint="eastAsia" w:ascii="宋体" w:hAnsi="宋体"/>
          <w:strike/>
          <w:color w:val="auto"/>
          <w:sz w:val="24"/>
          <w:szCs w:val="24"/>
          <w:highlight w:val="none"/>
        </w:rPr>
        <w:t>5.1   资格审查文件内容：</w:t>
      </w:r>
    </w:p>
    <w:p>
      <w:pPr>
        <w:spacing w:line="360" w:lineRule="auto"/>
        <w:rPr>
          <w:rFonts w:ascii="宋体" w:hAnsi="宋体"/>
          <w:strike/>
          <w:color w:val="auto"/>
          <w:sz w:val="24"/>
          <w:szCs w:val="24"/>
          <w:highlight w:val="none"/>
        </w:rPr>
      </w:pPr>
      <w:r>
        <w:rPr>
          <w:rFonts w:hint="eastAsia" w:ascii="宋体" w:hAnsi="宋体"/>
          <w:strike/>
          <w:color w:val="auto"/>
          <w:sz w:val="24"/>
          <w:szCs w:val="24"/>
          <w:highlight w:val="none"/>
        </w:rPr>
        <w:t xml:space="preserve">   (a) 目录；</w:t>
      </w:r>
    </w:p>
    <w:p>
      <w:pPr>
        <w:spacing w:line="360" w:lineRule="auto"/>
        <w:rPr>
          <w:rFonts w:ascii="宋体" w:hAnsi="宋体"/>
          <w:strike/>
          <w:color w:val="auto"/>
          <w:sz w:val="24"/>
          <w:szCs w:val="24"/>
          <w:highlight w:val="none"/>
        </w:rPr>
      </w:pPr>
      <w:r>
        <w:rPr>
          <w:rFonts w:hint="eastAsia" w:ascii="宋体" w:hAnsi="宋体"/>
          <w:strike/>
          <w:color w:val="auto"/>
          <w:sz w:val="24"/>
          <w:szCs w:val="24"/>
          <w:highlight w:val="none"/>
        </w:rPr>
        <w:t xml:space="preserve">   (b) 填妥并签字盖章的《投标书》（投标人无需</w:t>
      </w:r>
      <w:r>
        <w:rPr>
          <w:rFonts w:ascii="宋体" w:hAnsi="宋体"/>
          <w:strike/>
          <w:color w:val="auto"/>
          <w:sz w:val="24"/>
          <w:szCs w:val="24"/>
          <w:highlight w:val="none"/>
        </w:rPr>
        <w:t>提供，评标委员会根据</w:t>
      </w:r>
      <w:r>
        <w:rPr>
          <w:rFonts w:hint="eastAsia" w:ascii="宋体" w:hAnsi="宋体"/>
          <w:strike/>
          <w:color w:val="auto"/>
          <w:sz w:val="24"/>
          <w:szCs w:val="24"/>
          <w:highlight w:val="none"/>
        </w:rPr>
        <w:t>“开标</w:t>
      </w:r>
      <w:r>
        <w:rPr>
          <w:rFonts w:ascii="宋体" w:hAnsi="宋体"/>
          <w:strike/>
          <w:color w:val="auto"/>
          <w:sz w:val="24"/>
          <w:szCs w:val="24"/>
          <w:highlight w:val="none"/>
        </w:rPr>
        <w:t>信封</w:t>
      </w:r>
      <w:r>
        <w:rPr>
          <w:rFonts w:hint="eastAsia" w:ascii="宋体" w:hAnsi="宋体"/>
          <w:strike/>
          <w:color w:val="auto"/>
          <w:sz w:val="24"/>
          <w:szCs w:val="24"/>
          <w:highlight w:val="none"/>
        </w:rPr>
        <w:t>”中</w:t>
      </w:r>
      <w:r>
        <w:rPr>
          <w:rFonts w:ascii="宋体" w:hAnsi="宋体"/>
          <w:strike/>
          <w:color w:val="auto"/>
          <w:sz w:val="24"/>
          <w:szCs w:val="24"/>
          <w:highlight w:val="none"/>
        </w:rPr>
        <w:t>的《</w:t>
      </w:r>
      <w:r>
        <w:rPr>
          <w:rFonts w:hint="eastAsia" w:ascii="宋体" w:hAnsi="宋体"/>
          <w:strike/>
          <w:color w:val="auto"/>
          <w:sz w:val="24"/>
          <w:szCs w:val="24"/>
          <w:highlight w:val="none"/>
        </w:rPr>
        <w:t>投标书</w:t>
      </w:r>
      <w:r>
        <w:rPr>
          <w:rFonts w:ascii="宋体" w:hAnsi="宋体"/>
          <w:strike/>
          <w:color w:val="auto"/>
          <w:sz w:val="24"/>
          <w:szCs w:val="24"/>
          <w:highlight w:val="none"/>
        </w:rPr>
        <w:t>》</w:t>
      </w:r>
      <w:r>
        <w:rPr>
          <w:rFonts w:hint="eastAsia" w:ascii="宋体" w:hAnsi="宋体"/>
          <w:strike/>
          <w:color w:val="auto"/>
          <w:sz w:val="24"/>
          <w:szCs w:val="24"/>
          <w:highlight w:val="none"/>
        </w:rPr>
        <w:t>进行</w:t>
      </w:r>
      <w:r>
        <w:rPr>
          <w:rFonts w:ascii="宋体" w:hAnsi="宋体"/>
          <w:strike/>
          <w:color w:val="auto"/>
          <w:sz w:val="24"/>
          <w:szCs w:val="24"/>
          <w:highlight w:val="none"/>
        </w:rPr>
        <w:t>评审</w:t>
      </w:r>
      <w:r>
        <w:rPr>
          <w:rFonts w:hint="eastAsia" w:ascii="宋体" w:hAnsi="宋体"/>
          <w:strike/>
          <w:color w:val="auto"/>
          <w:sz w:val="24"/>
          <w:szCs w:val="24"/>
          <w:highlight w:val="none"/>
        </w:rPr>
        <w:t>。</w:t>
      </w:r>
      <w:r>
        <w:rPr>
          <w:rFonts w:ascii="宋体" w:hAnsi="宋体"/>
          <w:strike/>
          <w:color w:val="auto"/>
          <w:sz w:val="24"/>
          <w:szCs w:val="24"/>
          <w:highlight w:val="none"/>
        </w:rPr>
        <w:t>投标人</w:t>
      </w:r>
      <w:r>
        <w:rPr>
          <w:rFonts w:hint="eastAsia" w:ascii="宋体" w:hAnsi="宋体"/>
          <w:strike/>
          <w:color w:val="auto"/>
          <w:sz w:val="24"/>
          <w:szCs w:val="24"/>
          <w:highlight w:val="none"/>
        </w:rPr>
        <w:t>再次</w:t>
      </w:r>
      <w:r>
        <w:rPr>
          <w:rFonts w:ascii="宋体" w:hAnsi="宋体"/>
          <w:strike/>
          <w:color w:val="auto"/>
          <w:sz w:val="24"/>
          <w:szCs w:val="24"/>
          <w:highlight w:val="none"/>
        </w:rPr>
        <w:t>提供且不一致的，以</w:t>
      </w:r>
      <w:r>
        <w:rPr>
          <w:rFonts w:hint="eastAsia" w:ascii="宋体" w:hAnsi="宋体"/>
          <w:strike/>
          <w:color w:val="auto"/>
          <w:sz w:val="24"/>
          <w:szCs w:val="24"/>
          <w:highlight w:val="none"/>
        </w:rPr>
        <w:t>“开标</w:t>
      </w:r>
      <w:r>
        <w:rPr>
          <w:rFonts w:ascii="宋体" w:hAnsi="宋体"/>
          <w:strike/>
          <w:color w:val="auto"/>
          <w:sz w:val="24"/>
          <w:szCs w:val="24"/>
          <w:highlight w:val="none"/>
        </w:rPr>
        <w:t>信封</w:t>
      </w:r>
      <w:r>
        <w:rPr>
          <w:rFonts w:hint="eastAsia" w:ascii="宋体" w:hAnsi="宋体"/>
          <w:strike/>
          <w:color w:val="auto"/>
          <w:sz w:val="24"/>
          <w:szCs w:val="24"/>
          <w:highlight w:val="none"/>
        </w:rPr>
        <w:t>”中</w:t>
      </w:r>
      <w:r>
        <w:rPr>
          <w:rFonts w:ascii="宋体" w:hAnsi="宋体"/>
          <w:strike/>
          <w:color w:val="auto"/>
          <w:sz w:val="24"/>
          <w:szCs w:val="24"/>
          <w:highlight w:val="none"/>
        </w:rPr>
        <w:t>的《</w:t>
      </w:r>
      <w:r>
        <w:rPr>
          <w:rFonts w:hint="eastAsia" w:ascii="宋体" w:hAnsi="宋体"/>
          <w:strike/>
          <w:color w:val="auto"/>
          <w:sz w:val="24"/>
          <w:szCs w:val="24"/>
          <w:highlight w:val="none"/>
        </w:rPr>
        <w:t>投标书</w:t>
      </w:r>
      <w:r>
        <w:rPr>
          <w:rFonts w:ascii="宋体" w:hAnsi="宋体"/>
          <w:strike/>
          <w:color w:val="auto"/>
          <w:sz w:val="24"/>
          <w:szCs w:val="24"/>
          <w:highlight w:val="none"/>
        </w:rPr>
        <w:t>》</w:t>
      </w:r>
      <w:r>
        <w:rPr>
          <w:rFonts w:hint="eastAsia" w:ascii="宋体" w:hAnsi="宋体"/>
          <w:strike/>
          <w:color w:val="auto"/>
          <w:sz w:val="24"/>
          <w:szCs w:val="24"/>
          <w:highlight w:val="none"/>
        </w:rPr>
        <w:t>为准）；</w:t>
      </w:r>
    </w:p>
    <w:p>
      <w:pPr>
        <w:spacing w:line="360" w:lineRule="auto"/>
        <w:ind w:firstLine="360" w:firstLineChars="150"/>
        <w:rPr>
          <w:rFonts w:ascii="宋体" w:hAnsi="宋体"/>
          <w:strike/>
          <w:color w:val="auto"/>
          <w:sz w:val="24"/>
          <w:szCs w:val="24"/>
          <w:highlight w:val="none"/>
        </w:rPr>
      </w:pPr>
      <w:r>
        <w:rPr>
          <w:rFonts w:hint="eastAsia" w:ascii="宋体" w:hAnsi="宋体"/>
          <w:strike/>
          <w:color w:val="auto"/>
          <w:sz w:val="24"/>
          <w:szCs w:val="24"/>
          <w:highlight w:val="none"/>
        </w:rPr>
        <w:t>(c) 填妥并签字盖章的《投标人声明》（格式见附录8）；</w:t>
      </w:r>
    </w:p>
    <w:p>
      <w:pPr>
        <w:spacing w:line="360" w:lineRule="auto"/>
        <w:ind w:left="821" w:hanging="820" w:hangingChars="342"/>
        <w:rPr>
          <w:rFonts w:ascii="宋体" w:hAnsi="宋体"/>
          <w:strike/>
          <w:color w:val="auto"/>
          <w:sz w:val="24"/>
          <w:highlight w:val="none"/>
        </w:rPr>
      </w:pPr>
      <w:r>
        <w:rPr>
          <w:rFonts w:hint="eastAsia" w:ascii="宋体" w:hAnsi="宋体"/>
          <w:strike/>
          <w:color w:val="auto"/>
          <w:sz w:val="24"/>
          <w:highlight w:val="none"/>
        </w:rPr>
        <w:t xml:space="preserve">   (d) 填妥并签字盖章的《联合体投标协议》（联合体投标人提供）（</w:t>
      </w:r>
      <w:r>
        <w:rPr>
          <w:rFonts w:hint="eastAsia" w:hAnsi="宋体"/>
          <w:strike/>
          <w:color w:val="auto"/>
          <w:sz w:val="24"/>
          <w:highlight w:val="none"/>
        </w:rPr>
        <w:t>投标人无需</w:t>
      </w:r>
      <w:r>
        <w:rPr>
          <w:rFonts w:hAnsi="宋体"/>
          <w:strike/>
          <w:color w:val="auto"/>
          <w:sz w:val="24"/>
          <w:highlight w:val="none"/>
        </w:rPr>
        <w:t>提供，评标委员会根据</w:t>
      </w:r>
      <w:r>
        <w:rPr>
          <w:rFonts w:hint="eastAsia" w:hAnsi="宋体"/>
          <w:strike/>
          <w:color w:val="auto"/>
          <w:sz w:val="24"/>
          <w:highlight w:val="none"/>
        </w:rPr>
        <w:t>“开标</w:t>
      </w:r>
      <w:r>
        <w:rPr>
          <w:rFonts w:hAnsi="宋体"/>
          <w:strike/>
          <w:color w:val="auto"/>
          <w:sz w:val="24"/>
          <w:highlight w:val="none"/>
        </w:rPr>
        <w:t>信封</w:t>
      </w:r>
      <w:r>
        <w:rPr>
          <w:rFonts w:hint="eastAsia" w:hAnsi="宋体"/>
          <w:strike/>
          <w:color w:val="auto"/>
          <w:sz w:val="24"/>
          <w:highlight w:val="none"/>
        </w:rPr>
        <w:t>”中</w:t>
      </w:r>
      <w:r>
        <w:rPr>
          <w:rFonts w:hAnsi="宋体"/>
          <w:strike/>
          <w:color w:val="auto"/>
          <w:sz w:val="24"/>
          <w:highlight w:val="none"/>
        </w:rPr>
        <w:t>的《</w:t>
      </w:r>
      <w:r>
        <w:rPr>
          <w:rFonts w:hint="eastAsia" w:ascii="宋体" w:hAnsi="宋体"/>
          <w:strike/>
          <w:color w:val="auto"/>
          <w:sz w:val="24"/>
          <w:highlight w:val="none"/>
        </w:rPr>
        <w:t>联合体投标协议</w:t>
      </w:r>
      <w:r>
        <w:rPr>
          <w:rFonts w:hAnsi="宋体"/>
          <w:strike/>
          <w:color w:val="auto"/>
          <w:sz w:val="24"/>
          <w:highlight w:val="none"/>
        </w:rPr>
        <w:t>》</w:t>
      </w:r>
      <w:r>
        <w:rPr>
          <w:rFonts w:hint="eastAsia" w:hAnsi="宋体"/>
          <w:strike/>
          <w:color w:val="auto"/>
          <w:sz w:val="24"/>
          <w:highlight w:val="none"/>
        </w:rPr>
        <w:t>进行</w:t>
      </w:r>
      <w:r>
        <w:rPr>
          <w:rFonts w:hAnsi="宋体"/>
          <w:strike/>
          <w:color w:val="auto"/>
          <w:sz w:val="24"/>
          <w:highlight w:val="none"/>
        </w:rPr>
        <w:t>评审</w:t>
      </w:r>
      <w:r>
        <w:rPr>
          <w:rFonts w:hint="eastAsia" w:hAnsi="宋体"/>
          <w:strike/>
          <w:color w:val="auto"/>
          <w:sz w:val="24"/>
          <w:highlight w:val="none"/>
        </w:rPr>
        <w:t>。</w:t>
      </w:r>
      <w:r>
        <w:rPr>
          <w:rFonts w:hAnsi="宋体"/>
          <w:strike/>
          <w:color w:val="auto"/>
          <w:sz w:val="24"/>
          <w:highlight w:val="none"/>
        </w:rPr>
        <w:t>投标人</w:t>
      </w:r>
      <w:r>
        <w:rPr>
          <w:rFonts w:hint="eastAsia" w:hAnsi="宋体"/>
          <w:strike/>
          <w:color w:val="auto"/>
          <w:sz w:val="24"/>
          <w:highlight w:val="none"/>
        </w:rPr>
        <w:t>再次</w:t>
      </w:r>
      <w:r>
        <w:rPr>
          <w:rFonts w:hAnsi="宋体"/>
          <w:strike/>
          <w:color w:val="auto"/>
          <w:sz w:val="24"/>
          <w:highlight w:val="none"/>
        </w:rPr>
        <w:t>提供且不一致的，以</w:t>
      </w:r>
      <w:r>
        <w:rPr>
          <w:rFonts w:hint="eastAsia" w:hAnsi="宋体"/>
          <w:strike/>
          <w:color w:val="auto"/>
          <w:sz w:val="24"/>
          <w:highlight w:val="none"/>
        </w:rPr>
        <w:t>“开标</w:t>
      </w:r>
      <w:r>
        <w:rPr>
          <w:rFonts w:hAnsi="宋体"/>
          <w:strike/>
          <w:color w:val="auto"/>
          <w:sz w:val="24"/>
          <w:highlight w:val="none"/>
        </w:rPr>
        <w:t>信封</w:t>
      </w:r>
      <w:r>
        <w:rPr>
          <w:rFonts w:hint="eastAsia" w:hAnsi="宋体"/>
          <w:strike/>
          <w:color w:val="auto"/>
          <w:sz w:val="24"/>
          <w:highlight w:val="none"/>
        </w:rPr>
        <w:t>”中</w:t>
      </w:r>
      <w:r>
        <w:rPr>
          <w:rFonts w:hAnsi="宋体"/>
          <w:strike/>
          <w:color w:val="auto"/>
          <w:sz w:val="24"/>
          <w:highlight w:val="none"/>
        </w:rPr>
        <w:t>的《</w:t>
      </w:r>
      <w:r>
        <w:rPr>
          <w:rFonts w:hint="eastAsia" w:ascii="宋体" w:hAnsi="宋体"/>
          <w:strike/>
          <w:color w:val="auto"/>
          <w:sz w:val="24"/>
          <w:highlight w:val="none"/>
        </w:rPr>
        <w:t>联合体投标协议</w:t>
      </w:r>
      <w:r>
        <w:rPr>
          <w:rFonts w:hAnsi="宋体"/>
          <w:strike/>
          <w:color w:val="auto"/>
          <w:sz w:val="24"/>
          <w:highlight w:val="none"/>
        </w:rPr>
        <w:t>》</w:t>
      </w:r>
      <w:r>
        <w:rPr>
          <w:rFonts w:hint="eastAsia" w:hAnsi="宋体"/>
          <w:strike/>
          <w:color w:val="auto"/>
          <w:sz w:val="24"/>
          <w:highlight w:val="none"/>
        </w:rPr>
        <w:t>为准</w:t>
      </w:r>
      <w:r>
        <w:rPr>
          <w:rFonts w:hint="eastAsia" w:ascii="宋体" w:hAnsi="宋体"/>
          <w:strike/>
          <w:color w:val="auto"/>
          <w:sz w:val="24"/>
          <w:highlight w:val="none"/>
        </w:rPr>
        <w:t>）；</w:t>
      </w:r>
    </w:p>
    <w:p>
      <w:pPr>
        <w:spacing w:line="360" w:lineRule="auto"/>
        <w:ind w:left="821" w:hanging="820" w:hangingChars="342"/>
        <w:rPr>
          <w:rFonts w:ascii="宋体" w:hAnsi="宋体"/>
          <w:strike/>
          <w:color w:val="auto"/>
          <w:sz w:val="24"/>
          <w:highlight w:val="none"/>
        </w:rPr>
      </w:pPr>
      <w:r>
        <w:rPr>
          <w:rFonts w:hint="eastAsia" w:ascii="宋体" w:hAnsi="宋体"/>
          <w:strike/>
          <w:color w:val="auto"/>
          <w:sz w:val="24"/>
          <w:highlight w:val="none"/>
        </w:rPr>
        <w:t xml:space="preserve">   (e) </w:t>
      </w:r>
      <w:r>
        <w:rPr>
          <w:rFonts w:hint="eastAsia" w:hAnsi="宋体"/>
          <w:strike/>
          <w:color w:val="auto"/>
          <w:sz w:val="24"/>
          <w:highlight w:val="none"/>
        </w:rPr>
        <w:t>投标人</w:t>
      </w:r>
      <w:r>
        <w:rPr>
          <w:rFonts w:hint="eastAsia" w:ascii="宋体" w:hAnsi="宋体"/>
          <w:strike/>
          <w:color w:val="auto"/>
          <w:sz w:val="24"/>
          <w:highlight w:val="none"/>
        </w:rPr>
        <w:t>资质证书；</w:t>
      </w:r>
    </w:p>
    <w:p>
      <w:pPr>
        <w:spacing w:line="360" w:lineRule="auto"/>
        <w:ind w:left="821" w:hanging="820" w:hangingChars="342"/>
        <w:rPr>
          <w:rFonts w:ascii="宋体" w:hAnsi="宋体"/>
          <w:strike/>
          <w:color w:val="auto"/>
          <w:sz w:val="24"/>
          <w:highlight w:val="none"/>
        </w:rPr>
      </w:pPr>
      <w:r>
        <w:rPr>
          <w:rFonts w:hint="eastAsia" w:ascii="宋体" w:hAnsi="宋体"/>
          <w:strike/>
          <w:color w:val="auto"/>
          <w:sz w:val="24"/>
          <w:highlight w:val="none"/>
        </w:rPr>
        <w:t xml:space="preserve">   (f) </w:t>
      </w:r>
      <w:r>
        <w:rPr>
          <w:rFonts w:hint="eastAsia" w:hAnsi="宋体"/>
          <w:strike/>
          <w:color w:val="auto"/>
          <w:sz w:val="24"/>
          <w:highlight w:val="none"/>
        </w:rPr>
        <w:t>申请人已在广州市住房和城乡建设局建立诚信档案</w:t>
      </w:r>
      <w:r>
        <w:rPr>
          <w:rFonts w:hint="eastAsia" w:ascii="宋体" w:hAnsi="宋体"/>
          <w:strike/>
          <w:color w:val="auto"/>
          <w:sz w:val="24"/>
          <w:highlight w:val="none"/>
        </w:rPr>
        <w:t>；</w:t>
      </w:r>
    </w:p>
    <w:p>
      <w:pPr>
        <w:spacing w:line="360" w:lineRule="auto"/>
        <w:ind w:left="789" w:leftChars="67" w:hanging="648" w:hangingChars="270"/>
        <w:rPr>
          <w:rFonts w:ascii="宋体" w:hAnsi="宋体"/>
          <w:strike/>
          <w:color w:val="auto"/>
          <w:sz w:val="24"/>
          <w:highlight w:val="none"/>
        </w:rPr>
      </w:pPr>
      <w:r>
        <w:rPr>
          <w:rFonts w:hint="eastAsia" w:hAnsi="宋体"/>
          <w:strike/>
          <w:color w:val="auto"/>
          <w:sz w:val="24"/>
          <w:highlight w:val="none"/>
        </w:rPr>
        <w:t xml:space="preserve">  (g) 投标申请表（附录1）；</w:t>
      </w:r>
    </w:p>
    <w:p>
      <w:pPr>
        <w:spacing w:line="360" w:lineRule="auto"/>
        <w:ind w:left="759" w:leftChars="167" w:hanging="408" w:hangingChars="170"/>
        <w:rPr>
          <w:rFonts w:ascii="宋体" w:hAnsi="宋体"/>
          <w:strike/>
          <w:color w:val="auto"/>
          <w:sz w:val="24"/>
          <w:highlight w:val="none"/>
        </w:rPr>
      </w:pPr>
      <w:r>
        <w:rPr>
          <w:rFonts w:hint="eastAsia" w:hAnsi="宋体"/>
          <w:strike/>
          <w:color w:val="auto"/>
          <w:sz w:val="24"/>
          <w:highlight w:val="none"/>
        </w:rPr>
        <w:t>(h) 拟派</w:t>
      </w:r>
      <w:r>
        <w:rPr>
          <w:rFonts w:hint="eastAsia" w:ascii="宋体" w:hAnsi="宋体"/>
          <w:strike/>
          <w:color w:val="auto"/>
          <w:sz w:val="24"/>
          <w:highlight w:val="none"/>
        </w:rPr>
        <w:t>项目负责人注册执业资格证书或职称证书；</w:t>
      </w:r>
    </w:p>
    <w:p>
      <w:pPr>
        <w:spacing w:line="360" w:lineRule="auto"/>
        <w:rPr>
          <w:rFonts w:ascii="宋体" w:hAnsi="宋体"/>
          <w:strike/>
          <w:color w:val="auto"/>
          <w:sz w:val="24"/>
          <w:highlight w:val="none"/>
        </w:rPr>
      </w:pPr>
      <w:r>
        <w:rPr>
          <w:rFonts w:hint="eastAsia" w:hAnsi="宋体"/>
          <w:strike/>
          <w:color w:val="auto"/>
          <w:sz w:val="24"/>
          <w:highlight w:val="none"/>
        </w:rPr>
        <w:t xml:space="preserve">   (i) 拟派各专业负责人注册</w:t>
      </w:r>
      <w:r>
        <w:rPr>
          <w:rFonts w:hint="eastAsia" w:ascii="宋体" w:hAnsi="宋体"/>
          <w:strike/>
          <w:color w:val="auto"/>
          <w:sz w:val="24"/>
          <w:highlight w:val="none"/>
        </w:rPr>
        <w:t>执业资格证书或职称证书及工作简历；</w:t>
      </w:r>
    </w:p>
    <w:p>
      <w:pPr>
        <w:spacing w:line="360" w:lineRule="auto"/>
        <w:rPr>
          <w:rFonts w:ascii="宋体" w:hAnsi="宋体"/>
          <w:strike/>
          <w:color w:val="auto"/>
          <w:sz w:val="24"/>
          <w:highlight w:val="none"/>
        </w:rPr>
      </w:pPr>
      <w:r>
        <w:rPr>
          <w:rFonts w:hint="eastAsia" w:ascii="宋体" w:hAnsi="宋体"/>
          <w:strike/>
          <w:color w:val="auto"/>
          <w:sz w:val="24"/>
          <w:highlight w:val="none"/>
        </w:rPr>
        <w:t xml:space="preserve">   </w:t>
      </w:r>
      <w:r>
        <w:rPr>
          <w:rFonts w:hint="eastAsia" w:hAnsi="宋体"/>
          <w:strike/>
          <w:color w:val="auto"/>
          <w:sz w:val="24"/>
          <w:highlight w:val="none"/>
        </w:rPr>
        <w:t xml:space="preserve">(j) </w:t>
      </w:r>
      <w:r>
        <w:rPr>
          <w:rFonts w:hint="eastAsia" w:ascii="宋体" w:hAnsi="宋体"/>
          <w:strike/>
          <w:color w:val="auto"/>
          <w:sz w:val="24"/>
          <w:highlight w:val="none"/>
        </w:rPr>
        <w:t>投标人认为有必要提供的其他资料。</w:t>
      </w:r>
    </w:p>
    <w:p>
      <w:pPr>
        <w:spacing w:line="360" w:lineRule="auto"/>
        <w:rPr>
          <w:rFonts w:ascii="宋体" w:hAnsi="宋体"/>
          <w:strike/>
          <w:color w:val="auto"/>
          <w:sz w:val="24"/>
          <w:highlight w:val="none"/>
        </w:rPr>
      </w:pPr>
      <w:r>
        <w:rPr>
          <w:rFonts w:hint="eastAsia" w:hAnsi="宋体"/>
          <w:strike/>
          <w:color w:val="auto"/>
          <w:sz w:val="24"/>
          <w:highlight w:val="none"/>
        </w:rPr>
        <w:t xml:space="preserve">   </w:t>
      </w:r>
    </w:p>
    <w:p>
      <w:pPr>
        <w:spacing w:line="360" w:lineRule="auto"/>
        <w:ind w:left="611" w:leftChars="15" w:hanging="580" w:hangingChars="242"/>
        <w:rPr>
          <w:rFonts w:ascii="宋体" w:hAnsi="宋体"/>
          <w:strike/>
          <w:color w:val="auto"/>
          <w:sz w:val="24"/>
          <w:highlight w:val="none"/>
        </w:rPr>
      </w:pPr>
      <w:r>
        <w:rPr>
          <w:rFonts w:hint="eastAsia" w:ascii="宋体" w:hAnsi="宋体"/>
          <w:strike/>
          <w:color w:val="auto"/>
          <w:sz w:val="24"/>
          <w:highlight w:val="none"/>
        </w:rPr>
        <w:t>注：资格审查文件中的(e)、(f)取自广州市房建和市政企业库，投标人企业库中记录的该部分上传件将被视为投标人递交投标文件的一部分，不需重复提交。评标委员会对该部分资料的审查将以投标截止时间在广州市房建和市政企业库内上传件为依据。若招标人延长投标截止时间的，以上资料的评审时点也相应延长。投标人应及时维护其在广州市房建和市政企业库登记的信息及上传件，确保各项信息及上传件在有效期内。</w:t>
      </w:r>
    </w:p>
    <w:p>
      <w:pPr>
        <w:spacing w:line="360" w:lineRule="auto"/>
        <w:ind w:left="611" w:leftChars="15" w:hanging="580" w:hangingChars="242"/>
        <w:rPr>
          <w:rFonts w:ascii="宋体" w:hAnsi="宋体"/>
          <w:strike/>
          <w:color w:val="auto"/>
          <w:sz w:val="24"/>
          <w:highlight w:val="none"/>
        </w:rPr>
      </w:pPr>
    </w:p>
    <w:p>
      <w:pPr>
        <w:spacing w:line="360" w:lineRule="auto"/>
        <w:ind w:left="361" w:hanging="361" w:hangingChars="150"/>
        <w:rPr>
          <w:rFonts w:ascii="宋体" w:hAnsi="宋体"/>
          <w:b/>
          <w:bCs/>
          <w:strike/>
          <w:color w:val="auto"/>
          <w:sz w:val="24"/>
          <w:highlight w:val="none"/>
        </w:rPr>
      </w:pPr>
      <w:r>
        <w:rPr>
          <w:rFonts w:ascii="宋体" w:hAnsi="宋体"/>
          <w:b/>
          <w:bCs/>
          <w:strike/>
          <w:color w:val="auto"/>
          <w:sz w:val="24"/>
          <w:highlight w:val="none"/>
        </w:rPr>
        <w:t xml:space="preserve">6    </w:t>
      </w:r>
      <w:r>
        <w:rPr>
          <w:rFonts w:hint="eastAsia" w:ascii="宋体" w:hAnsi="宋体"/>
          <w:b/>
          <w:bCs/>
          <w:strike/>
          <w:color w:val="auto"/>
          <w:sz w:val="24"/>
          <w:highlight w:val="none"/>
        </w:rPr>
        <w:t>定标资料（如有）</w:t>
      </w:r>
    </w:p>
    <w:p>
      <w:pPr>
        <w:spacing w:line="360" w:lineRule="auto"/>
        <w:ind w:left="360" w:hanging="360" w:hangingChars="150"/>
        <w:rPr>
          <w:rFonts w:ascii="宋体" w:hAnsi="宋体"/>
          <w:strike/>
          <w:color w:val="auto"/>
          <w:sz w:val="24"/>
          <w:highlight w:val="none"/>
        </w:rPr>
      </w:pPr>
    </w:p>
    <w:p>
      <w:pPr>
        <w:spacing w:line="360" w:lineRule="auto"/>
        <w:ind w:left="360" w:hanging="360" w:hangingChars="150"/>
        <w:rPr>
          <w:rFonts w:ascii="宋体" w:hAnsi="宋体"/>
          <w:strike/>
          <w:color w:val="auto"/>
          <w:sz w:val="24"/>
          <w:highlight w:val="none"/>
        </w:rPr>
      </w:pPr>
      <w:r>
        <w:rPr>
          <w:rFonts w:hint="eastAsia" w:ascii="宋体" w:hAnsi="宋体"/>
          <w:strike/>
          <w:color w:val="auto"/>
          <w:sz w:val="24"/>
          <w:highlight w:val="none"/>
        </w:rPr>
        <w:t>（由招标人自定）</w:t>
      </w:r>
    </w:p>
    <w:p>
      <w:pPr>
        <w:spacing w:line="360" w:lineRule="auto"/>
        <w:jc w:val="left"/>
        <w:rPr>
          <w:rFonts w:ascii="宋体" w:hAnsi="宋体"/>
          <w:color w:val="auto"/>
          <w:highlight w:val="none"/>
        </w:rPr>
      </w:pPr>
    </w:p>
    <w:p>
      <w:pPr>
        <w:keepNext/>
        <w:keepLines/>
        <w:spacing w:line="360" w:lineRule="auto"/>
        <w:outlineLvl w:val="0"/>
        <w:rPr>
          <w:rFonts w:ascii="宋体" w:hAnsi="宋体"/>
          <w:color w:val="auto"/>
          <w:kern w:val="44"/>
          <w:sz w:val="44"/>
          <w:szCs w:val="44"/>
          <w:highlight w:val="none"/>
        </w:rPr>
      </w:pPr>
      <w:r>
        <w:rPr>
          <w:rFonts w:ascii="宋体" w:hAnsi="宋体"/>
          <w:b/>
          <w:bCs/>
          <w:color w:val="auto"/>
          <w:kern w:val="44"/>
          <w:sz w:val="44"/>
          <w:szCs w:val="44"/>
          <w:highlight w:val="none"/>
        </w:rPr>
        <w:br w:type="page"/>
      </w:r>
      <w:bookmarkStart w:id="19" w:name="_Toc5520"/>
      <w:r>
        <w:rPr>
          <w:rFonts w:hint="eastAsia" w:ascii="宋体" w:hAnsi="宋体"/>
          <w:b/>
          <w:bCs/>
          <w:color w:val="auto"/>
          <w:kern w:val="44"/>
          <w:szCs w:val="21"/>
          <w:highlight w:val="none"/>
        </w:rPr>
        <w:t>附录6 投标书</w:t>
      </w:r>
      <w:bookmarkEnd w:id="19"/>
    </w:p>
    <w:p>
      <w:pPr>
        <w:spacing w:line="360" w:lineRule="auto"/>
        <w:jc w:val="center"/>
        <w:rPr>
          <w:rFonts w:ascii="宋体" w:hAnsi="宋体"/>
          <w:b/>
          <w:bCs/>
          <w:color w:val="auto"/>
          <w:sz w:val="32"/>
          <w:highlight w:val="none"/>
        </w:rPr>
      </w:pPr>
      <w:r>
        <w:rPr>
          <w:rFonts w:hint="eastAsia" w:ascii="宋体" w:hAnsi="宋体"/>
          <w:b/>
          <w:bCs/>
          <w:color w:val="auto"/>
          <w:sz w:val="32"/>
          <w:highlight w:val="none"/>
        </w:rPr>
        <w:t>投标书</w:t>
      </w:r>
    </w:p>
    <w:p>
      <w:pPr>
        <w:spacing w:line="360" w:lineRule="auto"/>
        <w:jc w:val="left"/>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（招标人、招标代理机构名称）</w:t>
      </w:r>
    </w:p>
    <w:p>
      <w:pPr>
        <w:spacing w:line="360" w:lineRule="auto"/>
        <w:jc w:val="left"/>
        <w:rPr>
          <w:rFonts w:ascii="宋体" w:hAnsi="宋体"/>
          <w:color w:val="auto"/>
          <w:sz w:val="24"/>
          <w:highlight w:val="none"/>
        </w:rPr>
      </w:pPr>
    </w:p>
    <w:p>
      <w:pPr>
        <w:pStyle w:val="10"/>
        <w:spacing w:line="360" w:lineRule="auto"/>
        <w:ind w:firstLine="420"/>
        <w:rPr>
          <w:rFonts w:hAnsi="宋体"/>
          <w:color w:val="auto"/>
          <w:sz w:val="24"/>
          <w:szCs w:val="24"/>
          <w:highlight w:val="none"/>
        </w:rPr>
      </w:pPr>
      <w:r>
        <w:rPr>
          <w:rFonts w:hint="eastAsia" w:hAnsi="宋体"/>
          <w:color w:val="auto"/>
          <w:sz w:val="24"/>
          <w:highlight w:val="none"/>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w:t>
      </w:r>
      <w:r>
        <w:rPr>
          <w:rFonts w:hint="eastAsia" w:hAnsi="宋体"/>
          <w:color w:val="auto"/>
          <w:sz w:val="24"/>
          <w:highlight w:val="none"/>
          <w:u w:val="single"/>
        </w:rPr>
        <w:t>《设计费报价表》</w:t>
      </w:r>
      <w:r>
        <w:rPr>
          <w:rFonts w:hint="eastAsia" w:hAnsi="宋体"/>
          <w:color w:val="auto"/>
          <w:sz w:val="24"/>
          <w:highlight w:val="none"/>
        </w:rPr>
        <w:t>的投标总报价，承包本次招标所包含的工作，并承担质量缺陷责任。我方项目负责人为</w:t>
      </w:r>
      <w:r>
        <w:rPr>
          <w:rFonts w:hint="eastAsia" w:hAnsi="宋体"/>
          <w:bCs/>
          <w:color w:val="auto"/>
          <w:sz w:val="24"/>
          <w:highlight w:val="none"/>
        </w:rPr>
        <w:t>网上投标登记时选择的项目负责人</w:t>
      </w:r>
      <w:r>
        <w:rPr>
          <w:rFonts w:hint="eastAsia" w:hAnsi="宋体"/>
          <w:color w:val="auto"/>
          <w:sz w:val="24"/>
          <w:highlight w:val="none"/>
        </w:rPr>
        <w:t>。如我司成为本项目中标候选人，我司同意并授权招标人将我司投标文件商务部分进行公开</w:t>
      </w:r>
      <w:r>
        <w:rPr>
          <w:rFonts w:hint="eastAsia" w:hAnsi="宋体"/>
          <w:color w:val="auto"/>
          <w:sz w:val="24"/>
          <w:szCs w:val="24"/>
          <w:highlight w:val="none"/>
        </w:rPr>
        <w:t>。</w:t>
      </w:r>
    </w:p>
    <w:p>
      <w:pPr>
        <w:pStyle w:val="10"/>
        <w:spacing w:line="360" w:lineRule="auto"/>
        <w:ind w:firstLine="420"/>
        <w:rPr>
          <w:rFonts w:hAnsi="宋体"/>
          <w:color w:val="auto"/>
          <w:sz w:val="24"/>
          <w:szCs w:val="24"/>
          <w:highlight w:val="none"/>
        </w:rPr>
      </w:pPr>
      <w:r>
        <w:rPr>
          <w:rFonts w:hint="eastAsia" w:hAnsi="宋体"/>
          <w:color w:val="auto"/>
          <w:sz w:val="24"/>
          <w:szCs w:val="24"/>
          <w:highlight w:val="none"/>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pPr>
        <w:pStyle w:val="10"/>
        <w:spacing w:line="360" w:lineRule="auto"/>
        <w:ind w:firstLine="420"/>
        <w:rPr>
          <w:rFonts w:hAnsi="宋体"/>
          <w:color w:val="auto"/>
          <w:sz w:val="24"/>
          <w:szCs w:val="24"/>
          <w:highlight w:val="none"/>
        </w:rPr>
      </w:pPr>
      <w:r>
        <w:rPr>
          <w:rFonts w:hint="eastAsia" w:hAnsi="宋体"/>
          <w:color w:val="auto"/>
          <w:sz w:val="24"/>
          <w:szCs w:val="24"/>
          <w:highlight w:val="none"/>
        </w:rPr>
        <w:t>我方认同招标文件规定的评审规则，遵守评标委员会的裁决结果，并且不会采取妨碍项目进展的行为。我方理解你方没有必须接受你方可能收到的最低标或任何投标的义务。</w:t>
      </w:r>
    </w:p>
    <w:p>
      <w:pPr>
        <w:pStyle w:val="10"/>
        <w:spacing w:line="360" w:lineRule="auto"/>
        <w:ind w:firstLine="420"/>
        <w:rPr>
          <w:rFonts w:hAnsi="宋体"/>
          <w:color w:val="auto"/>
          <w:sz w:val="24"/>
          <w:szCs w:val="24"/>
          <w:highlight w:val="none"/>
        </w:rPr>
      </w:pPr>
      <w:r>
        <w:rPr>
          <w:rFonts w:hint="eastAsia" w:hAnsi="宋体"/>
          <w:color w:val="auto"/>
          <w:sz w:val="24"/>
          <w:szCs w:val="24"/>
          <w:highlight w:val="none"/>
        </w:rPr>
        <w:t>如果我方中标，我方将提供规定的履约担保，将在合同规定的日期开工，并在竣工时间内，按照上述文件完成项目。</w:t>
      </w:r>
    </w:p>
    <w:p>
      <w:pPr>
        <w:pStyle w:val="10"/>
        <w:spacing w:line="360" w:lineRule="auto"/>
        <w:ind w:firstLine="420"/>
        <w:rPr>
          <w:rFonts w:hAnsi="宋体"/>
          <w:color w:val="auto"/>
          <w:sz w:val="24"/>
          <w:szCs w:val="24"/>
          <w:highlight w:val="none"/>
        </w:rPr>
      </w:pPr>
      <w:r>
        <w:rPr>
          <w:rFonts w:hint="eastAsia" w:hAnsi="宋体"/>
          <w:color w:val="auto"/>
          <w:sz w:val="24"/>
          <w:szCs w:val="24"/>
          <w:highlight w:val="none"/>
        </w:rPr>
        <w:t>除非制订正式合同协议书并生效，本投标书以及你方中标通知书，应构成你我双方间具有约束力的合同。</w:t>
      </w:r>
    </w:p>
    <w:p>
      <w:pPr>
        <w:spacing w:line="360" w:lineRule="auto"/>
        <w:ind w:firstLine="405"/>
        <w:rPr>
          <w:rFonts w:ascii="宋体" w:hAnsi="宋体"/>
          <w:color w:val="auto"/>
          <w:sz w:val="24"/>
          <w:highlight w:val="none"/>
        </w:rPr>
      </w:pPr>
      <w:r>
        <w:rPr>
          <w:rFonts w:hint="eastAsia" w:ascii="宋体" w:hAnsi="宋体"/>
          <w:color w:val="auto"/>
          <w:sz w:val="24"/>
          <w:highlight w:val="none"/>
        </w:rPr>
        <w:t>本投标书同时作为法人证明书或法人授权委托书。</w:t>
      </w:r>
    </w:p>
    <w:p>
      <w:pPr>
        <w:spacing w:line="360" w:lineRule="auto"/>
        <w:ind w:firstLine="405"/>
        <w:rPr>
          <w:rFonts w:ascii="宋体" w:hAnsi="宋体"/>
          <w:color w:val="auto"/>
          <w:sz w:val="24"/>
          <w:highlight w:val="none"/>
        </w:rPr>
      </w:pP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投标人：（盖章）</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法定代表人：（签字或盖章）</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委托代理人：（签字或盖章）</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项目负责人：（签字或盖章）</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电话/传真：</w:t>
      </w:r>
      <w:r>
        <w:rPr>
          <w:rFonts w:hint="eastAsia" w:ascii="宋体" w:hAnsi="宋体"/>
          <w:color w:val="auto"/>
          <w:sz w:val="24"/>
          <w:szCs w:val="24"/>
          <w:highlight w:val="none"/>
          <w:u w:val="single"/>
        </w:rPr>
        <w:t xml:space="preserve">                    /FAX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电子邮箱：</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开户银行名称、帐号：</w:t>
      </w:r>
      <w:r>
        <w:rPr>
          <w:rFonts w:hint="eastAsia" w:ascii="宋体" w:hAnsi="宋体"/>
          <w:color w:val="auto"/>
          <w:sz w:val="24"/>
          <w:szCs w:val="24"/>
          <w:highlight w:val="none"/>
          <w:u w:val="single"/>
        </w:rPr>
        <w:t xml:space="preserve">                             </w:t>
      </w:r>
    </w:p>
    <w:p>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开户行地址/电话：</w:t>
      </w:r>
      <w:r>
        <w:rPr>
          <w:rFonts w:hint="eastAsia" w:ascii="宋体" w:hAnsi="宋体"/>
          <w:color w:val="auto"/>
          <w:sz w:val="24"/>
          <w:szCs w:val="24"/>
          <w:highlight w:val="none"/>
          <w:u w:val="single"/>
        </w:rPr>
        <w:t xml:space="preserve">                                </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pPr>
        <w:keepNext/>
        <w:keepLines/>
        <w:spacing w:line="360" w:lineRule="auto"/>
        <w:outlineLvl w:val="0"/>
        <w:rPr>
          <w:rFonts w:hint="eastAsia" w:ascii="宋体" w:hAnsi="宋体" w:eastAsia="宋体"/>
          <w:strike w:val="0"/>
          <w:color w:val="auto"/>
          <w:kern w:val="44"/>
          <w:sz w:val="44"/>
          <w:szCs w:val="44"/>
          <w:highlight w:val="none"/>
          <w:lang w:eastAsia="zh-CN"/>
        </w:rPr>
      </w:pPr>
      <w:r>
        <w:rPr>
          <w:rFonts w:ascii="宋体" w:hAnsi="宋体"/>
          <w:b/>
          <w:bCs/>
          <w:color w:val="auto"/>
          <w:kern w:val="44"/>
          <w:sz w:val="24"/>
          <w:szCs w:val="24"/>
          <w:highlight w:val="none"/>
        </w:rPr>
        <w:br w:type="page"/>
      </w:r>
      <w:bookmarkStart w:id="20" w:name="_Toc20842"/>
      <w:r>
        <w:rPr>
          <w:rFonts w:hint="eastAsia" w:ascii="宋体" w:hAnsi="宋体"/>
          <w:b/>
          <w:bCs/>
          <w:strike w:val="0"/>
          <w:color w:val="auto"/>
          <w:kern w:val="44"/>
          <w:szCs w:val="21"/>
          <w:highlight w:val="none"/>
        </w:rPr>
        <w:t>附录7 联合体共同投标协议</w:t>
      </w:r>
      <w:bookmarkEnd w:id="20"/>
    </w:p>
    <w:p>
      <w:pPr>
        <w:spacing w:line="360" w:lineRule="auto"/>
        <w:jc w:val="center"/>
        <w:rPr>
          <w:rFonts w:ascii="宋体" w:hAnsi="宋体"/>
          <w:strike w:val="0"/>
          <w:color w:val="auto"/>
          <w:sz w:val="24"/>
          <w:highlight w:val="none"/>
        </w:rPr>
      </w:pPr>
      <w:r>
        <w:rPr>
          <w:rFonts w:hint="eastAsia" w:ascii="宋体" w:hAnsi="宋体"/>
          <w:b/>
          <w:bCs/>
          <w:strike w:val="0"/>
          <w:color w:val="auto"/>
          <w:sz w:val="32"/>
          <w:highlight w:val="none"/>
        </w:rPr>
        <w:t>联合体共同投标协议</w:t>
      </w:r>
    </w:p>
    <w:p>
      <w:pPr>
        <w:spacing w:line="360" w:lineRule="auto"/>
        <w:jc w:val="left"/>
        <w:rPr>
          <w:rFonts w:ascii="宋体" w:hAnsi="宋体"/>
          <w:strike w:val="0"/>
          <w:color w:val="auto"/>
          <w:sz w:val="24"/>
          <w:highlight w:val="none"/>
        </w:rPr>
      </w:pPr>
      <w:r>
        <w:rPr>
          <w:rFonts w:hint="eastAsia" w:ascii="宋体" w:hAnsi="宋体"/>
          <w:strike w:val="0"/>
          <w:color w:val="auto"/>
          <w:sz w:val="24"/>
          <w:highlight w:val="none"/>
        </w:rPr>
        <w:t>投标项目名称：</w:t>
      </w:r>
      <w:r>
        <w:rPr>
          <w:rFonts w:hint="eastAsia" w:ascii="宋体" w:hAnsi="宋体"/>
          <w:strike w:val="0"/>
          <w:color w:val="auto"/>
          <w:sz w:val="24"/>
          <w:highlight w:val="none"/>
          <w:u w:val="single"/>
        </w:rPr>
        <w:t xml:space="preserve">                                           </w:t>
      </w:r>
      <w:r>
        <w:rPr>
          <w:rFonts w:hint="eastAsia" w:ascii="宋体" w:hAnsi="宋体"/>
          <w:strike w:val="0"/>
          <w:color w:val="auto"/>
          <w:sz w:val="24"/>
          <w:highlight w:val="none"/>
        </w:rPr>
        <w:t>。</w:t>
      </w:r>
    </w:p>
    <w:p>
      <w:pPr>
        <w:spacing w:line="360" w:lineRule="auto"/>
        <w:rPr>
          <w:rFonts w:ascii="宋体" w:hAnsi="宋体"/>
          <w:strike w:val="0"/>
          <w:color w:val="auto"/>
          <w:sz w:val="24"/>
          <w:szCs w:val="24"/>
          <w:highlight w:val="none"/>
        </w:rPr>
      </w:pPr>
    </w:p>
    <w:p>
      <w:pPr>
        <w:spacing w:line="360" w:lineRule="auto"/>
        <w:rPr>
          <w:rFonts w:ascii="宋体" w:hAnsi="宋体"/>
          <w:strike w:val="0"/>
          <w:color w:val="auto"/>
          <w:sz w:val="24"/>
          <w:szCs w:val="24"/>
          <w:highlight w:val="none"/>
        </w:rPr>
      </w:pPr>
      <w:r>
        <w:rPr>
          <w:rFonts w:hint="eastAsia" w:ascii="宋体" w:hAnsi="宋体"/>
          <w:strike w:val="0"/>
          <w:color w:val="auto"/>
          <w:sz w:val="24"/>
          <w:szCs w:val="24"/>
          <w:highlight w:val="none"/>
        </w:rPr>
        <w:t>致：</w:t>
      </w:r>
      <w:r>
        <w:rPr>
          <w:rFonts w:hint="eastAsia" w:ascii="宋体" w:hAnsi="宋体"/>
          <w:strike w:val="0"/>
          <w:color w:val="auto"/>
          <w:sz w:val="24"/>
          <w:szCs w:val="24"/>
          <w:highlight w:val="none"/>
          <w:u w:val="single"/>
        </w:rPr>
        <w:t xml:space="preserve">                                    </w:t>
      </w:r>
      <w:r>
        <w:rPr>
          <w:rFonts w:hint="eastAsia" w:ascii="宋体" w:hAnsi="宋体"/>
          <w:strike w:val="0"/>
          <w:color w:val="auto"/>
          <w:sz w:val="24"/>
          <w:szCs w:val="24"/>
          <w:highlight w:val="none"/>
        </w:rPr>
        <w:t>（招标人、招标代理机构名称）</w:t>
      </w:r>
    </w:p>
    <w:p>
      <w:pPr>
        <w:spacing w:line="360" w:lineRule="auto"/>
        <w:jc w:val="left"/>
        <w:rPr>
          <w:rFonts w:ascii="宋体" w:hAnsi="宋体"/>
          <w:strike w:val="0"/>
          <w:color w:val="auto"/>
          <w:sz w:val="24"/>
          <w:highlight w:val="none"/>
        </w:rPr>
      </w:pPr>
    </w:p>
    <w:p>
      <w:pPr>
        <w:spacing w:line="360" w:lineRule="auto"/>
        <w:ind w:firstLine="420"/>
        <w:rPr>
          <w:rFonts w:ascii="宋体" w:hAnsi="宋体"/>
          <w:strike w:val="0"/>
          <w:color w:val="auto"/>
          <w:sz w:val="24"/>
          <w:szCs w:val="24"/>
          <w:highlight w:val="none"/>
        </w:rPr>
      </w:pPr>
      <w:r>
        <w:rPr>
          <w:rFonts w:hint="eastAsia" w:ascii="宋体" w:hAnsi="宋体"/>
          <w:strike w:val="0"/>
          <w:color w:val="auto"/>
          <w:sz w:val="24"/>
          <w:szCs w:val="24"/>
          <w:highlight w:val="none"/>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w:t>
      </w:r>
    </w:p>
    <w:p>
      <w:pPr>
        <w:spacing w:line="360" w:lineRule="auto"/>
        <w:ind w:firstLine="420"/>
        <w:rPr>
          <w:rFonts w:ascii="宋体" w:hAnsi="宋体"/>
          <w:strike w:val="0"/>
          <w:color w:val="auto"/>
          <w:sz w:val="24"/>
          <w:szCs w:val="24"/>
          <w:highlight w:val="none"/>
        </w:rPr>
      </w:pPr>
      <w:r>
        <w:rPr>
          <w:rFonts w:hint="eastAsia" w:ascii="宋体" w:hAnsi="宋体"/>
          <w:strike w:val="0"/>
          <w:color w:val="auto"/>
          <w:sz w:val="24"/>
          <w:szCs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spacing w:line="360" w:lineRule="auto"/>
        <w:ind w:firstLine="405"/>
        <w:rPr>
          <w:rFonts w:ascii="宋体" w:hAnsi="宋体"/>
          <w:strike w:val="0"/>
          <w:color w:val="auto"/>
          <w:sz w:val="24"/>
          <w:highlight w:val="none"/>
        </w:rPr>
      </w:pPr>
      <w:r>
        <w:rPr>
          <w:rFonts w:hint="eastAsia" w:ascii="宋体" w:hAnsi="宋体"/>
          <w:strike w:val="0"/>
          <w:color w:val="auto"/>
          <w:sz w:val="24"/>
          <w:highlight w:val="none"/>
        </w:rPr>
        <w:t>本投标协议同时作为法人证明书或法人授权委托书。</w:t>
      </w:r>
    </w:p>
    <w:p>
      <w:pPr>
        <w:spacing w:line="360" w:lineRule="auto"/>
        <w:ind w:firstLine="405"/>
        <w:rPr>
          <w:rFonts w:ascii="宋体" w:hAnsi="宋体"/>
          <w:strike w:val="0"/>
          <w:color w:val="auto"/>
          <w:sz w:val="24"/>
          <w:szCs w:val="24"/>
          <w:highlight w:val="none"/>
        </w:rPr>
      </w:pP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投标牵头人：（盖章）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法定代表人：（签字或盖章）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委托代理人：（签字或盖章）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地址：</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邮政编码：</w:t>
      </w:r>
      <w:r>
        <w:rPr>
          <w:rFonts w:hint="eastAsia" w:ascii="宋体" w:hAnsi="宋体"/>
          <w:strike w:val="0"/>
          <w:color w:val="auto"/>
          <w:sz w:val="24"/>
          <w:szCs w:val="24"/>
          <w:highlight w:val="none"/>
          <w:u w:val="single"/>
        </w:rPr>
        <w:t xml:space="preserve">          </w:t>
      </w:r>
      <w:r>
        <w:rPr>
          <w:rFonts w:hint="eastAsia" w:ascii="宋体" w:hAnsi="宋体"/>
          <w:strike w:val="0"/>
          <w:color w:val="auto"/>
          <w:sz w:val="24"/>
          <w:szCs w:val="24"/>
          <w:highlight w:val="none"/>
        </w:rPr>
        <w:t>电话/传真：</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分工内容：</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联合体成员：（盖章）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法定代表人：（签字或盖章）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委托代理人：（签字或盖章）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地址：</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邮政编码：</w:t>
      </w:r>
      <w:r>
        <w:rPr>
          <w:rFonts w:hint="eastAsia" w:ascii="宋体" w:hAnsi="宋体"/>
          <w:strike w:val="0"/>
          <w:color w:val="auto"/>
          <w:sz w:val="24"/>
          <w:szCs w:val="24"/>
          <w:highlight w:val="none"/>
          <w:u w:val="single"/>
        </w:rPr>
        <w:t xml:space="preserve">          </w:t>
      </w:r>
      <w:r>
        <w:rPr>
          <w:rFonts w:hint="eastAsia" w:ascii="宋体" w:hAnsi="宋体"/>
          <w:strike w:val="0"/>
          <w:color w:val="auto"/>
          <w:sz w:val="24"/>
          <w:szCs w:val="24"/>
          <w:highlight w:val="none"/>
        </w:rPr>
        <w:t>电话/传真：</w:t>
      </w:r>
      <w:r>
        <w:rPr>
          <w:rFonts w:hint="eastAsia" w:ascii="宋体" w:hAnsi="宋体"/>
          <w:strike w:val="0"/>
          <w:color w:val="auto"/>
          <w:sz w:val="24"/>
          <w:szCs w:val="24"/>
          <w:highlight w:val="none"/>
          <w:u w:val="single"/>
        </w:rPr>
        <w:t xml:space="preserve">                             </w:t>
      </w:r>
    </w:p>
    <w:p>
      <w:pPr>
        <w:spacing w:line="360" w:lineRule="auto"/>
        <w:ind w:firstLine="405"/>
        <w:rPr>
          <w:rFonts w:hint="eastAsia" w:ascii="宋体" w:hAnsi="宋体"/>
          <w:strike w:val="0"/>
          <w:color w:val="auto"/>
          <w:sz w:val="24"/>
          <w:szCs w:val="24"/>
          <w:highlight w:val="none"/>
          <w:u w:val="single"/>
        </w:rPr>
      </w:pPr>
      <w:r>
        <w:rPr>
          <w:rFonts w:hint="eastAsia" w:ascii="宋体" w:hAnsi="宋体"/>
          <w:strike w:val="0"/>
          <w:color w:val="auto"/>
          <w:sz w:val="24"/>
          <w:szCs w:val="24"/>
          <w:highlight w:val="none"/>
        </w:rPr>
        <w:t>分工内容：</w:t>
      </w:r>
      <w:r>
        <w:rPr>
          <w:rFonts w:hint="eastAsia" w:ascii="宋体" w:hAnsi="宋体"/>
          <w:strike w:val="0"/>
          <w:color w:val="auto"/>
          <w:sz w:val="24"/>
          <w:szCs w:val="24"/>
          <w:highlight w:val="none"/>
          <w:u w:val="single"/>
        </w:rPr>
        <w:t xml:space="preserve">                                                  </w:t>
      </w:r>
    </w:p>
    <w:p>
      <w:pPr>
        <w:spacing w:line="360" w:lineRule="auto"/>
        <w:ind w:firstLine="405"/>
        <w:rPr>
          <w:rFonts w:hint="eastAsia" w:ascii="宋体" w:hAnsi="宋体"/>
          <w:strike w:val="0"/>
          <w:color w:val="auto"/>
          <w:sz w:val="24"/>
          <w:szCs w:val="24"/>
          <w:highlight w:val="none"/>
        </w:rPr>
      </w:pP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联合体成员：（盖章）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法定代表人：（签字或盖章）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委托代理人：（签字或盖章）</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地址：</w:t>
      </w:r>
      <w:r>
        <w:rPr>
          <w:rFonts w:hint="eastAsia" w:ascii="宋体" w:hAnsi="宋体"/>
          <w:strike w:val="0"/>
          <w:color w:val="auto"/>
          <w:sz w:val="24"/>
          <w:szCs w:val="24"/>
          <w:highlight w:val="none"/>
          <w:u w:val="single"/>
        </w:rPr>
        <w:t xml:space="preserve">                                                      </w:t>
      </w:r>
    </w:p>
    <w:p>
      <w:pPr>
        <w:spacing w:line="360" w:lineRule="auto"/>
        <w:ind w:firstLine="405"/>
        <w:rPr>
          <w:rFonts w:ascii="宋体" w:hAnsi="宋体"/>
          <w:strike w:val="0"/>
          <w:color w:val="auto"/>
          <w:sz w:val="24"/>
          <w:szCs w:val="24"/>
          <w:highlight w:val="none"/>
        </w:rPr>
      </w:pPr>
      <w:r>
        <w:rPr>
          <w:rFonts w:hint="eastAsia" w:ascii="宋体" w:hAnsi="宋体"/>
          <w:strike w:val="0"/>
          <w:color w:val="auto"/>
          <w:sz w:val="24"/>
          <w:szCs w:val="24"/>
          <w:highlight w:val="none"/>
        </w:rPr>
        <w:t>邮政编码：</w:t>
      </w:r>
      <w:r>
        <w:rPr>
          <w:rFonts w:hint="eastAsia" w:ascii="宋体" w:hAnsi="宋体"/>
          <w:strike w:val="0"/>
          <w:color w:val="auto"/>
          <w:sz w:val="24"/>
          <w:szCs w:val="24"/>
          <w:highlight w:val="none"/>
          <w:u w:val="single"/>
        </w:rPr>
        <w:t xml:space="preserve">          </w:t>
      </w:r>
      <w:r>
        <w:rPr>
          <w:rFonts w:hint="eastAsia" w:ascii="宋体" w:hAnsi="宋体"/>
          <w:strike w:val="0"/>
          <w:color w:val="auto"/>
          <w:sz w:val="24"/>
          <w:szCs w:val="24"/>
          <w:highlight w:val="none"/>
        </w:rPr>
        <w:t>电话/传真：</w:t>
      </w:r>
      <w:r>
        <w:rPr>
          <w:rFonts w:hint="eastAsia" w:ascii="宋体" w:hAnsi="宋体"/>
          <w:strike w:val="0"/>
          <w:color w:val="auto"/>
          <w:sz w:val="24"/>
          <w:szCs w:val="24"/>
          <w:highlight w:val="none"/>
          <w:u w:val="single"/>
        </w:rPr>
        <w:t xml:space="preserve">                             </w:t>
      </w:r>
    </w:p>
    <w:p>
      <w:pPr>
        <w:pStyle w:val="2"/>
        <w:rPr>
          <w:color w:val="auto"/>
          <w:highlight w:val="none"/>
        </w:rPr>
      </w:pPr>
      <w:r>
        <w:rPr>
          <w:rFonts w:hint="eastAsia" w:ascii="宋体" w:hAnsi="宋体"/>
          <w:strike w:val="0"/>
          <w:color w:val="auto"/>
          <w:sz w:val="24"/>
          <w:szCs w:val="24"/>
          <w:highlight w:val="none"/>
        </w:rPr>
        <w:t>分工内容：</w:t>
      </w:r>
      <w:r>
        <w:rPr>
          <w:rFonts w:hint="eastAsia" w:ascii="宋体" w:hAnsi="宋体"/>
          <w:strike w:val="0"/>
          <w:color w:val="auto"/>
          <w:sz w:val="24"/>
          <w:szCs w:val="24"/>
          <w:highlight w:val="none"/>
          <w:u w:val="single"/>
        </w:rPr>
        <w:t xml:space="preserve">                                                  </w:t>
      </w:r>
    </w:p>
    <w:p>
      <w:pPr>
        <w:spacing w:line="360" w:lineRule="auto"/>
        <w:rPr>
          <w:rFonts w:ascii="宋体" w:hAnsi="宋体"/>
          <w:strike w:val="0"/>
          <w:color w:val="auto"/>
          <w:sz w:val="24"/>
          <w:highlight w:val="none"/>
        </w:rPr>
      </w:pPr>
      <w:r>
        <w:rPr>
          <w:rFonts w:hint="eastAsia" w:ascii="宋体" w:hAnsi="宋体"/>
          <w:strike w:val="0"/>
          <w:color w:val="auto"/>
          <w:sz w:val="24"/>
          <w:highlight w:val="none"/>
        </w:rPr>
        <w:t xml:space="preserve">                                 签订日期：       年    月    日</w:t>
      </w:r>
    </w:p>
    <w:p>
      <w:pPr>
        <w:keepNext/>
        <w:keepLines/>
        <w:spacing w:line="360" w:lineRule="auto"/>
        <w:outlineLvl w:val="0"/>
        <w:rPr>
          <w:rFonts w:ascii="宋体" w:hAnsi="宋体"/>
          <w:b/>
          <w:bCs/>
          <w:color w:val="auto"/>
          <w:kern w:val="44"/>
          <w:szCs w:val="21"/>
          <w:highlight w:val="none"/>
        </w:rPr>
      </w:pPr>
      <w:r>
        <w:rPr>
          <w:rFonts w:ascii="宋体" w:hAnsi="宋体"/>
          <w:b/>
          <w:bCs/>
          <w:color w:val="auto"/>
          <w:sz w:val="24"/>
          <w:highlight w:val="none"/>
          <w:u w:val="single"/>
        </w:rPr>
        <w:br w:type="page"/>
      </w:r>
      <w:bookmarkStart w:id="21" w:name="_Toc26265"/>
      <w:r>
        <w:rPr>
          <w:rFonts w:hint="eastAsia" w:ascii="宋体" w:hAnsi="宋体"/>
          <w:b/>
          <w:bCs/>
          <w:color w:val="auto"/>
          <w:kern w:val="44"/>
          <w:szCs w:val="21"/>
          <w:highlight w:val="none"/>
        </w:rPr>
        <w:t>附录8 投标人声明</w:t>
      </w:r>
      <w:bookmarkEnd w:id="21"/>
    </w:p>
    <w:p>
      <w:pPr>
        <w:spacing w:line="360" w:lineRule="auto"/>
        <w:jc w:val="center"/>
        <w:rPr>
          <w:rFonts w:ascii="宋体" w:hAnsi="宋体"/>
          <w:b/>
          <w:color w:val="auto"/>
          <w:sz w:val="32"/>
          <w:highlight w:val="none"/>
        </w:rPr>
      </w:pPr>
      <w:r>
        <w:rPr>
          <w:rFonts w:hint="eastAsia" w:ascii="宋体" w:hAnsi="宋体"/>
          <w:b/>
          <w:color w:val="auto"/>
          <w:sz w:val="32"/>
          <w:highlight w:val="none"/>
        </w:rPr>
        <w:t>投标人声明（适用于设资格审查环节的项目）</w:t>
      </w:r>
    </w:p>
    <w:p>
      <w:pPr>
        <w:spacing w:line="360" w:lineRule="auto"/>
        <w:ind w:firstLine="629"/>
        <w:rPr>
          <w:rFonts w:ascii="宋体" w:hAnsi="宋体"/>
          <w:color w:val="auto"/>
          <w:kern w:val="0"/>
          <w:sz w:val="24"/>
          <w:szCs w:val="24"/>
          <w:highlight w:val="none"/>
        </w:rPr>
      </w:pP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广州市住房和城乡建设局、本招标项目招标人及招标监管机构：</w:t>
      </w: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本公司就参加</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投标工作，作出郑重声明：我方与招标人过去3年内无合同履约纠纷，不存在第三章第3.11项规定的任何一种情形。</w:t>
      </w:r>
    </w:p>
    <w:p>
      <w:pPr>
        <w:spacing w:line="360" w:lineRule="auto"/>
        <w:rPr>
          <w:rFonts w:ascii="宋体" w:hAnsi="宋体"/>
          <w:color w:val="auto"/>
          <w:sz w:val="24"/>
          <w:highlight w:val="none"/>
        </w:rPr>
      </w:pPr>
    </w:p>
    <w:p>
      <w:pPr>
        <w:spacing w:line="360" w:lineRule="auto"/>
        <w:ind w:firstLine="629"/>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pPr>
        <w:spacing w:line="360" w:lineRule="auto"/>
        <w:ind w:firstLine="629"/>
        <w:rPr>
          <w:rFonts w:ascii="宋体" w:hAnsi="宋体"/>
          <w:color w:val="auto"/>
          <w:kern w:val="0"/>
          <w:sz w:val="24"/>
          <w:szCs w:val="24"/>
          <w:highlight w:val="none"/>
        </w:rPr>
      </w:pPr>
    </w:p>
    <w:p>
      <w:pPr>
        <w:spacing w:line="360" w:lineRule="auto"/>
        <w:ind w:right="1449" w:firstLine="3840" w:firstLineChars="1600"/>
        <w:rPr>
          <w:rFonts w:ascii="宋体" w:hAnsi="宋体"/>
          <w:color w:val="auto"/>
          <w:kern w:val="0"/>
          <w:sz w:val="24"/>
          <w:szCs w:val="24"/>
          <w:highlight w:val="none"/>
        </w:rPr>
      </w:pPr>
      <w:r>
        <w:rPr>
          <w:rFonts w:hint="eastAsia" w:ascii="宋体" w:hAnsi="宋体"/>
          <w:color w:val="auto"/>
          <w:kern w:val="0"/>
          <w:sz w:val="24"/>
          <w:szCs w:val="24"/>
          <w:highlight w:val="none"/>
        </w:rPr>
        <w:t>投标人：(盖章)</w:t>
      </w:r>
    </w:p>
    <w:p>
      <w:pPr>
        <w:spacing w:line="360" w:lineRule="auto"/>
        <w:ind w:right="1449"/>
        <w:jc w:val="center"/>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p>
    <w:p>
      <w:pPr>
        <w:spacing w:line="360" w:lineRule="auto"/>
        <w:ind w:right="2079" w:firstLine="2160" w:firstLineChars="900"/>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年   月   日</w:t>
      </w:r>
    </w:p>
    <w:p>
      <w:pPr>
        <w:pStyle w:val="2"/>
        <w:rPr>
          <w:rFonts w:hint="eastAsia" w:ascii="宋体" w:hAnsi="宋体"/>
          <w:color w:val="auto"/>
          <w:kern w:val="0"/>
          <w:sz w:val="24"/>
          <w:szCs w:val="24"/>
          <w:highlight w:val="none"/>
        </w:rPr>
      </w:pPr>
    </w:p>
    <w:p>
      <w:pPr>
        <w:pStyle w:val="2"/>
        <w:rPr>
          <w:rFonts w:hint="eastAsia" w:ascii="宋体" w:hAnsi="宋体"/>
          <w:b/>
          <w:bCs/>
          <w:color w:val="auto"/>
          <w:kern w:val="0"/>
          <w:sz w:val="24"/>
          <w:szCs w:val="24"/>
          <w:highlight w:val="none"/>
        </w:rPr>
      </w:pP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（注：如联合体投标人，须由联合体主办方盖章。）</w:t>
      </w:r>
    </w:p>
    <w:p>
      <w:pPr>
        <w:spacing w:line="360" w:lineRule="auto"/>
        <w:rPr>
          <w:rFonts w:ascii="宋体" w:hAnsi="宋体"/>
          <w:color w:val="auto"/>
          <w:szCs w:val="20"/>
          <w:highlight w:val="none"/>
        </w:rPr>
      </w:pPr>
    </w:p>
    <w:p>
      <w:pPr>
        <w:spacing w:line="360" w:lineRule="auto"/>
        <w:rPr>
          <w:rFonts w:ascii="宋体" w:hAnsi="宋体"/>
          <w:strike/>
          <w:color w:val="auto"/>
          <w:highlight w:val="none"/>
        </w:rPr>
      </w:pPr>
      <w:r>
        <w:rPr>
          <w:rFonts w:ascii="宋体" w:hAnsi="宋体"/>
          <w:color w:val="auto"/>
          <w:highlight w:val="none"/>
        </w:rPr>
        <w:br w:type="page"/>
      </w:r>
    </w:p>
    <w:p>
      <w:pPr>
        <w:spacing w:line="360" w:lineRule="auto"/>
        <w:rPr>
          <w:rFonts w:ascii="宋体" w:hAnsi="宋体"/>
          <w:strike/>
          <w:color w:val="auto"/>
          <w:highlight w:val="none"/>
        </w:rPr>
      </w:pPr>
    </w:p>
    <w:p>
      <w:pPr>
        <w:spacing w:line="360" w:lineRule="auto"/>
        <w:jc w:val="center"/>
        <w:rPr>
          <w:rFonts w:ascii="宋体" w:hAnsi="宋体"/>
          <w:b/>
          <w:strike/>
          <w:color w:val="auto"/>
          <w:sz w:val="32"/>
          <w:highlight w:val="none"/>
        </w:rPr>
      </w:pPr>
      <w:r>
        <w:rPr>
          <w:rFonts w:hint="eastAsia" w:ascii="宋体" w:hAnsi="宋体"/>
          <w:b/>
          <w:strike/>
          <w:color w:val="auto"/>
          <w:sz w:val="32"/>
          <w:highlight w:val="none"/>
        </w:rPr>
        <w:t>投标人声明（适用于未设资格审查环节的项目）</w:t>
      </w:r>
    </w:p>
    <w:p>
      <w:pPr>
        <w:spacing w:line="360" w:lineRule="auto"/>
        <w:ind w:firstLine="629"/>
        <w:rPr>
          <w:rFonts w:ascii="宋体" w:hAnsi="宋体"/>
          <w:strike/>
          <w:color w:val="auto"/>
          <w:kern w:val="0"/>
          <w:sz w:val="24"/>
          <w:szCs w:val="24"/>
          <w:highlight w:val="none"/>
        </w:rPr>
      </w:pPr>
    </w:p>
    <w:p>
      <w:pPr>
        <w:spacing w:line="360" w:lineRule="auto"/>
        <w:ind w:firstLine="629"/>
        <w:rPr>
          <w:rFonts w:ascii="宋体" w:hAnsi="宋体"/>
          <w:strike/>
          <w:color w:val="auto"/>
          <w:kern w:val="0"/>
          <w:sz w:val="24"/>
          <w:szCs w:val="24"/>
          <w:highlight w:val="none"/>
        </w:rPr>
      </w:pPr>
      <w:r>
        <w:rPr>
          <w:rFonts w:hint="eastAsia" w:ascii="宋体" w:hAnsi="宋体"/>
          <w:strike/>
          <w:color w:val="auto"/>
          <w:kern w:val="0"/>
          <w:sz w:val="24"/>
          <w:szCs w:val="24"/>
          <w:highlight w:val="none"/>
        </w:rPr>
        <w:t>广州市住房和城乡建设局、本招标项目招标人及招标监管机构：</w:t>
      </w:r>
    </w:p>
    <w:p>
      <w:pPr>
        <w:spacing w:line="360" w:lineRule="auto"/>
        <w:ind w:firstLine="629"/>
        <w:rPr>
          <w:rFonts w:ascii="宋体" w:hAnsi="宋体"/>
          <w:strike/>
          <w:color w:val="auto"/>
          <w:kern w:val="0"/>
          <w:sz w:val="24"/>
          <w:szCs w:val="24"/>
          <w:highlight w:val="none"/>
        </w:rPr>
      </w:pPr>
      <w:r>
        <w:rPr>
          <w:rFonts w:hint="eastAsia" w:ascii="宋体" w:hAnsi="宋体"/>
          <w:strike/>
          <w:color w:val="auto"/>
          <w:kern w:val="0"/>
          <w:sz w:val="24"/>
          <w:szCs w:val="24"/>
          <w:highlight w:val="none"/>
        </w:rPr>
        <w:t>本公司就参加</w:t>
      </w:r>
      <w:r>
        <w:rPr>
          <w:rFonts w:hint="eastAsia" w:ascii="宋体" w:hAnsi="宋体"/>
          <w:strike/>
          <w:color w:val="auto"/>
          <w:kern w:val="0"/>
          <w:sz w:val="24"/>
          <w:szCs w:val="24"/>
          <w:highlight w:val="none"/>
          <w:u w:val="single"/>
        </w:rPr>
        <w:t xml:space="preserve">        </w:t>
      </w:r>
      <w:r>
        <w:rPr>
          <w:rFonts w:hint="eastAsia" w:ascii="宋体" w:hAnsi="宋体"/>
          <w:strike/>
          <w:color w:val="auto"/>
          <w:kern w:val="0"/>
          <w:sz w:val="24"/>
          <w:szCs w:val="24"/>
          <w:highlight w:val="none"/>
        </w:rPr>
        <w:t>投标工作，作出郑重声明：我方满足招标公告“1.4 投标资格”中的各项要求。如本公司成为本项目中标候选人的，将在招标人规定的时间内提交相关资料供招标人复核。本公司未按要求提交资料或经复核不满足资格条件的，视为放弃中标资格。</w:t>
      </w:r>
    </w:p>
    <w:p>
      <w:pPr>
        <w:spacing w:line="360" w:lineRule="auto"/>
        <w:rPr>
          <w:rFonts w:ascii="宋体" w:hAnsi="宋体"/>
          <w:strike/>
          <w:color w:val="auto"/>
          <w:sz w:val="24"/>
          <w:highlight w:val="none"/>
        </w:rPr>
      </w:pPr>
    </w:p>
    <w:p>
      <w:pPr>
        <w:spacing w:line="360" w:lineRule="auto"/>
        <w:ind w:firstLine="629"/>
        <w:rPr>
          <w:rFonts w:ascii="宋体" w:hAnsi="宋体"/>
          <w:strike/>
          <w:color w:val="auto"/>
          <w:kern w:val="0"/>
          <w:sz w:val="24"/>
          <w:szCs w:val="24"/>
          <w:highlight w:val="none"/>
        </w:rPr>
      </w:pPr>
      <w:r>
        <w:rPr>
          <w:rFonts w:hint="eastAsia" w:ascii="宋体" w:hAnsi="宋体"/>
          <w:strike/>
          <w:color w:val="auto"/>
          <w:kern w:val="0"/>
          <w:sz w:val="24"/>
          <w:szCs w:val="24"/>
          <w:highlight w:val="none"/>
        </w:rPr>
        <w:t>特此声明。</w:t>
      </w:r>
    </w:p>
    <w:p>
      <w:pPr>
        <w:spacing w:line="360" w:lineRule="auto"/>
        <w:ind w:firstLine="629"/>
        <w:rPr>
          <w:rFonts w:ascii="宋体" w:hAnsi="宋体"/>
          <w:strike/>
          <w:color w:val="auto"/>
          <w:kern w:val="0"/>
          <w:sz w:val="24"/>
          <w:szCs w:val="24"/>
          <w:highlight w:val="none"/>
        </w:rPr>
      </w:pPr>
    </w:p>
    <w:p>
      <w:pPr>
        <w:spacing w:line="360" w:lineRule="auto"/>
        <w:ind w:right="1449" w:firstLine="3840" w:firstLineChars="1600"/>
        <w:rPr>
          <w:rFonts w:ascii="宋体" w:hAnsi="宋体"/>
          <w:strike/>
          <w:color w:val="auto"/>
          <w:kern w:val="0"/>
          <w:sz w:val="24"/>
          <w:szCs w:val="24"/>
          <w:highlight w:val="none"/>
        </w:rPr>
      </w:pPr>
      <w:r>
        <w:rPr>
          <w:rFonts w:hint="eastAsia" w:ascii="宋体" w:hAnsi="宋体"/>
          <w:strike/>
          <w:color w:val="auto"/>
          <w:kern w:val="0"/>
          <w:sz w:val="24"/>
          <w:szCs w:val="24"/>
          <w:highlight w:val="none"/>
        </w:rPr>
        <w:t>投标人：(盖章)</w:t>
      </w:r>
    </w:p>
    <w:p>
      <w:pPr>
        <w:spacing w:line="360" w:lineRule="auto"/>
        <w:ind w:right="1449"/>
        <w:jc w:val="center"/>
        <w:rPr>
          <w:rFonts w:ascii="宋体" w:hAnsi="宋体"/>
          <w:strike/>
          <w:color w:val="auto"/>
          <w:kern w:val="0"/>
          <w:sz w:val="24"/>
          <w:szCs w:val="24"/>
          <w:highlight w:val="none"/>
        </w:rPr>
      </w:pPr>
      <w:r>
        <w:rPr>
          <w:rFonts w:hint="eastAsia" w:ascii="宋体" w:hAnsi="宋体"/>
          <w:strike/>
          <w:color w:val="auto"/>
          <w:kern w:val="0"/>
          <w:sz w:val="24"/>
          <w:szCs w:val="24"/>
          <w:highlight w:val="none"/>
        </w:rPr>
        <w:t xml:space="preserve">                                          </w:t>
      </w:r>
    </w:p>
    <w:p>
      <w:pPr>
        <w:spacing w:line="360" w:lineRule="auto"/>
        <w:ind w:right="2079" w:firstLine="2160" w:firstLineChars="900"/>
        <w:jc w:val="right"/>
        <w:rPr>
          <w:rFonts w:ascii="宋体" w:hAnsi="宋体" w:eastAsia="仿宋_GB2312"/>
          <w:strike/>
          <w:color w:val="auto"/>
          <w:kern w:val="0"/>
          <w:sz w:val="24"/>
          <w:szCs w:val="24"/>
          <w:highlight w:val="none"/>
        </w:rPr>
      </w:pPr>
      <w:r>
        <w:rPr>
          <w:rFonts w:hint="eastAsia" w:ascii="宋体" w:hAnsi="宋体"/>
          <w:strike/>
          <w:color w:val="auto"/>
          <w:kern w:val="0"/>
          <w:sz w:val="24"/>
          <w:szCs w:val="24"/>
          <w:highlight w:val="none"/>
        </w:rPr>
        <w:t>年   月   日</w:t>
      </w:r>
    </w:p>
    <w:p>
      <w:pPr>
        <w:spacing w:line="360" w:lineRule="auto"/>
        <w:jc w:val="left"/>
        <w:rPr>
          <w:rFonts w:ascii="宋体" w:hAnsi="宋体"/>
          <w:strike/>
          <w:color w:val="auto"/>
          <w:sz w:val="24"/>
          <w:highlight w:val="none"/>
        </w:rPr>
      </w:pPr>
    </w:p>
    <w:p>
      <w:pPr>
        <w:spacing w:line="360" w:lineRule="auto"/>
        <w:jc w:val="left"/>
        <w:rPr>
          <w:rFonts w:ascii="宋体" w:hAnsi="宋体"/>
          <w:strike/>
          <w:color w:val="auto"/>
          <w:sz w:val="24"/>
          <w:highlight w:val="none"/>
        </w:rPr>
      </w:pPr>
    </w:p>
    <w:p>
      <w:pPr>
        <w:spacing w:line="360" w:lineRule="auto"/>
        <w:jc w:val="left"/>
        <w:rPr>
          <w:rFonts w:ascii="宋体" w:hAnsi="宋体"/>
          <w:strike/>
          <w:color w:val="auto"/>
          <w:sz w:val="24"/>
          <w:highlight w:val="none"/>
        </w:rPr>
      </w:pPr>
    </w:p>
    <w:p>
      <w:pPr>
        <w:spacing w:line="360" w:lineRule="auto"/>
        <w:rPr>
          <w:rFonts w:ascii="宋体" w:hAnsi="宋体"/>
          <w:strike/>
          <w:color w:val="auto"/>
          <w:sz w:val="24"/>
          <w:szCs w:val="24"/>
          <w:highlight w:val="none"/>
        </w:rPr>
      </w:pPr>
      <w:r>
        <w:rPr>
          <w:rFonts w:hint="eastAsia" w:ascii="宋体" w:hAnsi="Courier New"/>
          <w:b/>
          <w:strike/>
          <w:color w:val="auto"/>
          <w:sz w:val="24"/>
          <w:szCs w:val="24"/>
          <w:highlight w:val="none"/>
          <w:u w:val="single"/>
        </w:rPr>
        <w:t>（注：如联合体投标人，须由联合体主办方盖章。）</w:t>
      </w:r>
      <w:r>
        <w:rPr>
          <w:rFonts w:hint="eastAsia" w:ascii="宋体" w:hAnsi="Courier New"/>
          <w:strike/>
          <w:color w:val="auto"/>
          <w:sz w:val="24"/>
          <w:szCs w:val="24"/>
          <w:highlight w:val="none"/>
        </w:rPr>
        <w:t xml:space="preserve">   </w:t>
      </w:r>
    </w:p>
    <w:p>
      <w:pPr>
        <w:spacing w:line="360" w:lineRule="auto"/>
        <w:rPr>
          <w:rFonts w:ascii="宋体" w:hAnsi="宋体"/>
          <w:color w:val="auto"/>
          <w:sz w:val="24"/>
          <w:highlight w:val="none"/>
        </w:rPr>
      </w:pPr>
    </w:p>
    <w:p>
      <w:pPr>
        <w:spacing w:line="360" w:lineRule="auto"/>
        <w:rPr>
          <w:rFonts w:ascii="宋体" w:hAnsi="宋体"/>
          <w:dstrike/>
          <w:color w:val="auto"/>
          <w:highlight w:val="none"/>
        </w:rPr>
      </w:pPr>
      <w:r>
        <w:rPr>
          <w:rFonts w:ascii="宋体" w:hAnsi="宋体"/>
          <w:dstrike/>
          <w:color w:val="auto"/>
          <w:highlight w:val="none"/>
        </w:rPr>
        <w:br w:type="page"/>
      </w:r>
    </w:p>
    <w:p>
      <w:pPr>
        <w:keepNext/>
        <w:keepLines/>
        <w:spacing w:line="360" w:lineRule="auto"/>
        <w:outlineLvl w:val="0"/>
        <w:rPr>
          <w:rFonts w:ascii="宋体" w:hAnsi="宋体"/>
          <w:b/>
          <w:bCs/>
          <w:color w:val="auto"/>
          <w:kern w:val="44"/>
          <w:szCs w:val="21"/>
          <w:highlight w:val="none"/>
        </w:rPr>
      </w:pPr>
      <w:bookmarkStart w:id="22" w:name="_Toc28294"/>
      <w:r>
        <w:rPr>
          <w:rFonts w:hint="eastAsia" w:ascii="宋体" w:hAnsi="宋体"/>
          <w:b/>
          <w:bCs/>
          <w:color w:val="auto"/>
          <w:kern w:val="44"/>
          <w:szCs w:val="21"/>
          <w:highlight w:val="none"/>
        </w:rPr>
        <w:t>附录9 资格审查表</w:t>
      </w:r>
      <w:bookmarkEnd w:id="22"/>
    </w:p>
    <w:p>
      <w:pPr>
        <w:spacing w:line="360" w:lineRule="auto"/>
        <w:jc w:val="center"/>
        <w:rPr>
          <w:rFonts w:ascii="宋体" w:hAnsi="宋体"/>
          <w:b/>
          <w:color w:val="auto"/>
          <w:sz w:val="32"/>
          <w:szCs w:val="20"/>
          <w:highlight w:val="none"/>
        </w:rPr>
      </w:pPr>
      <w:r>
        <w:rPr>
          <w:rFonts w:hint="eastAsia" w:ascii="宋体" w:hAnsi="宋体"/>
          <w:b/>
          <w:color w:val="auto"/>
          <w:sz w:val="32"/>
          <w:szCs w:val="20"/>
          <w:highlight w:val="none"/>
        </w:rPr>
        <w:t>资格审查表</w:t>
      </w:r>
    </w:p>
    <w:p>
      <w:pPr>
        <w:spacing w:line="360" w:lineRule="auto"/>
        <w:rPr>
          <w:rFonts w:ascii="宋体" w:hAnsi="宋体"/>
          <w:b/>
          <w:color w:val="auto"/>
          <w:sz w:val="24"/>
          <w:szCs w:val="24"/>
          <w:highlight w:val="none"/>
        </w:rPr>
      </w:pPr>
      <w:r>
        <w:rPr>
          <w:rFonts w:hint="eastAsia" w:ascii="宋体" w:hAnsi="宋体"/>
          <w:color w:val="auto"/>
          <w:sz w:val="24"/>
          <w:szCs w:val="24"/>
          <w:highlight w:val="none"/>
        </w:rPr>
        <w:t>项目名称：</w:t>
      </w:r>
    </w:p>
    <w:tbl>
      <w:tblPr>
        <w:tblStyle w:val="17"/>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784"/>
        <w:gridCol w:w="1167"/>
        <w:gridCol w:w="103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4784" w:type="dxa"/>
            <w:tcBorders>
              <w:top w:val="single" w:color="auto" w:sz="4" w:space="0"/>
              <w:left w:val="single" w:color="auto" w:sz="4" w:space="0"/>
              <w:bottom w:val="single" w:color="auto" w:sz="4" w:space="0"/>
              <w:right w:val="single" w:color="auto" w:sz="4" w:space="0"/>
              <w:tl2br w:val="single" w:color="auto" w:sz="4" w:space="0"/>
            </w:tcBorders>
          </w:tcPr>
          <w:p>
            <w:pPr>
              <w:spacing w:line="360" w:lineRule="auto"/>
              <w:jc w:val="center"/>
              <w:rPr>
                <w:rFonts w:ascii="宋体" w:hAnsi="Courier New"/>
                <w:color w:val="auto"/>
                <w:sz w:val="24"/>
                <w:szCs w:val="24"/>
                <w:highlight w:val="none"/>
              </w:rPr>
            </w:pPr>
            <w:r>
              <w:rPr>
                <w:rFonts w:hint="eastAsia" w:ascii="宋体" w:hAnsi="Courier New"/>
                <w:color w:val="auto"/>
                <w:sz w:val="24"/>
                <w:szCs w:val="24"/>
                <w:highlight w:val="none"/>
              </w:rPr>
              <w:t xml:space="preserve">                      投标人名称</w:t>
            </w:r>
          </w:p>
          <w:p>
            <w:pPr>
              <w:spacing w:line="360" w:lineRule="auto"/>
              <w:rPr>
                <w:rFonts w:ascii="宋体" w:hAnsi="宋体"/>
                <w:b/>
                <w:color w:val="auto"/>
                <w:sz w:val="24"/>
                <w:szCs w:val="24"/>
                <w:highlight w:val="none"/>
              </w:rPr>
            </w:pPr>
            <w:r>
              <w:rPr>
                <w:rFonts w:hint="eastAsia" w:ascii="宋体" w:hAnsi="Courier New"/>
                <w:color w:val="auto"/>
                <w:sz w:val="24"/>
                <w:szCs w:val="24"/>
                <w:highlight w:val="none"/>
              </w:rPr>
              <w:t>审查项目</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申请人与招标人过去3年内无合同履约纠纷。</w:t>
            </w:r>
            <w:r>
              <w:rPr>
                <w:rFonts w:hint="eastAsia" w:ascii="宋体" w:hAnsi="宋体"/>
                <w:color w:val="auto"/>
                <w:sz w:val="24"/>
                <w:szCs w:val="24"/>
                <w:highlight w:val="none"/>
                <w:u w:val="single"/>
              </w:rPr>
              <w:t>（注：不得参加投标的情形详见招标文件第三章第3.11项及根据投标人声明评审）</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2</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申请人的资质满足招标公告规定。</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3</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0"/>
                <w:highlight w:val="none"/>
              </w:rPr>
            </w:pPr>
            <w:r>
              <w:rPr>
                <w:rFonts w:hint="eastAsia" w:ascii="宋体" w:hAnsi="宋体"/>
                <w:color w:val="auto"/>
                <w:sz w:val="24"/>
                <w:szCs w:val="20"/>
                <w:highlight w:val="none"/>
              </w:rPr>
              <w:t>外国或澳门、台湾的设计企业必须选择一家符合上述条件的企业进行合作设计。香港企业如不单独参加投标，也必须选择一家符合上述条件的企业进行合作设计。</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4</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0"/>
                <w:highlight w:val="none"/>
              </w:rPr>
              <w:t>申请人已在</w:t>
            </w:r>
            <w:r>
              <w:rPr>
                <w:rFonts w:hint="eastAsia" w:ascii="宋体" w:hAnsi="宋体"/>
                <w:color w:val="auto"/>
                <w:sz w:val="24"/>
                <w:highlight w:val="none"/>
              </w:rPr>
              <w:t>广州市住房和城乡建设局</w:t>
            </w:r>
            <w:r>
              <w:rPr>
                <w:rFonts w:hint="eastAsia" w:ascii="宋体" w:hAnsi="宋体"/>
                <w:color w:val="auto"/>
                <w:sz w:val="24"/>
                <w:szCs w:val="20"/>
                <w:highlight w:val="none"/>
              </w:rPr>
              <w:t>建立企业信用档案，拟委派的项目负责人须</w:t>
            </w:r>
            <w:r>
              <w:rPr>
                <w:rFonts w:ascii="宋体" w:hAnsi="宋体"/>
                <w:color w:val="auto"/>
                <w:sz w:val="24"/>
                <w:szCs w:val="20"/>
                <w:highlight w:val="none"/>
              </w:rPr>
              <w:t>是本企业信用档案中</w:t>
            </w:r>
            <w:r>
              <w:rPr>
                <w:rFonts w:hint="eastAsia" w:ascii="宋体" w:hAnsi="宋体"/>
                <w:color w:val="auto"/>
                <w:sz w:val="24"/>
                <w:szCs w:val="20"/>
                <w:highlight w:val="none"/>
              </w:rPr>
              <w:t>的</w:t>
            </w:r>
            <w:r>
              <w:rPr>
                <w:rFonts w:ascii="宋体" w:hAnsi="宋体"/>
                <w:color w:val="auto"/>
                <w:sz w:val="24"/>
                <w:szCs w:val="20"/>
                <w:highlight w:val="none"/>
              </w:rPr>
              <w:t>在册人员</w:t>
            </w:r>
            <w:r>
              <w:rPr>
                <w:rFonts w:hint="eastAsia" w:ascii="宋体" w:hAnsi="宋体"/>
                <w:color w:val="auto"/>
                <w:sz w:val="24"/>
                <w:szCs w:val="20"/>
                <w:highlight w:val="none"/>
              </w:rPr>
              <w:t>。</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5</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Courier New"/>
                <w:color w:val="auto"/>
                <w:sz w:val="24"/>
                <w:szCs w:val="24"/>
                <w:highlight w:val="none"/>
              </w:rPr>
            </w:pPr>
            <w:r>
              <w:rPr>
                <w:rFonts w:hint="eastAsia" w:ascii="宋体" w:hAnsi="宋体"/>
                <w:color w:val="auto"/>
                <w:sz w:val="24"/>
                <w:szCs w:val="24"/>
                <w:highlight w:val="none"/>
              </w:rPr>
              <w:t>申请人拟派项目负责人资格满足招标公告规定。</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6</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color w:val="auto"/>
                <w:sz w:val="24"/>
                <w:szCs w:val="24"/>
                <w:highlight w:val="none"/>
              </w:rPr>
            </w:pPr>
            <w:r>
              <w:rPr>
                <w:rFonts w:hint="eastAsia" w:hAnsi="宋体"/>
                <w:color w:val="auto"/>
                <w:sz w:val="24"/>
                <w:szCs w:val="24"/>
                <w:highlight w:val="none"/>
              </w:rPr>
              <w:t>申请人拟派各专业负责人资格满足招标公告规定</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hAnsi="宋体"/>
                <w:color w:val="auto"/>
                <w:sz w:val="24"/>
                <w:szCs w:val="24"/>
                <w:highlight w:val="none"/>
                <w:lang w:val="en-US" w:eastAsia="zh-CN"/>
              </w:rPr>
            </w:pPr>
            <w:r>
              <w:rPr>
                <w:rFonts w:hint="eastAsia" w:hAnsi="宋体"/>
                <w:color w:val="auto"/>
                <w:sz w:val="24"/>
                <w:szCs w:val="24"/>
                <w:highlight w:val="none"/>
              </w:rPr>
              <w:t>按招标文件要求提交投标保证金</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8</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u w:val="single"/>
                <w:lang w:val="en-US" w:eastAsia="zh-CN"/>
              </w:rPr>
              <w:t>以联合体形式投标的，满足招标公告规定，并按要求向招标人提交共同投标协议</w:t>
            </w:r>
            <w:r>
              <w:rPr>
                <w:rFonts w:hint="eastAsia" w:ascii="宋体" w:hAnsi="宋体"/>
                <w:color w:val="auto"/>
                <w:sz w:val="24"/>
                <w:szCs w:val="24"/>
                <w:highlight w:val="none"/>
                <w:u w:val="single"/>
              </w:rPr>
              <w:t>。</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9</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申请人没有第三章第3.11项规定的任何一种情形（根据</w:t>
            </w:r>
            <w:r>
              <w:rPr>
                <w:rFonts w:ascii="宋体" w:hAnsi="宋体"/>
                <w:color w:val="auto"/>
                <w:sz w:val="24"/>
                <w:szCs w:val="24"/>
                <w:highlight w:val="none"/>
              </w:rPr>
              <w:t>《</w:t>
            </w:r>
            <w:r>
              <w:rPr>
                <w:rFonts w:hint="eastAsia" w:ascii="宋体" w:hAnsi="宋体"/>
                <w:color w:val="auto"/>
                <w:sz w:val="24"/>
                <w:szCs w:val="24"/>
                <w:highlight w:val="none"/>
              </w:rPr>
              <w:t>投标人</w:t>
            </w:r>
            <w:r>
              <w:rPr>
                <w:rFonts w:ascii="宋体" w:hAnsi="宋体"/>
                <w:color w:val="auto"/>
                <w:sz w:val="24"/>
                <w:szCs w:val="24"/>
                <w:highlight w:val="none"/>
              </w:rPr>
              <w:t>声明》</w:t>
            </w:r>
            <w:r>
              <w:rPr>
                <w:rFonts w:hint="eastAsia" w:ascii="宋体" w:hAnsi="宋体"/>
                <w:color w:val="auto"/>
                <w:sz w:val="24"/>
                <w:szCs w:val="24"/>
                <w:highlight w:val="none"/>
              </w:rPr>
              <w:t>进行</w:t>
            </w:r>
            <w:r>
              <w:rPr>
                <w:rFonts w:ascii="宋体" w:hAnsi="宋体"/>
                <w:color w:val="auto"/>
                <w:sz w:val="24"/>
                <w:szCs w:val="24"/>
                <w:highlight w:val="none"/>
              </w:rPr>
              <w:t>评审</w:t>
            </w:r>
            <w:r>
              <w:rPr>
                <w:rFonts w:hint="eastAsia" w:ascii="宋体" w:hAnsi="宋体"/>
                <w:color w:val="auto"/>
                <w:sz w:val="24"/>
                <w:szCs w:val="24"/>
                <w:highlight w:val="none"/>
              </w:rPr>
              <w:t>）。</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未被纳入国家、市、区的失信联合惩戒黑名单且被限制参加财政投资工程或政府投资工程或建设工程投标的（具体名单以递交投标文件截止时间“信用广州”https://credit1.gz.gov.cn/sgs/sgsXkNew公布的“失信黑名单——国家下发”为准）。（按广州公共资源交易中心交易系统比对结果进行评审。）</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结论</w:t>
            </w:r>
          </w:p>
        </w:tc>
        <w:tc>
          <w:tcPr>
            <w:tcW w:w="47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是否通过并进入下一阶段评审</w:t>
            </w:r>
          </w:p>
        </w:tc>
        <w:tc>
          <w:tcPr>
            <w:tcW w:w="116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auto"/>
                <w:sz w:val="24"/>
                <w:szCs w:val="24"/>
                <w:highlight w:val="none"/>
              </w:rPr>
            </w:pPr>
          </w:p>
        </w:tc>
      </w:tr>
    </w:tbl>
    <w:p>
      <w:pPr>
        <w:tabs>
          <w:tab w:val="left" w:pos="720"/>
        </w:tabs>
        <w:spacing w:line="360" w:lineRule="auto"/>
        <w:rPr>
          <w:rFonts w:ascii="宋体" w:hAnsi="Courier New"/>
          <w:color w:val="auto"/>
          <w:sz w:val="24"/>
          <w:highlight w:val="none"/>
        </w:rPr>
      </w:pPr>
      <w:r>
        <w:rPr>
          <w:rFonts w:hint="eastAsia" w:ascii="宋体" w:hAnsi="Courier New"/>
          <w:color w:val="auto"/>
          <w:sz w:val="24"/>
          <w:highlight w:val="none"/>
        </w:rPr>
        <w:t>备注：1、根据本表的审查项目，填“是”或“否”。</w:t>
      </w:r>
    </w:p>
    <w:p>
      <w:pPr>
        <w:tabs>
          <w:tab w:val="left" w:pos="720"/>
        </w:tabs>
        <w:spacing w:line="360" w:lineRule="auto"/>
        <w:ind w:firstLine="720" w:firstLineChars="300"/>
        <w:rPr>
          <w:rFonts w:ascii="宋体" w:hAnsi="Courier New"/>
          <w:color w:val="auto"/>
          <w:sz w:val="24"/>
          <w:highlight w:val="none"/>
        </w:rPr>
      </w:pPr>
      <w:r>
        <w:rPr>
          <w:rFonts w:hint="eastAsia" w:ascii="宋体" w:hAnsi="Courier New"/>
          <w:color w:val="auto"/>
          <w:sz w:val="24"/>
          <w:highlight w:val="none"/>
        </w:rPr>
        <w:t>2、表中出现一个或以上“否”，即该投标人的评审“结论”为“否”，即该投标人不进入下一阶段评审</w:t>
      </w:r>
      <w:r>
        <w:rPr>
          <w:rFonts w:hint="eastAsia"/>
          <w:color w:val="auto"/>
          <w:sz w:val="24"/>
          <w:highlight w:val="none"/>
        </w:rPr>
        <w:t>。</w:t>
      </w:r>
    </w:p>
    <w:p>
      <w:pPr>
        <w:tabs>
          <w:tab w:val="left" w:pos="720"/>
        </w:tabs>
        <w:spacing w:line="360" w:lineRule="auto"/>
        <w:ind w:firstLine="720" w:firstLineChars="300"/>
        <w:rPr>
          <w:rFonts w:ascii="宋体" w:hAnsi="Courier New"/>
          <w:color w:val="auto"/>
          <w:sz w:val="24"/>
          <w:highlight w:val="none"/>
        </w:rPr>
      </w:pPr>
      <w:r>
        <w:rPr>
          <w:rFonts w:hint="eastAsia" w:ascii="宋体" w:hAnsi="Courier New"/>
          <w:color w:val="auto"/>
          <w:sz w:val="24"/>
          <w:highlight w:val="none"/>
        </w:rPr>
        <w:t>3、表中全部评审结果为“是”，视为同意进入下一阶段评审。</w:t>
      </w:r>
    </w:p>
    <w:p>
      <w:pPr>
        <w:tabs>
          <w:tab w:val="left" w:pos="720"/>
        </w:tabs>
        <w:spacing w:line="360" w:lineRule="auto"/>
        <w:ind w:firstLine="720" w:firstLineChars="300"/>
        <w:rPr>
          <w:rFonts w:ascii="宋体" w:hAnsi="Courier New"/>
          <w:color w:val="auto"/>
          <w:sz w:val="24"/>
          <w:highlight w:val="none"/>
        </w:rPr>
      </w:pPr>
      <w:r>
        <w:rPr>
          <w:rFonts w:hint="eastAsia" w:ascii="宋体" w:hAnsi="Courier New"/>
          <w:color w:val="auto"/>
          <w:sz w:val="24"/>
          <w:highlight w:val="none"/>
        </w:rPr>
        <w:t>4、若评委意见不一致时，则按少数服从多数的原则，决定该投标人是否通过符合性审查，进入下一阶段评审。</w:t>
      </w:r>
    </w:p>
    <w:p>
      <w:pPr>
        <w:spacing w:line="360" w:lineRule="auto"/>
        <w:jc w:val="right"/>
        <w:rPr>
          <w:rFonts w:ascii="宋体" w:hAnsi="宋体"/>
          <w:b/>
          <w:color w:val="auto"/>
          <w:sz w:val="24"/>
          <w:szCs w:val="24"/>
          <w:highlight w:val="none"/>
        </w:rPr>
      </w:pPr>
      <w:r>
        <w:rPr>
          <w:rFonts w:hint="eastAsia" w:ascii="宋体" w:hAnsi="Courier New"/>
          <w:color w:val="auto"/>
          <w:sz w:val="24"/>
          <w:szCs w:val="24"/>
          <w:highlight w:val="none"/>
        </w:rPr>
        <w:t>评委签名：                     日期：</w:t>
      </w:r>
    </w:p>
    <w:p>
      <w:pPr>
        <w:keepNext/>
        <w:keepLines/>
        <w:spacing w:line="360" w:lineRule="auto"/>
        <w:outlineLvl w:val="0"/>
        <w:rPr>
          <w:rFonts w:ascii="宋体" w:hAnsi="宋体"/>
          <w:color w:val="auto"/>
          <w:kern w:val="44"/>
          <w:sz w:val="44"/>
          <w:szCs w:val="44"/>
          <w:highlight w:val="none"/>
        </w:rPr>
      </w:pPr>
      <w:r>
        <w:rPr>
          <w:rFonts w:ascii="宋体" w:hAnsi="宋体"/>
          <w:bCs/>
          <w:color w:val="auto"/>
          <w:kern w:val="44"/>
          <w:sz w:val="32"/>
          <w:szCs w:val="44"/>
          <w:highlight w:val="none"/>
        </w:rPr>
        <w:br w:type="page"/>
      </w:r>
      <w:bookmarkStart w:id="23" w:name="_Toc23363"/>
      <w:r>
        <w:rPr>
          <w:rFonts w:hint="eastAsia" w:ascii="宋体" w:hAnsi="宋体"/>
          <w:b/>
          <w:bCs/>
          <w:color w:val="auto"/>
          <w:kern w:val="44"/>
          <w:szCs w:val="21"/>
          <w:highlight w:val="none"/>
        </w:rPr>
        <w:t>附件10 投票表格</w:t>
      </w:r>
      <w:bookmarkEnd w:id="23"/>
    </w:p>
    <w:p>
      <w:pPr>
        <w:spacing w:line="360" w:lineRule="auto"/>
        <w:jc w:val="center"/>
        <w:rPr>
          <w:rFonts w:ascii="宋体" w:hAnsi="宋体"/>
          <w:b/>
          <w:color w:val="auto"/>
          <w:sz w:val="32"/>
          <w:szCs w:val="20"/>
          <w:highlight w:val="none"/>
        </w:rPr>
      </w:pPr>
      <w:r>
        <w:rPr>
          <w:rFonts w:hint="eastAsia" w:ascii="宋体" w:hAnsi="宋体"/>
          <w:b/>
          <w:color w:val="auto"/>
          <w:sz w:val="32"/>
          <w:szCs w:val="20"/>
          <w:highlight w:val="none"/>
        </w:rPr>
        <w:t>投票表格</w:t>
      </w:r>
    </w:p>
    <w:p>
      <w:pPr>
        <w:spacing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17"/>
        <w:gridCol w:w="918"/>
        <w:gridCol w:w="917"/>
        <w:gridCol w:w="918"/>
        <w:gridCol w:w="917"/>
        <w:gridCol w:w="918"/>
        <w:gridCol w:w="91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第    轮</w:t>
            </w:r>
          </w:p>
        </w:tc>
        <w:tc>
          <w:tcPr>
            <w:tcW w:w="917" w:type="dxa"/>
            <w:tcBorders>
              <w:top w:val="double" w:color="auto" w:sz="4" w:space="0"/>
              <w:left w:val="single" w:color="auto" w:sz="4" w:space="0"/>
              <w:bottom w:val="double" w:color="auto" w:sz="4" w:space="0"/>
            </w:tcBorders>
          </w:tcPr>
          <w:p>
            <w:pPr>
              <w:spacing w:line="360" w:lineRule="auto"/>
              <w:rPr>
                <w:rFonts w:ascii="宋体" w:hAnsi="宋体"/>
                <w:color w:val="auto"/>
                <w:sz w:val="24"/>
                <w:highlight w:val="none"/>
              </w:rPr>
            </w:pPr>
          </w:p>
        </w:tc>
        <w:tc>
          <w:tcPr>
            <w:tcW w:w="918" w:type="dxa"/>
            <w:tcBorders>
              <w:top w:val="double" w:color="auto" w:sz="4" w:space="0"/>
              <w:bottom w:val="double" w:color="auto" w:sz="4" w:space="0"/>
            </w:tcBorders>
          </w:tcPr>
          <w:p>
            <w:pPr>
              <w:spacing w:line="360" w:lineRule="auto"/>
              <w:rPr>
                <w:rFonts w:ascii="宋体" w:hAnsi="宋体"/>
                <w:color w:val="auto"/>
                <w:sz w:val="24"/>
                <w:highlight w:val="none"/>
              </w:rPr>
            </w:pPr>
          </w:p>
        </w:tc>
        <w:tc>
          <w:tcPr>
            <w:tcW w:w="917" w:type="dxa"/>
            <w:tcBorders>
              <w:top w:val="double" w:color="auto" w:sz="4" w:space="0"/>
              <w:bottom w:val="double" w:color="auto" w:sz="4" w:space="0"/>
            </w:tcBorders>
          </w:tcPr>
          <w:p>
            <w:pPr>
              <w:spacing w:line="360" w:lineRule="auto"/>
              <w:rPr>
                <w:rFonts w:ascii="宋体" w:hAnsi="宋体"/>
                <w:color w:val="auto"/>
                <w:sz w:val="24"/>
                <w:highlight w:val="none"/>
              </w:rPr>
            </w:pPr>
          </w:p>
        </w:tc>
        <w:tc>
          <w:tcPr>
            <w:tcW w:w="918" w:type="dxa"/>
            <w:tcBorders>
              <w:top w:val="double" w:color="auto" w:sz="4" w:space="0"/>
              <w:bottom w:val="double" w:color="auto" w:sz="4" w:space="0"/>
            </w:tcBorders>
          </w:tcPr>
          <w:p>
            <w:pPr>
              <w:spacing w:line="360" w:lineRule="auto"/>
              <w:rPr>
                <w:rFonts w:ascii="宋体" w:hAnsi="宋体"/>
                <w:color w:val="auto"/>
                <w:sz w:val="24"/>
                <w:highlight w:val="none"/>
              </w:rPr>
            </w:pPr>
          </w:p>
        </w:tc>
        <w:tc>
          <w:tcPr>
            <w:tcW w:w="917" w:type="dxa"/>
            <w:tcBorders>
              <w:top w:val="double" w:color="auto" w:sz="4" w:space="0"/>
              <w:bottom w:val="double" w:color="auto" w:sz="4" w:space="0"/>
            </w:tcBorders>
          </w:tcPr>
          <w:p>
            <w:pPr>
              <w:spacing w:line="360" w:lineRule="auto"/>
              <w:rPr>
                <w:rFonts w:ascii="宋体" w:hAnsi="宋体"/>
                <w:color w:val="auto"/>
                <w:sz w:val="24"/>
                <w:highlight w:val="none"/>
              </w:rPr>
            </w:pPr>
          </w:p>
        </w:tc>
        <w:tc>
          <w:tcPr>
            <w:tcW w:w="918" w:type="dxa"/>
            <w:tcBorders>
              <w:top w:val="double" w:color="auto" w:sz="4" w:space="0"/>
              <w:bottom w:val="double" w:color="auto" w:sz="4" w:space="0"/>
            </w:tcBorders>
          </w:tcPr>
          <w:p>
            <w:pPr>
              <w:spacing w:line="360" w:lineRule="auto"/>
              <w:rPr>
                <w:rFonts w:ascii="宋体" w:hAnsi="宋体"/>
                <w:color w:val="auto"/>
                <w:sz w:val="24"/>
                <w:highlight w:val="none"/>
              </w:rPr>
            </w:pPr>
          </w:p>
        </w:tc>
        <w:tc>
          <w:tcPr>
            <w:tcW w:w="917" w:type="dxa"/>
            <w:tcBorders>
              <w:top w:val="double" w:color="auto" w:sz="4" w:space="0"/>
              <w:bottom w:val="double" w:color="auto" w:sz="4" w:space="0"/>
            </w:tcBorders>
          </w:tcPr>
          <w:p>
            <w:pPr>
              <w:spacing w:line="360" w:lineRule="auto"/>
              <w:rPr>
                <w:rFonts w:ascii="宋体" w:hAnsi="宋体"/>
                <w:color w:val="auto"/>
                <w:sz w:val="24"/>
                <w:highlight w:val="none"/>
              </w:rPr>
            </w:pPr>
          </w:p>
        </w:tc>
        <w:tc>
          <w:tcPr>
            <w:tcW w:w="918" w:type="dxa"/>
            <w:tcBorders>
              <w:top w:val="double" w:color="auto" w:sz="4" w:space="0"/>
              <w:bottom w:val="double" w:color="auto" w:sz="4" w:space="0"/>
              <w:right w:val="double" w:color="auto" w:sz="4" w:space="0"/>
            </w:tcBorders>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第    轮</w:t>
            </w:r>
          </w:p>
        </w:tc>
        <w:tc>
          <w:tcPr>
            <w:tcW w:w="1835" w:type="dxa"/>
            <w:gridSpan w:val="2"/>
            <w:tcBorders>
              <w:top w:val="double" w:color="auto" w:sz="4" w:space="0"/>
              <w:left w:val="single" w:color="auto" w:sz="4" w:space="0"/>
              <w:bottom w:val="double" w:color="auto" w:sz="4" w:space="0"/>
            </w:tcBorders>
          </w:tcPr>
          <w:p>
            <w:pPr>
              <w:spacing w:line="360" w:lineRule="auto"/>
              <w:rPr>
                <w:rFonts w:ascii="宋体" w:hAnsi="宋体"/>
                <w:color w:val="auto"/>
                <w:sz w:val="24"/>
                <w:highlight w:val="none"/>
              </w:rPr>
            </w:pPr>
          </w:p>
        </w:tc>
        <w:tc>
          <w:tcPr>
            <w:tcW w:w="1835" w:type="dxa"/>
            <w:gridSpan w:val="2"/>
            <w:tcBorders>
              <w:top w:val="double" w:color="auto" w:sz="4" w:space="0"/>
              <w:bottom w:val="double" w:color="auto" w:sz="4" w:space="0"/>
            </w:tcBorders>
          </w:tcPr>
          <w:p>
            <w:pPr>
              <w:spacing w:line="360" w:lineRule="auto"/>
              <w:rPr>
                <w:rFonts w:ascii="宋体" w:hAnsi="宋体"/>
                <w:color w:val="auto"/>
                <w:sz w:val="24"/>
                <w:highlight w:val="none"/>
              </w:rPr>
            </w:pPr>
          </w:p>
        </w:tc>
        <w:tc>
          <w:tcPr>
            <w:tcW w:w="1835" w:type="dxa"/>
            <w:gridSpan w:val="2"/>
            <w:tcBorders>
              <w:top w:val="double" w:color="auto" w:sz="4" w:space="0"/>
              <w:bottom w:val="double" w:color="auto" w:sz="4" w:space="0"/>
            </w:tcBorders>
          </w:tcPr>
          <w:p>
            <w:pPr>
              <w:spacing w:line="360" w:lineRule="auto"/>
              <w:rPr>
                <w:rFonts w:ascii="宋体" w:hAnsi="宋体"/>
                <w:color w:val="auto"/>
                <w:sz w:val="24"/>
                <w:highlight w:val="none"/>
              </w:rPr>
            </w:pPr>
          </w:p>
        </w:tc>
        <w:tc>
          <w:tcPr>
            <w:tcW w:w="1835" w:type="dxa"/>
            <w:gridSpan w:val="2"/>
            <w:tcBorders>
              <w:top w:val="double" w:color="auto" w:sz="4" w:space="0"/>
              <w:bottom w:val="double" w:color="auto" w:sz="4" w:space="0"/>
              <w:right w:val="double" w:color="auto" w:sz="4" w:space="0"/>
            </w:tcBorders>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第    轮</w:t>
            </w:r>
          </w:p>
        </w:tc>
        <w:tc>
          <w:tcPr>
            <w:tcW w:w="3670" w:type="dxa"/>
            <w:gridSpan w:val="4"/>
            <w:tcBorders>
              <w:top w:val="double" w:color="auto" w:sz="4" w:space="0"/>
              <w:left w:val="single" w:color="auto" w:sz="4" w:space="0"/>
              <w:bottom w:val="double" w:color="auto" w:sz="4" w:space="0"/>
            </w:tcBorders>
          </w:tcPr>
          <w:p>
            <w:pPr>
              <w:spacing w:line="360" w:lineRule="auto"/>
              <w:rPr>
                <w:rFonts w:ascii="宋体" w:hAnsi="宋体"/>
                <w:color w:val="auto"/>
                <w:sz w:val="24"/>
                <w:highlight w:val="none"/>
              </w:rPr>
            </w:pPr>
          </w:p>
        </w:tc>
        <w:tc>
          <w:tcPr>
            <w:tcW w:w="3670" w:type="dxa"/>
            <w:gridSpan w:val="4"/>
            <w:tcBorders>
              <w:top w:val="double" w:color="auto" w:sz="4" w:space="0"/>
              <w:bottom w:val="double" w:color="auto" w:sz="4" w:space="0"/>
              <w:right w:val="double" w:color="auto" w:sz="4" w:space="0"/>
            </w:tcBorders>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第    轮</w:t>
            </w:r>
          </w:p>
        </w:tc>
        <w:tc>
          <w:tcPr>
            <w:tcW w:w="7340" w:type="dxa"/>
            <w:gridSpan w:val="8"/>
            <w:tcBorders>
              <w:top w:val="double" w:color="auto" w:sz="4" w:space="0"/>
              <w:left w:val="single" w:color="auto" w:sz="4" w:space="0"/>
              <w:bottom w:val="double" w:color="auto" w:sz="4" w:space="0"/>
              <w:right w:val="double" w:color="auto" w:sz="4" w:space="0"/>
            </w:tcBorders>
          </w:tcPr>
          <w:p>
            <w:pPr>
              <w:spacing w:line="360" w:lineRule="auto"/>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正式投票规则：以上表格用于正式投票，从上到下每轮投票限使用一行空格，每个空格限填一个方案编号，同一行的空格内的方案编号不得重复。每轮投票允许选择的总数即下一轮候选总数，</w:t>
      </w:r>
      <w:r>
        <w:rPr>
          <w:rFonts w:hint="eastAsia" w:ascii="宋体" w:hAnsi="宋体" w:cs="Arial"/>
          <w:color w:val="auto"/>
          <w:sz w:val="24"/>
          <w:highlight w:val="none"/>
        </w:rPr>
        <w:t>以得票多的方案当选为</w:t>
      </w:r>
      <w:r>
        <w:rPr>
          <w:rFonts w:hint="eastAsia" w:ascii="宋体" w:hAnsi="宋体"/>
          <w:color w:val="auto"/>
          <w:sz w:val="24"/>
          <w:highlight w:val="none"/>
        </w:rPr>
        <w:t>下一轮投票的候选方案</w:t>
      </w:r>
      <w:r>
        <w:rPr>
          <w:rFonts w:hint="eastAsia" w:ascii="宋体" w:hAnsi="宋体" w:cs="Arial"/>
          <w:color w:val="auto"/>
          <w:sz w:val="24"/>
          <w:highlight w:val="none"/>
        </w:rPr>
        <w:t>。</w:t>
      </w:r>
      <w:r>
        <w:rPr>
          <w:rFonts w:hint="eastAsia" w:ascii="宋体" w:hAnsi="宋体"/>
          <w:color w:val="auto"/>
          <w:sz w:val="24"/>
          <w:highlight w:val="none"/>
        </w:rPr>
        <w:t>不能进入下一轮的方案，根据本轮得票数量确定名次。</w:t>
      </w:r>
      <w:r>
        <w:rPr>
          <w:rFonts w:hint="eastAsia" w:ascii="宋体" w:hAnsi="宋体" w:cs="Arial"/>
          <w:color w:val="auto"/>
          <w:sz w:val="24"/>
          <w:highlight w:val="none"/>
        </w:rPr>
        <w:t>遇票数相等不能确定入选下一轮的投标方案时，</w:t>
      </w:r>
      <w:r>
        <w:rPr>
          <w:rFonts w:hint="eastAsia"/>
          <w:color w:val="auto"/>
          <w:sz w:val="24"/>
          <w:highlight w:val="none"/>
        </w:rPr>
        <w:t>应进行附加投票，以确定名次。</w:t>
      </w:r>
      <w:r>
        <w:rPr>
          <w:rFonts w:hint="eastAsia" w:ascii="宋体" w:hAnsi="宋体"/>
          <w:color w:val="auto"/>
          <w:sz w:val="24"/>
          <w:highlight w:val="none"/>
        </w:rPr>
        <w:t>若投标人数为9人或以上，第一轮投票从第1行空格开始；若投标人数为5至8人，第一轮投票从上表第2行空格开始；若投标人数为3至4人，第一轮投票从上表第3行空格开始。每轮正式投票允许选择投标方案总数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80"/>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spacing w:line="360" w:lineRule="auto"/>
              <w:rPr>
                <w:rFonts w:ascii="宋体" w:hAnsi="宋体"/>
                <w:color w:val="auto"/>
                <w:sz w:val="24"/>
                <w:highlight w:val="none"/>
              </w:rPr>
            </w:pPr>
          </w:p>
        </w:tc>
        <w:tc>
          <w:tcPr>
            <w:tcW w:w="6120" w:type="dxa"/>
            <w:gridSpan w:val="3"/>
          </w:tcPr>
          <w:p>
            <w:pPr>
              <w:spacing w:line="360" w:lineRule="auto"/>
              <w:jc w:val="center"/>
              <w:rPr>
                <w:rFonts w:ascii="宋体" w:hAnsi="宋体"/>
                <w:color w:val="auto"/>
                <w:sz w:val="24"/>
                <w:highlight w:val="none"/>
              </w:rPr>
            </w:pPr>
            <w:r>
              <w:rPr>
                <w:rFonts w:hint="eastAsia" w:ascii="宋体" w:hAnsi="宋体"/>
                <w:color w:val="auto"/>
                <w:sz w:val="24"/>
                <w:highlight w:val="none"/>
              </w:rPr>
              <w:t>每轮正式投票允许选择总数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spacing w:line="360" w:lineRule="auto"/>
              <w:rPr>
                <w:rFonts w:ascii="宋体" w:hAnsi="宋体"/>
                <w:color w:val="auto"/>
                <w:sz w:val="24"/>
                <w:highlight w:val="none"/>
              </w:rPr>
            </w:pPr>
            <w:r>
              <w:rPr>
                <w:rFonts w:hint="eastAsia" w:ascii="宋体" w:hAnsi="宋体"/>
                <w:color w:val="auto"/>
                <w:sz w:val="24"/>
                <w:highlight w:val="none"/>
              </w:rPr>
              <w:t>投标人数</w:t>
            </w:r>
          </w:p>
        </w:tc>
        <w:tc>
          <w:tcPr>
            <w:tcW w:w="1980" w:type="dxa"/>
          </w:tcPr>
          <w:p>
            <w:pPr>
              <w:spacing w:line="360" w:lineRule="auto"/>
              <w:jc w:val="center"/>
              <w:rPr>
                <w:rFonts w:ascii="宋体" w:hAnsi="宋体"/>
                <w:color w:val="auto"/>
                <w:sz w:val="24"/>
                <w:highlight w:val="none"/>
              </w:rPr>
            </w:pPr>
            <w:r>
              <w:rPr>
                <w:rFonts w:hint="eastAsia" w:ascii="宋体" w:hAnsi="宋体"/>
                <w:color w:val="auto"/>
                <w:sz w:val="24"/>
                <w:highlight w:val="none"/>
              </w:rPr>
              <w:t>3至4</w:t>
            </w:r>
          </w:p>
        </w:tc>
        <w:tc>
          <w:tcPr>
            <w:tcW w:w="1980" w:type="dxa"/>
          </w:tcPr>
          <w:p>
            <w:pPr>
              <w:spacing w:line="360" w:lineRule="auto"/>
              <w:jc w:val="center"/>
              <w:rPr>
                <w:rFonts w:ascii="宋体" w:hAnsi="宋体"/>
                <w:color w:val="auto"/>
                <w:sz w:val="24"/>
                <w:highlight w:val="none"/>
              </w:rPr>
            </w:pPr>
            <w:r>
              <w:rPr>
                <w:rFonts w:hint="eastAsia" w:ascii="宋体" w:hAnsi="宋体"/>
                <w:color w:val="auto"/>
                <w:sz w:val="24"/>
                <w:highlight w:val="none"/>
              </w:rPr>
              <w:t>5至8</w:t>
            </w:r>
          </w:p>
        </w:tc>
        <w:tc>
          <w:tcPr>
            <w:tcW w:w="2160" w:type="dxa"/>
          </w:tcPr>
          <w:p>
            <w:pPr>
              <w:spacing w:line="360" w:lineRule="auto"/>
              <w:jc w:val="center"/>
              <w:rPr>
                <w:rFonts w:ascii="宋体" w:hAnsi="宋体"/>
                <w:color w:val="auto"/>
                <w:sz w:val="24"/>
                <w:highlight w:val="none"/>
              </w:rPr>
            </w:pPr>
            <w:r>
              <w:rPr>
                <w:rFonts w:hint="eastAsia" w:ascii="宋体" w:hAnsi="宋体"/>
                <w:color w:val="auto"/>
                <w:sz w:val="24"/>
                <w:highlight w:val="none"/>
              </w:rPr>
              <w:t>9人或以上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spacing w:line="360" w:lineRule="auto"/>
              <w:rPr>
                <w:rFonts w:ascii="宋体" w:hAnsi="宋体"/>
                <w:color w:val="auto"/>
                <w:sz w:val="24"/>
                <w:highlight w:val="none"/>
              </w:rPr>
            </w:pPr>
            <w:r>
              <w:rPr>
                <w:rFonts w:hint="eastAsia" w:ascii="宋体" w:hAnsi="宋体"/>
                <w:color w:val="auto"/>
                <w:sz w:val="24"/>
                <w:highlight w:val="none"/>
              </w:rPr>
              <w:t>第1轮</w:t>
            </w:r>
          </w:p>
        </w:tc>
        <w:tc>
          <w:tcPr>
            <w:tcW w:w="1980" w:type="dxa"/>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980" w:type="dxa"/>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160" w:type="dxa"/>
          </w:tcPr>
          <w:p>
            <w:pPr>
              <w:spacing w:line="360" w:lineRule="auto"/>
              <w:jc w:val="center"/>
              <w:rPr>
                <w:rFonts w:ascii="宋体" w:hAnsi="宋体"/>
                <w:color w:val="auto"/>
                <w:sz w:val="24"/>
                <w:highlight w:val="none"/>
              </w:rPr>
            </w:pPr>
            <w:r>
              <w:rPr>
                <w:rFonts w:hint="eastAsia" w:ascii="宋体" w:hAnsi="宋体"/>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spacing w:line="360" w:lineRule="auto"/>
              <w:rPr>
                <w:rFonts w:ascii="宋体" w:hAnsi="宋体"/>
                <w:color w:val="auto"/>
                <w:sz w:val="24"/>
                <w:highlight w:val="none"/>
              </w:rPr>
            </w:pPr>
            <w:r>
              <w:rPr>
                <w:rFonts w:hint="eastAsia" w:ascii="宋体" w:hAnsi="宋体"/>
                <w:color w:val="auto"/>
                <w:sz w:val="24"/>
                <w:highlight w:val="none"/>
              </w:rPr>
              <w:t>第2轮</w:t>
            </w:r>
          </w:p>
        </w:tc>
        <w:tc>
          <w:tcPr>
            <w:tcW w:w="1980" w:type="dxa"/>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980" w:type="dxa"/>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160" w:type="dxa"/>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spacing w:line="360" w:lineRule="auto"/>
              <w:rPr>
                <w:rFonts w:ascii="宋体" w:hAnsi="宋体"/>
                <w:color w:val="auto"/>
                <w:sz w:val="24"/>
                <w:highlight w:val="none"/>
              </w:rPr>
            </w:pPr>
            <w:r>
              <w:rPr>
                <w:rFonts w:hint="eastAsia" w:ascii="宋体" w:hAnsi="宋体"/>
                <w:color w:val="auto"/>
                <w:sz w:val="24"/>
                <w:highlight w:val="none"/>
              </w:rPr>
              <w:t>第3轮</w:t>
            </w:r>
          </w:p>
        </w:tc>
        <w:tc>
          <w:tcPr>
            <w:tcW w:w="1980" w:type="dxa"/>
          </w:tcPr>
          <w:p>
            <w:pPr>
              <w:spacing w:line="360" w:lineRule="auto"/>
              <w:jc w:val="center"/>
              <w:rPr>
                <w:rFonts w:ascii="宋体" w:hAnsi="宋体"/>
                <w:color w:val="auto"/>
                <w:sz w:val="24"/>
                <w:highlight w:val="none"/>
              </w:rPr>
            </w:pPr>
          </w:p>
        </w:tc>
        <w:tc>
          <w:tcPr>
            <w:tcW w:w="1980" w:type="dxa"/>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160" w:type="dxa"/>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Pr>
          <w:p>
            <w:pPr>
              <w:spacing w:line="360" w:lineRule="auto"/>
              <w:rPr>
                <w:rFonts w:ascii="宋体" w:hAnsi="宋体"/>
                <w:color w:val="auto"/>
                <w:sz w:val="24"/>
                <w:highlight w:val="none"/>
              </w:rPr>
            </w:pPr>
            <w:r>
              <w:rPr>
                <w:rFonts w:hint="eastAsia" w:ascii="宋体" w:hAnsi="宋体"/>
                <w:color w:val="auto"/>
                <w:sz w:val="24"/>
                <w:highlight w:val="none"/>
              </w:rPr>
              <w:t>第4轮</w:t>
            </w:r>
          </w:p>
        </w:tc>
        <w:tc>
          <w:tcPr>
            <w:tcW w:w="1980" w:type="dxa"/>
          </w:tcPr>
          <w:p>
            <w:pPr>
              <w:spacing w:line="360" w:lineRule="auto"/>
              <w:jc w:val="center"/>
              <w:rPr>
                <w:rFonts w:ascii="宋体" w:hAnsi="宋体"/>
                <w:color w:val="auto"/>
                <w:sz w:val="24"/>
                <w:highlight w:val="none"/>
              </w:rPr>
            </w:pPr>
          </w:p>
        </w:tc>
        <w:tc>
          <w:tcPr>
            <w:tcW w:w="1980" w:type="dxa"/>
          </w:tcPr>
          <w:p>
            <w:pPr>
              <w:spacing w:line="360" w:lineRule="auto"/>
              <w:jc w:val="center"/>
              <w:rPr>
                <w:rFonts w:ascii="宋体" w:hAnsi="宋体"/>
                <w:color w:val="auto"/>
                <w:sz w:val="24"/>
                <w:highlight w:val="none"/>
              </w:rPr>
            </w:pPr>
          </w:p>
        </w:tc>
        <w:tc>
          <w:tcPr>
            <w:tcW w:w="2160" w:type="dxa"/>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r>
    </w:tbl>
    <w:p>
      <w:pPr>
        <w:spacing w:line="360" w:lineRule="auto"/>
        <w:rPr>
          <w:rFonts w:ascii="宋体" w:hAnsi="宋体"/>
          <w:color w:val="auto"/>
          <w:sz w:val="24"/>
          <w:highlight w:val="none"/>
        </w:rPr>
      </w:pPr>
      <w:r>
        <w:rPr>
          <w:rFonts w:hint="eastAsia" w:ascii="宋体" w:hAnsi="宋体"/>
          <w:color w:val="auto"/>
          <w:sz w:val="24"/>
          <w:highlight w:val="none"/>
        </w:rPr>
        <w:t xml:space="preserve">    (1) </w:t>
      </w:r>
      <w:r>
        <w:rPr>
          <w:rFonts w:hint="eastAsia" w:ascii="宋体" w:hAnsi="宋体" w:cs="Arial"/>
          <w:color w:val="auto"/>
          <w:sz w:val="24"/>
          <w:highlight w:val="none"/>
        </w:rPr>
        <w:t>投票结束后，</w:t>
      </w:r>
      <w:r>
        <w:rPr>
          <w:rFonts w:hint="eastAsia" w:ascii="宋体" w:hAnsi="宋体"/>
          <w:color w:val="auto"/>
          <w:sz w:val="24"/>
          <w:highlight w:val="none"/>
        </w:rPr>
        <w:t>点票人员</w:t>
      </w:r>
      <w:r>
        <w:rPr>
          <w:rFonts w:hint="eastAsia" w:ascii="宋体" w:hAnsi="宋体" w:cs="Arial"/>
          <w:color w:val="auto"/>
          <w:sz w:val="24"/>
          <w:highlight w:val="none"/>
        </w:rPr>
        <w:t>对投票人数、票数和每票应选方案总数加以核对和统计，作废的选票不得统计，并向</w:t>
      </w:r>
      <w:r>
        <w:rPr>
          <w:rFonts w:hint="eastAsia" w:ascii="宋体" w:hAnsi="宋体"/>
          <w:color w:val="auto"/>
          <w:sz w:val="24"/>
          <w:highlight w:val="none"/>
        </w:rPr>
        <w:t>评标委员会</w:t>
      </w:r>
      <w:r>
        <w:rPr>
          <w:rFonts w:hint="eastAsia" w:ascii="宋体" w:hAnsi="宋体" w:cs="Arial"/>
          <w:color w:val="auto"/>
          <w:sz w:val="24"/>
          <w:highlight w:val="none"/>
        </w:rPr>
        <w:t>报告。</w:t>
      </w:r>
    </w:p>
    <w:p>
      <w:pPr>
        <w:spacing w:line="360" w:lineRule="auto"/>
        <w:ind w:firstLine="480"/>
        <w:rPr>
          <w:rFonts w:ascii="宋体" w:hAnsi="宋体"/>
          <w:color w:val="auto"/>
          <w:sz w:val="24"/>
          <w:highlight w:val="none"/>
        </w:rPr>
      </w:pPr>
      <w:r>
        <w:rPr>
          <w:rFonts w:hint="eastAsia" w:ascii="宋体" w:hAnsi="宋体"/>
          <w:color w:val="auto"/>
          <w:sz w:val="24"/>
          <w:highlight w:val="none"/>
        </w:rPr>
        <w:t>(2)评标委员会成员应当独立投票，自投票开始至最终排名统计结果公布期间，任何人不得非法干预、影响投票过程，不得透露、协商、改变投票结果，不得使用通信联络工具。</w:t>
      </w:r>
    </w:p>
    <w:p>
      <w:pPr>
        <w:spacing w:line="360" w:lineRule="auto"/>
        <w:rPr>
          <w:rFonts w:ascii="宋体" w:hAnsi="宋体"/>
          <w:color w:val="auto"/>
          <w:sz w:val="24"/>
          <w:highlight w:val="none"/>
        </w:rPr>
      </w:pPr>
      <w:r>
        <w:rPr>
          <w:rFonts w:hint="eastAsia" w:ascii="宋体" w:hAnsi="宋体"/>
          <w:color w:val="auto"/>
          <w:sz w:val="24"/>
          <w:highlight w:val="none"/>
        </w:rPr>
        <w:t>评委签名：                                 日期：     年    月    日</w:t>
      </w:r>
    </w:p>
    <w:p>
      <w:pPr>
        <w:keepNext/>
        <w:keepLines/>
        <w:spacing w:line="360" w:lineRule="auto"/>
        <w:outlineLvl w:val="0"/>
        <w:rPr>
          <w:rFonts w:ascii="宋体" w:hAnsi="宋体"/>
          <w:color w:val="auto"/>
          <w:kern w:val="44"/>
          <w:sz w:val="44"/>
          <w:szCs w:val="44"/>
          <w:highlight w:val="none"/>
        </w:rPr>
      </w:pPr>
      <w:r>
        <w:rPr>
          <w:rFonts w:ascii="宋体" w:hAnsi="宋体"/>
          <w:color w:val="auto"/>
          <w:highlight w:val="none"/>
        </w:rPr>
        <w:br w:type="page"/>
      </w:r>
      <w:bookmarkStart w:id="24" w:name="_Toc14005"/>
      <w:r>
        <w:rPr>
          <w:rFonts w:hint="eastAsia" w:ascii="宋体" w:hAnsi="宋体"/>
          <w:b/>
          <w:bCs/>
          <w:color w:val="auto"/>
          <w:kern w:val="44"/>
          <w:szCs w:val="21"/>
          <w:highlight w:val="none"/>
        </w:rPr>
        <w:t>附件10-1附加投票表格</w:t>
      </w:r>
      <w:bookmarkEnd w:id="24"/>
    </w:p>
    <w:p>
      <w:pPr>
        <w:spacing w:line="360" w:lineRule="auto"/>
        <w:jc w:val="center"/>
        <w:rPr>
          <w:rFonts w:ascii="宋体" w:hAnsi="宋体"/>
          <w:b/>
          <w:color w:val="auto"/>
          <w:sz w:val="32"/>
          <w:szCs w:val="20"/>
          <w:highlight w:val="none"/>
        </w:rPr>
      </w:pPr>
      <w:r>
        <w:rPr>
          <w:rFonts w:hint="eastAsia" w:ascii="宋体" w:hAnsi="宋体"/>
          <w:b/>
          <w:color w:val="auto"/>
          <w:sz w:val="32"/>
          <w:szCs w:val="20"/>
          <w:highlight w:val="none"/>
        </w:rPr>
        <w:t>附加投票表格</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8" w:type="dxa"/>
            <w:tcBorders>
              <w:top w:val="doub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第    轮</w:t>
            </w:r>
          </w:p>
        </w:tc>
        <w:tc>
          <w:tcPr>
            <w:tcW w:w="7340" w:type="dxa"/>
            <w:tcBorders>
              <w:top w:val="double" w:color="auto" w:sz="4" w:space="0"/>
              <w:left w:val="single" w:color="auto" w:sz="4" w:space="0"/>
              <w:bottom w:val="double" w:color="auto" w:sz="4" w:space="0"/>
              <w:right w:val="double" w:color="auto" w:sz="4" w:space="0"/>
            </w:tcBorders>
          </w:tcPr>
          <w:p>
            <w:pPr>
              <w:spacing w:line="360" w:lineRule="auto"/>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正式投票规则：以上表格用于附加投票，从上到下每轮投票限使用一行空格，每个空格限填一个方案编号，同一行的空格内的方案编号不得重复。每轮投票允许选择的总数即下一轮候选总数，</w:t>
      </w:r>
      <w:r>
        <w:rPr>
          <w:rFonts w:hint="eastAsia" w:ascii="宋体" w:hAnsi="宋体" w:cs="Arial"/>
          <w:color w:val="auto"/>
          <w:sz w:val="24"/>
          <w:highlight w:val="none"/>
        </w:rPr>
        <w:t>以得票多的方案当选为</w:t>
      </w:r>
      <w:r>
        <w:rPr>
          <w:rFonts w:hint="eastAsia" w:ascii="宋体" w:hAnsi="宋体"/>
          <w:color w:val="auto"/>
          <w:sz w:val="24"/>
          <w:highlight w:val="none"/>
        </w:rPr>
        <w:t>下一轮投票的候选方案</w:t>
      </w:r>
      <w:r>
        <w:rPr>
          <w:rFonts w:hint="eastAsia" w:ascii="宋体" w:hAnsi="宋体" w:cs="Arial"/>
          <w:color w:val="auto"/>
          <w:sz w:val="24"/>
          <w:highlight w:val="none"/>
        </w:rPr>
        <w:t>。</w:t>
      </w:r>
      <w:r>
        <w:rPr>
          <w:rFonts w:hint="eastAsia" w:ascii="宋体" w:hAnsi="宋体"/>
          <w:color w:val="auto"/>
          <w:sz w:val="24"/>
          <w:highlight w:val="none"/>
        </w:rPr>
        <w:t>不能进入下一轮的方案，根据本轮得票数量确定名次。</w:t>
      </w:r>
      <w:r>
        <w:rPr>
          <w:rFonts w:hint="eastAsia" w:ascii="宋体" w:hAnsi="宋体" w:cs="Arial"/>
          <w:color w:val="auto"/>
          <w:sz w:val="24"/>
          <w:highlight w:val="none"/>
        </w:rPr>
        <w:t>遇票数相等不能确定入选下一轮的投标方案时，</w:t>
      </w:r>
      <w:r>
        <w:rPr>
          <w:rFonts w:hint="eastAsia"/>
          <w:color w:val="auto"/>
          <w:sz w:val="24"/>
          <w:highlight w:val="none"/>
        </w:rPr>
        <w:t>应进行附加投票，以确定名次。</w:t>
      </w:r>
      <w:r>
        <w:rPr>
          <w:rFonts w:hint="eastAsia" w:ascii="宋体" w:hAnsi="宋体"/>
          <w:color w:val="auto"/>
          <w:sz w:val="24"/>
          <w:highlight w:val="none"/>
        </w:rPr>
        <w:t>若投标人数为9人或以上，第一轮投票从第1行空格开始；若投标人数为5至8人，第一轮投票从上表第2行空格开始；若投标人数为3至4人，第一轮投票从上表第3行空格开始。每轮正式投票允许选择投标方案总数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80"/>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每轮正式投票允许选择总数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r>
              <w:rPr>
                <w:rFonts w:hint="eastAsia" w:ascii="宋体" w:hAnsi="宋体"/>
                <w:color w:val="auto"/>
                <w:sz w:val="24"/>
                <w:highlight w:val="none"/>
              </w:rPr>
              <w:t>投标人数</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3至4</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5至8</w:t>
            </w: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9人或以上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r>
              <w:rPr>
                <w:rFonts w:hint="eastAsia" w:ascii="宋体" w:hAnsi="宋体"/>
                <w:color w:val="auto"/>
                <w:sz w:val="24"/>
                <w:highlight w:val="none"/>
              </w:rPr>
              <w:t>第1轮</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r>
              <w:rPr>
                <w:rFonts w:hint="eastAsia" w:ascii="宋体" w:hAnsi="宋体"/>
                <w:color w:val="auto"/>
                <w:sz w:val="24"/>
                <w:highlight w:val="none"/>
              </w:rPr>
              <w:t>第2轮</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r>
              <w:rPr>
                <w:rFonts w:hint="eastAsia" w:ascii="宋体" w:hAnsi="宋体"/>
                <w:color w:val="auto"/>
                <w:sz w:val="24"/>
                <w:highlight w:val="none"/>
              </w:rPr>
              <w:t>第3轮</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highlight w:val="none"/>
              </w:rPr>
            </w:pPr>
            <w:r>
              <w:rPr>
                <w:rFonts w:hint="eastAsia" w:ascii="宋体" w:hAnsi="宋体"/>
                <w:color w:val="auto"/>
                <w:sz w:val="24"/>
                <w:highlight w:val="none"/>
              </w:rPr>
              <w:t>第4轮</w:t>
            </w: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r>
    </w:tbl>
    <w:p>
      <w:pPr>
        <w:spacing w:line="360" w:lineRule="auto"/>
        <w:rPr>
          <w:rFonts w:ascii="宋体" w:hAnsi="宋体"/>
          <w:color w:val="auto"/>
          <w:sz w:val="24"/>
          <w:highlight w:val="none"/>
        </w:rPr>
      </w:pPr>
      <w:r>
        <w:rPr>
          <w:rFonts w:hint="eastAsia" w:ascii="宋体" w:hAnsi="宋体"/>
          <w:color w:val="auto"/>
          <w:sz w:val="24"/>
          <w:highlight w:val="none"/>
        </w:rPr>
        <w:t xml:space="preserve">    (1) </w:t>
      </w:r>
      <w:r>
        <w:rPr>
          <w:rFonts w:hint="eastAsia" w:ascii="宋体" w:hAnsi="宋体" w:cs="Arial"/>
          <w:color w:val="auto"/>
          <w:sz w:val="24"/>
          <w:highlight w:val="none"/>
        </w:rPr>
        <w:t>投票结束后，</w:t>
      </w:r>
      <w:r>
        <w:rPr>
          <w:rFonts w:hint="eastAsia" w:ascii="宋体" w:hAnsi="宋体"/>
          <w:color w:val="auto"/>
          <w:sz w:val="24"/>
          <w:highlight w:val="none"/>
        </w:rPr>
        <w:t>点票人员</w:t>
      </w:r>
      <w:r>
        <w:rPr>
          <w:rFonts w:hint="eastAsia" w:ascii="宋体" w:hAnsi="宋体" w:cs="Arial"/>
          <w:color w:val="auto"/>
          <w:sz w:val="24"/>
          <w:highlight w:val="none"/>
        </w:rPr>
        <w:t>对投票人数、票数和每票应选方案总数加以核对和统计，作废的选票不得统计，并向</w:t>
      </w:r>
      <w:r>
        <w:rPr>
          <w:rFonts w:hint="eastAsia" w:ascii="宋体" w:hAnsi="宋体"/>
          <w:color w:val="auto"/>
          <w:sz w:val="24"/>
          <w:highlight w:val="none"/>
        </w:rPr>
        <w:t>评标委员会</w:t>
      </w:r>
      <w:r>
        <w:rPr>
          <w:rFonts w:hint="eastAsia" w:ascii="宋体" w:hAnsi="宋体" w:cs="Arial"/>
          <w:color w:val="auto"/>
          <w:sz w:val="24"/>
          <w:highlight w:val="none"/>
        </w:rPr>
        <w:t>报告。</w:t>
      </w:r>
    </w:p>
    <w:p>
      <w:pPr>
        <w:spacing w:line="360" w:lineRule="auto"/>
        <w:ind w:firstLine="480"/>
        <w:rPr>
          <w:rFonts w:ascii="宋体" w:hAnsi="宋体"/>
          <w:color w:val="auto"/>
          <w:sz w:val="24"/>
          <w:highlight w:val="none"/>
        </w:rPr>
      </w:pPr>
      <w:r>
        <w:rPr>
          <w:rFonts w:hint="eastAsia" w:ascii="宋体" w:hAnsi="宋体"/>
          <w:color w:val="auto"/>
          <w:sz w:val="24"/>
          <w:highlight w:val="none"/>
        </w:rPr>
        <w:t>(2)评标委员会成员应当独立投票，自投票开始至最终排名统计结果公布期间，任何人不得非法干预、影响投票过程，不得透露、协商、改变投票结果，不得使用通信联络工具。</w:t>
      </w:r>
    </w:p>
    <w:p>
      <w:pPr>
        <w:spacing w:line="360" w:lineRule="auto"/>
        <w:ind w:firstLine="480"/>
        <w:rPr>
          <w:rFonts w:ascii="宋体" w:hAnsi="宋体"/>
          <w:color w:val="auto"/>
          <w:sz w:val="24"/>
          <w:highlight w:val="none"/>
        </w:rPr>
      </w:pPr>
    </w:p>
    <w:p>
      <w:pPr>
        <w:spacing w:line="360" w:lineRule="auto"/>
        <w:rPr>
          <w:rFonts w:ascii="宋体" w:hAnsi="宋体"/>
          <w:color w:val="auto"/>
          <w:highlight w:val="none"/>
        </w:rPr>
        <w:sectPr>
          <w:footerReference r:id="rId10" w:type="default"/>
          <w:pgSz w:w="11906" w:h="16838"/>
          <w:pgMar w:top="1440" w:right="1797" w:bottom="1440" w:left="1797" w:header="851" w:footer="992" w:gutter="0"/>
          <w:cols w:space="720" w:num="1"/>
          <w:docGrid w:type="lines" w:linePitch="312" w:charSpace="0"/>
        </w:sectPr>
      </w:pPr>
      <w:r>
        <w:rPr>
          <w:rFonts w:hint="eastAsia" w:ascii="宋体" w:hAnsi="宋体"/>
          <w:color w:val="auto"/>
          <w:sz w:val="24"/>
          <w:highlight w:val="none"/>
        </w:rPr>
        <w:t>评委签名：                                 日期：     年    月    日</w:t>
      </w:r>
    </w:p>
    <w:p>
      <w:pPr>
        <w:keepNext/>
        <w:keepLines/>
        <w:spacing w:line="360" w:lineRule="auto"/>
        <w:outlineLvl w:val="0"/>
        <w:rPr>
          <w:rFonts w:ascii="宋体" w:hAnsi="宋体"/>
          <w:b/>
          <w:bCs/>
          <w:color w:val="auto"/>
          <w:kern w:val="44"/>
          <w:szCs w:val="21"/>
          <w:highlight w:val="none"/>
        </w:rPr>
      </w:pPr>
      <w:bookmarkStart w:id="25" w:name="_Toc29137"/>
      <w:r>
        <w:rPr>
          <w:rFonts w:hint="eastAsia" w:ascii="宋体" w:hAnsi="宋体"/>
          <w:b/>
          <w:bCs/>
          <w:color w:val="auto"/>
          <w:kern w:val="44"/>
          <w:szCs w:val="21"/>
          <w:highlight w:val="none"/>
        </w:rPr>
        <w:t>附录11 投标汇总表格</w:t>
      </w:r>
      <w:bookmarkEnd w:id="25"/>
    </w:p>
    <w:p>
      <w:pPr>
        <w:spacing w:line="360" w:lineRule="auto"/>
        <w:jc w:val="center"/>
        <w:rPr>
          <w:rFonts w:ascii="宋体" w:hAnsi="宋体"/>
          <w:b/>
          <w:color w:val="auto"/>
          <w:sz w:val="32"/>
          <w:highlight w:val="none"/>
        </w:rPr>
      </w:pPr>
      <w:r>
        <w:rPr>
          <w:rFonts w:hint="eastAsia" w:ascii="宋体" w:hAnsi="宋体"/>
          <w:b/>
          <w:color w:val="auto"/>
          <w:sz w:val="32"/>
          <w:highlight w:val="none"/>
        </w:rPr>
        <w:t>投票汇总表格</w:t>
      </w:r>
    </w:p>
    <w:p>
      <w:pPr>
        <w:spacing w:line="360" w:lineRule="auto"/>
        <w:rPr>
          <w:rFonts w:ascii="宋体" w:hAnsi="宋体"/>
          <w:color w:val="auto"/>
          <w:sz w:val="24"/>
          <w:highlight w:val="none"/>
        </w:rPr>
      </w:pPr>
      <w:r>
        <w:rPr>
          <w:rFonts w:hint="eastAsia" w:ascii="宋体" w:hAnsi="宋体"/>
          <w:color w:val="auto"/>
          <w:sz w:val="24"/>
          <w:highlight w:val="none"/>
        </w:rPr>
        <w:t>项目名称：                                                                                       日期：       年    月    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0"/>
        <w:gridCol w:w="677"/>
        <w:gridCol w:w="677"/>
        <w:gridCol w:w="677"/>
        <w:gridCol w:w="677"/>
        <w:gridCol w:w="12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20" w:type="dxa"/>
            <w:vMerge w:val="restart"/>
          </w:tcPr>
          <w:p>
            <w:pPr>
              <w:spacing w:line="360" w:lineRule="auto"/>
              <w:jc w:val="center"/>
              <w:rPr>
                <w:rFonts w:ascii="宋体" w:hAnsi="宋体"/>
                <w:color w:val="auto"/>
                <w:sz w:val="24"/>
                <w:highlight w:val="none"/>
              </w:rPr>
            </w:pPr>
            <w:r>
              <w:rPr>
                <w:rFonts w:hint="eastAsia" w:ascii="宋体" w:hAnsi="宋体"/>
                <w:color w:val="auto"/>
                <w:sz w:val="24"/>
                <w:highlight w:val="none"/>
              </w:rPr>
              <w:t>方案编号</w:t>
            </w:r>
          </w:p>
        </w:tc>
        <w:tc>
          <w:tcPr>
            <w:tcW w:w="1420" w:type="dxa"/>
            <w:vMerge w:val="restart"/>
          </w:tcPr>
          <w:p>
            <w:pPr>
              <w:spacing w:line="360" w:lineRule="auto"/>
              <w:jc w:val="center"/>
              <w:rPr>
                <w:rFonts w:ascii="宋体" w:hAnsi="宋体"/>
                <w:color w:val="auto"/>
                <w:sz w:val="24"/>
                <w:highlight w:val="none"/>
              </w:rPr>
            </w:pPr>
            <w:r>
              <w:rPr>
                <w:rFonts w:hint="eastAsia" w:ascii="宋体" w:hAnsi="宋体"/>
                <w:color w:val="auto"/>
                <w:sz w:val="24"/>
                <w:highlight w:val="none"/>
              </w:rPr>
              <w:t>第一轮得票</w:t>
            </w:r>
          </w:p>
        </w:tc>
        <w:tc>
          <w:tcPr>
            <w:tcW w:w="1420" w:type="dxa"/>
            <w:vMerge w:val="restart"/>
          </w:tcPr>
          <w:p>
            <w:pPr>
              <w:spacing w:line="360" w:lineRule="auto"/>
              <w:jc w:val="center"/>
              <w:rPr>
                <w:rFonts w:ascii="宋体" w:hAnsi="宋体"/>
                <w:color w:val="auto"/>
                <w:sz w:val="24"/>
                <w:highlight w:val="none"/>
              </w:rPr>
            </w:pPr>
            <w:r>
              <w:rPr>
                <w:rFonts w:hint="eastAsia" w:ascii="宋体" w:hAnsi="宋体"/>
                <w:color w:val="auto"/>
                <w:sz w:val="24"/>
                <w:highlight w:val="none"/>
              </w:rPr>
              <w:t>第二轮得票</w:t>
            </w:r>
          </w:p>
        </w:tc>
        <w:tc>
          <w:tcPr>
            <w:tcW w:w="1420" w:type="dxa"/>
            <w:vMerge w:val="restart"/>
          </w:tcPr>
          <w:p>
            <w:pPr>
              <w:spacing w:line="360" w:lineRule="auto"/>
              <w:jc w:val="center"/>
              <w:rPr>
                <w:rFonts w:ascii="宋体" w:hAnsi="宋体"/>
                <w:color w:val="auto"/>
                <w:sz w:val="24"/>
                <w:highlight w:val="none"/>
              </w:rPr>
            </w:pPr>
            <w:r>
              <w:rPr>
                <w:rFonts w:hint="eastAsia" w:ascii="宋体" w:hAnsi="宋体"/>
                <w:color w:val="auto"/>
                <w:sz w:val="24"/>
                <w:highlight w:val="none"/>
              </w:rPr>
              <w:t>第三轮得票</w:t>
            </w:r>
          </w:p>
        </w:tc>
        <w:tc>
          <w:tcPr>
            <w:tcW w:w="1420" w:type="dxa"/>
            <w:vMerge w:val="restart"/>
          </w:tcPr>
          <w:p>
            <w:pPr>
              <w:spacing w:line="360" w:lineRule="auto"/>
              <w:jc w:val="center"/>
              <w:rPr>
                <w:rFonts w:ascii="宋体" w:hAnsi="宋体"/>
                <w:color w:val="auto"/>
                <w:sz w:val="24"/>
                <w:highlight w:val="none"/>
              </w:rPr>
            </w:pPr>
            <w:r>
              <w:rPr>
                <w:rFonts w:hint="eastAsia" w:ascii="宋体" w:hAnsi="宋体"/>
                <w:color w:val="auto"/>
                <w:sz w:val="24"/>
                <w:highlight w:val="none"/>
              </w:rPr>
              <w:t>第四轮得票</w:t>
            </w:r>
          </w:p>
        </w:tc>
        <w:tc>
          <w:tcPr>
            <w:tcW w:w="2708" w:type="dxa"/>
            <w:gridSpan w:val="4"/>
          </w:tcPr>
          <w:p>
            <w:pPr>
              <w:spacing w:line="360" w:lineRule="auto"/>
              <w:jc w:val="center"/>
              <w:rPr>
                <w:rFonts w:ascii="宋体" w:hAnsi="宋体"/>
                <w:color w:val="auto"/>
                <w:sz w:val="24"/>
                <w:highlight w:val="none"/>
              </w:rPr>
            </w:pPr>
            <w:r>
              <w:rPr>
                <w:rFonts w:hint="eastAsia" w:ascii="宋体" w:hAnsi="宋体"/>
                <w:color w:val="auto"/>
                <w:sz w:val="24"/>
                <w:highlight w:val="none"/>
              </w:rPr>
              <w:t>每轮得票相同的排序</w:t>
            </w:r>
          </w:p>
        </w:tc>
        <w:tc>
          <w:tcPr>
            <w:tcW w:w="1275" w:type="dxa"/>
            <w:vMerge w:val="restart"/>
          </w:tcPr>
          <w:p>
            <w:pPr>
              <w:spacing w:line="360" w:lineRule="auto"/>
              <w:jc w:val="center"/>
              <w:rPr>
                <w:rFonts w:ascii="宋体" w:hAnsi="宋体"/>
                <w:color w:val="auto"/>
                <w:sz w:val="24"/>
                <w:highlight w:val="none"/>
              </w:rPr>
            </w:pPr>
            <w:r>
              <w:rPr>
                <w:rFonts w:hint="eastAsia" w:ascii="宋体" w:hAnsi="宋体"/>
                <w:color w:val="auto"/>
                <w:sz w:val="24"/>
                <w:highlight w:val="none"/>
              </w:rPr>
              <w:t>排列名次</w:t>
            </w:r>
          </w:p>
        </w:tc>
        <w:tc>
          <w:tcPr>
            <w:tcW w:w="3045" w:type="dxa"/>
            <w:vMerge w:val="restart"/>
          </w:tcPr>
          <w:p>
            <w:pPr>
              <w:spacing w:line="360" w:lineRule="auto"/>
              <w:jc w:val="center"/>
              <w:rPr>
                <w:rFonts w:ascii="宋体" w:hAnsi="宋体"/>
                <w:color w:val="auto"/>
                <w:sz w:val="24"/>
                <w:highlight w:val="none"/>
              </w:rPr>
            </w:pPr>
            <w:r>
              <w:rPr>
                <w:rFonts w:hint="eastAsia" w:ascii="宋体" w:hAnsi="宋体"/>
                <w:color w:val="auto"/>
                <w:sz w:val="24"/>
                <w:highlight w:val="none"/>
              </w:rPr>
              <w:t>投标人名称</w:t>
            </w:r>
          </w:p>
          <w:p>
            <w:pPr>
              <w:spacing w:line="360" w:lineRule="auto"/>
              <w:jc w:val="center"/>
              <w:rPr>
                <w:rFonts w:ascii="宋体" w:hAnsi="宋体"/>
                <w:color w:val="auto"/>
                <w:sz w:val="24"/>
                <w:highlight w:val="none"/>
              </w:rPr>
            </w:pPr>
            <w:r>
              <w:rPr>
                <w:rFonts w:hint="eastAsia" w:ascii="宋体" w:hAnsi="宋体"/>
                <w:color w:val="auto"/>
                <w:sz w:val="24"/>
                <w:highlight w:val="none"/>
              </w:rPr>
              <w:t>（建筑师）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20" w:type="dxa"/>
            <w:vMerge w:val="continue"/>
          </w:tcPr>
          <w:p>
            <w:pPr>
              <w:spacing w:line="360" w:lineRule="auto"/>
              <w:jc w:val="center"/>
              <w:rPr>
                <w:rFonts w:ascii="宋体" w:hAnsi="宋体"/>
                <w:color w:val="auto"/>
                <w:highlight w:val="none"/>
              </w:rPr>
            </w:pPr>
          </w:p>
        </w:tc>
        <w:tc>
          <w:tcPr>
            <w:tcW w:w="1420" w:type="dxa"/>
            <w:vMerge w:val="continue"/>
          </w:tcPr>
          <w:p>
            <w:pPr>
              <w:spacing w:line="360" w:lineRule="auto"/>
              <w:jc w:val="center"/>
              <w:rPr>
                <w:rFonts w:ascii="宋体" w:hAnsi="宋体"/>
                <w:color w:val="auto"/>
                <w:highlight w:val="none"/>
              </w:rPr>
            </w:pPr>
          </w:p>
        </w:tc>
        <w:tc>
          <w:tcPr>
            <w:tcW w:w="1420" w:type="dxa"/>
            <w:vMerge w:val="continue"/>
          </w:tcPr>
          <w:p>
            <w:pPr>
              <w:spacing w:line="360" w:lineRule="auto"/>
              <w:jc w:val="center"/>
              <w:rPr>
                <w:rFonts w:ascii="宋体" w:hAnsi="宋体"/>
                <w:color w:val="auto"/>
                <w:highlight w:val="none"/>
              </w:rPr>
            </w:pPr>
          </w:p>
        </w:tc>
        <w:tc>
          <w:tcPr>
            <w:tcW w:w="1420" w:type="dxa"/>
            <w:vMerge w:val="continue"/>
          </w:tcPr>
          <w:p>
            <w:pPr>
              <w:spacing w:line="360" w:lineRule="auto"/>
              <w:jc w:val="center"/>
              <w:rPr>
                <w:rFonts w:ascii="宋体" w:hAnsi="宋体"/>
                <w:color w:val="auto"/>
                <w:highlight w:val="none"/>
              </w:rPr>
            </w:pPr>
          </w:p>
        </w:tc>
        <w:tc>
          <w:tcPr>
            <w:tcW w:w="1420" w:type="dxa"/>
            <w:vMerge w:val="continue"/>
          </w:tcPr>
          <w:p>
            <w:pPr>
              <w:spacing w:line="360" w:lineRule="auto"/>
              <w:jc w:val="center"/>
              <w:rPr>
                <w:rFonts w:ascii="宋体" w:hAnsi="宋体"/>
                <w:color w:val="auto"/>
                <w:highlight w:val="none"/>
              </w:rPr>
            </w:pPr>
          </w:p>
        </w:tc>
        <w:tc>
          <w:tcPr>
            <w:tcW w:w="677" w:type="dxa"/>
          </w:tcPr>
          <w:p>
            <w:pPr>
              <w:spacing w:line="360" w:lineRule="auto"/>
              <w:jc w:val="center"/>
              <w:rPr>
                <w:rFonts w:ascii="宋体" w:hAnsi="宋体"/>
                <w:color w:val="auto"/>
                <w:highlight w:val="none"/>
              </w:rPr>
            </w:pPr>
            <w:r>
              <w:rPr>
                <w:rFonts w:hint="eastAsia" w:ascii="宋体" w:hAnsi="宋体"/>
                <w:color w:val="auto"/>
                <w:highlight w:val="none"/>
              </w:rPr>
              <w:t>1</w:t>
            </w:r>
          </w:p>
        </w:tc>
        <w:tc>
          <w:tcPr>
            <w:tcW w:w="677" w:type="dxa"/>
          </w:tcPr>
          <w:p>
            <w:pPr>
              <w:spacing w:line="360" w:lineRule="auto"/>
              <w:jc w:val="center"/>
              <w:rPr>
                <w:rFonts w:ascii="宋体" w:hAnsi="宋体"/>
                <w:color w:val="auto"/>
                <w:highlight w:val="none"/>
              </w:rPr>
            </w:pPr>
            <w:r>
              <w:rPr>
                <w:rFonts w:hint="eastAsia" w:ascii="宋体" w:hAnsi="宋体"/>
                <w:color w:val="auto"/>
                <w:highlight w:val="none"/>
              </w:rPr>
              <w:t>2</w:t>
            </w:r>
          </w:p>
        </w:tc>
        <w:tc>
          <w:tcPr>
            <w:tcW w:w="677" w:type="dxa"/>
          </w:tcPr>
          <w:p>
            <w:pPr>
              <w:spacing w:line="360" w:lineRule="auto"/>
              <w:jc w:val="center"/>
              <w:rPr>
                <w:rFonts w:ascii="宋体" w:hAnsi="宋体"/>
                <w:color w:val="auto"/>
                <w:highlight w:val="none"/>
              </w:rPr>
            </w:pPr>
            <w:r>
              <w:rPr>
                <w:rFonts w:hint="eastAsia" w:ascii="宋体" w:hAnsi="宋体"/>
                <w:color w:val="auto"/>
                <w:highlight w:val="none"/>
              </w:rPr>
              <w:t>3</w:t>
            </w:r>
          </w:p>
        </w:tc>
        <w:tc>
          <w:tcPr>
            <w:tcW w:w="677" w:type="dxa"/>
          </w:tcPr>
          <w:p>
            <w:pPr>
              <w:spacing w:line="360" w:lineRule="auto"/>
              <w:jc w:val="center"/>
              <w:rPr>
                <w:rFonts w:ascii="宋体" w:hAnsi="宋体"/>
                <w:color w:val="auto"/>
                <w:highlight w:val="none"/>
              </w:rPr>
            </w:pPr>
            <w:r>
              <w:rPr>
                <w:rFonts w:hint="eastAsia" w:ascii="宋体" w:hAnsi="宋体"/>
                <w:color w:val="auto"/>
                <w:highlight w:val="none"/>
              </w:rPr>
              <w:t>4</w:t>
            </w:r>
          </w:p>
        </w:tc>
        <w:tc>
          <w:tcPr>
            <w:tcW w:w="1275" w:type="dxa"/>
            <w:vMerge w:val="continue"/>
          </w:tcPr>
          <w:p>
            <w:pPr>
              <w:spacing w:line="360" w:lineRule="auto"/>
              <w:jc w:val="center"/>
              <w:rPr>
                <w:rFonts w:ascii="宋体" w:hAnsi="宋体"/>
                <w:color w:val="auto"/>
                <w:highlight w:val="none"/>
              </w:rPr>
            </w:pPr>
          </w:p>
        </w:tc>
        <w:tc>
          <w:tcPr>
            <w:tcW w:w="3045" w:type="dxa"/>
            <w:vMerge w:val="continue"/>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0" w:type="dxa"/>
          </w:tcPr>
          <w:p>
            <w:pPr>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1275" w:type="dxa"/>
          </w:tcPr>
          <w:p>
            <w:pPr>
              <w:spacing w:line="360" w:lineRule="auto"/>
              <w:rPr>
                <w:rFonts w:ascii="宋体" w:hAnsi="宋体"/>
                <w:snapToGrid w:val="0"/>
                <w:color w:val="auto"/>
                <w:kern w:val="0"/>
                <w:szCs w:val="21"/>
                <w:highlight w:val="none"/>
              </w:rPr>
            </w:pPr>
          </w:p>
        </w:tc>
        <w:tc>
          <w:tcPr>
            <w:tcW w:w="3045" w:type="dxa"/>
          </w:tcPr>
          <w:p>
            <w:pPr>
              <w:spacing w:line="360" w:lineRule="auto"/>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1275" w:type="dxa"/>
          </w:tcPr>
          <w:p>
            <w:pPr>
              <w:spacing w:line="360" w:lineRule="auto"/>
              <w:rPr>
                <w:rFonts w:ascii="宋体" w:hAnsi="宋体"/>
                <w:snapToGrid w:val="0"/>
                <w:color w:val="auto"/>
                <w:kern w:val="0"/>
                <w:szCs w:val="21"/>
                <w:highlight w:val="none"/>
              </w:rPr>
            </w:pPr>
          </w:p>
        </w:tc>
        <w:tc>
          <w:tcPr>
            <w:tcW w:w="3045" w:type="dxa"/>
          </w:tcPr>
          <w:p>
            <w:pPr>
              <w:spacing w:line="360" w:lineRule="auto"/>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1275" w:type="dxa"/>
          </w:tcPr>
          <w:p>
            <w:pPr>
              <w:spacing w:line="360" w:lineRule="auto"/>
              <w:rPr>
                <w:rFonts w:ascii="宋体" w:hAnsi="宋体"/>
                <w:snapToGrid w:val="0"/>
                <w:color w:val="auto"/>
                <w:kern w:val="0"/>
                <w:szCs w:val="21"/>
                <w:highlight w:val="none"/>
              </w:rPr>
            </w:pPr>
          </w:p>
        </w:tc>
        <w:tc>
          <w:tcPr>
            <w:tcW w:w="3045" w:type="dxa"/>
          </w:tcPr>
          <w:p>
            <w:pPr>
              <w:spacing w:line="360" w:lineRule="auto"/>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1275" w:type="dxa"/>
          </w:tcPr>
          <w:p>
            <w:pPr>
              <w:spacing w:line="360" w:lineRule="auto"/>
              <w:rPr>
                <w:rFonts w:ascii="宋体" w:hAnsi="宋体"/>
                <w:snapToGrid w:val="0"/>
                <w:color w:val="auto"/>
                <w:kern w:val="0"/>
                <w:szCs w:val="21"/>
                <w:highlight w:val="none"/>
              </w:rPr>
            </w:pPr>
          </w:p>
        </w:tc>
        <w:tc>
          <w:tcPr>
            <w:tcW w:w="3045" w:type="dxa"/>
          </w:tcPr>
          <w:p>
            <w:pPr>
              <w:spacing w:line="360" w:lineRule="auto"/>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w:t>
            </w: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1275" w:type="dxa"/>
          </w:tcPr>
          <w:p>
            <w:pPr>
              <w:spacing w:line="360" w:lineRule="auto"/>
              <w:rPr>
                <w:rFonts w:ascii="宋体" w:hAnsi="宋体"/>
                <w:snapToGrid w:val="0"/>
                <w:color w:val="auto"/>
                <w:kern w:val="0"/>
                <w:szCs w:val="21"/>
                <w:highlight w:val="none"/>
              </w:rPr>
            </w:pPr>
          </w:p>
        </w:tc>
        <w:tc>
          <w:tcPr>
            <w:tcW w:w="3045" w:type="dxa"/>
          </w:tcPr>
          <w:p>
            <w:pPr>
              <w:spacing w:line="360" w:lineRule="auto"/>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6</w:t>
            </w: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1275" w:type="dxa"/>
          </w:tcPr>
          <w:p>
            <w:pPr>
              <w:spacing w:line="360" w:lineRule="auto"/>
              <w:rPr>
                <w:rFonts w:ascii="宋体" w:hAnsi="宋体"/>
                <w:snapToGrid w:val="0"/>
                <w:color w:val="auto"/>
                <w:kern w:val="0"/>
                <w:szCs w:val="21"/>
                <w:highlight w:val="none"/>
              </w:rPr>
            </w:pPr>
          </w:p>
        </w:tc>
        <w:tc>
          <w:tcPr>
            <w:tcW w:w="3045" w:type="dxa"/>
          </w:tcPr>
          <w:p>
            <w:pPr>
              <w:spacing w:line="360" w:lineRule="auto"/>
              <w:rPr>
                <w:rFonts w:ascii="宋体" w:hAnsi="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w:t>
            </w:r>
          </w:p>
        </w:tc>
        <w:tc>
          <w:tcPr>
            <w:tcW w:w="1420" w:type="dxa"/>
          </w:tcPr>
          <w:p>
            <w:pPr>
              <w:spacing w:line="360" w:lineRule="auto"/>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1420" w:type="dxa"/>
            <w:vAlign w:val="bottom"/>
          </w:tcPr>
          <w:p>
            <w:pPr>
              <w:spacing w:line="360" w:lineRule="auto"/>
              <w:jc w:val="center"/>
              <w:rPr>
                <w:rFonts w:ascii="宋体" w:hAnsi="宋体"/>
                <w:snapToGrid w:val="0"/>
                <w:color w:val="auto"/>
                <w:kern w:val="0"/>
                <w:szCs w:val="21"/>
                <w:highlight w:val="none"/>
              </w:rPr>
            </w:pPr>
          </w:p>
        </w:tc>
        <w:tc>
          <w:tcPr>
            <w:tcW w:w="1420"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tcPr>
          <w:p>
            <w:pPr>
              <w:spacing w:line="360" w:lineRule="auto"/>
              <w:rPr>
                <w:rFonts w:ascii="宋体" w:hAnsi="宋体"/>
                <w:snapToGrid w:val="0"/>
                <w:color w:val="auto"/>
                <w:kern w:val="0"/>
                <w:szCs w:val="21"/>
                <w:highlight w:val="none"/>
              </w:rPr>
            </w:pPr>
          </w:p>
        </w:tc>
        <w:tc>
          <w:tcPr>
            <w:tcW w:w="677" w:type="dxa"/>
            <w:vAlign w:val="bottom"/>
          </w:tcPr>
          <w:p>
            <w:pPr>
              <w:spacing w:line="360" w:lineRule="auto"/>
              <w:rPr>
                <w:rFonts w:ascii="宋体" w:hAnsi="宋体"/>
                <w:snapToGrid w:val="0"/>
                <w:color w:val="auto"/>
                <w:kern w:val="0"/>
                <w:szCs w:val="21"/>
                <w:highlight w:val="none"/>
              </w:rPr>
            </w:pPr>
          </w:p>
        </w:tc>
        <w:tc>
          <w:tcPr>
            <w:tcW w:w="677" w:type="dxa"/>
            <w:vAlign w:val="bottom"/>
          </w:tcPr>
          <w:p>
            <w:pPr>
              <w:spacing w:line="360" w:lineRule="auto"/>
              <w:rPr>
                <w:rFonts w:ascii="宋体" w:hAnsi="宋体"/>
                <w:snapToGrid w:val="0"/>
                <w:color w:val="auto"/>
                <w:kern w:val="0"/>
                <w:szCs w:val="21"/>
                <w:highlight w:val="none"/>
              </w:rPr>
            </w:pPr>
          </w:p>
        </w:tc>
        <w:tc>
          <w:tcPr>
            <w:tcW w:w="1275" w:type="dxa"/>
            <w:vAlign w:val="bottom"/>
          </w:tcPr>
          <w:p>
            <w:pPr>
              <w:spacing w:line="360" w:lineRule="auto"/>
              <w:jc w:val="center"/>
              <w:rPr>
                <w:rFonts w:ascii="宋体" w:hAnsi="宋体"/>
                <w:snapToGrid w:val="0"/>
                <w:color w:val="auto"/>
                <w:kern w:val="0"/>
                <w:szCs w:val="21"/>
                <w:highlight w:val="none"/>
              </w:rPr>
            </w:pPr>
          </w:p>
        </w:tc>
        <w:tc>
          <w:tcPr>
            <w:tcW w:w="3045" w:type="dxa"/>
            <w:vAlign w:val="bottom"/>
          </w:tcPr>
          <w:p>
            <w:pPr>
              <w:spacing w:line="360" w:lineRule="auto"/>
              <w:jc w:val="center"/>
              <w:rPr>
                <w:rFonts w:ascii="宋体" w:hAnsi="宋体"/>
                <w:snapToGrid w:val="0"/>
                <w:color w:val="auto"/>
                <w:kern w:val="0"/>
                <w:szCs w:val="21"/>
                <w:highlight w:val="none"/>
              </w:rPr>
            </w:pPr>
          </w:p>
        </w:tc>
      </w:tr>
    </w:tbl>
    <w:p>
      <w:pPr>
        <w:spacing w:line="360" w:lineRule="auto"/>
        <w:jc w:val="right"/>
        <w:rPr>
          <w:rFonts w:ascii="宋体" w:hAnsi="宋体"/>
          <w:color w:val="auto"/>
          <w:highlight w:val="none"/>
        </w:rPr>
      </w:pPr>
      <w:r>
        <w:rPr>
          <w:rFonts w:hint="eastAsia" w:ascii="宋体" w:hAnsi="宋体"/>
          <w:color w:val="auto"/>
          <w:highlight w:val="none"/>
        </w:rPr>
        <w:t xml:space="preserve">           评标委员会全体成员签字：</w:t>
      </w:r>
    </w:p>
    <w:p>
      <w:pPr>
        <w:keepNext/>
        <w:keepLines/>
        <w:spacing w:line="360" w:lineRule="auto"/>
        <w:outlineLvl w:val="0"/>
        <w:rPr>
          <w:rFonts w:ascii="宋体" w:hAnsi="宋体"/>
          <w:b/>
          <w:bCs/>
          <w:color w:val="auto"/>
          <w:kern w:val="44"/>
          <w:sz w:val="44"/>
          <w:szCs w:val="21"/>
          <w:highlight w:val="none"/>
        </w:rPr>
      </w:pPr>
    </w:p>
    <w:p>
      <w:pPr>
        <w:keepNext/>
        <w:keepLines/>
        <w:spacing w:line="360" w:lineRule="auto"/>
        <w:outlineLvl w:val="0"/>
        <w:rPr>
          <w:rFonts w:ascii="宋体" w:hAnsi="宋体"/>
          <w:b/>
          <w:bCs/>
          <w:color w:val="auto"/>
          <w:kern w:val="44"/>
          <w:szCs w:val="21"/>
          <w:highlight w:val="none"/>
        </w:rPr>
      </w:pPr>
      <w:r>
        <w:rPr>
          <w:rFonts w:hint="eastAsia" w:ascii="Times New Roman" w:hAnsi="Times New Roman"/>
          <w:b/>
          <w:bCs/>
          <w:color w:val="auto"/>
          <w:kern w:val="44"/>
          <w:sz w:val="44"/>
          <w:szCs w:val="44"/>
          <w:highlight w:val="none"/>
        </w:rPr>
        <w:br w:type="page"/>
      </w:r>
      <w:bookmarkStart w:id="26" w:name="_Toc213"/>
      <w:r>
        <w:rPr>
          <w:rFonts w:hint="eastAsia" w:ascii="宋体" w:hAnsi="宋体"/>
          <w:b/>
          <w:bCs/>
          <w:color w:val="auto"/>
          <w:kern w:val="44"/>
          <w:szCs w:val="21"/>
          <w:highlight w:val="none"/>
        </w:rPr>
        <w:t>附录12 建筑工程设计方案评审记录表</w:t>
      </w:r>
      <w:bookmarkEnd w:id="26"/>
    </w:p>
    <w:p>
      <w:pPr>
        <w:spacing w:line="360" w:lineRule="auto"/>
        <w:jc w:val="center"/>
        <w:rPr>
          <w:rFonts w:ascii="宋体" w:hAnsi="宋体"/>
          <w:color w:val="auto"/>
          <w:sz w:val="24"/>
          <w:highlight w:val="none"/>
        </w:rPr>
      </w:pPr>
      <w:r>
        <w:rPr>
          <w:rFonts w:hint="eastAsia" w:ascii="宋体" w:hAnsi="宋体"/>
          <w:b/>
          <w:bCs/>
          <w:color w:val="auto"/>
          <w:sz w:val="32"/>
          <w:highlight w:val="none"/>
        </w:rPr>
        <w:t>建筑工程设计方案评审记录表</w:t>
      </w:r>
    </w:p>
    <w:p>
      <w:pPr>
        <w:spacing w:line="360" w:lineRule="auto"/>
        <w:rPr>
          <w:rFonts w:ascii="宋体" w:hAnsi="宋体"/>
          <w:color w:val="auto"/>
          <w:sz w:val="24"/>
          <w:highlight w:val="none"/>
        </w:rPr>
      </w:pPr>
      <w:r>
        <w:rPr>
          <w:rFonts w:hint="eastAsia" w:ascii="宋体" w:hAnsi="宋体"/>
          <w:color w:val="auto"/>
          <w:sz w:val="24"/>
          <w:highlight w:val="none"/>
        </w:rPr>
        <w:t>项目名称：</w:t>
      </w:r>
    </w:p>
    <w:p>
      <w:pPr>
        <w:spacing w:line="360" w:lineRule="auto"/>
        <w:rPr>
          <w:rFonts w:ascii="宋体" w:hAnsi="宋体"/>
          <w:color w:val="auto"/>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992"/>
        <w:gridCol w:w="1548"/>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28"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992"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主要评判因素</w:t>
            </w:r>
          </w:p>
        </w:tc>
        <w:tc>
          <w:tcPr>
            <w:tcW w:w="1548"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较好方案</w:t>
            </w:r>
          </w:p>
        </w:tc>
        <w:tc>
          <w:tcPr>
            <w:tcW w:w="144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一般方案</w:t>
            </w:r>
          </w:p>
        </w:tc>
        <w:tc>
          <w:tcPr>
            <w:tcW w:w="1440" w:type="dxa"/>
          </w:tcPr>
          <w:p>
            <w:pPr>
              <w:spacing w:line="360" w:lineRule="auto"/>
              <w:jc w:val="center"/>
              <w:rPr>
                <w:rFonts w:ascii="宋体" w:hAnsi="宋体"/>
                <w:color w:val="auto"/>
                <w:szCs w:val="21"/>
                <w:highlight w:val="none"/>
              </w:rPr>
            </w:pPr>
            <w:r>
              <w:rPr>
                <w:rFonts w:hint="eastAsia" w:ascii="宋体" w:hAnsi="宋体"/>
                <w:color w:val="auto"/>
                <w:szCs w:val="21"/>
                <w:highlight w:val="none"/>
              </w:rPr>
              <w:t>较差方案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概念</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符合适用、经济、绿色和美观原则，结合地理、气候、风俗、文化和个性特点，反映时代精神、</w:t>
            </w:r>
            <w:r>
              <w:rPr>
                <w:rFonts w:ascii="宋体" w:hAnsi="宋体"/>
                <w:color w:val="auto"/>
                <w:szCs w:val="21"/>
                <w:highlight w:val="none"/>
              </w:rPr>
              <w:t>具有</w:t>
            </w:r>
            <w:r>
              <w:rPr>
                <w:rFonts w:hint="eastAsia" w:ascii="宋体" w:hAnsi="宋体"/>
                <w:color w:val="auto"/>
                <w:szCs w:val="21"/>
                <w:highlight w:val="none"/>
              </w:rPr>
              <w:t>创新的风格和意识，富有特色和吸引力，</w:t>
            </w:r>
            <w:r>
              <w:rPr>
                <w:rFonts w:ascii="ˎ̥" w:hAnsi="ˎ̥" w:cs="宋体"/>
                <w:color w:val="auto"/>
                <w:kern w:val="0"/>
                <w:szCs w:val="21"/>
                <w:highlight w:val="none"/>
              </w:rPr>
              <w:t>体现城市的历史文化、风貌特色</w:t>
            </w:r>
            <w:r>
              <w:rPr>
                <w:rFonts w:hint="eastAsia" w:ascii="ˎ̥" w:hAnsi="ˎ̥" w:cs="宋体"/>
                <w:color w:val="auto"/>
                <w:kern w:val="0"/>
                <w:szCs w:val="21"/>
                <w:highlight w:val="none"/>
              </w:rPr>
              <w:t>。</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规划</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结合现状条件考虑，符合规划设计条件，主要轴线布置合理，并充分考虑当地的地理气候条件。场地设计合理，考虑地形环境，建筑环境与空间造型和谐统一，充分协调好周边建筑景观的关系。</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建筑外观</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建筑形式清晰、细腻、精致、简洁，视觉效果良好，</w:t>
            </w:r>
            <w:r>
              <w:rPr>
                <w:rFonts w:ascii="ˎ̥" w:hAnsi="ˎ̥" w:cs="宋体"/>
                <w:color w:val="auto"/>
                <w:kern w:val="0"/>
                <w:szCs w:val="21"/>
                <w:highlight w:val="none"/>
              </w:rPr>
              <w:t>建筑外观周边环境整体和谐</w:t>
            </w:r>
            <w:r>
              <w:rPr>
                <w:rFonts w:hint="eastAsia" w:ascii="ˎ̥" w:hAnsi="ˎ̥" w:cs="宋体"/>
                <w:color w:val="auto"/>
                <w:kern w:val="0"/>
                <w:szCs w:val="21"/>
                <w:highlight w:val="none"/>
              </w:rPr>
              <w:t>，造型需具有一定的前瞻性。</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使用功能</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空间布局合理，各分区组织有序，并复核相关规范要求，噪声隔绝，避免视线干扰，房屋散热，空气流通，朝向和开窗合理。从使用者的角度考虑单元设计，具有预见性和适应性，舒适实用，功能齐全、满足使用要求，有充分的可实施性，多功能使用的灵活性。</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交通</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各类交通流线清晰，电梯的位置和数量合理，停车体系完善，连接方便，避免交通阻隔和绕行，减少无效路程，可快速疏通人流，提高交通效率</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景观设计</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广场视野开阔、各景观空间丰富，景观植被的选用因地制宜并富有特色。</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绿色</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设计方案符合绿色建筑设计目标，采取的绿色技术措施充分考虑建筑所在地的气候特点，照明、空气循环与控制、节电节水自动控制、雨水收集与利用、太阳能和风力利用等系统。最大限度地节约资源、保护环境、减少污染，提供健康、适应和高效的使用空间。</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经济</w:t>
            </w:r>
          </w:p>
        </w:tc>
        <w:tc>
          <w:tcPr>
            <w:tcW w:w="7992" w:type="dxa"/>
          </w:tcPr>
          <w:p>
            <w:pPr>
              <w:spacing w:line="360" w:lineRule="auto"/>
              <w:rPr>
                <w:rFonts w:ascii="宋体" w:hAnsi="宋体"/>
                <w:color w:val="auto"/>
                <w:szCs w:val="21"/>
                <w:highlight w:val="none"/>
              </w:rPr>
            </w:pPr>
            <w:r>
              <w:rPr>
                <w:rFonts w:hint="eastAsia" w:ascii="宋体" w:hAnsi="宋体"/>
                <w:color w:val="auto"/>
                <w:szCs w:val="21"/>
                <w:highlight w:val="none"/>
              </w:rPr>
              <w:t>符合设计标准、规范，造价合理、指标准确，工程造价估算不突破规定的控制要求。</w:t>
            </w: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28" w:type="dxa"/>
          </w:tcPr>
          <w:p>
            <w:pPr>
              <w:spacing w:line="360" w:lineRule="auto"/>
              <w:rPr>
                <w:rFonts w:ascii="宋体" w:hAnsi="宋体"/>
                <w:color w:val="auto"/>
                <w:szCs w:val="21"/>
                <w:highlight w:val="none"/>
              </w:rPr>
            </w:pPr>
            <w:r>
              <w:rPr>
                <w:rFonts w:hint="eastAsia" w:ascii="宋体" w:hAnsi="宋体"/>
                <w:color w:val="auto"/>
                <w:szCs w:val="21"/>
                <w:highlight w:val="none"/>
              </w:rPr>
              <w:t>综合评价</w:t>
            </w:r>
          </w:p>
        </w:tc>
        <w:tc>
          <w:tcPr>
            <w:tcW w:w="7992" w:type="dxa"/>
          </w:tcPr>
          <w:p>
            <w:pPr>
              <w:spacing w:line="360" w:lineRule="auto"/>
              <w:rPr>
                <w:rFonts w:ascii="宋体" w:hAnsi="宋体"/>
                <w:color w:val="auto"/>
                <w:szCs w:val="21"/>
                <w:highlight w:val="none"/>
              </w:rPr>
            </w:pPr>
          </w:p>
        </w:tc>
        <w:tc>
          <w:tcPr>
            <w:tcW w:w="1548"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c>
          <w:tcPr>
            <w:tcW w:w="1440" w:type="dxa"/>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经济、技术、体制、环境、业主、建筑师、评标委员会等都是决定建筑好坏的制约因素，评价一个设计的好坏，有太多的无形因素，无法使用一套刻板的打分系统，因此不宜设置权重和分值。招标人可以根据项目类型、特点、设计价值观等情况增删评判因素。</w:t>
      </w:r>
    </w:p>
    <w:p>
      <w:pPr>
        <w:spacing w:line="360" w:lineRule="auto"/>
        <w:rPr>
          <w:rFonts w:ascii="宋体" w:hAnsi="宋体"/>
          <w:color w:val="auto"/>
          <w:highlight w:val="none"/>
        </w:rPr>
        <w:sectPr>
          <w:footerReference r:id="rId11" w:type="default"/>
          <w:footerReference r:id="rId12" w:type="even"/>
          <w:pgSz w:w="16838" w:h="11906" w:orient="landscape"/>
          <w:pgMar w:top="1440" w:right="1440" w:bottom="1469" w:left="1440" w:header="851" w:footer="992" w:gutter="0"/>
          <w:cols w:space="720" w:num="1"/>
          <w:docGrid w:type="linesAndChars" w:linePitch="312" w:charSpace="0"/>
        </w:sectPr>
      </w:pPr>
      <w:r>
        <w:rPr>
          <w:rFonts w:hint="eastAsia" w:ascii="宋体" w:hAnsi="宋体"/>
          <w:color w:val="auto"/>
          <w:sz w:val="24"/>
          <w:highlight w:val="none"/>
        </w:rPr>
        <w:t xml:space="preserve">评委签名：                                                                               </w:t>
      </w:r>
      <w:r>
        <w:rPr>
          <w:rFonts w:hint="eastAsia" w:ascii="宋体" w:hAnsi="宋体"/>
          <w:color w:val="auto"/>
          <w:highlight w:val="none"/>
        </w:rPr>
        <w:t xml:space="preserve">    日期：       年    月    日</w:t>
      </w:r>
    </w:p>
    <w:p>
      <w:pPr>
        <w:spacing w:line="360" w:lineRule="auto"/>
        <w:rPr>
          <w:rFonts w:ascii="宋体" w:hAnsi="宋体"/>
          <w:color w:val="auto"/>
          <w:highlight w:val="none"/>
        </w:rPr>
      </w:pPr>
    </w:p>
    <w:p>
      <w:pPr>
        <w:keepNext/>
        <w:keepLines/>
        <w:spacing w:line="360" w:lineRule="auto"/>
        <w:outlineLvl w:val="0"/>
        <w:rPr>
          <w:rFonts w:ascii="宋体" w:hAnsi="宋体"/>
          <w:b/>
          <w:bCs/>
          <w:color w:val="auto"/>
          <w:kern w:val="44"/>
          <w:szCs w:val="21"/>
          <w:highlight w:val="none"/>
        </w:rPr>
      </w:pPr>
      <w:r>
        <w:rPr>
          <w:rFonts w:hint="eastAsia" w:ascii="宋体" w:hAnsi="宋体"/>
          <w:color w:val="auto"/>
          <w:kern w:val="44"/>
          <w:sz w:val="44"/>
          <w:szCs w:val="44"/>
          <w:highlight w:val="none"/>
        </w:rPr>
        <w:t xml:space="preserve"> </w:t>
      </w:r>
      <w:bookmarkStart w:id="27" w:name="_Toc22704"/>
      <w:r>
        <w:rPr>
          <w:rFonts w:hint="eastAsia" w:ascii="宋体" w:hAnsi="宋体"/>
          <w:b/>
          <w:bCs/>
          <w:color w:val="auto"/>
          <w:kern w:val="44"/>
          <w:szCs w:val="21"/>
          <w:highlight w:val="none"/>
        </w:rPr>
        <w:t>附录13 投标方案评语</w:t>
      </w:r>
      <w:bookmarkEnd w:id="27"/>
    </w:p>
    <w:p>
      <w:pPr>
        <w:spacing w:line="360" w:lineRule="auto"/>
        <w:jc w:val="center"/>
        <w:rPr>
          <w:rFonts w:ascii="宋体" w:hAnsi="宋体"/>
          <w:color w:val="auto"/>
          <w:sz w:val="24"/>
          <w:highlight w:val="none"/>
        </w:rPr>
      </w:pPr>
      <w:r>
        <w:rPr>
          <w:rFonts w:hint="eastAsia" w:ascii="宋体" w:hAnsi="宋体"/>
          <w:b/>
          <w:bCs/>
          <w:color w:val="auto"/>
          <w:sz w:val="32"/>
          <w:highlight w:val="none"/>
        </w:rPr>
        <w:t>投标方案评语</w:t>
      </w:r>
    </w:p>
    <w:p>
      <w:pPr>
        <w:spacing w:line="360" w:lineRule="auto"/>
        <w:rPr>
          <w:rFonts w:ascii="宋体" w:hAnsi="宋体"/>
          <w:color w:val="auto"/>
          <w:sz w:val="24"/>
          <w:highlight w:val="none"/>
        </w:rPr>
      </w:pPr>
      <w:r>
        <w:rPr>
          <w:rFonts w:hint="eastAsia" w:ascii="宋体" w:hAnsi="宋体"/>
          <w:color w:val="auto"/>
          <w:sz w:val="24"/>
          <w:highlight w:val="none"/>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8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59" w:type="dxa"/>
          </w:tcPr>
          <w:p>
            <w:pPr>
              <w:spacing w:line="360" w:lineRule="auto"/>
              <w:rPr>
                <w:rFonts w:ascii="宋体" w:hAnsi="宋体"/>
                <w:color w:val="auto"/>
                <w:sz w:val="24"/>
                <w:highlight w:val="none"/>
              </w:rPr>
            </w:pPr>
            <w:r>
              <w:rPr>
                <w:rFonts w:hint="eastAsia" w:ascii="宋体" w:hAnsi="宋体"/>
                <w:color w:val="auto"/>
                <w:sz w:val="24"/>
                <w:highlight w:val="none"/>
              </w:rPr>
              <w:t>方案编号</w:t>
            </w:r>
          </w:p>
        </w:tc>
        <w:tc>
          <w:tcPr>
            <w:tcW w:w="8057" w:type="dxa"/>
          </w:tcPr>
          <w:p>
            <w:pPr>
              <w:spacing w:line="360" w:lineRule="auto"/>
              <w:jc w:val="center"/>
              <w:rPr>
                <w:rFonts w:ascii="宋体" w:hAnsi="宋体"/>
                <w:color w:val="auto"/>
                <w:sz w:val="24"/>
                <w:highlight w:val="none"/>
              </w:rPr>
            </w:pPr>
            <w:r>
              <w:rPr>
                <w:rFonts w:hint="eastAsia" w:ascii="宋体" w:hAnsi="宋体"/>
                <w:color w:val="auto"/>
                <w:sz w:val="24"/>
                <w:highlight w:val="none"/>
              </w:rPr>
              <w:t>评    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59" w:type="dxa"/>
          </w:tcPr>
          <w:p>
            <w:pPr>
              <w:spacing w:line="360" w:lineRule="auto"/>
              <w:rPr>
                <w:rFonts w:ascii="宋体" w:hAnsi="宋体"/>
                <w:color w:val="auto"/>
                <w:highlight w:val="none"/>
              </w:rPr>
            </w:pPr>
          </w:p>
        </w:tc>
        <w:tc>
          <w:tcPr>
            <w:tcW w:w="8057" w:type="dxa"/>
          </w:tcPr>
          <w:p>
            <w:pPr>
              <w:spacing w:line="360" w:lineRule="auto"/>
              <w:jc w:val="center"/>
              <w:rPr>
                <w:rFonts w:ascii="宋体" w:hAnsi="宋体"/>
                <w:color w:val="auto"/>
                <w:highlight w:val="none"/>
              </w:rPr>
            </w:pPr>
          </w:p>
        </w:tc>
      </w:tr>
    </w:tbl>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color w:val="auto"/>
          <w:sz w:val="24"/>
          <w:highlight w:val="none"/>
        </w:rPr>
        <w:t>评委签名：                                      日期：    年  月  日</w:t>
      </w:r>
    </w:p>
    <w:p>
      <w:pPr>
        <w:keepNext/>
        <w:keepLines/>
        <w:spacing w:line="360" w:lineRule="auto"/>
        <w:outlineLvl w:val="0"/>
        <w:rPr>
          <w:rFonts w:ascii="宋体" w:hAnsi="宋体"/>
          <w:b/>
          <w:bCs/>
          <w:color w:val="auto"/>
          <w:kern w:val="44"/>
          <w:sz w:val="44"/>
          <w:szCs w:val="44"/>
          <w:highlight w:val="none"/>
        </w:rPr>
      </w:pPr>
      <w:r>
        <w:rPr>
          <w:rFonts w:hint="eastAsia" w:ascii="宋体" w:hAnsi="宋体"/>
          <w:color w:val="auto"/>
          <w:kern w:val="44"/>
          <w:sz w:val="44"/>
          <w:szCs w:val="44"/>
          <w:highlight w:val="none"/>
        </w:rPr>
        <w:br w:type="page"/>
      </w:r>
    </w:p>
    <w:p>
      <w:pPr>
        <w:spacing w:line="360" w:lineRule="auto"/>
        <w:rPr>
          <w:color w:val="auto"/>
          <w:szCs w:val="21"/>
          <w:highlight w:val="none"/>
        </w:rPr>
      </w:pPr>
      <w:r>
        <w:rPr>
          <w:rFonts w:hint="eastAsia"/>
          <w:color w:val="auto"/>
          <w:szCs w:val="21"/>
          <w:highlight w:val="none"/>
        </w:rPr>
        <w:t>附录14 基础资料和设计任务书</w:t>
      </w:r>
    </w:p>
    <w:p>
      <w:pPr>
        <w:spacing w:line="360" w:lineRule="auto"/>
        <w:jc w:val="center"/>
        <w:rPr>
          <w:rFonts w:ascii="宋体" w:hAnsi="宋体"/>
          <w:b/>
          <w:color w:val="auto"/>
          <w:sz w:val="32"/>
          <w:highlight w:val="none"/>
        </w:rPr>
      </w:pPr>
      <w:r>
        <w:rPr>
          <w:rFonts w:hint="eastAsia" w:ascii="宋体" w:hAnsi="宋体"/>
          <w:b/>
          <w:color w:val="auto"/>
          <w:sz w:val="32"/>
          <w:highlight w:val="none"/>
        </w:rPr>
        <w:t>基础资料和设计任务书</w:t>
      </w:r>
    </w:p>
    <w:p>
      <w:pPr>
        <w:spacing w:line="360" w:lineRule="auto"/>
        <w:rPr>
          <w:rFonts w:ascii="宋体" w:hAnsi="宋体"/>
          <w:color w:val="auto"/>
          <w:highlight w:val="none"/>
        </w:rPr>
      </w:pPr>
    </w:p>
    <w:p>
      <w:pPr>
        <w:spacing w:line="360" w:lineRule="auto"/>
        <w:rPr>
          <w:rFonts w:ascii="宋体" w:hAnsi="宋体"/>
          <w:color w:val="auto"/>
          <w:highlight w:val="none"/>
          <w:u w:val="single"/>
        </w:rPr>
      </w:pPr>
      <w:r>
        <w:rPr>
          <w:rFonts w:hint="eastAsia" w:ascii="宋体" w:hAnsi="宋体"/>
          <w:color w:val="auto"/>
          <w:highlight w:val="none"/>
          <w:u w:val="single"/>
        </w:rPr>
        <w:t>（另册）</w:t>
      </w:r>
    </w:p>
    <w:p>
      <w:pPr>
        <w:keepNext/>
        <w:keepLines/>
        <w:spacing w:line="360" w:lineRule="auto"/>
        <w:outlineLvl w:val="0"/>
        <w:rPr>
          <w:rFonts w:ascii="宋体" w:hAnsi="宋体"/>
          <w:b/>
          <w:bCs/>
          <w:strike/>
          <w:color w:val="auto"/>
          <w:kern w:val="44"/>
          <w:sz w:val="44"/>
          <w:szCs w:val="44"/>
          <w:highlight w:val="none"/>
          <w:u w:val="single"/>
        </w:rPr>
      </w:pPr>
      <w:r>
        <w:rPr>
          <w:rFonts w:ascii="宋体" w:hAnsi="宋体"/>
          <w:color w:val="auto"/>
          <w:kern w:val="44"/>
          <w:sz w:val="24"/>
          <w:szCs w:val="24"/>
          <w:highlight w:val="none"/>
        </w:rPr>
        <w:br w:type="page"/>
      </w:r>
      <w:bookmarkStart w:id="28" w:name="_Toc12445"/>
      <w:r>
        <w:rPr>
          <w:rFonts w:hint="eastAsia" w:ascii="宋体" w:hAnsi="宋体"/>
          <w:b/>
          <w:bCs/>
          <w:strike/>
          <w:color w:val="auto"/>
          <w:kern w:val="44"/>
          <w:szCs w:val="21"/>
          <w:highlight w:val="none"/>
        </w:rPr>
        <w:t>附录15</w:t>
      </w:r>
      <w:r>
        <w:rPr>
          <w:rFonts w:ascii="宋体" w:hAnsi="宋体"/>
          <w:b/>
          <w:bCs/>
          <w:strike/>
          <w:color w:val="auto"/>
          <w:kern w:val="44"/>
          <w:szCs w:val="21"/>
          <w:highlight w:val="none"/>
        </w:rPr>
        <w:t xml:space="preserve"> </w:t>
      </w:r>
      <w:r>
        <w:rPr>
          <w:rFonts w:hint="eastAsia" w:ascii="宋体" w:hAnsi="宋体"/>
          <w:b/>
          <w:bCs/>
          <w:strike/>
          <w:color w:val="auto"/>
          <w:kern w:val="44"/>
          <w:szCs w:val="21"/>
          <w:highlight w:val="none"/>
        </w:rPr>
        <w:t>定标委员会的组成</w:t>
      </w:r>
      <w:bookmarkEnd w:id="28"/>
    </w:p>
    <w:p>
      <w:pPr>
        <w:spacing w:line="360" w:lineRule="auto"/>
        <w:jc w:val="center"/>
        <w:rPr>
          <w:rFonts w:ascii="宋体" w:hAnsi="宋体"/>
          <w:b/>
          <w:strike/>
          <w:color w:val="auto"/>
          <w:sz w:val="32"/>
          <w:highlight w:val="none"/>
        </w:rPr>
      </w:pPr>
      <w:r>
        <w:rPr>
          <w:rFonts w:hint="eastAsia" w:ascii="宋体" w:hAnsi="宋体"/>
          <w:b/>
          <w:strike/>
          <w:color w:val="auto"/>
          <w:sz w:val="32"/>
          <w:highlight w:val="none"/>
        </w:rPr>
        <w:t>定标委员会的组成</w:t>
      </w:r>
    </w:p>
    <w:p>
      <w:pPr>
        <w:widowControl/>
        <w:snapToGrid w:val="0"/>
        <w:spacing w:line="360" w:lineRule="auto"/>
        <w:ind w:firstLine="424" w:firstLineChars="202"/>
        <w:jc w:val="left"/>
        <w:rPr>
          <w:rFonts w:ascii="宋体" w:hAnsi="宋体"/>
          <w:strike/>
          <w:color w:val="auto"/>
          <w:kern w:val="0"/>
          <w:szCs w:val="21"/>
          <w:highlight w:val="none"/>
          <w:shd w:val="clear" w:color="auto" w:fill="FFFFFF"/>
        </w:rPr>
      </w:pPr>
    </w:p>
    <w:p>
      <w:pPr>
        <w:widowControl/>
        <w:snapToGrid w:val="0"/>
        <w:spacing w:line="360" w:lineRule="auto"/>
        <w:ind w:firstLine="484" w:firstLineChars="202"/>
        <w:jc w:val="left"/>
        <w:rPr>
          <w:rFonts w:ascii="宋体" w:hAnsi="宋体"/>
          <w:strike/>
          <w:color w:val="auto"/>
          <w:kern w:val="0"/>
          <w:sz w:val="24"/>
          <w:szCs w:val="24"/>
          <w:highlight w:val="none"/>
          <w:shd w:val="clear" w:color="auto" w:fill="FFFFFF"/>
        </w:rPr>
      </w:pPr>
      <w:r>
        <w:rPr>
          <w:rFonts w:hint="eastAsia" w:ascii="宋体" w:hAnsi="宋体"/>
          <w:strike/>
          <w:color w:val="auto"/>
          <w:kern w:val="0"/>
          <w:sz w:val="24"/>
          <w:szCs w:val="24"/>
          <w:highlight w:val="none"/>
          <w:shd w:val="clear" w:color="auto" w:fill="FFFFFF"/>
        </w:rPr>
        <w:t>招标人自行制定。</w:t>
      </w:r>
    </w:p>
    <w:p>
      <w:pPr>
        <w:widowControl/>
        <w:snapToGrid w:val="0"/>
        <w:spacing w:line="360" w:lineRule="auto"/>
        <w:ind w:firstLine="426" w:firstLineChars="202"/>
        <w:jc w:val="left"/>
        <w:rPr>
          <w:rFonts w:ascii="宋体" w:hAnsi="宋体"/>
          <w:b/>
          <w:strike/>
          <w:color w:val="auto"/>
          <w:kern w:val="0"/>
          <w:szCs w:val="21"/>
          <w:highlight w:val="none"/>
          <w:shd w:val="clear" w:color="auto" w:fill="FFFFFF"/>
        </w:rPr>
      </w:pPr>
    </w:p>
    <w:p>
      <w:pPr>
        <w:widowControl/>
        <w:snapToGrid w:val="0"/>
        <w:spacing w:line="360" w:lineRule="auto"/>
        <w:ind w:firstLine="426" w:firstLineChars="202"/>
        <w:jc w:val="left"/>
        <w:rPr>
          <w:rFonts w:ascii="宋体" w:hAnsi="宋体"/>
          <w:b/>
          <w:strike/>
          <w:color w:val="auto"/>
          <w:kern w:val="0"/>
          <w:szCs w:val="21"/>
          <w:highlight w:val="none"/>
          <w:shd w:val="clear" w:color="auto" w:fill="FFFFFF"/>
        </w:rPr>
      </w:pPr>
    </w:p>
    <w:p>
      <w:pPr>
        <w:widowControl/>
        <w:snapToGrid w:val="0"/>
        <w:spacing w:line="360" w:lineRule="auto"/>
        <w:ind w:firstLine="426" w:firstLineChars="202"/>
        <w:jc w:val="left"/>
        <w:rPr>
          <w:rFonts w:ascii="宋体" w:hAnsi="宋体"/>
          <w:b/>
          <w:strike/>
          <w:color w:val="auto"/>
          <w:kern w:val="0"/>
          <w:szCs w:val="21"/>
          <w:highlight w:val="none"/>
          <w:shd w:val="clear" w:color="auto" w:fill="FFFFFF"/>
        </w:rPr>
      </w:pPr>
    </w:p>
    <w:p>
      <w:pPr>
        <w:widowControl/>
        <w:snapToGrid w:val="0"/>
        <w:spacing w:line="360" w:lineRule="auto"/>
        <w:ind w:firstLine="426" w:firstLineChars="202"/>
        <w:jc w:val="left"/>
        <w:rPr>
          <w:rFonts w:ascii="宋体" w:hAnsi="宋体"/>
          <w:b/>
          <w:strike/>
          <w:color w:val="auto"/>
          <w:kern w:val="0"/>
          <w:szCs w:val="21"/>
          <w:highlight w:val="none"/>
          <w:shd w:val="clear" w:color="auto" w:fill="FFFFFF"/>
        </w:rPr>
      </w:pPr>
    </w:p>
    <w:p>
      <w:pPr>
        <w:spacing w:line="360" w:lineRule="auto"/>
        <w:rPr>
          <w:b/>
          <w:strike/>
          <w:color w:val="auto"/>
          <w:szCs w:val="21"/>
          <w:highlight w:val="none"/>
          <w:shd w:val="clear" w:color="auto" w:fill="FFFFFF"/>
        </w:rPr>
      </w:pPr>
      <w:r>
        <w:rPr>
          <w:b/>
          <w:strike/>
          <w:color w:val="auto"/>
          <w:szCs w:val="21"/>
          <w:highlight w:val="none"/>
          <w:shd w:val="clear" w:color="auto" w:fill="FFFFFF"/>
        </w:rPr>
        <w:br w:type="page"/>
      </w:r>
    </w:p>
    <w:p>
      <w:pPr>
        <w:widowControl/>
        <w:snapToGrid w:val="0"/>
        <w:spacing w:line="360" w:lineRule="auto"/>
        <w:ind w:firstLine="426" w:firstLineChars="202"/>
        <w:jc w:val="left"/>
        <w:rPr>
          <w:rFonts w:ascii="宋体" w:hAnsi="宋体"/>
          <w:b/>
          <w:strike/>
          <w:color w:val="auto"/>
          <w:kern w:val="0"/>
          <w:szCs w:val="21"/>
          <w:highlight w:val="none"/>
          <w:shd w:val="clear" w:color="auto" w:fill="FFFFFF"/>
        </w:rPr>
      </w:pPr>
    </w:p>
    <w:p>
      <w:pPr>
        <w:keepNext/>
        <w:keepLines/>
        <w:spacing w:line="360" w:lineRule="auto"/>
        <w:outlineLvl w:val="0"/>
        <w:rPr>
          <w:rFonts w:ascii="Times New Roman" w:hAnsi="Times New Roman"/>
          <w:bCs/>
          <w:strike/>
          <w:color w:val="auto"/>
          <w:kern w:val="44"/>
          <w:szCs w:val="21"/>
          <w:highlight w:val="none"/>
          <w:shd w:val="clear" w:color="auto" w:fill="FFFFFF"/>
        </w:rPr>
      </w:pPr>
      <w:bookmarkStart w:id="29" w:name="_Toc32714"/>
      <w:r>
        <w:rPr>
          <w:rFonts w:hint="eastAsia" w:ascii="宋体" w:hAnsi="宋体"/>
          <w:b/>
          <w:bCs/>
          <w:strike/>
          <w:color w:val="auto"/>
          <w:kern w:val="44"/>
          <w:szCs w:val="21"/>
          <w:highlight w:val="none"/>
        </w:rPr>
        <w:t>附录1</w:t>
      </w:r>
      <w:r>
        <w:rPr>
          <w:rFonts w:ascii="宋体" w:hAnsi="宋体"/>
          <w:b/>
          <w:bCs/>
          <w:strike/>
          <w:color w:val="auto"/>
          <w:kern w:val="44"/>
          <w:szCs w:val="21"/>
          <w:highlight w:val="none"/>
        </w:rPr>
        <w:t xml:space="preserve">6 </w:t>
      </w:r>
      <w:r>
        <w:rPr>
          <w:rFonts w:hint="eastAsia" w:ascii="宋体" w:hAnsi="宋体"/>
          <w:b/>
          <w:bCs/>
          <w:strike/>
          <w:color w:val="auto"/>
          <w:kern w:val="44"/>
          <w:szCs w:val="21"/>
          <w:highlight w:val="none"/>
        </w:rPr>
        <w:t>定标原则</w:t>
      </w:r>
      <w:bookmarkEnd w:id="29"/>
    </w:p>
    <w:p>
      <w:pPr>
        <w:spacing w:line="360" w:lineRule="auto"/>
        <w:jc w:val="center"/>
        <w:rPr>
          <w:rFonts w:ascii="宋体" w:hAnsi="宋体"/>
          <w:b/>
          <w:strike/>
          <w:color w:val="auto"/>
          <w:sz w:val="32"/>
          <w:highlight w:val="none"/>
        </w:rPr>
      </w:pPr>
      <w:r>
        <w:rPr>
          <w:rFonts w:hint="eastAsia" w:ascii="宋体" w:hAnsi="宋体"/>
          <w:b/>
          <w:strike/>
          <w:color w:val="auto"/>
          <w:sz w:val="32"/>
          <w:highlight w:val="none"/>
        </w:rPr>
        <w:t>定标原则</w:t>
      </w:r>
    </w:p>
    <w:p>
      <w:pPr>
        <w:spacing w:line="360" w:lineRule="auto"/>
        <w:ind w:firstLine="360" w:firstLineChars="150"/>
        <w:jc w:val="left"/>
        <w:rPr>
          <w:rFonts w:ascii="宋体" w:hAnsi="宋体"/>
          <w:strike/>
          <w:color w:val="auto"/>
          <w:sz w:val="24"/>
          <w:highlight w:val="none"/>
          <w:shd w:val="clear" w:color="auto" w:fill="FFFFFF"/>
        </w:rPr>
      </w:pPr>
      <w:r>
        <w:rPr>
          <w:rFonts w:hint="eastAsia"/>
          <w:strike/>
          <w:color w:val="auto"/>
          <w:sz w:val="24"/>
          <w:highlight w:val="none"/>
          <w:shd w:val="clear" w:color="auto" w:fill="FFFFFF"/>
        </w:rPr>
        <w:t>招标人自行制定</w:t>
      </w:r>
      <w:r>
        <w:rPr>
          <w:rFonts w:hint="eastAsia" w:ascii="宋体" w:hAnsi="宋体"/>
          <w:strike/>
          <w:color w:val="auto"/>
          <w:sz w:val="24"/>
          <w:highlight w:val="none"/>
          <w:shd w:val="clear" w:color="auto" w:fill="FFFFFF"/>
        </w:rPr>
        <w:t>。</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8255" b="0"/>
              <wp:wrapNone/>
              <wp:docPr id="4" name="文本框 4"/>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w="9525">
                        <a:noFill/>
                      </a:ln>
                      <a:effectLst/>
                    </wps:spPr>
                    <wps:txbx>
                      <w:txbxContent>
                        <w:p>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0cwdEAAAADAQAADwAAAAAAAAABACAA&#10;AAAiAAAAZHJzL2Rvd25yZXYueG1sUEsBAhQAFAAAAAgAh07iQLDN5OnbAQAArgMAAA4AAAAAAAAA&#10;AQAgAAAAIAEAAGRycy9lMm9Eb2MueG1sUEsFBgAAAAAGAAYAWQEAAG0FA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rPr>
        <w:rStyle w:val="20"/>
      </w:rPr>
    </w:pPr>
    <w:r>
      <w:fldChar w:fldCharType="begin"/>
    </w:r>
    <w:r>
      <w:rPr>
        <w:rStyle w:val="20"/>
      </w:rPr>
      <w:instrText xml:space="preserve">PAGE  </w:instrText>
    </w:r>
    <w:r>
      <w:fldChar w:fldCharType="separate"/>
    </w:r>
    <w:r>
      <w:rPr>
        <w:rStyle w:val="20"/>
      </w:rPr>
      <w:t>21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2065" b="14605"/>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Style w:val="20"/>
                            </w:rPr>
                          </w:pPr>
                          <w:r>
                            <w:fldChar w:fldCharType="begin"/>
                          </w:r>
                          <w:r>
                            <w:rPr>
                              <w:rStyle w:val="20"/>
                            </w:rPr>
                            <w:instrText xml:space="preserve"> PAGE  \* MERGEFORMAT </w:instrText>
                          </w:r>
                          <w:r>
                            <w:fldChar w:fldCharType="separate"/>
                          </w:r>
                          <w:r>
                            <w:rPr>
                              <w:rStyle w:val="20"/>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2"/>
                      <w:rPr>
                        <w:rStyle w:val="20"/>
                      </w:rPr>
                    </w:pPr>
                    <w:r>
                      <w:fldChar w:fldCharType="begin"/>
                    </w:r>
                    <w:r>
                      <w:rPr>
                        <w:rStyle w:val="20"/>
                      </w:rPr>
                      <w:instrText xml:space="preserve"> PAGE  \* MERGEFORMAT </w:instrText>
                    </w:r>
                    <w:r>
                      <w:fldChar w:fldCharType="separate"/>
                    </w:r>
                    <w:r>
                      <w:rPr>
                        <w:rStyle w:val="20"/>
                      </w:rP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rPr>
        <w:rStyle w:val="20"/>
      </w:rPr>
    </w:pPr>
    <w:r>
      <w:fldChar w:fldCharType="begin"/>
    </w:r>
    <w:r>
      <w:rPr>
        <w:rStyle w:val="20"/>
      </w:rPr>
      <w:instrText xml:space="preserve">PAGE  </w:instrText>
    </w:r>
    <w:r>
      <w:fldChar w:fldCharType="separate"/>
    </w:r>
    <w:r>
      <w:rPr>
        <w:rStyle w:val="20"/>
      </w:rPr>
      <w:t>21</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5" name="文本框 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brC2RMwBAACZAwAADgAAAAAAAAABACAAAAAfAQAAZHJzL2Uy&#10;b0RvYy54bWxQSwUGAAAAAAYABgBZAQAAXQ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2"/>
                            <w:rPr>
                              <w:rStyle w:val="20"/>
                            </w:rPr>
                          </w:pPr>
                          <w:r>
                            <w:fldChar w:fldCharType="begin"/>
                          </w:r>
                          <w:r>
                            <w:rPr>
                              <w:rStyle w:val="20"/>
                            </w:rPr>
                            <w:instrText xml:space="preserve"> PAGE  \* MERGEFORMAT </w:instrText>
                          </w:r>
                          <w:r>
                            <w:fldChar w:fldCharType="separate"/>
                          </w:r>
                          <w:r>
                            <w:rPr>
                              <w:rStyle w:val="20"/>
                            </w:rP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15v/TcwBAACZAwAADgAAAAAAAAABACAAAAAfAQAAZHJzL2Uy&#10;b0RvYy54bWxQSwUGAAAAAAYABgBZAQAAXQUAAAAA&#10;">
              <v:fill on="f" focussize="0,0"/>
              <v:stroke on="f"/>
              <v:imagedata o:title=""/>
              <o:lock v:ext="edit" aspectratio="f"/>
              <v:textbox inset="0mm,0mm,0mm,0mm" style="mso-fit-shape-to-text:t;">
                <w:txbxContent>
                  <w:p>
                    <w:pPr>
                      <w:pStyle w:val="12"/>
                      <w:rPr>
                        <w:rStyle w:val="20"/>
                      </w:rPr>
                    </w:pPr>
                    <w:r>
                      <w:fldChar w:fldCharType="begin"/>
                    </w:r>
                    <w:r>
                      <w:rPr>
                        <w:rStyle w:val="20"/>
                      </w:rPr>
                      <w:instrText xml:space="preserve"> PAGE  \* MERGEFORMAT </w:instrText>
                    </w:r>
                    <w:r>
                      <w:fldChar w:fldCharType="separate"/>
                    </w:r>
                    <w:r>
                      <w:rPr>
                        <w:rStyle w:val="20"/>
                      </w:rP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pPr>
                            <w:pStyle w:val="12"/>
                            <w:jc w:val="center"/>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TuYF9cwBAACZAwAADgAAAAAAAAABACAAAAAfAQAAZHJzL2Uy&#10;b0RvYy54bWxQSwUGAAAAAAYABgBZAQAAXQU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50</w:t>
                    </w:r>
                    <w:r>
                      <w:fldChar w:fldCharType="end"/>
                    </w:r>
                  </w:p>
                </w:txbxContent>
              </v:textbox>
            </v:shape>
          </w:pict>
        </mc:Fallback>
      </mc:AlternateConten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rPr>
        <w:rStyle w:val="20"/>
      </w:rPr>
    </w:pPr>
    <w:r>
      <w:fldChar w:fldCharType="begin"/>
    </w:r>
    <w:r>
      <w:rPr>
        <w:rStyle w:val="20"/>
      </w:rPr>
      <w:instrText xml:space="preserve">PAGE  </w:instrText>
    </w:r>
    <w:r>
      <w:fldChar w:fldCharType="separate"/>
    </w:r>
    <w:r>
      <w:rPr>
        <w:rStyle w:val="20"/>
      </w:rPr>
      <w:t>21</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96135"/>
    <w:multiLevelType w:val="singleLevel"/>
    <w:tmpl w:val="A4D96135"/>
    <w:lvl w:ilvl="0" w:tentative="0">
      <w:start w:val="1"/>
      <w:numFmt w:val="decimal"/>
      <w:suff w:val="space"/>
      <w:lvlText w:val="（%1）"/>
      <w:lvlJc w:val="left"/>
    </w:lvl>
  </w:abstractNum>
  <w:abstractNum w:abstractNumId="1">
    <w:nsid w:val="F67829CB"/>
    <w:multiLevelType w:val="multilevel"/>
    <w:tmpl w:val="F67829CB"/>
    <w:lvl w:ilvl="0" w:tentative="0">
      <w:start w:val="1"/>
      <w:numFmt w:val="decimal"/>
      <w:suff w:val="nothing"/>
      <w:lvlText w:val="%1"/>
      <w:lvlJc w:val="left"/>
      <w:pPr>
        <w:tabs>
          <w:tab w:val="left" w:pos="0"/>
        </w:tabs>
        <w:ind w:left="0" w:firstLine="0"/>
      </w:pPr>
      <w:rPr>
        <w:rFonts w:hint="eastAsia"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55C038"/>
    <w:multiLevelType w:val="singleLevel"/>
    <w:tmpl w:val="6D55C038"/>
    <w:lvl w:ilvl="0" w:tentative="0">
      <w:start w:val="1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4NmU0NjQxOWUzNDM4NjljZThjZmI5ZTA2OTJkN2IifQ=="/>
  </w:docVars>
  <w:rsids>
    <w:rsidRoot w:val="00074DE4"/>
    <w:rsid w:val="00021118"/>
    <w:rsid w:val="00074DE4"/>
    <w:rsid w:val="0009127D"/>
    <w:rsid w:val="001B731B"/>
    <w:rsid w:val="001D7549"/>
    <w:rsid w:val="002C155D"/>
    <w:rsid w:val="002C180B"/>
    <w:rsid w:val="00544798"/>
    <w:rsid w:val="00621557"/>
    <w:rsid w:val="006615C3"/>
    <w:rsid w:val="007117B7"/>
    <w:rsid w:val="007654E0"/>
    <w:rsid w:val="008B1963"/>
    <w:rsid w:val="00D50642"/>
    <w:rsid w:val="00DB39B5"/>
    <w:rsid w:val="00E625C8"/>
    <w:rsid w:val="00FA7F62"/>
    <w:rsid w:val="026B0C97"/>
    <w:rsid w:val="044622D2"/>
    <w:rsid w:val="0588413A"/>
    <w:rsid w:val="069A3792"/>
    <w:rsid w:val="07DD68F7"/>
    <w:rsid w:val="08BE42F0"/>
    <w:rsid w:val="09144A74"/>
    <w:rsid w:val="0993054F"/>
    <w:rsid w:val="0A020949"/>
    <w:rsid w:val="0BD73730"/>
    <w:rsid w:val="0D6968C7"/>
    <w:rsid w:val="0DD22C15"/>
    <w:rsid w:val="10581DCB"/>
    <w:rsid w:val="14180B15"/>
    <w:rsid w:val="14FA3910"/>
    <w:rsid w:val="15853F88"/>
    <w:rsid w:val="184A658A"/>
    <w:rsid w:val="186474C4"/>
    <w:rsid w:val="1964104A"/>
    <w:rsid w:val="199C216B"/>
    <w:rsid w:val="1AA32E0D"/>
    <w:rsid w:val="1C2C1B97"/>
    <w:rsid w:val="1DA90D1F"/>
    <w:rsid w:val="1DE877AA"/>
    <w:rsid w:val="1E731DA7"/>
    <w:rsid w:val="1FCF483E"/>
    <w:rsid w:val="216E446A"/>
    <w:rsid w:val="229B128E"/>
    <w:rsid w:val="24C75947"/>
    <w:rsid w:val="24FD2688"/>
    <w:rsid w:val="27262F9B"/>
    <w:rsid w:val="274A2B58"/>
    <w:rsid w:val="28C54616"/>
    <w:rsid w:val="28CE437E"/>
    <w:rsid w:val="28FF12A7"/>
    <w:rsid w:val="29A7343C"/>
    <w:rsid w:val="2B5D17D7"/>
    <w:rsid w:val="2D0B44B6"/>
    <w:rsid w:val="2DA67CF2"/>
    <w:rsid w:val="2DBD730D"/>
    <w:rsid w:val="2DE753EB"/>
    <w:rsid w:val="2E5D1A7A"/>
    <w:rsid w:val="2E5E76E8"/>
    <w:rsid w:val="2E6D44A1"/>
    <w:rsid w:val="2F522CD5"/>
    <w:rsid w:val="31421C3F"/>
    <w:rsid w:val="341A01C1"/>
    <w:rsid w:val="34A0589E"/>
    <w:rsid w:val="36BC3397"/>
    <w:rsid w:val="37357164"/>
    <w:rsid w:val="38F479CA"/>
    <w:rsid w:val="3AA1639A"/>
    <w:rsid w:val="3CEE39E4"/>
    <w:rsid w:val="3EAA23E7"/>
    <w:rsid w:val="40F82B79"/>
    <w:rsid w:val="422C2C46"/>
    <w:rsid w:val="43356819"/>
    <w:rsid w:val="43F716B3"/>
    <w:rsid w:val="447958D5"/>
    <w:rsid w:val="478852A5"/>
    <w:rsid w:val="489B69CC"/>
    <w:rsid w:val="4BDF5C91"/>
    <w:rsid w:val="4CA801EC"/>
    <w:rsid w:val="4E4B00EC"/>
    <w:rsid w:val="507C52F6"/>
    <w:rsid w:val="50C77758"/>
    <w:rsid w:val="516C0D62"/>
    <w:rsid w:val="520F574A"/>
    <w:rsid w:val="52C01EFE"/>
    <w:rsid w:val="52CA226C"/>
    <w:rsid w:val="533407C0"/>
    <w:rsid w:val="538609D1"/>
    <w:rsid w:val="54CA78C2"/>
    <w:rsid w:val="558451C9"/>
    <w:rsid w:val="55EA1DE2"/>
    <w:rsid w:val="56602185"/>
    <w:rsid w:val="56647994"/>
    <w:rsid w:val="5668008D"/>
    <w:rsid w:val="57203B59"/>
    <w:rsid w:val="57235EBE"/>
    <w:rsid w:val="595B16A8"/>
    <w:rsid w:val="59C6237F"/>
    <w:rsid w:val="5B4A3F0F"/>
    <w:rsid w:val="5CBB263A"/>
    <w:rsid w:val="5D465377"/>
    <w:rsid w:val="5DE2206A"/>
    <w:rsid w:val="5F646039"/>
    <w:rsid w:val="60485446"/>
    <w:rsid w:val="608A20CB"/>
    <w:rsid w:val="608F1E6B"/>
    <w:rsid w:val="60B6663D"/>
    <w:rsid w:val="60F87417"/>
    <w:rsid w:val="63C35BCE"/>
    <w:rsid w:val="63E605E1"/>
    <w:rsid w:val="66575ECD"/>
    <w:rsid w:val="66802C05"/>
    <w:rsid w:val="67374A51"/>
    <w:rsid w:val="683E1A6D"/>
    <w:rsid w:val="69ED735F"/>
    <w:rsid w:val="6B1E3EA6"/>
    <w:rsid w:val="6B421202"/>
    <w:rsid w:val="6C8B0FF9"/>
    <w:rsid w:val="6E552300"/>
    <w:rsid w:val="6F5C17D1"/>
    <w:rsid w:val="700F3CEF"/>
    <w:rsid w:val="70F43CF9"/>
    <w:rsid w:val="719E1205"/>
    <w:rsid w:val="7260296B"/>
    <w:rsid w:val="728A0953"/>
    <w:rsid w:val="73126990"/>
    <w:rsid w:val="731D1525"/>
    <w:rsid w:val="732F4B5C"/>
    <w:rsid w:val="736B3932"/>
    <w:rsid w:val="74583796"/>
    <w:rsid w:val="75AB1B7E"/>
    <w:rsid w:val="76A92DB6"/>
    <w:rsid w:val="78182A6B"/>
    <w:rsid w:val="78FD555A"/>
    <w:rsid w:val="7A324BD4"/>
    <w:rsid w:val="7A94376E"/>
    <w:rsid w:val="7B0408F4"/>
    <w:rsid w:val="7B494E15"/>
    <w:rsid w:val="7B8A39AD"/>
    <w:rsid w:val="7D31799A"/>
    <w:rsid w:val="7FC6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5">
    <w:name w:val="heading 2"/>
    <w:basedOn w:val="1"/>
    <w:next w:val="1"/>
    <w:link w:val="26"/>
    <w:qFormat/>
    <w:uiPriority w:val="99"/>
    <w:pPr>
      <w:keepNext/>
      <w:keepLines/>
      <w:spacing w:before="260" w:after="260" w:line="416" w:lineRule="auto"/>
      <w:outlineLvl w:val="1"/>
    </w:pPr>
    <w:rPr>
      <w:rFonts w:ascii="Cambria" w:hAnsi="Cambria"/>
      <w:b/>
      <w:bCs/>
      <w:sz w:val="32"/>
      <w:szCs w:val="32"/>
      <w:lang w:val="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link w:val="31"/>
    <w:qFormat/>
    <w:uiPriority w:val="0"/>
    <w:pPr>
      <w:ind w:firstLine="600" w:firstLineChars="200"/>
    </w:pPr>
    <w:rPr>
      <w:rFonts w:ascii="宋体" w:hAnsi="Times New Roman" w:eastAsiaTheme="minorEastAsia" w:cstheme="minorBidi"/>
      <w:sz w:val="30"/>
    </w:rPr>
  </w:style>
  <w:style w:type="paragraph" w:styleId="6">
    <w:name w:val="Normal Indent"/>
    <w:basedOn w:val="1"/>
    <w:qFormat/>
    <w:uiPriority w:val="99"/>
    <w:pPr>
      <w:ind w:firstLine="420" w:firstLineChars="200"/>
    </w:pPr>
    <w:rPr>
      <w:rFonts w:ascii="Times New Roman" w:hAnsi="Times New Roman"/>
      <w:szCs w:val="24"/>
    </w:rPr>
  </w:style>
  <w:style w:type="paragraph" w:styleId="7">
    <w:name w:val="Document Map"/>
    <w:basedOn w:val="1"/>
    <w:link w:val="29"/>
    <w:qFormat/>
    <w:uiPriority w:val="0"/>
    <w:rPr>
      <w:rFonts w:ascii="宋体" w:hAnsiTheme="minorHAnsi" w:eastAsiaTheme="minorEastAsia" w:cstheme="minorBidi"/>
      <w:sz w:val="18"/>
      <w:szCs w:val="18"/>
    </w:rPr>
  </w:style>
  <w:style w:type="paragraph" w:styleId="8">
    <w:name w:val="annotation text"/>
    <w:basedOn w:val="1"/>
    <w:link w:val="28"/>
    <w:semiHidden/>
    <w:qFormat/>
    <w:uiPriority w:val="0"/>
    <w:pPr>
      <w:jc w:val="left"/>
    </w:pPr>
    <w:rPr>
      <w:rFonts w:ascii="Times New Roman" w:hAnsi="Times New Roman" w:eastAsiaTheme="minorEastAsia" w:cstheme="minorBidi"/>
      <w:szCs w:val="24"/>
    </w:rPr>
  </w:style>
  <w:style w:type="paragraph" w:styleId="9">
    <w:name w:val="Body Text"/>
    <w:basedOn w:val="1"/>
    <w:link w:val="27"/>
    <w:qFormat/>
    <w:uiPriority w:val="0"/>
    <w:pPr>
      <w:pBdr>
        <w:top w:val="single" w:color="auto" w:sz="4" w:space="1"/>
      </w:pBdr>
    </w:pPr>
    <w:rPr>
      <w:rFonts w:ascii="Times New Roman" w:hAnsi="Times New Roman" w:eastAsiaTheme="minorEastAsia" w:cstheme="minorBidi"/>
      <w:b/>
      <w:bCs/>
      <w:szCs w:val="24"/>
    </w:rPr>
  </w:style>
  <w:style w:type="paragraph" w:styleId="10">
    <w:name w:val="Plain Text"/>
    <w:basedOn w:val="1"/>
    <w:link w:val="30"/>
    <w:qFormat/>
    <w:uiPriority w:val="0"/>
    <w:rPr>
      <w:rFonts w:ascii="宋体" w:hAnsi="Courier New" w:eastAsiaTheme="minorEastAsia" w:cstheme="minorBidi"/>
    </w:rPr>
  </w:style>
  <w:style w:type="paragraph" w:styleId="11">
    <w:name w:val="Balloon Text"/>
    <w:basedOn w:val="1"/>
    <w:link w:val="32"/>
    <w:qFormat/>
    <w:uiPriority w:val="0"/>
    <w:rPr>
      <w:rFonts w:asciiTheme="minorHAnsi" w:hAnsiTheme="minorHAnsi" w:eastAsiaTheme="minorEastAsia" w:cstheme="minorBidi"/>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990"/>
      </w:tabs>
      <w:spacing w:line="360" w:lineRule="auto"/>
    </w:pPr>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annotation subject"/>
    <w:basedOn w:val="8"/>
    <w:next w:val="8"/>
    <w:link w:val="44"/>
    <w:semiHidden/>
    <w:unhideWhenUsed/>
    <w:qFormat/>
    <w:uiPriority w:val="99"/>
    <w:rPr>
      <w:rFonts w:ascii="Calibri" w:hAnsi="Calibri" w:eastAsia="宋体" w:cs="Times New Roman"/>
      <w:b/>
      <w:bCs/>
      <w:szCs w:val="22"/>
    </w:rPr>
  </w:style>
  <w:style w:type="character" w:styleId="19">
    <w:name w:val="Strong"/>
    <w:basedOn w:val="18"/>
    <w:qFormat/>
    <w:uiPriority w:val="0"/>
    <w:rPr>
      <w:b/>
      <w:bCs/>
    </w:rPr>
  </w:style>
  <w:style w:type="character" w:styleId="20">
    <w:name w:val="page number"/>
    <w:qFormat/>
    <w:uiPriority w:val="0"/>
    <w:rPr>
      <w:rFonts w:ascii="Times New Roman" w:hAnsi="Times New Roman" w:eastAsia="宋体" w:cs="Times New Roman"/>
    </w:rPr>
  </w:style>
  <w:style w:type="character" w:styleId="21">
    <w:name w:val="Hyperlink"/>
    <w:qFormat/>
    <w:uiPriority w:val="99"/>
    <w:rPr>
      <w:rFonts w:ascii="Times New Roman" w:hAnsi="Times New Roman" w:eastAsia="宋体" w:cs="Times New Roman"/>
      <w:color w:val="0000FF"/>
      <w:u w:val="single"/>
    </w:rPr>
  </w:style>
  <w:style w:type="character" w:styleId="22">
    <w:name w:val="annotation reference"/>
    <w:semiHidden/>
    <w:qFormat/>
    <w:uiPriority w:val="0"/>
    <w:rPr>
      <w:sz w:val="21"/>
      <w:szCs w:val="21"/>
    </w:rPr>
  </w:style>
  <w:style w:type="character" w:customStyle="1" w:styleId="23">
    <w:name w:val="页眉 字符"/>
    <w:basedOn w:val="18"/>
    <w:link w:val="13"/>
    <w:qFormat/>
    <w:uiPriority w:val="99"/>
    <w:rPr>
      <w:sz w:val="18"/>
      <w:szCs w:val="18"/>
    </w:rPr>
  </w:style>
  <w:style w:type="character" w:customStyle="1" w:styleId="24">
    <w:name w:val="页脚 字符"/>
    <w:basedOn w:val="18"/>
    <w:link w:val="12"/>
    <w:qFormat/>
    <w:uiPriority w:val="99"/>
    <w:rPr>
      <w:sz w:val="18"/>
      <w:szCs w:val="18"/>
    </w:rPr>
  </w:style>
  <w:style w:type="character" w:customStyle="1" w:styleId="25">
    <w:name w:val="标题 1 字符"/>
    <w:basedOn w:val="18"/>
    <w:link w:val="4"/>
    <w:qFormat/>
    <w:uiPriority w:val="0"/>
    <w:rPr>
      <w:rFonts w:ascii="Times New Roman" w:hAnsi="Times New Roman" w:eastAsia="宋体" w:cs="Times New Roman"/>
      <w:b/>
      <w:bCs/>
      <w:kern w:val="44"/>
      <w:sz w:val="44"/>
      <w:szCs w:val="44"/>
      <w:lang w:val="zh-CN" w:eastAsia="zh-CN"/>
    </w:rPr>
  </w:style>
  <w:style w:type="character" w:customStyle="1" w:styleId="26">
    <w:name w:val="标题 2 字符"/>
    <w:basedOn w:val="18"/>
    <w:link w:val="5"/>
    <w:qFormat/>
    <w:uiPriority w:val="99"/>
    <w:rPr>
      <w:rFonts w:ascii="Cambria" w:hAnsi="Cambria" w:eastAsia="宋体" w:cs="Times New Roman"/>
      <w:b/>
      <w:bCs/>
      <w:sz w:val="32"/>
      <w:szCs w:val="32"/>
      <w:lang w:val="zh-CN" w:eastAsia="zh-CN"/>
    </w:rPr>
  </w:style>
  <w:style w:type="character" w:customStyle="1" w:styleId="27">
    <w:name w:val="正文文本 字符"/>
    <w:link w:val="9"/>
    <w:qFormat/>
    <w:uiPriority w:val="0"/>
    <w:rPr>
      <w:rFonts w:ascii="Times New Roman" w:hAnsi="Times New Roman"/>
      <w:b/>
      <w:bCs/>
      <w:szCs w:val="24"/>
    </w:rPr>
  </w:style>
  <w:style w:type="character" w:customStyle="1" w:styleId="28">
    <w:name w:val="批注文字 字符"/>
    <w:link w:val="8"/>
    <w:semiHidden/>
    <w:qFormat/>
    <w:uiPriority w:val="0"/>
    <w:rPr>
      <w:rFonts w:ascii="Times New Roman" w:hAnsi="Times New Roman"/>
      <w:szCs w:val="24"/>
    </w:rPr>
  </w:style>
  <w:style w:type="character" w:customStyle="1" w:styleId="29">
    <w:name w:val="文档结构图 字符"/>
    <w:link w:val="7"/>
    <w:qFormat/>
    <w:uiPriority w:val="0"/>
    <w:rPr>
      <w:rFonts w:ascii="宋体"/>
      <w:sz w:val="18"/>
      <w:szCs w:val="18"/>
    </w:rPr>
  </w:style>
  <w:style w:type="character" w:customStyle="1" w:styleId="30">
    <w:name w:val="纯文本 字符"/>
    <w:link w:val="10"/>
    <w:qFormat/>
    <w:uiPriority w:val="0"/>
    <w:rPr>
      <w:rFonts w:ascii="宋体" w:hAnsi="Courier New"/>
    </w:rPr>
  </w:style>
  <w:style w:type="character" w:customStyle="1" w:styleId="31">
    <w:name w:val="正文文本缩进 字符"/>
    <w:link w:val="3"/>
    <w:qFormat/>
    <w:uiPriority w:val="0"/>
    <w:rPr>
      <w:rFonts w:ascii="宋体" w:hAnsi="Times New Roman"/>
      <w:sz w:val="30"/>
    </w:rPr>
  </w:style>
  <w:style w:type="character" w:customStyle="1" w:styleId="32">
    <w:name w:val="批注框文本 字符"/>
    <w:link w:val="11"/>
    <w:qFormat/>
    <w:uiPriority w:val="0"/>
    <w:rPr>
      <w:sz w:val="18"/>
      <w:szCs w:val="18"/>
    </w:rPr>
  </w:style>
  <w:style w:type="character" w:customStyle="1" w:styleId="33">
    <w:name w:val="纯文本 Char1"/>
    <w:basedOn w:val="18"/>
    <w:semiHidden/>
    <w:qFormat/>
    <w:uiPriority w:val="99"/>
    <w:rPr>
      <w:rFonts w:ascii="宋体" w:hAnsi="Courier New" w:eastAsia="宋体" w:cs="Courier New"/>
      <w:szCs w:val="21"/>
    </w:rPr>
  </w:style>
  <w:style w:type="paragraph" w:customStyle="1" w:styleId="34">
    <w:name w:val="文二"/>
    <w:basedOn w:val="1"/>
    <w:qFormat/>
    <w:uiPriority w:val="0"/>
    <w:pPr>
      <w:jc w:val="left"/>
    </w:pPr>
    <w:rPr>
      <w:rFonts w:ascii="宋体" w:hAnsi="宋体"/>
      <w:szCs w:val="21"/>
    </w:rPr>
  </w:style>
  <w:style w:type="character" w:customStyle="1" w:styleId="35">
    <w:name w:val="正文文本缩进 Char1"/>
    <w:basedOn w:val="18"/>
    <w:semiHidden/>
    <w:qFormat/>
    <w:uiPriority w:val="99"/>
    <w:rPr>
      <w:rFonts w:ascii="Calibri" w:hAnsi="Calibri" w:eastAsia="宋体" w:cs="Times New Roman"/>
    </w:rPr>
  </w:style>
  <w:style w:type="character" w:customStyle="1" w:styleId="36">
    <w:name w:val="文档结构图 Char1"/>
    <w:basedOn w:val="18"/>
    <w:semiHidden/>
    <w:qFormat/>
    <w:uiPriority w:val="99"/>
    <w:rPr>
      <w:rFonts w:ascii="Microsoft YaHei UI" w:hAnsi="Calibri" w:eastAsia="Microsoft YaHei UI" w:cs="Times New Roman"/>
      <w:sz w:val="18"/>
      <w:szCs w:val="18"/>
    </w:rPr>
  </w:style>
  <w:style w:type="character" w:customStyle="1" w:styleId="37">
    <w:name w:val="正文文本 Char1"/>
    <w:basedOn w:val="18"/>
    <w:semiHidden/>
    <w:qFormat/>
    <w:uiPriority w:val="99"/>
    <w:rPr>
      <w:rFonts w:ascii="Calibri" w:hAnsi="Calibri" w:eastAsia="宋体" w:cs="Times New Roman"/>
    </w:rPr>
  </w:style>
  <w:style w:type="character" w:customStyle="1" w:styleId="38">
    <w:name w:val="批注文字 Char1"/>
    <w:basedOn w:val="18"/>
    <w:semiHidden/>
    <w:qFormat/>
    <w:uiPriority w:val="99"/>
    <w:rPr>
      <w:rFonts w:ascii="Calibri" w:hAnsi="Calibri" w:eastAsia="宋体" w:cs="Times New Roman"/>
    </w:rPr>
  </w:style>
  <w:style w:type="paragraph" w:customStyle="1" w:styleId="39">
    <w:name w:val="发文落款"/>
    <w:basedOn w:val="40"/>
    <w:qFormat/>
    <w:uiPriority w:val="0"/>
    <w:pPr>
      <w:ind w:left="4094" w:right="607" w:firstLine="0"/>
      <w:jc w:val="center"/>
    </w:pPr>
  </w:style>
  <w:style w:type="paragraph" w:customStyle="1" w:styleId="4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1">
    <w:name w:val="修订1"/>
    <w:unhideWhenUsed/>
    <w:qFormat/>
    <w:uiPriority w:val="99"/>
    <w:rPr>
      <w:rFonts w:ascii="Calibri" w:hAnsi="Calibri" w:eastAsia="宋体" w:cs="Times New Roman"/>
      <w:kern w:val="2"/>
      <w:sz w:val="21"/>
      <w:szCs w:val="22"/>
      <w:lang w:val="en-US" w:eastAsia="zh-CN" w:bidi="ar-SA"/>
    </w:rPr>
  </w:style>
  <w:style w:type="character" w:customStyle="1" w:styleId="42">
    <w:name w:val="批注框文本 Char1"/>
    <w:basedOn w:val="18"/>
    <w:semiHidden/>
    <w:qFormat/>
    <w:uiPriority w:val="99"/>
    <w:rPr>
      <w:rFonts w:ascii="Calibri" w:hAnsi="Calibri" w:eastAsia="宋体" w:cs="Times New Roman"/>
      <w:sz w:val="18"/>
      <w:szCs w:val="18"/>
    </w:rPr>
  </w:style>
  <w:style w:type="paragraph" w:customStyle="1" w:styleId="43">
    <w:name w:val="列出段落1"/>
    <w:basedOn w:val="1"/>
    <w:qFormat/>
    <w:uiPriority w:val="0"/>
    <w:pPr>
      <w:ind w:firstLine="420" w:firstLineChars="200"/>
    </w:pPr>
    <w:rPr>
      <w:rFonts w:ascii="Times New Roman" w:hAnsi="Times New Roman"/>
      <w:szCs w:val="24"/>
    </w:rPr>
  </w:style>
  <w:style w:type="character" w:customStyle="1" w:styleId="44">
    <w:name w:val="批注主题 字符"/>
    <w:basedOn w:val="28"/>
    <w:link w:val="16"/>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6B892-E277-47F5-A4B4-08F5F2E4365E}">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58</Pages>
  <Words>25029</Words>
  <Characters>26460</Characters>
  <Lines>216</Lines>
  <Paragraphs>61</Paragraphs>
  <TotalTime>16</TotalTime>
  <ScaleCrop>false</ScaleCrop>
  <LinksUpToDate>false</LinksUpToDate>
  <CharactersWithSpaces>29548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2022-04-15T10:30:00Z</dcterms:created>
  <dc:creator>未定义</dc:creator>
  <cp:lastModifiedBy>C-言诺</cp:lastModifiedBy>
  <cp:lastPrinted>2022-04-15T11:04:00Z</cp:lastPrinted>
  <dcterms:modified xsi:type="dcterms:W3CDTF">2022-05-16T07:36:41Z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012B7546F63547349EAD09AE8CEEDE31</vt:lpwstr>
  </property>
</Properties>
</file>