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项目名称：</w:t>
      </w:r>
      <w:r>
        <w:rPr>
          <w:sz w:val="24"/>
          <w:b/>
        </w:rPr>
        <w:t>广州大学2024年文济楼办公家具采购项目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广州大学2024年文济楼办公家具采购项目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广州大学2024年文济楼办公家具采购项目</w:t>
      </w:r>
    </w:p>
    <w:p>
      <w:pPr>
        <w:pStyle w:val="null3"/>
        <w:ind w:firstLine="480"/>
      </w:pPr>
      <w:r>
        <w:rPr/>
        <w:t>采购计划编号：</w:t>
      </w:r>
      <w:r>
        <w:rPr/>
        <w:t>440101-2024-16497</w:t>
      </w:r>
    </w:p>
    <w:p>
      <w:pPr>
        <w:pStyle w:val="null3"/>
        <w:ind w:firstLine="480"/>
      </w:pPr>
      <w:r>
        <w:rPr/>
        <w:t>采购项目编号：</w:t>
      </w:r>
      <w:r>
        <w:rPr/>
        <w:t>CZ2024-1154</w:t>
      </w:r>
    </w:p>
    <w:p>
      <w:pPr>
        <w:pStyle w:val="null3"/>
        <w:ind w:firstLine="480"/>
      </w:pPr>
      <w:r>
        <w:rPr/>
        <w:t>采购方式：</w:t>
      </w:r>
      <w:r>
        <w:rPr/>
        <w:t>公开招标</w:t>
      </w:r>
    </w:p>
    <w:p>
      <w:pPr>
        <w:pStyle w:val="null3"/>
        <w:ind w:firstLine="480"/>
      </w:pPr>
      <w:r>
        <w:rPr/>
        <w:t>预算金额：</w:t>
      </w:r>
      <w:r>
        <w:rPr/>
        <w:t>4,281,160.00</w:t>
      </w:r>
      <w:r>
        <w:rPr/>
        <w:t>元</w:t>
      </w:r>
    </w:p>
    <w:p>
      <w:pPr>
        <w:pStyle w:val="null3"/>
        <w:outlineLvl w:val="3"/>
      </w:pPr>
      <w:r>
        <w:rPr>
          <w:sz w:val="24"/>
          <w:b/>
        </w:rPr>
        <w:t>2.项目内容及需求情况（采购项目技术规格、参数及要求）</w:t>
      </w:r>
    </w:p>
    <w:p>
      <w:pPr>
        <w:pStyle w:val="null3"/>
      </w:pPr>
      <w:r>
        <w:rPr/>
        <w:t>采购包1(广州大学2024年文济楼办公家具采购项目):</w:t>
      </w:r>
    </w:p>
    <w:p>
      <w:pPr>
        <w:pStyle w:val="null3"/>
      </w:pPr>
      <w:r>
        <w:rPr/>
        <w:t>采购包预算金额：4,281,160.00元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141(张)</w:t>
            </w:r>
          </w:p>
        </w:tc>
        <w:tc>
          <w:tcPr>
            <w:tcW w:type="dxa" w:w="977"/>
          </w:tcPr>
          <w:p>
            <w:pPr>
              <w:pStyle w:val="null3"/>
            </w:pPr>
            <w:r>
              <w:rPr/>
              <w:t>详见第二章</w:t>
            </w:r>
          </w:p>
        </w:tc>
        <w:tc>
          <w:tcPr>
            <w:tcW w:type="dxa" w:w="977"/>
          </w:tcPr>
          <w:p>
            <w:pPr>
              <w:pStyle w:val="null3"/>
            </w:pPr>
            <w:r>
              <w:rPr/>
              <w:t>373,650.00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10,080.00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办公桌</w:t>
            </w:r>
          </w:p>
        </w:tc>
        <w:tc>
          <w:tcPr>
            <w:tcW w:type="dxa" w:w="2052"/>
          </w:tcPr>
          <w:p>
            <w:pPr>
              <w:pStyle w:val="null3"/>
            </w:pPr>
            <w:r>
              <w:rPr/>
              <w:t>开放式办公桌</w:t>
            </w:r>
          </w:p>
        </w:tc>
        <w:tc>
          <w:tcPr>
            <w:tcW w:type="dxa" w:w="977"/>
          </w:tcPr>
          <w:p>
            <w:pPr>
              <w:pStyle w:val="null3"/>
            </w:pPr>
            <w:r>
              <w:rPr/>
              <w:t>56(张)</w:t>
            </w:r>
          </w:p>
        </w:tc>
        <w:tc>
          <w:tcPr>
            <w:tcW w:type="dxa" w:w="977"/>
          </w:tcPr>
          <w:p>
            <w:pPr>
              <w:pStyle w:val="null3"/>
            </w:pPr>
            <w:r>
              <w:rPr/>
              <w:t>详见第二章</w:t>
            </w:r>
          </w:p>
        </w:tc>
        <w:tc>
          <w:tcPr>
            <w:tcW w:type="dxa" w:w="977"/>
          </w:tcPr>
          <w:p>
            <w:pPr>
              <w:pStyle w:val="null3"/>
            </w:pPr>
            <w:r>
              <w:rPr/>
              <w:t>76,440.00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办公桌</w:t>
            </w:r>
          </w:p>
        </w:tc>
        <w:tc>
          <w:tcPr>
            <w:tcW w:type="dxa" w:w="2052"/>
          </w:tcPr>
          <w:p>
            <w:pPr>
              <w:pStyle w:val="null3"/>
            </w:pPr>
            <w:r>
              <w:rPr/>
              <w:t>屏风工作位</w:t>
            </w:r>
          </w:p>
        </w:tc>
        <w:tc>
          <w:tcPr>
            <w:tcW w:type="dxa" w:w="977"/>
          </w:tcPr>
          <w:p>
            <w:pPr>
              <w:pStyle w:val="null3"/>
            </w:pPr>
            <w:r>
              <w:rPr/>
              <w:t>257(张)</w:t>
            </w:r>
          </w:p>
        </w:tc>
        <w:tc>
          <w:tcPr>
            <w:tcW w:type="dxa" w:w="977"/>
          </w:tcPr>
          <w:p>
            <w:pPr>
              <w:pStyle w:val="null3"/>
            </w:pPr>
            <w:r>
              <w:rPr/>
              <w:t>详见第二章</w:t>
            </w:r>
          </w:p>
        </w:tc>
        <w:tc>
          <w:tcPr>
            <w:tcW w:type="dxa" w:w="977"/>
          </w:tcPr>
          <w:p>
            <w:pPr>
              <w:pStyle w:val="null3"/>
            </w:pPr>
            <w:r>
              <w:rPr/>
              <w:t>706,750.00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办公椅</w:t>
            </w:r>
          </w:p>
        </w:tc>
        <w:tc>
          <w:tcPr>
            <w:tcW w:type="dxa" w:w="2052"/>
          </w:tcPr>
          <w:p>
            <w:pPr>
              <w:pStyle w:val="null3"/>
            </w:pPr>
            <w:r>
              <w:rPr/>
              <w:t>班椅</w:t>
            </w:r>
          </w:p>
        </w:tc>
        <w:tc>
          <w:tcPr>
            <w:tcW w:type="dxa" w:w="977"/>
          </w:tcPr>
          <w:p>
            <w:pPr>
              <w:pStyle w:val="null3"/>
            </w:pPr>
            <w:r>
              <w:rPr/>
              <w:t>144(张)</w:t>
            </w:r>
          </w:p>
        </w:tc>
        <w:tc>
          <w:tcPr>
            <w:tcW w:type="dxa" w:w="977"/>
          </w:tcPr>
          <w:p>
            <w:pPr>
              <w:pStyle w:val="null3"/>
            </w:pPr>
            <w:r>
              <w:rPr/>
              <w:t>详见第二章</w:t>
            </w:r>
          </w:p>
        </w:tc>
        <w:tc>
          <w:tcPr>
            <w:tcW w:type="dxa" w:w="977"/>
          </w:tcPr>
          <w:p>
            <w:pPr>
              <w:pStyle w:val="null3"/>
            </w:pPr>
            <w:r>
              <w:rPr/>
              <w:t>132,480.00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办公椅</w:t>
            </w:r>
          </w:p>
        </w:tc>
        <w:tc>
          <w:tcPr>
            <w:tcW w:type="dxa" w:w="2052"/>
          </w:tcPr>
          <w:p>
            <w:pPr>
              <w:pStyle w:val="null3"/>
            </w:pPr>
            <w:r>
              <w:rPr/>
              <w:t>办公椅</w:t>
            </w:r>
          </w:p>
        </w:tc>
        <w:tc>
          <w:tcPr>
            <w:tcW w:type="dxa" w:w="977"/>
          </w:tcPr>
          <w:p>
            <w:pPr>
              <w:pStyle w:val="null3"/>
            </w:pPr>
            <w:r>
              <w:rPr/>
              <w:t>307(张)</w:t>
            </w:r>
          </w:p>
        </w:tc>
        <w:tc>
          <w:tcPr>
            <w:tcW w:type="dxa" w:w="977"/>
          </w:tcPr>
          <w:p>
            <w:pPr>
              <w:pStyle w:val="null3"/>
            </w:pPr>
            <w:r>
              <w:rPr/>
              <w:t>详见第二章</w:t>
            </w:r>
          </w:p>
        </w:tc>
        <w:tc>
          <w:tcPr>
            <w:tcW w:type="dxa" w:w="977"/>
          </w:tcPr>
          <w:p>
            <w:pPr>
              <w:pStyle w:val="null3"/>
            </w:pPr>
            <w:r>
              <w:rPr/>
              <w:t>171,920.00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茶几</w:t>
            </w:r>
          </w:p>
        </w:tc>
        <w:tc>
          <w:tcPr>
            <w:tcW w:type="dxa" w:w="2052"/>
          </w:tcPr>
          <w:p>
            <w:pPr>
              <w:pStyle w:val="null3"/>
            </w:pPr>
            <w:r>
              <w:rPr/>
              <w:t>茶几</w:t>
            </w:r>
          </w:p>
        </w:tc>
        <w:tc>
          <w:tcPr>
            <w:tcW w:type="dxa" w:w="977"/>
          </w:tcPr>
          <w:p>
            <w:pPr>
              <w:pStyle w:val="null3"/>
            </w:pPr>
            <w:r>
              <w:rPr/>
              <w:t>43(个)</w:t>
            </w:r>
          </w:p>
        </w:tc>
        <w:tc>
          <w:tcPr>
            <w:tcW w:type="dxa" w:w="977"/>
          </w:tcPr>
          <w:p>
            <w:pPr>
              <w:pStyle w:val="null3"/>
            </w:pPr>
            <w:r>
              <w:rPr/>
              <w:t>详见第二章</w:t>
            </w:r>
          </w:p>
        </w:tc>
        <w:tc>
          <w:tcPr>
            <w:tcW w:type="dxa" w:w="977"/>
          </w:tcPr>
          <w:p>
            <w:pPr>
              <w:pStyle w:val="null3"/>
            </w:pPr>
            <w:r>
              <w:rPr/>
              <w:t>33,540.00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茶几</w:t>
            </w:r>
          </w:p>
        </w:tc>
        <w:tc>
          <w:tcPr>
            <w:tcW w:type="dxa" w:w="2052"/>
          </w:tcPr>
          <w:p>
            <w:pPr>
              <w:pStyle w:val="null3"/>
            </w:pPr>
            <w:r>
              <w:rPr/>
              <w:t>方茶几</w:t>
            </w:r>
          </w:p>
        </w:tc>
        <w:tc>
          <w:tcPr>
            <w:tcW w:type="dxa" w:w="977"/>
          </w:tcPr>
          <w:p>
            <w:pPr>
              <w:pStyle w:val="null3"/>
            </w:pPr>
            <w:r>
              <w:rPr/>
              <w:t>4(个)</w:t>
            </w:r>
          </w:p>
        </w:tc>
        <w:tc>
          <w:tcPr>
            <w:tcW w:type="dxa" w:w="977"/>
          </w:tcPr>
          <w:p>
            <w:pPr>
              <w:pStyle w:val="null3"/>
            </w:pPr>
            <w:r>
              <w:rPr/>
              <w:t>详见第二章</w:t>
            </w:r>
          </w:p>
        </w:tc>
        <w:tc>
          <w:tcPr>
            <w:tcW w:type="dxa" w:w="977"/>
          </w:tcPr>
          <w:p>
            <w:pPr>
              <w:pStyle w:val="null3"/>
            </w:pPr>
            <w:r>
              <w:rPr/>
              <w:t>2,640.00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窗帘及类似品</w:t>
            </w:r>
          </w:p>
        </w:tc>
        <w:tc>
          <w:tcPr>
            <w:tcW w:type="dxa" w:w="2052"/>
          </w:tcPr>
          <w:p>
            <w:pPr>
              <w:pStyle w:val="null3"/>
            </w:pPr>
            <w:r>
              <w:rPr/>
              <w:t>卷帘</w:t>
            </w:r>
          </w:p>
        </w:tc>
        <w:tc>
          <w:tcPr>
            <w:tcW w:type="dxa" w:w="977"/>
          </w:tcPr>
          <w:p>
            <w:pPr>
              <w:pStyle w:val="null3"/>
            </w:pPr>
            <w:r>
              <w:rPr/>
              <w:t>1350(平方米)</w:t>
            </w:r>
          </w:p>
        </w:tc>
        <w:tc>
          <w:tcPr>
            <w:tcW w:type="dxa" w:w="977"/>
          </w:tcPr>
          <w:p>
            <w:pPr>
              <w:pStyle w:val="null3"/>
            </w:pPr>
            <w:r>
              <w:rPr/>
              <w:t>详见第二章</w:t>
            </w:r>
          </w:p>
        </w:tc>
        <w:tc>
          <w:tcPr>
            <w:tcW w:type="dxa" w:w="977"/>
          </w:tcPr>
          <w:p>
            <w:pPr>
              <w:pStyle w:val="null3"/>
            </w:pPr>
            <w:r>
              <w:rPr/>
              <w:t>148,500.00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单人沙发</w:t>
            </w:r>
          </w:p>
        </w:tc>
        <w:tc>
          <w:tcPr>
            <w:tcW w:type="dxa" w:w="2052"/>
          </w:tcPr>
          <w:p>
            <w:pPr>
              <w:pStyle w:val="null3"/>
            </w:pPr>
            <w:r>
              <w:rPr/>
              <w:t>沙发</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6,080.00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42(张)</w:t>
            </w:r>
          </w:p>
        </w:tc>
        <w:tc>
          <w:tcPr>
            <w:tcW w:type="dxa" w:w="977"/>
          </w:tcPr>
          <w:p>
            <w:pPr>
              <w:pStyle w:val="null3"/>
            </w:pPr>
            <w:r>
              <w:rPr/>
              <w:t>详见第二章</w:t>
            </w:r>
          </w:p>
        </w:tc>
        <w:tc>
          <w:tcPr>
            <w:tcW w:type="dxa" w:w="977"/>
          </w:tcPr>
          <w:p>
            <w:pPr>
              <w:pStyle w:val="null3"/>
            </w:pPr>
            <w:r>
              <w:rPr/>
              <w:t>100,800.00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2,400.00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会议椅</w:t>
            </w:r>
          </w:p>
        </w:tc>
        <w:tc>
          <w:tcPr>
            <w:tcW w:type="dxa" w:w="2052"/>
          </w:tcPr>
          <w:p>
            <w:pPr>
              <w:pStyle w:val="null3"/>
            </w:pPr>
            <w:r>
              <w:rPr/>
              <w:t>会议椅</w:t>
            </w:r>
          </w:p>
        </w:tc>
        <w:tc>
          <w:tcPr>
            <w:tcW w:type="dxa" w:w="977"/>
          </w:tcPr>
          <w:p>
            <w:pPr>
              <w:pStyle w:val="null3"/>
            </w:pPr>
            <w:r>
              <w:rPr/>
              <w:t>296(张)</w:t>
            </w:r>
          </w:p>
        </w:tc>
        <w:tc>
          <w:tcPr>
            <w:tcW w:type="dxa" w:w="977"/>
          </w:tcPr>
          <w:p>
            <w:pPr>
              <w:pStyle w:val="null3"/>
            </w:pPr>
            <w:r>
              <w:rPr/>
              <w:t>详见第二章</w:t>
            </w:r>
          </w:p>
        </w:tc>
        <w:tc>
          <w:tcPr>
            <w:tcW w:type="dxa" w:w="977"/>
          </w:tcPr>
          <w:p>
            <w:pPr>
              <w:pStyle w:val="null3"/>
            </w:pPr>
            <w:r>
              <w:rPr/>
              <w:t>165,760.00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会议桌</w:t>
            </w:r>
          </w:p>
        </w:tc>
        <w:tc>
          <w:tcPr>
            <w:tcW w:type="dxa" w:w="2052"/>
          </w:tcPr>
          <w:p>
            <w:pPr>
              <w:pStyle w:val="null3"/>
            </w:pPr>
            <w:r>
              <w:rPr/>
              <w:t>长条桌</w:t>
            </w:r>
          </w:p>
        </w:tc>
        <w:tc>
          <w:tcPr>
            <w:tcW w:type="dxa" w:w="977"/>
          </w:tcPr>
          <w:p>
            <w:pPr>
              <w:pStyle w:val="null3"/>
            </w:pPr>
            <w:r>
              <w:rPr/>
              <w:t>62(张)</w:t>
            </w:r>
          </w:p>
        </w:tc>
        <w:tc>
          <w:tcPr>
            <w:tcW w:type="dxa" w:w="977"/>
          </w:tcPr>
          <w:p>
            <w:pPr>
              <w:pStyle w:val="null3"/>
            </w:pPr>
            <w:r>
              <w:rPr/>
              <w:t>详见第二章</w:t>
            </w:r>
          </w:p>
        </w:tc>
        <w:tc>
          <w:tcPr>
            <w:tcW w:type="dxa" w:w="977"/>
          </w:tcPr>
          <w:p>
            <w:pPr>
              <w:pStyle w:val="null3"/>
            </w:pPr>
            <w:r>
              <w:rPr/>
              <w:t>84,320.00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5,640.00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31,600.00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35,650.00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金属质屏风类</w:t>
            </w:r>
          </w:p>
        </w:tc>
        <w:tc>
          <w:tcPr>
            <w:tcW w:type="dxa" w:w="2052"/>
          </w:tcPr>
          <w:p>
            <w:pPr>
              <w:pStyle w:val="null3"/>
            </w:pPr>
            <w:r>
              <w:rPr/>
              <w:t>金属屏风</w:t>
            </w:r>
          </w:p>
        </w:tc>
        <w:tc>
          <w:tcPr>
            <w:tcW w:type="dxa" w:w="977"/>
          </w:tcPr>
          <w:p>
            <w:pPr>
              <w:pStyle w:val="null3"/>
            </w:pPr>
            <w:r>
              <w:rPr/>
              <w:t>1854(平方米)</w:t>
            </w:r>
          </w:p>
        </w:tc>
        <w:tc>
          <w:tcPr>
            <w:tcW w:type="dxa" w:w="977"/>
          </w:tcPr>
          <w:p>
            <w:pPr>
              <w:pStyle w:val="null3"/>
            </w:pPr>
            <w:r>
              <w:rPr/>
              <w:t>详见第二章</w:t>
            </w:r>
          </w:p>
        </w:tc>
        <w:tc>
          <w:tcPr>
            <w:tcW w:type="dxa" w:w="977"/>
          </w:tcPr>
          <w:p>
            <w:pPr>
              <w:pStyle w:val="null3"/>
            </w:pPr>
            <w:r>
              <w:rPr/>
              <w:t>1,483,200.00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65(组)</w:t>
            </w:r>
          </w:p>
        </w:tc>
        <w:tc>
          <w:tcPr>
            <w:tcW w:type="dxa" w:w="977"/>
          </w:tcPr>
          <w:p>
            <w:pPr>
              <w:pStyle w:val="null3"/>
            </w:pPr>
            <w:r>
              <w:rPr/>
              <w:t>详见第二章</w:t>
            </w:r>
          </w:p>
        </w:tc>
        <w:tc>
          <w:tcPr>
            <w:tcW w:type="dxa" w:w="977"/>
          </w:tcPr>
          <w:p>
            <w:pPr>
              <w:pStyle w:val="null3"/>
            </w:pPr>
            <w:r>
              <w:rPr/>
              <w:t>177,450.00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78(组)</w:t>
            </w:r>
          </w:p>
        </w:tc>
        <w:tc>
          <w:tcPr>
            <w:tcW w:type="dxa" w:w="977"/>
          </w:tcPr>
          <w:p>
            <w:pPr>
              <w:pStyle w:val="null3"/>
            </w:pPr>
            <w:r>
              <w:rPr/>
              <w:t>详见第二章</w:t>
            </w:r>
          </w:p>
        </w:tc>
        <w:tc>
          <w:tcPr>
            <w:tcW w:type="dxa" w:w="977"/>
          </w:tcPr>
          <w:p>
            <w:pPr>
              <w:pStyle w:val="null3"/>
            </w:pPr>
            <w:r>
              <w:rPr/>
              <w:t>222,300.00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160(组)</w:t>
            </w:r>
          </w:p>
        </w:tc>
        <w:tc>
          <w:tcPr>
            <w:tcW w:type="dxa" w:w="977"/>
          </w:tcPr>
          <w:p>
            <w:pPr>
              <w:pStyle w:val="null3"/>
            </w:pPr>
            <w:r>
              <w:rPr/>
              <w:t>详见第二章</w:t>
            </w:r>
          </w:p>
        </w:tc>
        <w:tc>
          <w:tcPr>
            <w:tcW w:type="dxa" w:w="977"/>
          </w:tcPr>
          <w:p>
            <w:pPr>
              <w:pStyle w:val="null3"/>
            </w:pPr>
            <w:r>
              <w:rPr/>
              <w:t>256,000.00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文件柜</w:t>
            </w:r>
          </w:p>
        </w:tc>
        <w:tc>
          <w:tcPr>
            <w:tcW w:type="dxa" w:w="2052"/>
          </w:tcPr>
          <w:p>
            <w:pPr>
              <w:pStyle w:val="null3"/>
            </w:pPr>
            <w:r>
              <w:rPr/>
              <w:t>矮柜</w:t>
            </w:r>
          </w:p>
        </w:tc>
        <w:tc>
          <w:tcPr>
            <w:tcW w:type="dxa" w:w="977"/>
          </w:tcPr>
          <w:p>
            <w:pPr>
              <w:pStyle w:val="null3"/>
            </w:pPr>
            <w:r>
              <w:rPr/>
              <w:t>2(组)</w:t>
            </w:r>
          </w:p>
        </w:tc>
        <w:tc>
          <w:tcPr>
            <w:tcW w:type="dxa" w:w="977"/>
          </w:tcPr>
          <w:p>
            <w:pPr>
              <w:pStyle w:val="null3"/>
            </w:pPr>
            <w:r>
              <w:rPr/>
              <w:t>详见第二章</w:t>
            </w:r>
          </w:p>
        </w:tc>
        <w:tc>
          <w:tcPr>
            <w:tcW w:type="dxa" w:w="977"/>
          </w:tcPr>
          <w:p>
            <w:pPr>
              <w:pStyle w:val="null3"/>
            </w:pPr>
            <w:r>
              <w:rPr/>
              <w:t>4,120.00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其他家具</w:t>
            </w:r>
          </w:p>
        </w:tc>
        <w:tc>
          <w:tcPr>
            <w:tcW w:type="dxa" w:w="2052"/>
          </w:tcPr>
          <w:p>
            <w:pPr>
              <w:pStyle w:val="null3"/>
            </w:pPr>
            <w:r>
              <w:rPr/>
              <w:t>演讲台</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其他家具</w:t>
            </w:r>
          </w:p>
        </w:tc>
        <w:tc>
          <w:tcPr>
            <w:tcW w:type="dxa" w:w="2052"/>
          </w:tcPr>
          <w:p>
            <w:pPr>
              <w:pStyle w:val="null3"/>
            </w:pPr>
            <w:r>
              <w:rPr/>
              <w:t>六人位连体座椅</w:t>
            </w:r>
          </w:p>
        </w:tc>
        <w:tc>
          <w:tcPr>
            <w:tcW w:type="dxa" w:w="977"/>
          </w:tcPr>
          <w:p>
            <w:pPr>
              <w:pStyle w:val="null3"/>
            </w:pPr>
            <w:r>
              <w:rPr/>
              <w:t>12(张)</w:t>
            </w:r>
          </w:p>
        </w:tc>
        <w:tc>
          <w:tcPr>
            <w:tcW w:type="dxa" w:w="977"/>
          </w:tcPr>
          <w:p>
            <w:pPr>
              <w:pStyle w:val="null3"/>
            </w:pPr>
            <w:r>
              <w:rPr/>
              <w:t>详见第二章</w:t>
            </w:r>
          </w:p>
        </w:tc>
        <w:tc>
          <w:tcPr>
            <w:tcW w:type="dxa" w:w="977"/>
          </w:tcPr>
          <w:p>
            <w:pPr>
              <w:pStyle w:val="null3"/>
            </w:pPr>
            <w:r>
              <w:rPr/>
              <w:t>47,640.00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合同履行期限：签订合同后30个日历天完成供货。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采购包1（广州大学2024年文济楼办公家具采购项目）：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采购包1（广州大学2024年文济楼办公家具采购项目）：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020-39341573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 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详见采购公告附件《第二章采购需求》。</w:t>
      </w:r>
    </w:p>
    <w:p>
      <w:pPr>
        <w:pStyle w:val="null3"/>
      </w:pPr>
      <w:r>
        <w:rPr/>
        <w:t>采购包1（广州大学2024年文济楼办公家具采购项目）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签订合同后30个日历天完成供货。</w:t>
            </w:r>
          </w:p>
        </w:tc>
      </w:tr>
      <w:tr>
        <w:tc>
          <w:tcPr>
            <w:tcW w:type="dxa" w:w="4153"/>
          </w:tcPr>
          <w:p>
            <w:pPr>
              <w:pStyle w:val="null3"/>
            </w:pPr>
            <w:r>
              <w:rPr/>
              <w:t>标的提供的地点</w:t>
            </w:r>
          </w:p>
        </w:tc>
        <w:tc>
          <w:tcPr>
            <w:tcW w:type="dxa" w:w="4153"/>
          </w:tcPr>
          <w:p>
            <w:pPr>
              <w:pStyle w:val="null3"/>
            </w:pPr>
            <w:r>
              <w:rPr/>
              <w:t>广州大学大学城校区文济楼（创Ｂ大楼）。</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项目合同签订后，采购人与中标人共同勘察现场，中标人按采购人提供的家具布设方案和中标家具的多功能集成线盒位置出具房间线路（电线、网线、电话线等）布置图给采购人。对采购人根据线路布置图进行的施工做好配合工作。（提供承诺函，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141.00</w:t>
            </w:r>
          </w:p>
        </w:tc>
        <w:tc>
          <w:tcPr>
            <w:tcW w:type="dxa" w:w="831"/>
          </w:tcPr>
          <w:p>
            <w:pPr>
              <w:pStyle w:val="null3"/>
              <w:jc w:val="right"/>
            </w:pPr>
            <w:r>
              <w:rPr/>
              <w:t>2,650.00</w:t>
            </w:r>
          </w:p>
        </w:tc>
        <w:tc>
          <w:tcPr>
            <w:tcW w:type="dxa" w:w="831"/>
          </w:tcPr>
          <w:p>
            <w:pPr>
              <w:pStyle w:val="null3"/>
              <w:jc w:val="right"/>
            </w:pPr>
            <w:r>
              <w:rPr/>
              <w:t>373,650.00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2,520.00</w:t>
            </w:r>
          </w:p>
        </w:tc>
        <w:tc>
          <w:tcPr>
            <w:tcW w:type="dxa" w:w="831"/>
          </w:tcPr>
          <w:p>
            <w:pPr>
              <w:pStyle w:val="null3"/>
              <w:jc w:val="right"/>
            </w:pPr>
            <w:r>
              <w:rPr/>
              <w:t>10,080.00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办公桌</w:t>
            </w:r>
          </w:p>
        </w:tc>
        <w:tc>
          <w:tcPr>
            <w:tcW w:type="dxa" w:w="831"/>
          </w:tcPr>
          <w:p>
            <w:pPr>
              <w:pStyle w:val="null3"/>
              <w:jc w:val="left"/>
            </w:pPr>
            <w:r>
              <w:rPr/>
              <w:t>开放式办公桌</w:t>
            </w:r>
          </w:p>
        </w:tc>
        <w:tc>
          <w:tcPr>
            <w:tcW w:type="dxa" w:w="831"/>
          </w:tcPr>
          <w:p>
            <w:pPr>
              <w:pStyle w:val="null3"/>
              <w:jc w:val="left"/>
            </w:pPr>
            <w:r>
              <w:rPr/>
              <w:t>张</w:t>
            </w:r>
          </w:p>
        </w:tc>
        <w:tc>
          <w:tcPr>
            <w:tcW w:type="dxa" w:w="831"/>
          </w:tcPr>
          <w:p>
            <w:pPr>
              <w:pStyle w:val="null3"/>
              <w:jc w:val="right"/>
            </w:pPr>
            <w:r>
              <w:rPr/>
              <w:t>56.00</w:t>
            </w:r>
          </w:p>
        </w:tc>
        <w:tc>
          <w:tcPr>
            <w:tcW w:type="dxa" w:w="831"/>
          </w:tcPr>
          <w:p>
            <w:pPr>
              <w:pStyle w:val="null3"/>
              <w:jc w:val="right"/>
            </w:pPr>
            <w:r>
              <w:rPr/>
              <w:t>1,365.00</w:t>
            </w:r>
          </w:p>
        </w:tc>
        <w:tc>
          <w:tcPr>
            <w:tcW w:type="dxa" w:w="831"/>
          </w:tcPr>
          <w:p>
            <w:pPr>
              <w:pStyle w:val="null3"/>
              <w:jc w:val="right"/>
            </w:pPr>
            <w:r>
              <w:rPr/>
              <w:t>76,440.00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办公桌</w:t>
            </w:r>
          </w:p>
        </w:tc>
        <w:tc>
          <w:tcPr>
            <w:tcW w:type="dxa" w:w="831"/>
          </w:tcPr>
          <w:p>
            <w:pPr>
              <w:pStyle w:val="null3"/>
              <w:jc w:val="left"/>
            </w:pPr>
            <w:r>
              <w:rPr/>
              <w:t>屏风工作位</w:t>
            </w:r>
          </w:p>
        </w:tc>
        <w:tc>
          <w:tcPr>
            <w:tcW w:type="dxa" w:w="831"/>
          </w:tcPr>
          <w:p>
            <w:pPr>
              <w:pStyle w:val="null3"/>
              <w:jc w:val="left"/>
            </w:pPr>
            <w:r>
              <w:rPr/>
              <w:t>张</w:t>
            </w:r>
          </w:p>
        </w:tc>
        <w:tc>
          <w:tcPr>
            <w:tcW w:type="dxa" w:w="831"/>
          </w:tcPr>
          <w:p>
            <w:pPr>
              <w:pStyle w:val="null3"/>
              <w:jc w:val="right"/>
            </w:pPr>
            <w:r>
              <w:rPr/>
              <w:t>257.00</w:t>
            </w:r>
          </w:p>
        </w:tc>
        <w:tc>
          <w:tcPr>
            <w:tcW w:type="dxa" w:w="831"/>
          </w:tcPr>
          <w:p>
            <w:pPr>
              <w:pStyle w:val="null3"/>
              <w:jc w:val="right"/>
            </w:pPr>
            <w:r>
              <w:rPr/>
              <w:t>2,750.00</w:t>
            </w:r>
          </w:p>
        </w:tc>
        <w:tc>
          <w:tcPr>
            <w:tcW w:type="dxa" w:w="831"/>
          </w:tcPr>
          <w:p>
            <w:pPr>
              <w:pStyle w:val="null3"/>
              <w:jc w:val="right"/>
            </w:pPr>
            <w:r>
              <w:rPr/>
              <w:t>706,750.00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办公椅</w:t>
            </w:r>
          </w:p>
        </w:tc>
        <w:tc>
          <w:tcPr>
            <w:tcW w:type="dxa" w:w="831"/>
          </w:tcPr>
          <w:p>
            <w:pPr>
              <w:pStyle w:val="null3"/>
              <w:jc w:val="left"/>
            </w:pPr>
            <w:r>
              <w:rPr/>
              <w:t>班椅</w:t>
            </w:r>
          </w:p>
        </w:tc>
        <w:tc>
          <w:tcPr>
            <w:tcW w:type="dxa" w:w="831"/>
          </w:tcPr>
          <w:p>
            <w:pPr>
              <w:pStyle w:val="null3"/>
              <w:jc w:val="left"/>
            </w:pPr>
            <w:r>
              <w:rPr/>
              <w:t>张</w:t>
            </w:r>
          </w:p>
        </w:tc>
        <w:tc>
          <w:tcPr>
            <w:tcW w:type="dxa" w:w="831"/>
          </w:tcPr>
          <w:p>
            <w:pPr>
              <w:pStyle w:val="null3"/>
              <w:jc w:val="right"/>
            </w:pPr>
            <w:r>
              <w:rPr/>
              <w:t>144.00</w:t>
            </w:r>
          </w:p>
        </w:tc>
        <w:tc>
          <w:tcPr>
            <w:tcW w:type="dxa" w:w="831"/>
          </w:tcPr>
          <w:p>
            <w:pPr>
              <w:pStyle w:val="null3"/>
              <w:jc w:val="right"/>
            </w:pPr>
            <w:r>
              <w:rPr/>
              <w:t>920.00</w:t>
            </w:r>
          </w:p>
        </w:tc>
        <w:tc>
          <w:tcPr>
            <w:tcW w:type="dxa" w:w="831"/>
          </w:tcPr>
          <w:p>
            <w:pPr>
              <w:pStyle w:val="null3"/>
              <w:jc w:val="right"/>
            </w:pPr>
            <w:r>
              <w:rPr/>
              <w:t>132,480.00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办公椅</w:t>
            </w:r>
          </w:p>
        </w:tc>
        <w:tc>
          <w:tcPr>
            <w:tcW w:type="dxa" w:w="831"/>
          </w:tcPr>
          <w:p>
            <w:pPr>
              <w:pStyle w:val="null3"/>
              <w:jc w:val="left"/>
            </w:pPr>
            <w:r>
              <w:rPr/>
              <w:t>办公椅</w:t>
            </w:r>
          </w:p>
        </w:tc>
        <w:tc>
          <w:tcPr>
            <w:tcW w:type="dxa" w:w="831"/>
          </w:tcPr>
          <w:p>
            <w:pPr>
              <w:pStyle w:val="null3"/>
              <w:jc w:val="left"/>
            </w:pPr>
            <w:r>
              <w:rPr/>
              <w:t>张</w:t>
            </w:r>
          </w:p>
        </w:tc>
        <w:tc>
          <w:tcPr>
            <w:tcW w:type="dxa" w:w="831"/>
          </w:tcPr>
          <w:p>
            <w:pPr>
              <w:pStyle w:val="null3"/>
              <w:jc w:val="right"/>
            </w:pPr>
            <w:r>
              <w:rPr/>
              <w:t>307.00</w:t>
            </w:r>
          </w:p>
        </w:tc>
        <w:tc>
          <w:tcPr>
            <w:tcW w:type="dxa" w:w="831"/>
          </w:tcPr>
          <w:p>
            <w:pPr>
              <w:pStyle w:val="null3"/>
              <w:jc w:val="right"/>
            </w:pPr>
            <w:r>
              <w:rPr/>
              <w:t>560.00</w:t>
            </w:r>
          </w:p>
        </w:tc>
        <w:tc>
          <w:tcPr>
            <w:tcW w:type="dxa" w:w="831"/>
          </w:tcPr>
          <w:p>
            <w:pPr>
              <w:pStyle w:val="null3"/>
              <w:jc w:val="right"/>
            </w:pPr>
            <w:r>
              <w:rPr/>
              <w:t>171,920.00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茶几</w:t>
            </w:r>
          </w:p>
        </w:tc>
        <w:tc>
          <w:tcPr>
            <w:tcW w:type="dxa" w:w="831"/>
          </w:tcPr>
          <w:p>
            <w:pPr>
              <w:pStyle w:val="null3"/>
              <w:jc w:val="left"/>
            </w:pPr>
            <w:r>
              <w:rPr/>
              <w:t>茶几</w:t>
            </w:r>
          </w:p>
        </w:tc>
        <w:tc>
          <w:tcPr>
            <w:tcW w:type="dxa" w:w="831"/>
          </w:tcPr>
          <w:p>
            <w:pPr>
              <w:pStyle w:val="null3"/>
              <w:jc w:val="left"/>
            </w:pPr>
            <w:r>
              <w:rPr/>
              <w:t>个</w:t>
            </w:r>
          </w:p>
        </w:tc>
        <w:tc>
          <w:tcPr>
            <w:tcW w:type="dxa" w:w="831"/>
          </w:tcPr>
          <w:p>
            <w:pPr>
              <w:pStyle w:val="null3"/>
              <w:jc w:val="right"/>
            </w:pPr>
            <w:r>
              <w:rPr/>
              <w:t>43.00</w:t>
            </w:r>
          </w:p>
        </w:tc>
        <w:tc>
          <w:tcPr>
            <w:tcW w:type="dxa" w:w="831"/>
          </w:tcPr>
          <w:p>
            <w:pPr>
              <w:pStyle w:val="null3"/>
              <w:jc w:val="right"/>
            </w:pPr>
            <w:r>
              <w:rPr/>
              <w:t>780.00</w:t>
            </w:r>
          </w:p>
        </w:tc>
        <w:tc>
          <w:tcPr>
            <w:tcW w:type="dxa" w:w="831"/>
          </w:tcPr>
          <w:p>
            <w:pPr>
              <w:pStyle w:val="null3"/>
              <w:jc w:val="right"/>
            </w:pPr>
            <w:r>
              <w:rPr/>
              <w:t>33,540.00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茶几</w:t>
            </w:r>
          </w:p>
        </w:tc>
        <w:tc>
          <w:tcPr>
            <w:tcW w:type="dxa" w:w="831"/>
          </w:tcPr>
          <w:p>
            <w:pPr>
              <w:pStyle w:val="null3"/>
              <w:jc w:val="left"/>
            </w:pPr>
            <w:r>
              <w:rPr/>
              <w:t>方茶几</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660.00</w:t>
            </w:r>
          </w:p>
        </w:tc>
        <w:tc>
          <w:tcPr>
            <w:tcW w:type="dxa" w:w="831"/>
          </w:tcPr>
          <w:p>
            <w:pPr>
              <w:pStyle w:val="null3"/>
              <w:jc w:val="right"/>
            </w:pPr>
            <w:r>
              <w:rPr/>
              <w:t>2,640.00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窗帘及类似品</w:t>
            </w:r>
          </w:p>
        </w:tc>
        <w:tc>
          <w:tcPr>
            <w:tcW w:type="dxa" w:w="831"/>
          </w:tcPr>
          <w:p>
            <w:pPr>
              <w:pStyle w:val="null3"/>
              <w:jc w:val="left"/>
            </w:pPr>
            <w:r>
              <w:rPr/>
              <w:t>卷帘</w:t>
            </w:r>
          </w:p>
        </w:tc>
        <w:tc>
          <w:tcPr>
            <w:tcW w:type="dxa" w:w="831"/>
          </w:tcPr>
          <w:p>
            <w:pPr>
              <w:pStyle w:val="null3"/>
              <w:jc w:val="left"/>
            </w:pPr>
            <w:r>
              <w:rPr/>
              <w:t>平方米</w:t>
            </w:r>
          </w:p>
        </w:tc>
        <w:tc>
          <w:tcPr>
            <w:tcW w:type="dxa" w:w="831"/>
          </w:tcPr>
          <w:p>
            <w:pPr>
              <w:pStyle w:val="null3"/>
              <w:jc w:val="right"/>
            </w:pPr>
            <w:r>
              <w:rPr/>
              <w:t>1,350.00</w:t>
            </w:r>
          </w:p>
        </w:tc>
        <w:tc>
          <w:tcPr>
            <w:tcW w:type="dxa" w:w="831"/>
          </w:tcPr>
          <w:p>
            <w:pPr>
              <w:pStyle w:val="null3"/>
              <w:jc w:val="right"/>
            </w:pPr>
            <w:r>
              <w:rPr/>
              <w:t>110.00</w:t>
            </w:r>
          </w:p>
        </w:tc>
        <w:tc>
          <w:tcPr>
            <w:tcW w:type="dxa" w:w="831"/>
          </w:tcPr>
          <w:p>
            <w:pPr>
              <w:pStyle w:val="null3"/>
              <w:jc w:val="right"/>
            </w:pPr>
            <w:r>
              <w:rPr/>
              <w:t>148,500.00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单人沙发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1,520.00</w:t>
            </w:r>
          </w:p>
        </w:tc>
        <w:tc>
          <w:tcPr>
            <w:tcW w:type="dxa" w:w="831"/>
          </w:tcPr>
          <w:p>
            <w:pPr>
              <w:pStyle w:val="null3"/>
              <w:jc w:val="right"/>
            </w:pPr>
            <w:r>
              <w:rPr/>
              <w:t>6,080.00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42.00</w:t>
            </w:r>
          </w:p>
        </w:tc>
        <w:tc>
          <w:tcPr>
            <w:tcW w:type="dxa" w:w="831"/>
          </w:tcPr>
          <w:p>
            <w:pPr>
              <w:pStyle w:val="null3"/>
              <w:jc w:val="right"/>
            </w:pPr>
            <w:r>
              <w:rPr/>
              <w:t>2,400.00</w:t>
            </w:r>
          </w:p>
        </w:tc>
        <w:tc>
          <w:tcPr>
            <w:tcW w:type="dxa" w:w="831"/>
          </w:tcPr>
          <w:p>
            <w:pPr>
              <w:pStyle w:val="null3"/>
              <w:jc w:val="right"/>
            </w:pPr>
            <w:r>
              <w:rPr/>
              <w:t>100,800.00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2,400.00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会议椅</w:t>
            </w:r>
          </w:p>
        </w:tc>
        <w:tc>
          <w:tcPr>
            <w:tcW w:type="dxa" w:w="831"/>
          </w:tcPr>
          <w:p>
            <w:pPr>
              <w:pStyle w:val="null3"/>
              <w:jc w:val="left"/>
            </w:pPr>
            <w:r>
              <w:rPr/>
              <w:t>会议椅</w:t>
            </w:r>
          </w:p>
        </w:tc>
        <w:tc>
          <w:tcPr>
            <w:tcW w:type="dxa" w:w="831"/>
          </w:tcPr>
          <w:p>
            <w:pPr>
              <w:pStyle w:val="null3"/>
              <w:jc w:val="left"/>
            </w:pPr>
            <w:r>
              <w:rPr/>
              <w:t>张</w:t>
            </w:r>
          </w:p>
        </w:tc>
        <w:tc>
          <w:tcPr>
            <w:tcW w:type="dxa" w:w="831"/>
          </w:tcPr>
          <w:p>
            <w:pPr>
              <w:pStyle w:val="null3"/>
              <w:jc w:val="right"/>
            </w:pPr>
            <w:r>
              <w:rPr/>
              <w:t>296.00</w:t>
            </w:r>
          </w:p>
        </w:tc>
        <w:tc>
          <w:tcPr>
            <w:tcW w:type="dxa" w:w="831"/>
          </w:tcPr>
          <w:p>
            <w:pPr>
              <w:pStyle w:val="null3"/>
              <w:jc w:val="right"/>
            </w:pPr>
            <w:r>
              <w:rPr/>
              <w:t>560.00</w:t>
            </w:r>
          </w:p>
        </w:tc>
        <w:tc>
          <w:tcPr>
            <w:tcW w:type="dxa" w:w="831"/>
          </w:tcPr>
          <w:p>
            <w:pPr>
              <w:pStyle w:val="null3"/>
              <w:jc w:val="right"/>
            </w:pPr>
            <w:r>
              <w:rPr/>
              <w:t>165,760.00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会议桌</w:t>
            </w:r>
          </w:p>
        </w:tc>
        <w:tc>
          <w:tcPr>
            <w:tcW w:type="dxa" w:w="831"/>
          </w:tcPr>
          <w:p>
            <w:pPr>
              <w:pStyle w:val="null3"/>
              <w:jc w:val="left"/>
            </w:pPr>
            <w:r>
              <w:rPr/>
              <w:t>长条桌</w:t>
            </w:r>
          </w:p>
        </w:tc>
        <w:tc>
          <w:tcPr>
            <w:tcW w:type="dxa" w:w="831"/>
          </w:tcPr>
          <w:p>
            <w:pPr>
              <w:pStyle w:val="null3"/>
              <w:jc w:val="left"/>
            </w:pPr>
            <w:r>
              <w:rPr/>
              <w:t>张</w:t>
            </w:r>
          </w:p>
        </w:tc>
        <w:tc>
          <w:tcPr>
            <w:tcW w:type="dxa" w:w="831"/>
          </w:tcPr>
          <w:p>
            <w:pPr>
              <w:pStyle w:val="null3"/>
              <w:jc w:val="right"/>
            </w:pPr>
            <w:r>
              <w:rPr/>
              <w:t>62.00</w:t>
            </w:r>
          </w:p>
        </w:tc>
        <w:tc>
          <w:tcPr>
            <w:tcW w:type="dxa" w:w="831"/>
          </w:tcPr>
          <w:p>
            <w:pPr>
              <w:pStyle w:val="null3"/>
              <w:jc w:val="right"/>
            </w:pPr>
            <w:r>
              <w:rPr/>
              <w:t>1,360.00</w:t>
            </w:r>
          </w:p>
        </w:tc>
        <w:tc>
          <w:tcPr>
            <w:tcW w:type="dxa" w:w="831"/>
          </w:tcPr>
          <w:p>
            <w:pPr>
              <w:pStyle w:val="null3"/>
              <w:jc w:val="right"/>
            </w:pPr>
            <w:r>
              <w:rPr/>
              <w:t>84,320.00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2,820.00</w:t>
            </w:r>
          </w:p>
        </w:tc>
        <w:tc>
          <w:tcPr>
            <w:tcW w:type="dxa" w:w="831"/>
          </w:tcPr>
          <w:p>
            <w:pPr>
              <w:pStyle w:val="null3"/>
              <w:jc w:val="right"/>
            </w:pPr>
            <w:r>
              <w:rPr/>
              <w:t>5,640.00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15,800.00</w:t>
            </w:r>
          </w:p>
        </w:tc>
        <w:tc>
          <w:tcPr>
            <w:tcW w:type="dxa" w:w="831"/>
          </w:tcPr>
          <w:p>
            <w:pPr>
              <w:pStyle w:val="null3"/>
              <w:jc w:val="right"/>
            </w:pPr>
            <w:r>
              <w:rPr/>
              <w:t>31,600.00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35,650.00</w:t>
            </w:r>
          </w:p>
        </w:tc>
        <w:tc>
          <w:tcPr>
            <w:tcW w:type="dxa" w:w="831"/>
          </w:tcPr>
          <w:p>
            <w:pPr>
              <w:pStyle w:val="null3"/>
              <w:jc w:val="right"/>
            </w:pPr>
            <w:r>
              <w:rPr/>
              <w:t>35,650.00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金属质屏风类</w:t>
            </w:r>
          </w:p>
        </w:tc>
        <w:tc>
          <w:tcPr>
            <w:tcW w:type="dxa" w:w="831"/>
          </w:tcPr>
          <w:p>
            <w:pPr>
              <w:pStyle w:val="null3"/>
              <w:jc w:val="left"/>
            </w:pPr>
            <w:r>
              <w:rPr/>
              <w:t>金属屏风</w:t>
            </w:r>
          </w:p>
        </w:tc>
        <w:tc>
          <w:tcPr>
            <w:tcW w:type="dxa" w:w="831"/>
          </w:tcPr>
          <w:p>
            <w:pPr>
              <w:pStyle w:val="null3"/>
              <w:jc w:val="left"/>
            </w:pPr>
            <w:r>
              <w:rPr/>
              <w:t>平方米</w:t>
            </w:r>
          </w:p>
        </w:tc>
        <w:tc>
          <w:tcPr>
            <w:tcW w:type="dxa" w:w="831"/>
          </w:tcPr>
          <w:p>
            <w:pPr>
              <w:pStyle w:val="null3"/>
              <w:jc w:val="right"/>
            </w:pPr>
            <w:r>
              <w:rPr/>
              <w:t>1,854.00</w:t>
            </w:r>
          </w:p>
        </w:tc>
        <w:tc>
          <w:tcPr>
            <w:tcW w:type="dxa" w:w="831"/>
          </w:tcPr>
          <w:p>
            <w:pPr>
              <w:pStyle w:val="null3"/>
              <w:jc w:val="right"/>
            </w:pPr>
            <w:r>
              <w:rPr/>
              <w:t>800.00</w:t>
            </w:r>
          </w:p>
        </w:tc>
        <w:tc>
          <w:tcPr>
            <w:tcW w:type="dxa" w:w="831"/>
          </w:tcPr>
          <w:p>
            <w:pPr>
              <w:pStyle w:val="null3"/>
              <w:jc w:val="right"/>
            </w:pPr>
            <w:r>
              <w:rPr/>
              <w:t>1,483,200.00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65.00</w:t>
            </w:r>
          </w:p>
        </w:tc>
        <w:tc>
          <w:tcPr>
            <w:tcW w:type="dxa" w:w="831"/>
          </w:tcPr>
          <w:p>
            <w:pPr>
              <w:pStyle w:val="null3"/>
              <w:jc w:val="right"/>
            </w:pPr>
            <w:r>
              <w:rPr/>
              <w:t>2,730.00</w:t>
            </w:r>
          </w:p>
        </w:tc>
        <w:tc>
          <w:tcPr>
            <w:tcW w:type="dxa" w:w="831"/>
          </w:tcPr>
          <w:p>
            <w:pPr>
              <w:pStyle w:val="null3"/>
              <w:jc w:val="right"/>
            </w:pPr>
            <w:r>
              <w:rPr/>
              <w:t>177,450.00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78.00</w:t>
            </w:r>
          </w:p>
        </w:tc>
        <w:tc>
          <w:tcPr>
            <w:tcW w:type="dxa" w:w="831"/>
          </w:tcPr>
          <w:p>
            <w:pPr>
              <w:pStyle w:val="null3"/>
              <w:jc w:val="right"/>
            </w:pPr>
            <w:r>
              <w:rPr/>
              <w:t>2,850.00</w:t>
            </w:r>
          </w:p>
        </w:tc>
        <w:tc>
          <w:tcPr>
            <w:tcW w:type="dxa" w:w="831"/>
          </w:tcPr>
          <w:p>
            <w:pPr>
              <w:pStyle w:val="null3"/>
              <w:jc w:val="right"/>
            </w:pPr>
            <w:r>
              <w:rPr/>
              <w:t>222,300.00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160.00</w:t>
            </w:r>
          </w:p>
        </w:tc>
        <w:tc>
          <w:tcPr>
            <w:tcW w:type="dxa" w:w="831"/>
          </w:tcPr>
          <w:p>
            <w:pPr>
              <w:pStyle w:val="null3"/>
              <w:jc w:val="right"/>
            </w:pPr>
            <w:r>
              <w:rPr/>
              <w:t>1,600.00</w:t>
            </w:r>
          </w:p>
        </w:tc>
        <w:tc>
          <w:tcPr>
            <w:tcW w:type="dxa" w:w="831"/>
          </w:tcPr>
          <w:p>
            <w:pPr>
              <w:pStyle w:val="null3"/>
              <w:jc w:val="right"/>
            </w:pPr>
            <w:r>
              <w:rPr/>
              <w:t>256,000.00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文件柜</w:t>
            </w:r>
          </w:p>
        </w:tc>
        <w:tc>
          <w:tcPr>
            <w:tcW w:type="dxa" w:w="831"/>
          </w:tcPr>
          <w:p>
            <w:pPr>
              <w:pStyle w:val="null3"/>
              <w:jc w:val="left"/>
            </w:pPr>
            <w:r>
              <w:rPr/>
              <w:t>矮柜</w:t>
            </w:r>
          </w:p>
        </w:tc>
        <w:tc>
          <w:tcPr>
            <w:tcW w:type="dxa" w:w="831"/>
          </w:tcPr>
          <w:p>
            <w:pPr>
              <w:pStyle w:val="null3"/>
              <w:jc w:val="left"/>
            </w:pPr>
            <w:r>
              <w:rPr/>
              <w:t>组</w:t>
            </w:r>
          </w:p>
        </w:tc>
        <w:tc>
          <w:tcPr>
            <w:tcW w:type="dxa" w:w="831"/>
          </w:tcPr>
          <w:p>
            <w:pPr>
              <w:pStyle w:val="null3"/>
              <w:jc w:val="right"/>
            </w:pPr>
            <w:r>
              <w:rPr/>
              <w:t>2.00</w:t>
            </w:r>
          </w:p>
        </w:tc>
        <w:tc>
          <w:tcPr>
            <w:tcW w:type="dxa" w:w="831"/>
          </w:tcPr>
          <w:p>
            <w:pPr>
              <w:pStyle w:val="null3"/>
              <w:jc w:val="right"/>
            </w:pPr>
            <w:r>
              <w:rPr/>
              <w:t>2,060.00</w:t>
            </w:r>
          </w:p>
        </w:tc>
        <w:tc>
          <w:tcPr>
            <w:tcW w:type="dxa" w:w="831"/>
          </w:tcPr>
          <w:p>
            <w:pPr>
              <w:pStyle w:val="null3"/>
              <w:jc w:val="right"/>
            </w:pPr>
            <w:r>
              <w:rPr/>
              <w:t>4,120.00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其他家具</w:t>
            </w:r>
          </w:p>
        </w:tc>
        <w:tc>
          <w:tcPr>
            <w:tcW w:type="dxa" w:w="831"/>
          </w:tcPr>
          <w:p>
            <w:pPr>
              <w:pStyle w:val="null3"/>
              <w:jc w:val="left"/>
            </w:pPr>
            <w:r>
              <w:rPr/>
              <w:t>演讲台</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其他家具</w:t>
            </w:r>
          </w:p>
        </w:tc>
        <w:tc>
          <w:tcPr>
            <w:tcW w:type="dxa" w:w="831"/>
          </w:tcPr>
          <w:p>
            <w:pPr>
              <w:pStyle w:val="null3"/>
              <w:jc w:val="left"/>
            </w:pPr>
            <w:r>
              <w:rPr/>
              <w:t>六人位连体座椅</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jc w:val="right"/>
            </w:pPr>
            <w:r>
              <w:rPr/>
              <w:t>3,970.00</w:t>
            </w:r>
          </w:p>
        </w:tc>
        <w:tc>
          <w:tcPr>
            <w:tcW w:type="dxa" w:w="831"/>
          </w:tcPr>
          <w:p>
            <w:pPr>
              <w:pStyle w:val="null3"/>
              <w:jc w:val="right"/>
            </w:pPr>
            <w:r>
              <w:rPr/>
              <w:t>47,640.00</w:t>
            </w:r>
          </w:p>
        </w:tc>
        <w:tc>
          <w:tcPr>
            <w:tcW w:type="dxa" w:w="831"/>
          </w:tcPr>
          <w:p>
            <w:pPr>
              <w:pStyle w:val="null3"/>
            </w:pPr>
            <w:r>
              <w:rPr/>
              <w:t>工业</w:t>
            </w:r>
          </w:p>
        </w:tc>
        <w:tc>
          <w:tcPr>
            <w:tcW w:type="dxa" w:w="831"/>
          </w:tcPr>
          <w:p>
            <w:pPr>
              <w:pStyle w:val="null3"/>
            </w:pPr>
            <w:r>
              <w:rPr/>
              <w:t>详见附表二十四</w:t>
            </w:r>
          </w:p>
        </w:tc>
      </w:tr>
    </w:tbl>
    <w:p>
      <w:pPr>
        <w:pStyle w:val="null3"/>
      </w:pPr>
      <w:r>
        <w:rPr>
          <w:b/>
        </w:rPr>
        <w:t>附表</w:t>
      </w:r>
      <w:r>
        <w:rPr>
          <w:b/>
        </w:rPr>
        <w:t>一</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开放式办公桌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屏风工作位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班椅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办公椅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方茶几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卷帘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会议椅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长条桌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金属屏风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演讲台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六人位连体座椅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文济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商务部分7.0分</w:t>
            </w:r>
          </w:p>
          <w:p>
            <w:pPr>
              <w:pStyle w:val="null3"/>
            </w:pPr>
            <w:r>
              <w:rPr/>
              <w:t>技术部分58.0分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(10.5分)</w:t>
            </w:r>
          </w:p>
        </w:tc>
        <w:tc>
          <w:tcPr>
            <w:tcW w:type="dxa" w:w="5076"/>
          </w:tcPr>
          <w:p>
            <w:pPr>
              <w:pStyle w:val="null3"/>
              <w:jc w:val="left"/>
            </w:pPr>
            <w:r>
              <w:rPr/>
              <w:t>根据投标人对本项目采购全部设备的“具体技术(参数)要求（除参考图片）”情况评审：1、投标人所投产品技术响应全部满足本项目采购需求中带“▲”号的重要技术要求（汇总对应为21个佐证检测报告），21个佐证检测报告全满足，得10.5分，每有一项带“▲”号参数负偏离扣0.5分，扣完为止。【注：如采购需求有要求提供具体证明材料的，需按采购需求要求提供；投标人或产品制造商提供的以上检验报告需满足以下条件：检验报告均须在有效期内，出具检测报告时间在投标截止日前，须为第三方检测机构机构颁发的，检验报告封面需有CMA或CNAS，，受检单位与投标人或产品制造商一致，不符合要求不得分。如采购需求书无明确要求提供的证明材料，则以投标人提供的《技术和服务要求响应表》响应情况为准，不按要求提供或提供不符的视为负偏离。凡是标有序号的条款均以一项单独的条款计算，无论是否隶属于上一级编号。检测报告所示家具原材料名称与招标文件要求的名称不一致但实际使用功能相同且技术参数满足要求的，按照具备该原材料检测报告计算得分，投标供应商需同时对该家具原材料及其功能属性做出说明。】</w:t>
            </w:r>
          </w:p>
        </w:tc>
      </w:tr>
      <w:tr>
        <w:tc>
          <w:tcPr>
            <w:tcW w:type="dxa" w:w="922"/>
            <w:gridSpan w:val="2"/>
            <w:vMerge/>
          </w:tcPr>
          <w:p/>
        </w:tc>
        <w:tc>
          <w:tcPr>
            <w:tcW w:type="dxa" w:w="2307"/>
          </w:tcPr>
          <w:p>
            <w:pPr>
              <w:pStyle w:val="null3"/>
              <w:jc w:val="left"/>
            </w:pPr>
            <w:r>
              <w:rPr/>
              <w:t>非▲号响应情况 (24.0分)</w:t>
            </w:r>
          </w:p>
        </w:tc>
        <w:tc>
          <w:tcPr>
            <w:tcW w:type="dxa" w:w="5076"/>
          </w:tcPr>
          <w:p>
            <w:pPr>
              <w:pStyle w:val="null3"/>
              <w:jc w:val="left"/>
            </w:pPr>
            <w:r>
              <w:rPr/>
              <w:t>需求附表中24种家具材质说明，全部响应的得24分，每有一种不满足的扣1分，扣完为止。【以投标人提供的《技术和服务要求响应表》的响应情况为准，不按要求提供或提供不符的视为不满足。每一种家具材质说明需全部响应，视为满足要求。】</w:t>
            </w:r>
          </w:p>
        </w:tc>
      </w:tr>
      <w:tr>
        <w:tc>
          <w:tcPr>
            <w:tcW w:type="dxa" w:w="922"/>
            <w:gridSpan w:val="2"/>
            <w:vMerge/>
          </w:tcPr>
          <w:p/>
        </w:tc>
        <w:tc>
          <w:tcPr>
            <w:tcW w:type="dxa" w:w="2307"/>
          </w:tcPr>
          <w:p>
            <w:pPr>
              <w:pStyle w:val="null3"/>
              <w:jc w:val="left"/>
            </w:pPr>
            <w:r>
              <w:rPr/>
              <w:t>实施方案响应情况1 (3.5分)</w:t>
            </w:r>
          </w:p>
        </w:tc>
        <w:tc>
          <w:tcPr>
            <w:tcW w:type="dxa" w:w="5076"/>
          </w:tcPr>
          <w:p>
            <w:pPr>
              <w:pStyle w:val="null3"/>
              <w:jc w:val="left"/>
            </w:pPr>
            <w:r>
              <w:rPr/>
              <w:t>对投标人提供的实施方案（包括项目的人员安排、进度计划，成功实施项目的能力），得3.5分；无完整提供此项及实施方案响应情况不得分。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对优先采购产品类别的评审优惠 (5.0分)</w:t>
            </w:r>
          </w:p>
        </w:tc>
        <w:tc>
          <w:tcPr>
            <w:tcW w:type="dxa" w:w="5076"/>
          </w:tcPr>
          <w:p>
            <w:pPr>
              <w:pStyle w:val="null3"/>
              <w:jc w:val="left"/>
            </w:pPr>
            <w:r>
              <w:rPr/>
              <w:t>每提供一份环境标志产品认证证书，得1分，最高得5分。</w:t>
            </w:r>
          </w:p>
        </w:tc>
      </w:tr>
      <w:tr>
        <w:tc>
          <w:tcPr>
            <w:tcW w:type="dxa" w:w="922"/>
            <w:gridSpan w:val="2"/>
            <w:vMerge/>
          </w:tcPr>
          <w:p/>
        </w:tc>
        <w:tc>
          <w:tcPr>
            <w:tcW w:type="dxa" w:w="2307"/>
          </w:tcPr>
          <w:p>
            <w:pPr>
              <w:pStyle w:val="null3"/>
              <w:jc w:val="left"/>
            </w:pPr>
            <w:r>
              <w:rPr/>
              <w:t>样品部分 (12.0分)</w:t>
            </w:r>
          </w:p>
        </w:tc>
        <w:tc>
          <w:tcPr>
            <w:tcW w:type="dxa" w:w="5076"/>
          </w:tcPr>
          <w:p>
            <w:pPr>
              <w:pStyle w:val="null3"/>
              <w:jc w:val="left"/>
            </w:pPr>
            <w:r>
              <w:rPr/>
              <w:t>提供样品： 1.金属屏风小样 ：优于或满足采购技术要求的得3分，不完全满足采购技术要求的得1.5分（具有1个或以上的缺陷），不提供样品的不得分； 2.班台桌面板基材小样：优于或满足采购技术要求的，得3分；不完全满足采购技术要求的得1.5分（具有1个或以上的缺陷）；不提供样品的不得分。 3.班椅：优于或满足采购技术要求的，得3分；不完全满足采购技术要求的得1.5分（具有1个或以上的缺陷）；不提供样品的不得分。 4.办公椅：优于或满足采购技术要求的，得3分；不完全满足采购技术要求的得1.5分（具有1个或以上的缺陷）；不提供样品的不得分。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售后服务方案1 (1.0分)</w:t>
            </w:r>
          </w:p>
        </w:tc>
        <w:tc>
          <w:tcPr>
            <w:tcW w:type="dxa" w:w="5076"/>
          </w:tcPr>
          <w:p>
            <w:pPr>
              <w:pStyle w:val="null3"/>
              <w:jc w:val="left"/>
            </w:pPr>
            <w:r>
              <w:rPr/>
              <w:t>对投标人的售后服务能力进行综合评分：对投标人售后服务方案（包括投标人针对本项目服务的措施、售后服务的内容、服务响应时间、维修时间、问题的解决方案），得1分；无完整提供，此项及售后服务方案2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投标人的管理能力和服务能力 (3.0分)</w:t>
            </w:r>
          </w:p>
        </w:tc>
        <w:tc>
          <w:tcPr>
            <w:tcW w:type="dxa" w:w="5076"/>
          </w:tcPr>
          <w:p>
            <w:pPr>
              <w:pStyle w:val="null3"/>
              <w:jc w:val="left"/>
            </w:pPr>
            <w:r>
              <w:rPr/>
              <w:t>投标人具有管理能力和服务能力，获得以下证书： ①质量管理体系认证证书，得1分； ②职业健康安全管理体系认证证书，得1分； ③环境管理体系认证证书，得1分【注：上述须提供有效期内的相关证书扫描件或在“全国认证认可信息公共服务平台（http://cx.cnca.cn）”查询结果显示为“有效”的截图，未提供或其他情形或不得分。】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广州大学货物采购合同</w:t>
      </w:r>
    </w:p>
    <w:p>
      <w:pPr>
        <w:pStyle w:val="null3"/>
        <w:ind w:firstLine="420"/>
        <w:jc w:val="center"/>
      </w:pPr>
      <w:r>
        <w:rPr>
          <w:b/>
        </w:rPr>
        <w:t>本合同为中小企业预留合同</w:t>
      </w:r>
    </w:p>
    <w:p>
      <w:pPr>
        <w:pStyle w:val="null3"/>
        <w:ind w:firstLine="420"/>
        <w:jc w:val="both"/>
      </w:pPr>
      <w:r>
        <w:rPr>
          <w:b/>
        </w:rPr>
        <w:t>注：本合同仅为合同的参考文本，合同签订双方可根据项目的具体要求进行修订。</w:t>
      </w:r>
    </w:p>
    <w:p>
      <w:pPr>
        <w:pStyle w:val="null3"/>
        <w:jc w:val="center"/>
      </w:pPr>
      <w:r>
        <w:rPr>
          <w:sz w:val="52"/>
        </w:rPr>
        <w:t>合同样板</w:t>
      </w:r>
    </w:p>
    <w:p>
      <w:pPr>
        <w:pStyle w:val="null3"/>
        <w:jc w:val="center"/>
      </w:pPr>
      <w:r>
        <w:rPr>
          <w:sz w:val="24"/>
        </w:rPr>
        <w:t>合同编号：</w:t>
      </w:r>
      <w:r>
        <w:rPr>
          <w:sz w:val="24"/>
        </w:rPr>
        <w:t>GDS-</w:t>
      </w:r>
    </w:p>
    <w:p>
      <w:pPr>
        <w:pStyle w:val="null3"/>
        <w:jc w:val="center"/>
      </w:pPr>
      <w:r>
        <w:rPr>
          <w:sz w:val="24"/>
        </w:rPr>
        <w:t>签订地点：</w:t>
      </w:r>
    </w:p>
    <w:p>
      <w:pPr>
        <w:pStyle w:val="null3"/>
        <w:jc w:val="both"/>
      </w:pPr>
      <w:r>
        <w:rPr>
          <w:sz w:val="24"/>
        </w:rPr>
        <w:t>甲方（买方）：</w:t>
      </w:r>
      <w:r>
        <w:rPr>
          <w:sz w:val="24"/>
          <w:b/>
        </w:rPr>
        <w:t>广州大学</w:t>
      </w:r>
    </w:p>
    <w:p>
      <w:pPr>
        <w:pStyle w:val="null3"/>
        <w:jc w:val="both"/>
      </w:pPr>
      <w:r>
        <w:rPr>
          <w:sz w:val="24"/>
          <w:b/>
        </w:rPr>
        <w:t>乙方（卖方）：</w:t>
      </w:r>
    </w:p>
    <w:p>
      <w:pPr>
        <w:pStyle w:val="null3"/>
        <w:ind w:firstLine="480"/>
        <w:jc w:val="both"/>
      </w:pPr>
      <w:r>
        <w:rPr>
          <w:sz w:val="24"/>
          <w:b/>
        </w:rPr>
        <w:t>第一条目的与依据</w:t>
      </w:r>
    </w:p>
    <w:p>
      <w:pPr>
        <w:pStyle w:val="null3"/>
        <w:ind w:firstLine="480"/>
        <w:jc w:val="both"/>
      </w:pPr>
      <w:r>
        <w:rPr>
          <w:sz w:val="24"/>
        </w:rPr>
        <w:t>为了明确双方的权利义务</w:t>
      </w:r>
      <w:r>
        <w:rPr>
          <w:sz w:val="24"/>
        </w:rPr>
        <w:t>,</w:t>
      </w:r>
      <w:r>
        <w:rPr>
          <w:sz w:val="24"/>
        </w:rPr>
        <w:t>根据中华人民共和国《民法典》、《政府采购法》、和其他相关的法律法规，甲乙双方在平等自愿、协商一致的基础上，结合本采购项目之招标投标文件，签订本合同。</w:t>
      </w:r>
    </w:p>
    <w:p>
      <w:pPr>
        <w:pStyle w:val="null3"/>
        <w:ind w:firstLine="472"/>
        <w:jc w:val="both"/>
      </w:pPr>
      <w:r>
        <w:rPr>
          <w:sz w:val="24"/>
          <w:b/>
        </w:rPr>
        <w:t>第二条　乙方声明条款</w:t>
      </w:r>
    </w:p>
    <w:p>
      <w:pPr>
        <w:pStyle w:val="null3"/>
        <w:ind w:firstLine="480"/>
        <w:jc w:val="both"/>
      </w:pPr>
      <w:r>
        <w:rPr>
          <w:sz w:val="24"/>
        </w:rPr>
        <w:t>1</w:t>
      </w:r>
      <w:r>
        <w:rPr>
          <w:sz w:val="24"/>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rPr>
        <w:t>2</w:t>
      </w:r>
      <w:r>
        <w:rPr>
          <w:sz w:val="24"/>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rPr>
        <w:t>3</w:t>
      </w:r>
      <w:r>
        <w:rPr>
          <w:sz w:val="24"/>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r>
        <w:rPr>
          <w:sz w:val="24"/>
        </w:rPr>
        <w:t>4</w:t>
      </w:r>
      <w:r>
        <w:rPr>
          <w:sz w:val="24"/>
        </w:rPr>
        <w:t>、乙方须遵守《中华人民共和国劳动合同法》有关规定和《中华人民共和国妇女权益保障法》中关于</w:t>
      </w:r>
      <w:r>
        <w:rPr>
          <w:sz w:val="24"/>
        </w:rPr>
        <w:t>“劳动和社会保障权益”的有关要求。</w:t>
      </w:r>
    </w:p>
    <w:p>
      <w:pPr>
        <w:pStyle w:val="null3"/>
        <w:ind w:firstLine="482"/>
        <w:jc w:val="both"/>
      </w:pPr>
      <w:r>
        <w:rPr>
          <w:sz w:val="24"/>
          <w:b/>
        </w:rPr>
        <w:t>第三条　采购项目招投标情况</w:t>
      </w:r>
    </w:p>
    <w:p>
      <w:pPr>
        <w:pStyle w:val="null3"/>
        <w:ind w:firstLine="720"/>
        <w:jc w:val="both"/>
      </w:pPr>
      <w:r>
        <w:rPr>
          <w:sz w:val="24"/>
        </w:rPr>
        <w:t>1</w:t>
      </w:r>
      <w:r>
        <w:rPr>
          <w:sz w:val="24"/>
        </w:rPr>
        <w:t>、项目名称：</w:t>
      </w:r>
    </w:p>
    <w:p>
      <w:pPr>
        <w:pStyle w:val="null3"/>
        <w:ind w:firstLine="720"/>
        <w:jc w:val="both"/>
      </w:pPr>
      <w:r>
        <w:rPr>
          <w:sz w:val="24"/>
        </w:rPr>
        <w:t>2</w:t>
      </w:r>
      <w:r>
        <w:rPr>
          <w:sz w:val="24"/>
        </w:rPr>
        <w:t>、项目及《招标文件》编号：</w:t>
      </w:r>
    </w:p>
    <w:p>
      <w:pPr>
        <w:pStyle w:val="null3"/>
        <w:ind w:firstLine="720"/>
        <w:jc w:val="both"/>
      </w:pPr>
      <w:r>
        <w:rPr>
          <w:sz w:val="24"/>
        </w:rPr>
        <w:t>3</w:t>
      </w:r>
      <w:r>
        <w:rPr>
          <w:sz w:val="24"/>
        </w:rPr>
        <w:t>、采购代理机构名称：</w:t>
      </w:r>
    </w:p>
    <w:p>
      <w:pPr>
        <w:pStyle w:val="null3"/>
        <w:ind w:firstLine="482"/>
        <w:jc w:val="both"/>
      </w:pPr>
      <w:r>
        <w:rPr>
          <w:sz w:val="24"/>
          <w:b/>
        </w:rPr>
        <w:t>第四条　合同标的（货物）与合同价格构成</w:t>
      </w:r>
    </w:p>
    <w:p>
      <w:pPr>
        <w:pStyle w:val="null3"/>
        <w:ind w:firstLine="480"/>
        <w:jc w:val="both"/>
      </w:pPr>
      <w:r>
        <w:rPr>
          <w:sz w:val="24"/>
        </w:rPr>
        <w:t>1</w:t>
      </w:r>
      <w:r>
        <w:rPr>
          <w:sz w:val="24"/>
        </w:rPr>
        <w:t>、货物基本情况（列表不能全面载明的，另见附件：《</w:t>
      </w:r>
      <w:r>
        <w:rPr>
          <w:sz w:val="24"/>
        </w:rPr>
        <w:t xml:space="preserve">GDS-  </w:t>
      </w:r>
      <w:r>
        <w:rPr>
          <w:sz w:val="24"/>
        </w:rPr>
        <w:t>合同</w:t>
      </w:r>
      <w:r>
        <w:rPr>
          <w:sz w:val="24"/>
          <w:b/>
        </w:rPr>
        <w:t>货物配置清单及技术指标</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69"/>
        <w:gridCol w:w="1135"/>
        <w:gridCol w:w="484"/>
        <w:gridCol w:w="878"/>
        <w:gridCol w:w="1150"/>
        <w:gridCol w:w="1014"/>
        <w:gridCol w:w="620"/>
        <w:gridCol w:w="560"/>
        <w:gridCol w:w="862"/>
        <w:gridCol w:w="1135"/>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货物名称</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型号规格</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厂商名称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计量</w:t>
            </w:r>
          </w:p>
          <w:p>
            <w:pPr>
              <w:pStyle w:val="null3"/>
              <w:jc w:val="both"/>
            </w:pPr>
            <w:r>
              <w:rPr>
                <w:sz w:val="24"/>
              </w:rPr>
              <w:t>单位</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w:t>
            </w:r>
            <w:r>
              <w:rPr>
                <w:sz w:val="24"/>
              </w:rPr>
              <w:t>元</w:t>
            </w:r>
            <w:r>
              <w:rPr>
                <w:sz w:val="24"/>
              </w:rPr>
              <w:t>)</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小计价</w:t>
            </w:r>
            <w:r>
              <w:rPr>
                <w:sz w:val="24"/>
              </w:rPr>
              <w:t>(</w:t>
            </w:r>
            <w:r>
              <w:rPr>
                <w:sz w:val="24"/>
              </w:rPr>
              <w:t>元</w:t>
            </w:r>
            <w:r>
              <w:rPr>
                <w:sz w:val="24"/>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合同总价（大写）</w:t>
            </w:r>
            <w:r>
              <w:rPr>
                <w:sz w:val="24"/>
                <w:b/>
              </w:rPr>
              <w:t xml:space="preserve">: </w:t>
            </w:r>
            <w:r>
              <w:rPr>
                <w:sz w:val="24"/>
                <w:b/>
              </w:rPr>
              <w:t>人民币元整（￥元）</w:t>
            </w:r>
          </w:p>
        </w:tc>
      </w:tr>
    </w:tbl>
    <w:p>
      <w:pPr>
        <w:pStyle w:val="null3"/>
        <w:ind w:firstLine="480"/>
        <w:jc w:val="both"/>
      </w:pPr>
      <w:r>
        <w:rPr>
          <w:sz w:val="24"/>
        </w:rPr>
        <w:t>2</w:t>
      </w:r>
      <w:r>
        <w:rPr>
          <w:sz w:val="24"/>
        </w:rPr>
        <w:t>、本合同所称“货物”，除上述第</w:t>
      </w:r>
      <w:r>
        <w:rPr>
          <w:sz w:val="24"/>
        </w:rPr>
        <w:t>1</w:t>
      </w:r>
      <w:r>
        <w:rPr>
          <w:sz w:val="24"/>
        </w:rPr>
        <w:t>款所列货物（含附件配置）之外，还包括下述各项：</w:t>
      </w:r>
    </w:p>
    <w:p>
      <w:pPr>
        <w:pStyle w:val="null3"/>
        <w:ind w:firstLine="480"/>
        <w:jc w:val="both"/>
      </w:pPr>
      <w:r>
        <w:rPr>
          <w:sz w:val="24"/>
        </w:rPr>
        <w:t>（</w:t>
      </w:r>
      <w:r>
        <w:rPr>
          <w:sz w:val="24"/>
        </w:rPr>
        <w:t>1</w:t>
      </w:r>
      <w:r>
        <w:rPr>
          <w:sz w:val="24"/>
        </w:rPr>
        <w:t>）与之相一致的用户手册、说明书、维护手册、电路图等技术资料或有形物品；</w:t>
      </w:r>
    </w:p>
    <w:p>
      <w:pPr>
        <w:pStyle w:val="null3"/>
        <w:ind w:firstLine="480"/>
        <w:jc w:val="both"/>
      </w:pPr>
      <w:r>
        <w:rPr>
          <w:sz w:val="24"/>
        </w:rPr>
        <w:t>（</w:t>
      </w:r>
      <w:r>
        <w:rPr>
          <w:sz w:val="24"/>
        </w:rPr>
        <w:t>2</w:t>
      </w:r>
      <w:r>
        <w:rPr>
          <w:sz w:val="24"/>
        </w:rPr>
        <w:t>）支持该设备正常运行的配套性知识产权物品</w:t>
      </w:r>
      <w:r>
        <w:rPr>
          <w:sz w:val="24"/>
        </w:rPr>
        <w:t>(</w:t>
      </w:r>
      <w:r>
        <w:rPr>
          <w:sz w:val="24"/>
        </w:rPr>
        <w:t>如软件或程序支持信息</w:t>
      </w:r>
      <w:r>
        <w:rPr>
          <w:sz w:val="24"/>
        </w:rPr>
        <w:t>)</w:t>
      </w:r>
      <w:r>
        <w:rPr>
          <w:sz w:val="24"/>
        </w:rPr>
        <w:t>；</w:t>
      </w:r>
    </w:p>
    <w:p>
      <w:pPr>
        <w:pStyle w:val="null3"/>
        <w:ind w:firstLine="480"/>
        <w:jc w:val="both"/>
      </w:pPr>
      <w:r>
        <w:rPr>
          <w:sz w:val="24"/>
        </w:rPr>
        <w:t>（</w:t>
      </w:r>
      <w:r>
        <w:rPr>
          <w:sz w:val="24"/>
        </w:rPr>
        <w:t>3</w:t>
      </w:r>
      <w:r>
        <w:rPr>
          <w:sz w:val="24"/>
        </w:rPr>
        <w:t>）乙方应提供的服务（包括但不限于安装、调试、商检、技术咨询与培训、维修保养及其他有关售后服务等事项）；</w:t>
      </w:r>
    </w:p>
    <w:p>
      <w:pPr>
        <w:pStyle w:val="null3"/>
        <w:ind w:firstLine="480"/>
        <w:jc w:val="both"/>
      </w:pPr>
      <w:r>
        <w:rPr>
          <w:sz w:val="24"/>
        </w:rPr>
        <w:t>（</w:t>
      </w:r>
      <w:r>
        <w:rPr>
          <w:sz w:val="24"/>
        </w:rPr>
        <w:t>4</w:t>
      </w:r>
      <w:r>
        <w:rPr>
          <w:sz w:val="24"/>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rPr>
        <w:t>3</w:t>
      </w:r>
      <w:r>
        <w:rPr>
          <w:sz w:val="24"/>
        </w:rPr>
        <w:t>、“合同总价”，是指并包括：</w:t>
      </w:r>
    </w:p>
    <w:p>
      <w:pPr>
        <w:pStyle w:val="null3"/>
        <w:ind w:firstLine="480"/>
        <w:jc w:val="both"/>
      </w:pPr>
      <w:r>
        <w:rPr>
          <w:sz w:val="24"/>
        </w:rPr>
        <w:t>（</w:t>
      </w:r>
      <w:r>
        <w:rPr>
          <w:sz w:val="24"/>
        </w:rPr>
        <w:t>1</w:t>
      </w:r>
      <w:r>
        <w:rPr>
          <w:sz w:val="24"/>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rPr>
        <w:t>)</w:t>
      </w:r>
      <w:r>
        <w:rPr>
          <w:sz w:val="24"/>
        </w:rPr>
        <w:t>；</w:t>
      </w:r>
    </w:p>
    <w:p>
      <w:pPr>
        <w:pStyle w:val="null3"/>
        <w:ind w:firstLine="480"/>
        <w:jc w:val="both"/>
      </w:pPr>
      <w:r>
        <w:rPr>
          <w:sz w:val="24"/>
        </w:rPr>
        <w:t>（</w:t>
      </w:r>
      <w:r>
        <w:rPr>
          <w:sz w:val="24"/>
        </w:rPr>
        <w:t>2</w:t>
      </w:r>
      <w:r>
        <w:rPr>
          <w:sz w:val="24"/>
        </w:rPr>
        <w:t>）对于进口货物，则还包括由海关征收或代征的增值税与关税等一切税种或税项下的税款、海关报关清关各环节上发生的一切手续或代理费用；</w:t>
      </w:r>
    </w:p>
    <w:p>
      <w:pPr>
        <w:pStyle w:val="null3"/>
        <w:ind w:firstLine="480"/>
        <w:jc w:val="both"/>
      </w:pPr>
      <w:r>
        <w:rPr>
          <w:sz w:val="24"/>
        </w:rPr>
        <w:t>（</w:t>
      </w:r>
      <w:r>
        <w:rPr>
          <w:sz w:val="24"/>
        </w:rPr>
        <w:t>3</w:t>
      </w:r>
      <w:r>
        <w:rPr>
          <w:sz w:val="24"/>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rPr>
        <w:t>第五条　质量要求和技术标准</w:t>
      </w:r>
    </w:p>
    <w:p>
      <w:pPr>
        <w:pStyle w:val="null3"/>
        <w:ind w:firstLine="480"/>
        <w:jc w:val="both"/>
      </w:pPr>
      <w:r>
        <w:rPr>
          <w:sz w:val="24"/>
        </w:rPr>
        <w:t>1</w:t>
      </w:r>
      <w:r>
        <w:rPr>
          <w:sz w:val="24"/>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rPr>
        <w:t>2</w:t>
      </w:r>
      <w:r>
        <w:rPr>
          <w:sz w:val="24"/>
        </w:rPr>
        <w:t>、在既无约定的标准，亦无国家标准时，则按行业标准执行；无行业标准的，按商业惯例。</w:t>
      </w:r>
    </w:p>
    <w:p>
      <w:pPr>
        <w:pStyle w:val="null3"/>
        <w:ind w:firstLine="480"/>
        <w:jc w:val="both"/>
      </w:pPr>
      <w:r>
        <w:rPr>
          <w:sz w:val="24"/>
        </w:rPr>
        <w:t>3</w:t>
      </w:r>
      <w:r>
        <w:rPr>
          <w:sz w:val="24"/>
        </w:rPr>
        <w:t>、前两款中的“约定的标准”，是指：</w:t>
      </w:r>
    </w:p>
    <w:p>
      <w:pPr>
        <w:pStyle w:val="null3"/>
        <w:ind w:firstLine="480"/>
        <w:jc w:val="both"/>
      </w:pPr>
      <w:r>
        <w:rPr>
          <w:sz w:val="24"/>
        </w:rPr>
        <w:t>（</w:t>
      </w:r>
      <w:r>
        <w:rPr>
          <w:sz w:val="24"/>
        </w:rPr>
        <w:t>1</w:t>
      </w:r>
      <w:r>
        <w:rPr>
          <w:sz w:val="24"/>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jc w:val="both"/>
      </w:pPr>
      <w:r>
        <w:rPr>
          <w:sz w:val="24"/>
        </w:rPr>
        <w:t>（</w:t>
      </w:r>
      <w:r>
        <w:rPr>
          <w:sz w:val="24"/>
        </w:rPr>
        <w:t>2</w:t>
      </w:r>
      <w:r>
        <w:rPr>
          <w:sz w:val="24"/>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rPr>
        <w:t>4</w:t>
      </w:r>
      <w:r>
        <w:rPr>
          <w:sz w:val="24"/>
        </w:rPr>
        <w:t>、乙方提供的货物必须是全新的、表面和内部均无瑕疵的原厂正品。</w:t>
      </w:r>
    </w:p>
    <w:p>
      <w:pPr>
        <w:pStyle w:val="null3"/>
        <w:ind w:firstLine="480"/>
        <w:jc w:val="both"/>
      </w:pPr>
      <w:r>
        <w:rPr>
          <w:sz w:val="24"/>
        </w:rPr>
        <w:t>5</w:t>
      </w:r>
      <w:r>
        <w:rPr>
          <w:sz w:val="24"/>
        </w:rPr>
        <w:t>、包装和运输：</w:t>
      </w:r>
    </w:p>
    <w:p>
      <w:pPr>
        <w:pStyle w:val="null3"/>
        <w:ind w:firstLine="480"/>
        <w:jc w:val="both"/>
      </w:pPr>
      <w:r>
        <w:rPr>
          <w:sz w:val="24"/>
        </w:rPr>
        <w:t>（</w:t>
      </w:r>
      <w:r>
        <w:rPr>
          <w:sz w:val="24"/>
        </w:rPr>
        <w:t>1</w:t>
      </w:r>
      <w:r>
        <w:rPr>
          <w:sz w:val="24"/>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rPr>
        <w:t>（</w:t>
      </w:r>
      <w:r>
        <w:rPr>
          <w:sz w:val="24"/>
        </w:rPr>
        <w:t>2</w:t>
      </w:r>
      <w:r>
        <w:rPr>
          <w:sz w:val="24"/>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rPr>
        <w:t>第六条货物所有权和风险转移</w:t>
      </w:r>
    </w:p>
    <w:p>
      <w:pPr>
        <w:pStyle w:val="null3"/>
        <w:ind w:firstLine="480"/>
        <w:jc w:val="both"/>
      </w:pPr>
      <w:r>
        <w:rPr>
          <w:sz w:val="24"/>
        </w:rPr>
        <w:t>1</w:t>
      </w:r>
      <w:r>
        <w:rPr>
          <w:sz w:val="24"/>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jc w:val="both"/>
      </w:pPr>
      <w:r>
        <w:rPr>
          <w:sz w:val="24"/>
        </w:rPr>
        <w:t>2</w:t>
      </w:r>
      <w:r>
        <w:rPr>
          <w:sz w:val="24"/>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rPr>
        <w:t>3</w:t>
      </w:r>
      <w:r>
        <w:rPr>
          <w:sz w:val="24"/>
        </w:rPr>
        <w:t>、货物未经验收或者未经乙方同意，如甲方擅自使用，则该被擅自使用的货物视为已业经甲方验收。被擅自使用的货物之所有权和风险，分别按本条第</w:t>
      </w:r>
      <w:r>
        <w:rPr>
          <w:sz w:val="24"/>
        </w:rPr>
        <w:t>1</w:t>
      </w:r>
      <w:r>
        <w:rPr>
          <w:sz w:val="24"/>
        </w:rPr>
        <w:t>款和第</w:t>
      </w:r>
      <w:r>
        <w:rPr>
          <w:sz w:val="24"/>
        </w:rPr>
        <w:t>2</w:t>
      </w:r>
      <w:r>
        <w:rPr>
          <w:sz w:val="24"/>
        </w:rPr>
        <w:t>款处理。若甲方急需使用部分货物，可由双方协商解决并以书面补充协议为之。</w:t>
      </w:r>
    </w:p>
    <w:p>
      <w:pPr>
        <w:pStyle w:val="null3"/>
        <w:ind w:firstLine="480"/>
        <w:jc w:val="both"/>
      </w:pPr>
      <w:r>
        <w:rPr>
          <w:sz w:val="24"/>
        </w:rPr>
        <w:t>4</w:t>
      </w:r>
      <w:r>
        <w:rPr>
          <w:sz w:val="24"/>
        </w:rPr>
        <w:t>、在“验收”手续办理完毕之前，即使货物已送至甲方指定地点或安装场所，货物所有权与风险均不转移至甲方，甲方亦不负货物保管责任。</w:t>
      </w:r>
    </w:p>
    <w:p>
      <w:pPr>
        <w:pStyle w:val="null3"/>
        <w:ind w:firstLine="480"/>
        <w:jc w:val="both"/>
      </w:pPr>
      <w:r>
        <w:rPr>
          <w:sz w:val="24"/>
        </w:rPr>
        <w:t>5</w:t>
      </w:r>
      <w:r>
        <w:rPr>
          <w:sz w:val="24"/>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rPr>
        <w:t>第七条交货时间、地点和方式</w:t>
      </w:r>
    </w:p>
    <w:p>
      <w:pPr>
        <w:pStyle w:val="null3"/>
        <w:ind w:firstLine="480"/>
        <w:jc w:val="both"/>
      </w:pPr>
      <w:r>
        <w:rPr>
          <w:sz w:val="24"/>
        </w:rPr>
        <w:t>1</w:t>
      </w:r>
      <w:r>
        <w:rPr>
          <w:sz w:val="24"/>
        </w:rPr>
        <w:t>、交货时间与地点：应在本合同签订之日起</w:t>
      </w:r>
      <w:r>
        <w:rPr>
          <w:sz w:val="24"/>
          <w:b/>
        </w:rPr>
        <w:t>的个日历天内</w:t>
      </w:r>
      <w:r>
        <w:rPr>
          <w:sz w:val="24"/>
        </w:rPr>
        <w:t>，将标的物运送至甲方指定的地点（需安装的，为指定的安装场所）。</w:t>
      </w:r>
      <w:r>
        <w:rPr>
          <w:sz w:val="24"/>
          <w:b/>
        </w:rPr>
        <w:t>具体地点为。</w:t>
      </w:r>
    </w:p>
    <w:p>
      <w:pPr>
        <w:pStyle w:val="null3"/>
        <w:ind w:firstLine="480"/>
        <w:jc w:val="both"/>
      </w:pPr>
      <w:r>
        <w:rPr>
          <w:sz w:val="24"/>
        </w:rPr>
        <w:t>2</w:t>
      </w:r>
      <w:r>
        <w:rPr>
          <w:sz w:val="24"/>
        </w:rPr>
        <w:t>、交货时应将与货物配套的用户手册、说明书、厂合格证明、电路图、软件或程序系统等技术资料一并交付给甲方。</w:t>
      </w:r>
    </w:p>
    <w:p>
      <w:pPr>
        <w:pStyle w:val="null3"/>
        <w:ind w:firstLine="480"/>
        <w:jc w:val="both"/>
      </w:pPr>
      <w:r>
        <w:rPr>
          <w:sz w:val="24"/>
        </w:rPr>
        <w:t>3</w:t>
      </w:r>
      <w:r>
        <w:rPr>
          <w:sz w:val="24"/>
        </w:rPr>
        <w:t>、上述第</w:t>
      </w:r>
      <w:r>
        <w:rPr>
          <w:sz w:val="24"/>
        </w:rPr>
        <w:t>1</w:t>
      </w:r>
      <w:r>
        <w:rPr>
          <w:sz w:val="24"/>
        </w:rPr>
        <w:t>款、第</w:t>
      </w:r>
      <w:r>
        <w:rPr>
          <w:sz w:val="24"/>
        </w:rPr>
        <w:t>2</w:t>
      </w:r>
      <w:r>
        <w:rPr>
          <w:sz w:val="24"/>
        </w:rPr>
        <w:t>款所列之配件、附属工具、技术资料和证明文件等，为本合同所称“货物”之不可分割的组成部分；如迟延交付或未交付，则视为逾期交货或未交货，应依约承担违约或赔偿责任。</w:t>
      </w:r>
    </w:p>
    <w:p>
      <w:pPr>
        <w:pStyle w:val="null3"/>
        <w:ind w:firstLine="480"/>
        <w:jc w:val="both"/>
      </w:pPr>
      <w:r>
        <w:rPr>
          <w:sz w:val="24"/>
        </w:rPr>
        <w:t>4</w:t>
      </w:r>
      <w:r>
        <w:rPr>
          <w:sz w:val="24"/>
        </w:rPr>
        <w:t>、交货方式：由乙方免费送货上门；需要安装的，应安装到位；需调试的，应调试完毕。需要技术培训的，应当在货物实际交付之日起</w:t>
      </w:r>
      <w:r>
        <w:rPr>
          <w:sz w:val="24"/>
          <w:u w:val="single"/>
        </w:rPr>
        <w:t>5</w:t>
      </w:r>
      <w:r>
        <w:rPr>
          <w:sz w:val="24"/>
        </w:rPr>
        <w:t>天内完成技术培训。</w:t>
      </w:r>
    </w:p>
    <w:p>
      <w:pPr>
        <w:pStyle w:val="null3"/>
        <w:ind w:firstLine="480"/>
        <w:jc w:val="both"/>
      </w:pPr>
      <w:r>
        <w:rPr>
          <w:sz w:val="24"/>
        </w:rPr>
        <w:t>5</w:t>
      </w:r>
      <w:r>
        <w:rPr>
          <w:sz w:val="24"/>
        </w:rPr>
        <w:t>、</w:t>
      </w:r>
      <w:r>
        <w:rPr>
          <w:sz w:val="24"/>
          <w:b/>
        </w:rPr>
        <w:t>安装要求如下：</w:t>
      </w:r>
    </w:p>
    <w:p>
      <w:pPr>
        <w:pStyle w:val="null3"/>
        <w:ind w:firstLine="420"/>
        <w:jc w:val="both"/>
      </w:pPr>
      <w:r>
        <w:rPr>
          <w:sz w:val="24"/>
        </w:rPr>
        <w:t>(1)</w:t>
      </w:r>
      <w:r>
        <w:rPr>
          <w:sz w:val="24"/>
        </w:rPr>
        <w:t>乙方应将货物安装于甲方</w:t>
      </w:r>
      <w:r>
        <w:rPr>
          <w:sz w:val="24"/>
          <w:b/>
        </w:rPr>
        <w:t>指定的地点</w:t>
      </w:r>
      <w:r>
        <w:rPr>
          <w:sz w:val="24"/>
        </w:rPr>
        <w:t>或场所</w:t>
      </w:r>
      <w:r>
        <w:rPr>
          <w:sz w:val="24"/>
          <w:b/>
        </w:rPr>
        <w:t>：。</w:t>
      </w:r>
    </w:p>
    <w:p>
      <w:pPr>
        <w:pStyle w:val="null3"/>
        <w:ind w:firstLine="420"/>
        <w:jc w:val="both"/>
      </w:pPr>
      <w:r>
        <w:rPr>
          <w:sz w:val="24"/>
        </w:rPr>
        <w:t>(2)</w:t>
      </w:r>
      <w:r>
        <w:rPr>
          <w:sz w:val="24"/>
        </w:rPr>
        <w:t>乙方应按图施工，并且不得对甲方的既存权利造成损害；</w:t>
      </w:r>
    </w:p>
    <w:p>
      <w:pPr>
        <w:pStyle w:val="null3"/>
        <w:ind w:firstLine="480"/>
        <w:jc w:val="both"/>
      </w:pPr>
      <w:r>
        <w:rPr>
          <w:sz w:val="24"/>
        </w:rPr>
        <w:t>(3)</w:t>
      </w:r>
      <w:r>
        <w:rPr>
          <w:sz w:val="24"/>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rPr>
        <w:t>(4)</w:t>
      </w:r>
      <w:r>
        <w:rPr>
          <w:sz w:val="24"/>
          <w:u w:val="single"/>
        </w:rPr>
        <w:t>货物如系成套设备，应另行签订《成套设备安装合同》并作为本合同的附件。</w:t>
      </w:r>
    </w:p>
    <w:p>
      <w:pPr>
        <w:pStyle w:val="null3"/>
        <w:ind w:firstLine="482"/>
        <w:jc w:val="both"/>
      </w:pPr>
      <w:r>
        <w:rPr>
          <w:sz w:val="24"/>
          <w:b/>
        </w:rPr>
        <w:t>第八条　货物验收</w:t>
      </w:r>
    </w:p>
    <w:p>
      <w:pPr>
        <w:pStyle w:val="null3"/>
        <w:ind w:firstLine="480"/>
        <w:jc w:val="both"/>
      </w:pPr>
      <w:r>
        <w:rPr>
          <w:sz w:val="24"/>
        </w:rPr>
        <w:t>1</w:t>
      </w:r>
      <w:r>
        <w:rPr>
          <w:sz w:val="24"/>
        </w:rPr>
        <w:t>、货物送到甲方指定地点后</w:t>
      </w:r>
      <w:r>
        <w:rPr>
          <w:sz w:val="24"/>
          <w:b/>
          <w:u w:val="single"/>
        </w:rPr>
        <w:t xml:space="preserve">7 </w:t>
      </w:r>
      <w:r>
        <w:rPr>
          <w:sz w:val="24"/>
          <w:b/>
        </w:rPr>
        <w:t>个工作日内</w:t>
      </w:r>
      <w:r>
        <w:rPr>
          <w:sz w:val="24"/>
        </w:rPr>
        <w:t>，乙方须通知并且组织甲方（或者甲方指定的机构）共同对货物数量、型号、外观标识、包装、配套附件、各种技术资料文件等进行清点、检查或验收；需要安装、调试的，应当安装、调试完毕后的</w:t>
      </w:r>
      <w:r>
        <w:rPr>
          <w:sz w:val="24"/>
          <w:b/>
          <w:u w:val="single"/>
        </w:rPr>
        <w:t xml:space="preserve">5 </w:t>
      </w:r>
      <w:r>
        <w:rPr>
          <w:sz w:val="24"/>
          <w:b/>
        </w:rPr>
        <w:t>个工作日内</w:t>
      </w:r>
      <w:r>
        <w:rPr>
          <w:sz w:val="24"/>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rPr>
        <w:t>2</w:t>
      </w:r>
      <w:r>
        <w:rPr>
          <w:sz w:val="24"/>
        </w:rPr>
        <w:t>、货物全部交付给甲方时各方共同对货物经过验收后，如果货物或其安装、调试、检测、运行符合本合同约定的，甲方应</w:t>
      </w:r>
      <w:r>
        <w:rPr>
          <w:sz w:val="24"/>
          <w:b/>
        </w:rPr>
        <w:t>在</w:t>
      </w:r>
      <w:r>
        <w:rPr>
          <w:sz w:val="24"/>
          <w:b/>
          <w:u w:val="single"/>
        </w:rPr>
        <w:t xml:space="preserve">5 </w:t>
      </w:r>
      <w:r>
        <w:rPr>
          <w:sz w:val="24"/>
          <w:b/>
        </w:rPr>
        <w:t>个工作日内</w:t>
      </w:r>
      <w:r>
        <w:rPr>
          <w:sz w:val="24"/>
        </w:rPr>
        <w:t>向乙方签发书面的《验收报告》，但是，该《验收报告》之签署并不代表货物质量完全合格。</w:t>
      </w:r>
    </w:p>
    <w:p>
      <w:pPr>
        <w:pStyle w:val="null3"/>
        <w:ind w:firstLine="480"/>
        <w:jc w:val="both"/>
      </w:pPr>
      <w:r>
        <w:rPr>
          <w:sz w:val="24"/>
        </w:rPr>
        <w:t>3</w:t>
      </w:r>
      <w:r>
        <w:rPr>
          <w:sz w:val="24"/>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jc w:val="both"/>
      </w:pPr>
      <w:r>
        <w:rPr>
          <w:sz w:val="24"/>
        </w:rPr>
        <w:t>4</w:t>
      </w:r>
      <w:r>
        <w:rPr>
          <w:sz w:val="24"/>
        </w:rPr>
        <w:t>、乙方则应给予甲方</w:t>
      </w:r>
      <w:r>
        <w:rPr>
          <w:sz w:val="24"/>
          <w:b/>
          <w:u w:val="single"/>
        </w:rPr>
        <w:t xml:space="preserve">5 </w:t>
      </w:r>
      <w:r>
        <w:rPr>
          <w:sz w:val="24"/>
          <w:b/>
        </w:rPr>
        <w:t>个日历天的货物试用期</w:t>
      </w:r>
      <w:r>
        <w:rPr>
          <w:sz w:val="24"/>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rPr>
        <w:t>5</w:t>
      </w:r>
      <w:r>
        <w:rPr>
          <w:sz w:val="24"/>
        </w:rPr>
        <w:t>、于试用期届满之次日（工作日），乙方应当向甲方提交要求确认货物试用期满、质量合格之书面申请。甲方应当</w:t>
      </w:r>
      <w:r>
        <w:rPr>
          <w:sz w:val="24"/>
          <w:b/>
        </w:rPr>
        <w:t>在收到该书面申请后</w:t>
      </w:r>
      <w:r>
        <w:rPr>
          <w:sz w:val="24"/>
          <w:b/>
          <w:u w:val="single"/>
        </w:rPr>
        <w:t xml:space="preserve">5 </w:t>
      </w:r>
      <w:r>
        <w:rPr>
          <w:sz w:val="24"/>
          <w:b/>
        </w:rPr>
        <w:t>个工作日内</w:t>
      </w:r>
      <w:r>
        <w:rPr>
          <w:sz w:val="24"/>
        </w:rPr>
        <w:t>复核并确认完毕</w:t>
      </w:r>
      <w:r>
        <w:rPr>
          <w:sz w:val="24"/>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jc w:val="both"/>
      </w:pPr>
      <w:r>
        <w:rPr>
          <w:sz w:val="24"/>
        </w:rPr>
        <w:t>6</w:t>
      </w:r>
      <w:r>
        <w:rPr>
          <w:sz w:val="24"/>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rPr>
        <w:t>7</w:t>
      </w:r>
      <w:r>
        <w:rPr>
          <w:sz w:val="24"/>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rPr>
        <w:t>8</w:t>
      </w:r>
      <w:r>
        <w:rPr>
          <w:sz w:val="24"/>
        </w:rPr>
        <w:t>、验收标准：无论各方自行组织验收，还是共同委托验收，抑或于仲裁或诉讼情形，验收标准须以本合同中的“质量要求和技术标准”条款为根据。</w:t>
      </w:r>
    </w:p>
    <w:p>
      <w:pPr>
        <w:pStyle w:val="null3"/>
        <w:ind w:firstLine="480"/>
        <w:jc w:val="both"/>
      </w:pPr>
      <w:r>
        <w:rPr>
          <w:sz w:val="24"/>
        </w:rPr>
        <w:t>9</w:t>
      </w:r>
      <w:r>
        <w:rPr>
          <w:sz w:val="24"/>
        </w:rPr>
        <w:t>、如果甲方未及时参与乙方组织的验收工作，乙方应当再次以特快专递方式书面通知甲方验收；如甲方无正当理由仍拒不参加验收，应视质量合格且甲方拒收货物并按本合同第十六条第</w:t>
      </w:r>
      <w:r>
        <w:rPr>
          <w:sz w:val="24"/>
        </w:rPr>
        <w:t>4</w:t>
      </w:r>
      <w:r>
        <w:rPr>
          <w:sz w:val="24"/>
        </w:rPr>
        <w:t>款承担违约责任。</w:t>
      </w:r>
    </w:p>
    <w:p>
      <w:pPr>
        <w:pStyle w:val="null3"/>
        <w:ind w:firstLine="472"/>
        <w:jc w:val="both"/>
      </w:pPr>
      <w:r>
        <w:rPr>
          <w:sz w:val="24"/>
          <w:b/>
        </w:rPr>
        <w:t>第九条　质量保修和售后服务</w:t>
      </w:r>
    </w:p>
    <w:p>
      <w:pPr>
        <w:pStyle w:val="null3"/>
        <w:ind w:firstLine="616"/>
        <w:jc w:val="both"/>
      </w:pPr>
      <w:r>
        <w:rPr>
          <w:sz w:val="24"/>
        </w:rPr>
        <w:t>1</w:t>
      </w:r>
      <w:r>
        <w:rPr>
          <w:sz w:val="24"/>
        </w:rPr>
        <w:t>、质量保修和售后服务期限：</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序号</w:t>
            </w:r>
          </w:p>
        </w:tc>
        <w:tc>
          <w:tcPr>
            <w:tcW w:type="dxa" w:w="2046"/>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货物名称</w:t>
            </w:r>
          </w:p>
        </w:tc>
        <w:tc>
          <w:tcPr>
            <w:tcW w:type="dxa" w:w="269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bl>
    <w:p>
      <w:pPr>
        <w:pStyle w:val="null3"/>
        <w:jc w:val="both"/>
      </w:pPr>
      <w:r>
        <w:rPr>
          <w:sz w:val="24"/>
        </w:rPr>
        <w:t>2</w:t>
      </w:r>
      <w:r>
        <w:rPr>
          <w:sz w:val="24"/>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rPr>
        <w:t>3</w:t>
      </w:r>
      <w:r>
        <w:rPr>
          <w:sz w:val="24"/>
        </w:rPr>
        <w:t>、质保期内须提供常设</w:t>
      </w:r>
      <w:r>
        <w:rPr>
          <w:sz w:val="24"/>
        </w:rPr>
        <w:t>7</w:t>
      </w:r>
      <w:r>
        <w:rPr>
          <w:sz w:val="24"/>
        </w:rPr>
        <w:t>天×</w:t>
      </w:r>
      <w:r>
        <w:rPr>
          <w:sz w:val="24"/>
        </w:rPr>
        <w:t>24</w:t>
      </w:r>
      <w:r>
        <w:rPr>
          <w:sz w:val="24"/>
        </w:rPr>
        <w:t>小时热线服务和长期的免费技术支持。对甲方的故障通知，如电话响应无法解决的，报修响应时间为</w:t>
      </w:r>
      <w:r>
        <w:rPr>
          <w:sz w:val="24"/>
          <w:u w:val="single"/>
        </w:rPr>
        <w:t xml:space="preserve">  </w:t>
      </w:r>
      <w:r>
        <w:rPr>
          <w:sz w:val="24"/>
          <w:u w:val="single"/>
        </w:rPr>
        <w:t xml:space="preserve">12  </w:t>
      </w:r>
      <w:r>
        <w:rPr>
          <w:sz w:val="24"/>
        </w:rPr>
        <w:t>小时</w:t>
      </w:r>
      <w:r>
        <w:rPr>
          <w:sz w:val="24"/>
        </w:rPr>
        <w:t>,</w:t>
      </w:r>
      <w:r>
        <w:rPr>
          <w:sz w:val="24"/>
          <w:u w:val="single"/>
        </w:rPr>
        <w:t xml:space="preserve">  </w:t>
      </w:r>
      <w:r>
        <w:rPr>
          <w:sz w:val="24"/>
          <w:u w:val="single"/>
        </w:rPr>
        <w:t xml:space="preserve">24  </w:t>
      </w:r>
      <w:r>
        <w:rPr>
          <w:sz w:val="24"/>
        </w:rPr>
        <w:t>小时维修工程师赶到现场。若故障在</w:t>
      </w:r>
      <w:r>
        <w:rPr>
          <w:sz w:val="24"/>
          <w:u w:val="single"/>
        </w:rPr>
        <w:t xml:space="preserve">  </w:t>
      </w:r>
      <w:r>
        <w:rPr>
          <w:sz w:val="24"/>
          <w:u w:val="single"/>
        </w:rPr>
        <w:t xml:space="preserve">48  </w:t>
      </w:r>
      <w:r>
        <w:rPr>
          <w:sz w:val="24"/>
        </w:rPr>
        <w:t>小时内仍未处理完毕，乙方必须免费提供相同样档次的设备予甲方临时使用或采取应急措施解决，不得影响甲方的正常工作业务。质保期内每学期需进行</w:t>
      </w:r>
      <w:r>
        <w:rPr>
          <w:sz w:val="24"/>
        </w:rPr>
        <w:t>1</w:t>
      </w:r>
      <w:r>
        <w:rPr>
          <w:sz w:val="24"/>
        </w:rPr>
        <w:t>－</w:t>
      </w:r>
      <w:r>
        <w:rPr>
          <w:sz w:val="24"/>
        </w:rPr>
        <w:t>2</w:t>
      </w:r>
      <w:r>
        <w:rPr>
          <w:sz w:val="24"/>
        </w:rPr>
        <w:t>次的例行设备维护，保证设备的正常运转。所有软件质保期内免费维护升级。</w:t>
      </w:r>
    </w:p>
    <w:p>
      <w:pPr>
        <w:pStyle w:val="null3"/>
        <w:ind w:firstLine="480"/>
        <w:jc w:val="both"/>
      </w:pPr>
      <w:r>
        <w:rPr>
          <w:sz w:val="24"/>
        </w:rPr>
        <w:t>4</w:t>
      </w:r>
      <w:r>
        <w:rPr>
          <w:sz w:val="24"/>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jc w:val="both"/>
      </w:pPr>
      <w:r>
        <w:rPr>
          <w:sz w:val="24"/>
          <w:b/>
        </w:rPr>
        <w:t>第十条　合同款支付</w:t>
      </w:r>
    </w:p>
    <w:p>
      <w:pPr>
        <w:pStyle w:val="null3"/>
      </w:pPr>
      <w:r>
        <w:rPr/>
        <w:t>1.</w:t>
      </w:r>
      <w:r>
        <w:rPr/>
        <w:t>合同签订后五个工作日内，中标人开具金额为根据预计采购数和中标单价计算汇总的</w:t>
      </w:r>
      <w:r>
        <w:rPr/>
        <w:t>45%</w:t>
      </w:r>
      <w:r>
        <w:rPr/>
        <w:t>的增值税发票提交给采购人，采购人在收到发票后和其他必要的付款凭证后于五个工作日内向广州市财政国库支付执行机构提交支付凭证资料、办理财政国库集中支付手续，再由其向乙方核拨完成该部分预付款的支付。</w:t>
      </w:r>
      <w:r>
        <w:rPr/>
        <w:t xml:space="preserve"> </w:t>
      </w:r>
    </w:p>
    <w:p>
      <w:pPr>
        <w:pStyle w:val="null3"/>
      </w:pPr>
      <w:r>
        <w:rPr/>
        <w:t>2.</w:t>
      </w:r>
      <w:r>
        <w:rPr/>
        <w:t>中标人与采购人共同复核采购数量，货物按复核数量全部完成交付、现场安装调试并培训完毕、验收合格后，采购人在中标人提供实际成交金额与预付款差额的增值税专用发票后于五个工作日内向广州市财政国库支付执行机构提交支付凭证资料、办理财政国库集中支付手续，再由其向乙方核拨完成该部分尾款支付；</w:t>
      </w:r>
    </w:p>
    <w:p>
      <w:pPr>
        <w:pStyle w:val="null3"/>
      </w:pPr>
      <w:r>
        <w:rPr/>
        <w:t>3</w:t>
      </w:r>
      <w:r>
        <w:rPr/>
        <w:t>.</w:t>
      </w:r>
      <w:r>
        <w:rPr/>
        <w:t xml:space="preserve"> </w:t>
      </w:r>
      <w:r>
        <w:rPr/>
        <w:t>因采购人使用的是财政资金，采购人在前款规定的付款时间为向政府采购支付部门提出办理财政支付申请手续的时间（不含政府财政支付部门审核的时间），采购人在规定时间内提出支付申请手续后，即视为采购人已经按期支付。</w:t>
      </w:r>
    </w:p>
    <w:p>
      <w:pPr>
        <w:pStyle w:val="null3"/>
      </w:pPr>
      <w:r>
        <w:rPr/>
        <w:t xml:space="preserve"> </w:t>
      </w:r>
      <w:r>
        <w:rPr/>
        <w:t>4</w:t>
      </w:r>
      <w:r>
        <w:rPr/>
        <w:t>.</w:t>
      </w:r>
      <w:r>
        <w:rPr/>
        <w:t>在采购人正式支付尾款之前，中标人应当向采购人支付实际采购总金额</w:t>
      </w:r>
      <w:r>
        <w:rPr/>
        <w:t>5%</w:t>
      </w:r>
      <w:r>
        <w:rPr/>
        <w:t>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w:t>
      </w:r>
    </w:p>
    <w:p>
      <w:pPr>
        <w:pStyle w:val="null3"/>
      </w:pPr>
      <w:r>
        <w:rPr/>
        <w:t xml:space="preserve"> </w:t>
      </w:r>
      <w:r>
        <w:rPr/>
        <w:t>5</w:t>
      </w:r>
      <w:r>
        <w:rPr/>
        <w:t>.</w:t>
      </w:r>
      <w:r>
        <w:rPr/>
        <w:t>自采购人收到前款履约保证金之日起，在为期一年的免费质量保修和免费的售后服务得到切实履行的情况下，根据中标人的书面申请，采购人将该履约保函在十个工作日内退还至中标人。</w:t>
      </w:r>
    </w:p>
    <w:p>
      <w:pPr>
        <w:pStyle w:val="null3"/>
      </w:pPr>
      <w:r>
        <w:rPr>
          <w:sz w:val="21"/>
        </w:rPr>
        <w:t>如财政部门另有规定的，从其规定。</w:t>
      </w:r>
    </w:p>
    <w:p>
      <w:pPr>
        <w:pStyle w:val="null3"/>
      </w:pPr>
      <w:r>
        <w:rPr/>
        <w:t>6.</w:t>
      </w:r>
      <w:r>
        <w:rPr/>
        <w:t>下列任何一种情况发生时，采购人有权不予退还履约保证金：（一）有明显证据证明中标人未履行本合同约定的；（二）中标人有明显过错致采购人造成损失的。</w:t>
      </w:r>
    </w:p>
    <w:p>
      <w:pPr>
        <w:pStyle w:val="null3"/>
        <w:jc w:val="both"/>
      </w:pPr>
      <w:r>
        <w:rPr>
          <w:sz w:val="24"/>
          <w:b/>
        </w:rPr>
        <w:t>　　第十一条　支付合同款的其他附加条件</w:t>
      </w:r>
    </w:p>
    <w:p>
      <w:pPr>
        <w:pStyle w:val="null3"/>
        <w:ind w:firstLine="481"/>
        <w:jc w:val="both"/>
      </w:pPr>
      <w:r>
        <w:rPr>
          <w:sz w:val="24"/>
        </w:rPr>
        <w:t>1</w:t>
      </w:r>
      <w:r>
        <w:rPr>
          <w:sz w:val="24"/>
        </w:rPr>
        <w:t>、本合同总金额超过</w:t>
      </w:r>
      <w:r>
        <w:rPr>
          <w:sz w:val="24"/>
        </w:rPr>
        <w:t>50</w:t>
      </w:r>
      <w:r>
        <w:rPr>
          <w:sz w:val="24"/>
        </w:rPr>
        <w:t>万元，则双方同意：在甲方正式支付上列第十条第</w:t>
      </w:r>
      <w:r>
        <w:rPr>
          <w:sz w:val="24"/>
        </w:rPr>
        <w:t>2</w:t>
      </w:r>
      <w:r>
        <w:rPr>
          <w:sz w:val="24"/>
        </w:rPr>
        <w:t>款所约定的合同款之前，乙方应当向甲方支付</w:t>
      </w:r>
      <w:r>
        <w:rPr>
          <w:sz w:val="24"/>
          <w:u w:val="single"/>
        </w:rPr>
        <w:t>实际采购总金额</w:t>
      </w:r>
      <w:r>
        <w:rPr>
          <w:sz w:val="24"/>
          <w:u w:val="single"/>
        </w:rPr>
        <w:t>5%</w:t>
      </w:r>
      <w:r>
        <w:rPr>
          <w:sz w:val="24"/>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rPr>
        <w:t>2</w:t>
      </w:r>
      <w:r>
        <w:rPr>
          <w:sz w:val="24"/>
        </w:rPr>
        <w:t>、自甲方收到前款履约保证金之日起，在为期一年的免费质量保修和免费的售后服务得到切实履行的情况下，根据乙方的书面申请，甲方将该履约保函在十个工作日内退还至乙方。</w:t>
      </w:r>
    </w:p>
    <w:p>
      <w:pPr>
        <w:pStyle w:val="null3"/>
        <w:ind w:firstLine="481"/>
        <w:jc w:val="both"/>
      </w:pPr>
      <w:r>
        <w:rPr>
          <w:sz w:val="24"/>
        </w:rPr>
        <w:t>3</w:t>
      </w:r>
      <w:r>
        <w:rPr>
          <w:sz w:val="24"/>
        </w:rPr>
        <w:t>、本条所称的免费质量保修和免费的售后服务期，仅为退还履约保证金条件，其可以与本合同第九条所设定的期限不一致。</w:t>
      </w:r>
    </w:p>
    <w:p>
      <w:pPr>
        <w:pStyle w:val="null3"/>
        <w:ind w:firstLine="480"/>
        <w:jc w:val="both"/>
      </w:pPr>
      <w:r>
        <w:rPr>
          <w:sz w:val="24"/>
          <w:b/>
        </w:rPr>
        <w:t>　　第十二条　合同款支付时间顺延与时滞</w:t>
      </w:r>
    </w:p>
    <w:p>
      <w:pPr>
        <w:pStyle w:val="null3"/>
        <w:ind w:firstLine="481"/>
        <w:jc w:val="both"/>
      </w:pPr>
      <w:r>
        <w:rPr>
          <w:sz w:val="24"/>
        </w:rPr>
        <w:t>1</w:t>
      </w:r>
      <w:r>
        <w:rPr>
          <w:sz w:val="24"/>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rPr>
        <w:t>2</w:t>
      </w:r>
      <w:r>
        <w:rPr>
          <w:sz w:val="24"/>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rPr>
        <w:t>第十三条　合同的变更、中止、解除</w:t>
      </w:r>
    </w:p>
    <w:p>
      <w:pPr>
        <w:pStyle w:val="null3"/>
        <w:ind w:firstLine="480"/>
        <w:jc w:val="both"/>
      </w:pPr>
      <w:r>
        <w:rPr>
          <w:sz w:val="24"/>
        </w:rPr>
        <w:t>1</w:t>
      </w:r>
      <w:r>
        <w:rPr>
          <w:sz w:val="24"/>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rPr>
        <w:t>3</w:t>
      </w:r>
      <w:r>
        <w:rPr>
          <w:sz w:val="24"/>
        </w:rPr>
        <w:t>、乙方有下列情形之一的，甲方有权单方解除合同：</w:t>
      </w:r>
    </w:p>
    <w:p>
      <w:pPr>
        <w:pStyle w:val="null3"/>
        <w:ind w:firstLine="840"/>
        <w:jc w:val="both"/>
      </w:pPr>
      <w:r>
        <w:rPr>
          <w:sz w:val="24"/>
        </w:rPr>
        <w:t>(1)</w:t>
      </w:r>
      <w:r>
        <w:rPr>
          <w:sz w:val="24"/>
        </w:rPr>
        <w:t>逾期三十天仍未交齐货物的；</w:t>
      </w:r>
    </w:p>
    <w:p>
      <w:pPr>
        <w:pStyle w:val="null3"/>
        <w:ind w:firstLine="840"/>
        <w:jc w:val="both"/>
      </w:pPr>
      <w:r>
        <w:rPr>
          <w:sz w:val="24"/>
        </w:rPr>
        <w:t>(2)</w:t>
      </w:r>
      <w:r>
        <w:rPr>
          <w:sz w:val="24"/>
        </w:rPr>
        <w:t>乙方擅自对本合同约定的货物进行替代的；</w:t>
      </w:r>
    </w:p>
    <w:p>
      <w:pPr>
        <w:pStyle w:val="null3"/>
        <w:ind w:firstLine="840"/>
        <w:jc w:val="both"/>
      </w:pPr>
      <w:r>
        <w:rPr>
          <w:sz w:val="24"/>
        </w:rPr>
        <w:t>(3)</w:t>
      </w:r>
      <w:r>
        <w:rPr>
          <w:sz w:val="24"/>
        </w:rPr>
        <w:t>乙方违反本合同关于权利瑕疵担保约定的；</w:t>
      </w:r>
    </w:p>
    <w:p>
      <w:pPr>
        <w:pStyle w:val="null3"/>
        <w:ind w:firstLine="840"/>
        <w:jc w:val="both"/>
      </w:pPr>
      <w:r>
        <w:rPr>
          <w:sz w:val="24"/>
        </w:rPr>
        <w:t>(4)</w:t>
      </w:r>
      <w:r>
        <w:rPr>
          <w:sz w:val="24"/>
        </w:rPr>
        <w:t>其他符合法律规定或符合本合同其它约定情形的。</w:t>
      </w:r>
    </w:p>
    <w:p>
      <w:pPr>
        <w:pStyle w:val="null3"/>
        <w:ind w:firstLine="435"/>
        <w:jc w:val="both"/>
      </w:pPr>
      <w:r>
        <w:rPr>
          <w:sz w:val="24"/>
        </w:rPr>
        <w:t>4</w:t>
      </w:r>
      <w:r>
        <w:rPr>
          <w:sz w:val="24"/>
        </w:rPr>
        <w:t>、甲方有下列情形之一的，乙方有权单方解除合同：</w:t>
      </w:r>
    </w:p>
    <w:p>
      <w:pPr>
        <w:pStyle w:val="null3"/>
        <w:ind w:firstLine="435"/>
        <w:jc w:val="both"/>
      </w:pPr>
      <w:r>
        <w:rPr>
          <w:sz w:val="24"/>
        </w:rPr>
        <w:t xml:space="preserve">   </w:t>
      </w:r>
      <w:r>
        <w:rPr>
          <w:sz w:val="24"/>
        </w:rPr>
        <w:t>(1)</w:t>
      </w:r>
      <w:r>
        <w:rPr>
          <w:sz w:val="24"/>
        </w:rPr>
        <w:t>无正当理由，拒绝验收货物而经其书面催告且在催告期届满甲方不作答复的；</w:t>
      </w:r>
    </w:p>
    <w:p>
      <w:pPr>
        <w:pStyle w:val="null3"/>
        <w:ind w:firstLine="435"/>
        <w:jc w:val="both"/>
      </w:pPr>
      <w:r>
        <w:rPr>
          <w:sz w:val="24"/>
        </w:rPr>
        <w:t xml:space="preserve">   </w:t>
      </w:r>
      <w:r>
        <w:rPr>
          <w:sz w:val="24"/>
        </w:rPr>
        <w:t>(2)</w:t>
      </w:r>
      <w:r>
        <w:rPr>
          <w:sz w:val="24"/>
        </w:rPr>
        <w:t>无正当理由，拒绝收受货物而经其书面催告且在催告期届满甲方不作答复的；</w:t>
      </w:r>
    </w:p>
    <w:p>
      <w:pPr>
        <w:pStyle w:val="null3"/>
        <w:ind w:firstLine="435"/>
        <w:jc w:val="both"/>
      </w:pPr>
      <w:r>
        <w:rPr>
          <w:sz w:val="24"/>
        </w:rPr>
        <w:t xml:space="preserve">   </w:t>
      </w:r>
      <w:r>
        <w:rPr>
          <w:sz w:val="24"/>
        </w:rPr>
        <w:t>(3)</w:t>
      </w:r>
      <w:r>
        <w:rPr>
          <w:sz w:val="24"/>
        </w:rPr>
        <w:t>无正当理由，拒付货款而经其书面催告且在催告期届满甲方不作答复的；</w:t>
      </w:r>
    </w:p>
    <w:p>
      <w:pPr>
        <w:pStyle w:val="null3"/>
        <w:ind w:firstLine="856"/>
        <w:jc w:val="both"/>
      </w:pPr>
      <w:r>
        <w:rPr>
          <w:sz w:val="24"/>
        </w:rPr>
        <w:t>(4)</w:t>
      </w:r>
      <w:r>
        <w:rPr>
          <w:sz w:val="24"/>
        </w:rPr>
        <w:t>其他符合法律规定情形的。</w:t>
      </w:r>
    </w:p>
    <w:p>
      <w:pPr>
        <w:pStyle w:val="null3"/>
        <w:ind w:firstLine="482"/>
        <w:jc w:val="both"/>
      </w:pPr>
      <w:r>
        <w:rPr>
          <w:sz w:val="24"/>
          <w:b/>
        </w:rPr>
        <w:t>第十四条不可抗力</w:t>
      </w:r>
    </w:p>
    <w:p>
      <w:pPr>
        <w:pStyle w:val="null3"/>
        <w:ind w:firstLine="480"/>
        <w:jc w:val="both"/>
      </w:pPr>
      <w:r>
        <w:rPr>
          <w:sz w:val="24"/>
        </w:rPr>
        <w:t>1</w:t>
      </w:r>
      <w:r>
        <w:rPr>
          <w:sz w:val="24"/>
        </w:rPr>
        <w:t>、遭受不可抗力事件的一方应</w:t>
      </w:r>
      <w:r>
        <w:rPr>
          <w:sz w:val="24"/>
          <w:b/>
        </w:rPr>
        <w:t>在</w:t>
      </w:r>
      <w:r>
        <w:rPr>
          <w:sz w:val="24"/>
          <w:b/>
          <w:u w:val="single"/>
        </w:rPr>
        <w:t xml:space="preserve"> </w:t>
      </w:r>
      <w:r>
        <w:rPr>
          <w:sz w:val="24"/>
          <w:b/>
          <w:u w:val="single"/>
        </w:rPr>
        <w:t xml:space="preserve">24  </w:t>
      </w:r>
      <w:r>
        <w:rPr>
          <w:sz w:val="24"/>
          <w:b/>
        </w:rPr>
        <w:t>小时内</w:t>
      </w:r>
      <w:r>
        <w:rPr>
          <w:sz w:val="24"/>
        </w:rPr>
        <w:t>将事件情况用可能的最快捷的方式通知对方本合同有关事项不能履行或不能完全履行以避免对方损失的扩大，并在该不可抗力事件发生之日起的</w:t>
      </w:r>
      <w:r>
        <w:rPr>
          <w:sz w:val="24"/>
          <w:b/>
          <w:u w:val="single"/>
        </w:rPr>
        <w:t>　十五日内　</w:t>
      </w:r>
      <w:r>
        <w:rPr>
          <w:sz w:val="24"/>
        </w:rPr>
        <w:t>提供不可抗力发生地市级以上政府相关部门证明文件，并以</w:t>
      </w:r>
      <w:r>
        <w:rPr>
          <w:sz w:val="24"/>
          <w:b/>
          <w:u w:val="single"/>
        </w:rPr>
        <w:t>书面报告</w:t>
      </w:r>
      <w:r>
        <w:rPr>
          <w:sz w:val="24"/>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rPr>
        <w:t>2</w:t>
      </w:r>
      <w:r>
        <w:rPr>
          <w:sz w:val="24"/>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rPr>
        <w:t>3</w:t>
      </w:r>
      <w:r>
        <w:rPr>
          <w:sz w:val="24"/>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rPr>
        <w:t>4</w:t>
      </w:r>
      <w:r>
        <w:rPr>
          <w:sz w:val="24"/>
        </w:rPr>
        <w:t>、因不可抗力导致本合同无法履行或合同目的无法实现，经双方协商一致，可以解除合同。</w:t>
      </w:r>
    </w:p>
    <w:p>
      <w:pPr>
        <w:pStyle w:val="null3"/>
        <w:ind w:firstLine="480"/>
        <w:jc w:val="both"/>
      </w:pPr>
      <w:r>
        <w:rPr>
          <w:sz w:val="24"/>
        </w:rPr>
        <w:t>5</w:t>
      </w:r>
      <w:r>
        <w:rPr>
          <w:sz w:val="24"/>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rPr>
        <w:t>第十五条情势变更</w:t>
      </w:r>
    </w:p>
    <w:p>
      <w:pPr>
        <w:pStyle w:val="null3"/>
        <w:jc w:val="both"/>
      </w:pPr>
      <w:r>
        <w:rPr>
          <w:sz w:val="24"/>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rPr>
        <w:t>第十六条　违约责任</w:t>
      </w:r>
    </w:p>
    <w:p>
      <w:pPr>
        <w:pStyle w:val="null3"/>
        <w:ind w:firstLine="480"/>
        <w:jc w:val="both"/>
      </w:pPr>
      <w:r>
        <w:rPr>
          <w:sz w:val="24"/>
        </w:rPr>
        <w:t>1</w:t>
      </w:r>
      <w:r>
        <w:rPr>
          <w:sz w:val="24"/>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rPr>
        <w:t>2</w:t>
      </w:r>
      <w:r>
        <w:rPr>
          <w:sz w:val="24"/>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jc w:val="both"/>
      </w:pPr>
      <w:r>
        <w:rPr>
          <w:sz w:val="24"/>
        </w:rPr>
        <w:t>3</w:t>
      </w:r>
      <w:r>
        <w:rPr>
          <w:sz w:val="24"/>
        </w:rPr>
        <w:t>、本条第</w:t>
      </w:r>
      <w:r>
        <w:rPr>
          <w:sz w:val="24"/>
        </w:rPr>
        <w:t>1</w:t>
      </w:r>
      <w:r>
        <w:rPr>
          <w:sz w:val="24"/>
        </w:rPr>
        <w:t>款和第</w:t>
      </w:r>
      <w:r>
        <w:rPr>
          <w:sz w:val="24"/>
        </w:rPr>
        <w:t>2</w:t>
      </w:r>
      <w:r>
        <w:rPr>
          <w:sz w:val="24"/>
        </w:rPr>
        <w:t>款关于违约金和赔偿金计算方法之约定，为总则性条款，其均适用于各种情形下的违约和损害赔偿责任之计算。</w:t>
      </w:r>
    </w:p>
    <w:p>
      <w:pPr>
        <w:pStyle w:val="null3"/>
        <w:ind w:firstLine="480"/>
        <w:jc w:val="both"/>
      </w:pPr>
      <w:r>
        <w:rPr>
          <w:sz w:val="24"/>
        </w:rPr>
        <w:t>4</w:t>
      </w:r>
      <w:r>
        <w:rPr>
          <w:sz w:val="24"/>
        </w:rPr>
        <w:t>、甲方无正当理由拒收货物的，甲方向乙方支付合同总价</w:t>
      </w:r>
      <w:r>
        <w:rPr>
          <w:sz w:val="24"/>
          <w:b/>
          <w:u w:val="single"/>
        </w:rPr>
        <w:t>百分之三　</w:t>
      </w:r>
      <w:r>
        <w:rPr>
          <w:sz w:val="24"/>
        </w:rPr>
        <w:t>的违约金。</w:t>
      </w:r>
    </w:p>
    <w:p>
      <w:pPr>
        <w:pStyle w:val="null3"/>
        <w:ind w:firstLine="480"/>
        <w:jc w:val="both"/>
      </w:pPr>
      <w:r>
        <w:rPr>
          <w:sz w:val="24"/>
        </w:rPr>
        <w:t>5</w:t>
      </w:r>
      <w:r>
        <w:rPr>
          <w:sz w:val="24"/>
        </w:rPr>
        <w:t>、甲方逾期付款的，</w:t>
      </w:r>
      <w:r>
        <w:rPr>
          <w:sz w:val="24"/>
          <w:b/>
        </w:rPr>
        <w:t>每逾期一天</w:t>
      </w:r>
      <w:r>
        <w:rPr>
          <w:sz w:val="24"/>
        </w:rPr>
        <w:t>应向乙方支付应付而未付款额的</w:t>
      </w:r>
      <w:r>
        <w:rPr>
          <w:sz w:val="24"/>
          <w:b/>
          <w:u w:val="single"/>
        </w:rPr>
        <w:t>　万分之三</w:t>
      </w:r>
      <w:r>
        <w:rPr>
          <w:sz w:val="24"/>
        </w:rPr>
        <w:t>的违约金。</w:t>
      </w:r>
    </w:p>
    <w:p>
      <w:pPr>
        <w:pStyle w:val="null3"/>
        <w:ind w:firstLine="480"/>
        <w:jc w:val="both"/>
      </w:pPr>
      <w:r>
        <w:rPr>
          <w:sz w:val="24"/>
        </w:rPr>
        <w:t>6</w:t>
      </w:r>
      <w:r>
        <w:rPr>
          <w:sz w:val="24"/>
        </w:rPr>
        <w:t>、乙方逾期交齐货物，或者因质量验收迟延而应视为逾期交货的，</w:t>
      </w:r>
      <w:r>
        <w:rPr>
          <w:sz w:val="24"/>
          <w:b/>
        </w:rPr>
        <w:t>每逾期一天</w:t>
      </w:r>
      <w:r>
        <w:rPr>
          <w:sz w:val="24"/>
        </w:rPr>
        <w:t>按合同总价的</w:t>
      </w:r>
      <w:r>
        <w:rPr>
          <w:sz w:val="24"/>
          <w:b/>
          <w:u w:val="single"/>
        </w:rPr>
        <w:t>　万分之三</w:t>
      </w:r>
      <w:r>
        <w:rPr>
          <w:sz w:val="24"/>
        </w:rPr>
        <w:t>向甲方支付违约金，累计至交齐货物之日止。</w:t>
      </w:r>
    </w:p>
    <w:p>
      <w:pPr>
        <w:pStyle w:val="null3"/>
        <w:ind w:firstLine="480"/>
        <w:jc w:val="both"/>
      </w:pPr>
      <w:r>
        <w:rPr>
          <w:sz w:val="24"/>
        </w:rPr>
        <w:t>7</w:t>
      </w:r>
      <w:r>
        <w:rPr>
          <w:sz w:val="24"/>
        </w:rPr>
        <w:t>、乙方超过三十天仍未交齐货物，或者因质量验收迟延而应视为逾期交货的，应按合同总价的</w:t>
      </w:r>
      <w:r>
        <w:rPr>
          <w:sz w:val="24"/>
          <w:b/>
          <w:u w:val="single"/>
        </w:rPr>
        <w:t>　百分之二十　</w:t>
      </w:r>
      <w:r>
        <w:rPr>
          <w:sz w:val="24"/>
        </w:rPr>
        <w:t>向甲方支付违约金。经催告后在合理期限内仍不能交齐货物的，甲方有权单方解除合同且该解除效果不影响违约金之支付。</w:t>
      </w:r>
    </w:p>
    <w:p>
      <w:pPr>
        <w:pStyle w:val="null3"/>
        <w:ind w:firstLine="480"/>
        <w:jc w:val="both"/>
      </w:pPr>
      <w:r>
        <w:rPr>
          <w:sz w:val="24"/>
        </w:rPr>
        <w:t>8</w:t>
      </w:r>
      <w:r>
        <w:rPr>
          <w:sz w:val="24"/>
        </w:rPr>
        <w:t>、乙方未及时履行本合同第九条约定的义务，且经甲方书面催告后，拒不履行的，甲方有权扣除履约保证金；无履约保证金可扣除或履约保证金已被甲方扣除了的，乙方应按</w:t>
      </w:r>
      <w:r>
        <w:rPr>
          <w:sz w:val="24"/>
          <w:b/>
        </w:rPr>
        <w:t>合同总价的</w:t>
      </w:r>
      <w:r>
        <w:rPr>
          <w:sz w:val="24"/>
          <w:b/>
          <w:u w:val="single"/>
        </w:rPr>
        <w:t>百分之十</w:t>
      </w:r>
      <w:r>
        <w:rPr>
          <w:sz w:val="24"/>
        </w:rPr>
        <w:t>支付违约金。</w:t>
      </w:r>
    </w:p>
    <w:p>
      <w:pPr>
        <w:pStyle w:val="null3"/>
        <w:ind w:firstLine="480"/>
        <w:jc w:val="both"/>
      </w:pPr>
      <w:r>
        <w:rPr>
          <w:sz w:val="24"/>
        </w:rPr>
        <w:t>9</w:t>
      </w:r>
      <w:r>
        <w:rPr>
          <w:sz w:val="24"/>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rPr>
        <w:t>另行按合同总价的</w:t>
      </w:r>
      <w:r>
        <w:rPr>
          <w:sz w:val="24"/>
          <w:b/>
          <w:u w:val="single"/>
        </w:rPr>
        <w:t>　百分之二十　</w:t>
      </w:r>
      <w:r>
        <w:rPr>
          <w:sz w:val="24"/>
          <w:b/>
        </w:rPr>
        <w:t>向甲方支付惩罚性违约金</w:t>
      </w:r>
      <w:r>
        <w:rPr>
          <w:sz w:val="24"/>
        </w:rPr>
        <w:t>。</w:t>
      </w:r>
    </w:p>
    <w:p>
      <w:pPr>
        <w:pStyle w:val="null3"/>
        <w:ind w:firstLine="480"/>
        <w:jc w:val="both"/>
      </w:pPr>
      <w:r>
        <w:rPr>
          <w:sz w:val="24"/>
        </w:rPr>
        <w:t>10</w:t>
      </w:r>
      <w:r>
        <w:rPr>
          <w:sz w:val="24"/>
        </w:rPr>
        <w:t>、乙方擅自对本合同约定的货物进行替代的，视乙方不能交付，甲方除了有权解除合同外，同时有权按合同总价的</w:t>
      </w:r>
      <w:r>
        <w:rPr>
          <w:sz w:val="24"/>
          <w:b/>
          <w:u w:val="single"/>
        </w:rPr>
        <w:t>　百分之三十　</w:t>
      </w:r>
      <w:r>
        <w:rPr>
          <w:sz w:val="24"/>
        </w:rPr>
        <w:t>的标准要求乙方支付违约金。</w:t>
      </w:r>
    </w:p>
    <w:p>
      <w:pPr>
        <w:pStyle w:val="null3"/>
        <w:ind w:firstLine="480"/>
        <w:jc w:val="both"/>
      </w:pPr>
      <w:r>
        <w:rPr>
          <w:sz w:val="24"/>
        </w:rPr>
        <w:t>11</w:t>
      </w:r>
      <w:r>
        <w:rPr>
          <w:sz w:val="24"/>
        </w:rPr>
        <w:t>、</w:t>
      </w:r>
      <w:r>
        <w:rPr>
          <w:sz w:val="24"/>
          <w:b/>
          <w:u w:val="single"/>
        </w:rPr>
        <w:t>在甲方发出中标通知书后</w:t>
      </w:r>
      <w:r>
        <w:rPr>
          <w:sz w:val="24"/>
          <w:b/>
          <w:u w:val="single"/>
        </w:rPr>
        <w:t>30</w:t>
      </w:r>
      <w:r>
        <w:rPr>
          <w:sz w:val="24"/>
          <w:b/>
          <w:u w:val="single"/>
        </w:rPr>
        <w:t>日内</w:t>
      </w:r>
      <w:r>
        <w:rPr>
          <w:sz w:val="24"/>
        </w:rPr>
        <w:t>，乙方拒绝签订正式书面合同的，甲方有权按合同总价的</w:t>
      </w:r>
      <w:r>
        <w:rPr>
          <w:sz w:val="24"/>
          <w:b/>
          <w:u w:val="single"/>
        </w:rPr>
        <w:t>　百分之五　</w:t>
      </w:r>
      <w:r>
        <w:rPr>
          <w:sz w:val="24"/>
        </w:rPr>
        <w:t>的标准向乙方要求支付违约金。</w:t>
      </w:r>
    </w:p>
    <w:p>
      <w:pPr>
        <w:pStyle w:val="null3"/>
        <w:ind w:firstLine="480"/>
        <w:jc w:val="both"/>
      </w:pPr>
      <w:r>
        <w:rPr>
          <w:sz w:val="24"/>
        </w:rPr>
        <w:t>12</w:t>
      </w:r>
      <w:r>
        <w:rPr>
          <w:sz w:val="24"/>
        </w:rPr>
        <w:t>、上述各项违约责任条款，属于《民法典》中的清算条款，故合同之变更、中止或解除不影响据此追究违约方的违约责任。</w:t>
      </w:r>
    </w:p>
    <w:p>
      <w:pPr>
        <w:pStyle w:val="null3"/>
        <w:ind w:firstLine="482"/>
        <w:jc w:val="both"/>
      </w:pPr>
      <w:r>
        <w:rPr>
          <w:sz w:val="24"/>
          <w:b/>
        </w:rPr>
        <w:t>第十七条联合投标与连带责任</w:t>
      </w:r>
    </w:p>
    <w:p>
      <w:pPr>
        <w:pStyle w:val="null3"/>
        <w:ind w:firstLine="480"/>
        <w:jc w:val="both"/>
      </w:pPr>
      <w:r>
        <w:rPr>
          <w:sz w:val="24"/>
        </w:rPr>
        <w:t>1</w:t>
      </w:r>
      <w:r>
        <w:rPr>
          <w:sz w:val="24"/>
        </w:rPr>
        <w:t>、乙方如果与他人对本采购项目联合投标中标，则乙方可以代表联合体签订并全面履行本合同。</w:t>
      </w:r>
    </w:p>
    <w:p>
      <w:pPr>
        <w:pStyle w:val="null3"/>
        <w:ind w:firstLine="480"/>
        <w:jc w:val="both"/>
      </w:pPr>
      <w:r>
        <w:rPr>
          <w:sz w:val="24"/>
        </w:rPr>
        <w:t>2</w:t>
      </w:r>
      <w:r>
        <w:rPr>
          <w:sz w:val="24"/>
        </w:rPr>
        <w:t>、联合体</w:t>
      </w:r>
      <w:r>
        <w:rPr>
          <w:sz w:val="24"/>
          <w:b/>
          <w:u w:val="single"/>
        </w:rPr>
        <w:t>其他成员必须向甲方出具相应的《授权委托书》</w:t>
      </w:r>
      <w:r>
        <w:rPr>
          <w:sz w:val="24"/>
        </w:rPr>
        <w:t>。</w:t>
      </w:r>
    </w:p>
    <w:p>
      <w:pPr>
        <w:pStyle w:val="null3"/>
        <w:ind w:firstLine="480"/>
        <w:jc w:val="both"/>
      </w:pPr>
      <w:r>
        <w:rPr>
          <w:sz w:val="24"/>
        </w:rPr>
        <w:t>3</w:t>
      </w:r>
      <w:r>
        <w:rPr>
          <w:sz w:val="24"/>
        </w:rPr>
        <w:t>、根据《中华人民共和国招标投标法》第三十一条，联合体全部成员共同就本合同向甲方承担连带责任。</w:t>
      </w:r>
    </w:p>
    <w:p>
      <w:pPr>
        <w:pStyle w:val="null3"/>
        <w:ind w:firstLine="480"/>
        <w:jc w:val="both"/>
      </w:pPr>
      <w:r>
        <w:rPr>
          <w:sz w:val="24"/>
        </w:rPr>
        <w:t>4</w:t>
      </w:r>
      <w:r>
        <w:rPr>
          <w:sz w:val="24"/>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rPr>
        <w:t>第十八条　合同解释</w:t>
      </w:r>
    </w:p>
    <w:p>
      <w:pPr>
        <w:pStyle w:val="null3"/>
        <w:ind w:firstLine="480"/>
        <w:jc w:val="both"/>
      </w:pPr>
      <w:r>
        <w:rPr>
          <w:sz w:val="24"/>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rPr>
        <w:t>第十九条　法律适用</w:t>
      </w:r>
    </w:p>
    <w:p>
      <w:pPr>
        <w:pStyle w:val="null3"/>
        <w:ind w:firstLine="480"/>
        <w:jc w:val="both"/>
      </w:pPr>
      <w:r>
        <w:rPr>
          <w:sz w:val="24"/>
        </w:rPr>
        <w:t>因本合同之成立与效力、履行、解释、票据等而发生的所有争议，均适用中华人民共和国法律。</w:t>
      </w:r>
    </w:p>
    <w:p>
      <w:pPr>
        <w:pStyle w:val="null3"/>
        <w:ind w:firstLine="472"/>
      </w:pPr>
      <w:r>
        <w:rPr>
          <w:sz w:val="24"/>
          <w:b/>
        </w:rPr>
        <w:t>第二十条　补充协议</w:t>
      </w:r>
    </w:p>
    <w:p>
      <w:pPr>
        <w:pStyle w:val="null3"/>
        <w:ind w:firstLine="470"/>
        <w:jc w:val="both"/>
      </w:pPr>
      <w:r>
        <w:rPr>
          <w:sz w:val="24"/>
        </w:rPr>
        <w:t>1</w:t>
      </w:r>
      <w:r>
        <w:rPr>
          <w:sz w:val="24"/>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rPr>
        <w:t>2</w:t>
      </w:r>
      <w:r>
        <w:rPr>
          <w:sz w:val="24"/>
        </w:rPr>
        <w:t>、补充协议包括承诺书、会议纪要、备忘录、往来函件等，但均应以书面形式为之。</w:t>
      </w:r>
    </w:p>
    <w:p>
      <w:pPr>
        <w:pStyle w:val="null3"/>
        <w:ind w:firstLine="482"/>
        <w:jc w:val="both"/>
      </w:pPr>
      <w:r>
        <w:rPr>
          <w:sz w:val="24"/>
          <w:b/>
        </w:rPr>
        <w:t>第二十一条　争议解决方式</w:t>
      </w:r>
    </w:p>
    <w:p>
      <w:pPr>
        <w:pStyle w:val="null3"/>
        <w:ind w:firstLine="480"/>
        <w:jc w:val="both"/>
      </w:pPr>
      <w:r>
        <w:rPr>
          <w:sz w:val="24"/>
        </w:rPr>
        <w:t>因本合同而发生的所有争议，应由各方协商解决；协商不成时，本合同的双方或三方均同意将争议</w:t>
      </w:r>
      <w:r>
        <w:rPr>
          <w:sz w:val="24"/>
        </w:rPr>
        <w:t>(</w:t>
      </w:r>
      <w:r>
        <w:rPr>
          <w:sz w:val="24"/>
        </w:rPr>
        <w:t>包括票据法上的争议</w:t>
      </w:r>
      <w:r>
        <w:rPr>
          <w:sz w:val="24"/>
        </w:rPr>
        <w:t>)</w:t>
      </w:r>
      <w:r>
        <w:rPr>
          <w:sz w:val="24"/>
        </w:rPr>
        <w:t>提交给广州仲裁委员会进行仲裁解决。仲裁程序，适用该会的仲裁规则。该仲裁裁决是终局的，对当事人均有约束力。</w:t>
      </w:r>
    </w:p>
    <w:p>
      <w:pPr>
        <w:pStyle w:val="null3"/>
        <w:ind w:firstLine="458"/>
      </w:pPr>
      <w:r>
        <w:rPr>
          <w:sz w:val="24"/>
          <w:b/>
        </w:rPr>
        <w:t>第二十二条　通知</w:t>
      </w:r>
    </w:p>
    <w:p>
      <w:pPr>
        <w:pStyle w:val="null3"/>
        <w:ind w:firstLine="456"/>
      </w:pPr>
      <w:r>
        <w:rPr>
          <w:sz w:val="24"/>
        </w:rPr>
        <w:t>1</w:t>
      </w:r>
      <w:r>
        <w:rPr>
          <w:sz w:val="24"/>
        </w:rPr>
        <w:t>、遇有合同争议或异议情形，均应以书面形式及时通知对方。一方向另一方发出的通知和通讯，应当用书面形式，且均自其送达时生效。</w:t>
      </w:r>
    </w:p>
    <w:p>
      <w:pPr>
        <w:pStyle w:val="null3"/>
        <w:ind w:firstLine="456"/>
      </w:pPr>
      <w:r>
        <w:rPr>
          <w:sz w:val="24"/>
        </w:rPr>
        <w:t>2</w:t>
      </w:r>
      <w:r>
        <w:rPr>
          <w:sz w:val="24"/>
        </w:rPr>
        <w:t>、无论双方关系好坏程度如何，任何一方均不得拒绝签收来自对方的说明函、澄清函、通知书、异议书、催告函、法律意见书等往来文件。</w:t>
      </w:r>
    </w:p>
    <w:p>
      <w:pPr>
        <w:pStyle w:val="null3"/>
        <w:ind w:firstLine="456"/>
      </w:pPr>
      <w:r>
        <w:rPr>
          <w:sz w:val="24"/>
        </w:rPr>
        <w:t>3</w:t>
      </w:r>
      <w:r>
        <w:rPr>
          <w:sz w:val="24"/>
        </w:rPr>
        <w:t>、一方当事人变更本合同中列明的通知或通讯地址、法定代表人或开户银行或帐号的，应自其变更之日起</w:t>
      </w:r>
      <w:r>
        <w:rPr>
          <w:sz w:val="24"/>
          <w:u w:val="single"/>
        </w:rPr>
        <w:t>10</w:t>
      </w:r>
      <w:r>
        <w:rPr>
          <w:sz w:val="24"/>
        </w:rPr>
        <w:t>日内，将新的地址或法定代表人或开户银行、帐号以书面形式通知另一方。因未通知或迟延通知对方而由此造成的损失，应承担相关责任。</w:t>
      </w:r>
    </w:p>
    <w:p>
      <w:pPr>
        <w:pStyle w:val="null3"/>
        <w:ind w:firstLine="482"/>
      </w:pPr>
      <w:r>
        <w:rPr>
          <w:sz w:val="24"/>
          <w:b/>
        </w:rPr>
        <w:t>第二十三条　合同生效与效力</w:t>
      </w:r>
    </w:p>
    <w:p>
      <w:pPr>
        <w:pStyle w:val="null3"/>
        <w:ind w:firstLine="480"/>
        <w:jc w:val="both"/>
      </w:pPr>
      <w:r>
        <w:rPr>
          <w:sz w:val="24"/>
        </w:rPr>
        <w:t>1</w:t>
      </w:r>
      <w:r>
        <w:rPr>
          <w:sz w:val="24"/>
        </w:rPr>
        <w:t>、本合同经双方代表签字、盖章后即行生效。签字日期互异的，以后签日期为生效日。</w:t>
      </w:r>
    </w:p>
    <w:p>
      <w:pPr>
        <w:pStyle w:val="null3"/>
        <w:ind w:firstLine="480"/>
      </w:pPr>
      <w:r>
        <w:rPr>
          <w:sz w:val="24"/>
        </w:rPr>
        <w:t>2</w:t>
      </w:r>
      <w:r>
        <w:rPr>
          <w:sz w:val="24"/>
        </w:rPr>
        <w:t>、乙方作为联合体之代表人，一旦签字，本合同的效力即及于联合体内的全部成员。</w:t>
      </w:r>
    </w:p>
    <w:p>
      <w:pPr>
        <w:pStyle w:val="null3"/>
        <w:ind w:firstLine="482"/>
      </w:pPr>
      <w:r>
        <w:rPr>
          <w:sz w:val="24"/>
          <w:b/>
        </w:rPr>
        <w:t>第二十四条合同文本</w:t>
      </w:r>
    </w:p>
    <w:p>
      <w:pPr>
        <w:pStyle w:val="null3"/>
        <w:ind w:firstLine="470"/>
      </w:pPr>
      <w:r>
        <w:rPr>
          <w:sz w:val="24"/>
        </w:rPr>
        <w:t>1</w:t>
      </w:r>
      <w:r>
        <w:rPr>
          <w:sz w:val="24"/>
        </w:rPr>
        <w:t>、本合同一式</w:t>
      </w:r>
      <w:r>
        <w:rPr>
          <w:sz w:val="24"/>
          <w:u w:val="single"/>
        </w:rPr>
        <w:t xml:space="preserve">6 </w:t>
      </w:r>
      <w:r>
        <w:rPr>
          <w:sz w:val="24"/>
        </w:rPr>
        <w:t>份，甲方执</w:t>
      </w:r>
      <w:r>
        <w:rPr>
          <w:sz w:val="24"/>
        </w:rPr>
        <w:t>4</w:t>
      </w:r>
      <w:r>
        <w:rPr>
          <w:sz w:val="24"/>
        </w:rPr>
        <w:t>份</w:t>
      </w:r>
      <w:r>
        <w:rPr>
          <w:sz w:val="24"/>
        </w:rPr>
        <w:t xml:space="preserve">, </w:t>
      </w:r>
      <w:r>
        <w:rPr>
          <w:sz w:val="24"/>
        </w:rPr>
        <w:t>乙方执</w:t>
      </w:r>
      <w:r>
        <w:rPr>
          <w:sz w:val="24"/>
          <w:u w:val="single"/>
        </w:rPr>
        <w:t>2</w:t>
      </w:r>
      <w:r>
        <w:rPr>
          <w:sz w:val="24"/>
        </w:rPr>
        <w:t>份。</w:t>
      </w:r>
    </w:p>
    <w:p>
      <w:pPr>
        <w:pStyle w:val="null3"/>
      </w:pPr>
      <w:r>
        <w:rPr>
          <w:sz w:val="24"/>
        </w:rPr>
        <w:t>2</w:t>
      </w:r>
      <w:r>
        <w:rPr>
          <w:sz w:val="24"/>
        </w:rPr>
        <w:t>、各式份具有同等法律效力。</w:t>
      </w:r>
    </w:p>
    <w:p>
      <w:pPr>
        <w:pStyle w:val="null3"/>
        <w:ind w:firstLine="482"/>
        <w:jc w:val="both"/>
      </w:pPr>
      <w:r>
        <w:rPr>
          <w:sz w:val="24"/>
          <w:b/>
        </w:rPr>
        <w:t>第二十五条合同构成</w:t>
      </w:r>
    </w:p>
    <w:p>
      <w:pPr>
        <w:pStyle w:val="null3"/>
        <w:ind w:firstLine="480"/>
        <w:jc w:val="both"/>
      </w:pPr>
      <w:r>
        <w:rPr>
          <w:sz w:val="24"/>
        </w:rPr>
        <w:t>1</w:t>
      </w:r>
      <w:r>
        <w:rPr>
          <w:sz w:val="24"/>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rPr>
        <w:t>2</w:t>
      </w:r>
      <w:r>
        <w:rPr>
          <w:sz w:val="24"/>
        </w:rPr>
        <w:t>、</w:t>
      </w:r>
      <w:r>
        <w:rPr>
          <w:sz w:val="24"/>
          <w:b/>
        </w:rPr>
        <w:t>下列选择项中，为本合同附件的有（在选择项前打</w:t>
      </w:r>
      <w:r>
        <w:rPr>
          <w:sz w:val="24"/>
          <w:b/>
        </w:rPr>
        <w:t>√）：</w:t>
      </w:r>
    </w:p>
    <w:p>
      <w:pPr>
        <w:pStyle w:val="null3"/>
        <w:ind w:firstLine="472"/>
        <w:jc w:val="both"/>
      </w:pPr>
      <w:r>
        <w:rPr>
          <w:sz w:val="24"/>
          <w:b/>
        </w:rPr>
        <w:t>√（</w:t>
      </w:r>
      <w:r>
        <w:rPr>
          <w:sz w:val="24"/>
          <w:b/>
        </w:rPr>
        <w:t>1</w:t>
      </w:r>
      <w:r>
        <w:rPr>
          <w:sz w:val="24"/>
          <w:b/>
        </w:rPr>
        <w:t>）附件一：《</w:t>
      </w:r>
      <w:r>
        <w:rPr>
          <w:sz w:val="24"/>
          <w:b/>
          <w:u w:val="single"/>
        </w:rPr>
        <w:t xml:space="preserve">  </w:t>
      </w:r>
      <w:r>
        <w:rPr>
          <w:sz w:val="24"/>
          <w:b/>
          <w:u w:val="single"/>
        </w:rPr>
        <w:t xml:space="preserve">GDS-    </w:t>
      </w:r>
      <w:r>
        <w:rPr>
          <w:sz w:val="24"/>
          <w:b/>
          <w:u w:val="single"/>
        </w:rPr>
        <w:t>合同货物配置清单</w:t>
      </w:r>
      <w:r>
        <w:rPr>
          <w:sz w:val="24"/>
          <w:b/>
        </w:rPr>
        <w:t>》。</w:t>
      </w:r>
    </w:p>
    <w:p>
      <w:pPr>
        <w:pStyle w:val="null3"/>
        <w:ind w:firstLine="480"/>
        <w:jc w:val="both"/>
      </w:pPr>
      <w:r>
        <w:rPr>
          <w:sz w:val="24"/>
        </w:rPr>
        <w:t>（</w:t>
      </w:r>
      <w:r>
        <w:rPr>
          <w:sz w:val="24"/>
        </w:rPr>
        <w:t>2</w:t>
      </w:r>
      <w:r>
        <w:rPr>
          <w:sz w:val="24"/>
        </w:rPr>
        <w:t>）附件二：联合体成员向甲方</w:t>
      </w:r>
      <w:r>
        <w:rPr>
          <w:sz w:val="24"/>
          <w:u w:val="single"/>
        </w:rPr>
        <w:t xml:space="preserve">/ </w:t>
      </w:r>
      <w:r>
        <w:rPr>
          <w:sz w:val="24"/>
        </w:rPr>
        <w:t>出具的《授权委托书》。</w:t>
      </w:r>
    </w:p>
    <w:p>
      <w:pPr>
        <w:pStyle w:val="null3"/>
        <w:ind w:firstLine="480"/>
        <w:jc w:val="both"/>
      </w:pPr>
      <w:r>
        <w:rPr>
          <w:sz w:val="24"/>
        </w:rPr>
        <w:t>（</w:t>
      </w:r>
      <w:r>
        <w:rPr>
          <w:sz w:val="24"/>
        </w:rPr>
        <w:t>3</w:t>
      </w:r>
      <w:r>
        <w:rPr>
          <w:sz w:val="24"/>
        </w:rPr>
        <w:t>）附件三：《货物样板确认书》。</w:t>
      </w:r>
    </w:p>
    <w:p>
      <w:pPr>
        <w:pStyle w:val="null3"/>
        <w:ind w:firstLine="480"/>
        <w:jc w:val="both"/>
      </w:pPr>
      <w:r>
        <w:rPr>
          <w:sz w:val="24"/>
        </w:rPr>
        <w:t>（</w:t>
      </w:r>
      <w:r>
        <w:rPr>
          <w:sz w:val="24"/>
        </w:rPr>
        <w:t>4</w:t>
      </w:r>
      <w:r>
        <w:rPr>
          <w:sz w:val="24"/>
        </w:rPr>
        <w:t>）附件四：</w:t>
      </w:r>
      <w:r>
        <w:rPr>
          <w:sz w:val="24"/>
        </w:rPr>
        <w:t>/</w:t>
      </w:r>
    </w:p>
    <w:p>
      <w:pPr>
        <w:pStyle w:val="null3"/>
        <w:ind w:firstLine="482"/>
        <w:jc w:val="both"/>
      </w:pPr>
      <w:r>
        <w:rPr>
          <w:sz w:val="24"/>
          <w:b/>
        </w:rPr>
        <w:t>第二十六条　其它约定的事项</w:t>
      </w:r>
    </w:p>
    <w:p>
      <w:pPr>
        <w:pStyle w:val="null3"/>
        <w:ind w:firstLine="482"/>
        <w:jc w:val="both"/>
      </w:pPr>
      <w:r>
        <w:rPr>
          <w:sz w:val="24"/>
          <w:b/>
        </w:rPr>
        <w:t>1</w:t>
      </w:r>
      <w:r>
        <w:rPr>
          <w:sz w:val="24"/>
          <w:b/>
        </w:rPr>
        <w:t>、有关技术培训或咨询服务的约定：</w:t>
      </w:r>
    </w:p>
    <w:p>
      <w:pPr>
        <w:pStyle w:val="null3"/>
        <w:ind w:firstLine="480"/>
        <w:jc w:val="both"/>
      </w:pPr>
      <w:r>
        <w:rPr>
          <w:sz w:val="24"/>
        </w:rPr>
        <w:t>（</w:t>
      </w:r>
      <w:r>
        <w:rPr>
          <w:sz w:val="24"/>
        </w:rPr>
        <w:t>1</w:t>
      </w:r>
      <w:r>
        <w:rPr>
          <w:sz w:val="24"/>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jc w:val="both"/>
      </w:pPr>
      <w:r>
        <w:rPr>
          <w:sz w:val="24"/>
        </w:rPr>
        <w:t>（</w:t>
      </w:r>
      <w:r>
        <w:rPr>
          <w:sz w:val="24"/>
        </w:rPr>
        <w:t>2</w:t>
      </w:r>
      <w:r>
        <w:rPr>
          <w:sz w:val="24"/>
        </w:rPr>
        <w:t>）乙方必须为所有被培训人员提供培训用文字资料和讲义等相关用品。所有的资料必须是中文书写。</w:t>
      </w:r>
    </w:p>
    <w:p>
      <w:pPr>
        <w:pStyle w:val="null3"/>
        <w:jc w:val="both"/>
      </w:pPr>
      <w:r>
        <w:rPr>
          <w:sz w:val="24"/>
        </w:rPr>
        <w:t>（</w:t>
      </w:r>
      <w:r>
        <w:rPr>
          <w:sz w:val="24"/>
        </w:rPr>
        <w:t>3</w:t>
      </w:r>
      <w:r>
        <w:rPr>
          <w:sz w:val="24"/>
        </w:rPr>
        <w:t>）乙方已将所有培训费用（含培训教材、差旅、食宿费用等）纳入合同总价。</w:t>
      </w:r>
    </w:p>
    <w:p>
      <w:pPr>
        <w:pStyle w:val="null3"/>
        <w:ind w:firstLine="480"/>
        <w:jc w:val="both"/>
      </w:pPr>
      <w:r>
        <w:rPr>
          <w:sz w:val="24"/>
        </w:rPr>
        <w:t>（</w:t>
      </w:r>
      <w:r>
        <w:rPr>
          <w:sz w:val="24"/>
        </w:rPr>
        <w:t>4</w:t>
      </w:r>
      <w:r>
        <w:rPr>
          <w:sz w:val="24"/>
        </w:rPr>
        <w:t>）必须根据采购的货物及采用的相关技术，提供全面的培训计划和课程内容安排。</w:t>
      </w:r>
    </w:p>
    <w:p>
      <w:pPr>
        <w:pStyle w:val="null3"/>
        <w:ind w:firstLine="480"/>
        <w:jc w:val="both"/>
      </w:pPr>
      <w:r>
        <w:rPr>
          <w:sz w:val="24"/>
        </w:rPr>
        <w:t>（</w:t>
      </w:r>
      <w:r>
        <w:rPr>
          <w:sz w:val="24"/>
        </w:rPr>
        <w:t>5</w:t>
      </w:r>
      <w:r>
        <w:rPr>
          <w:sz w:val="24"/>
        </w:rPr>
        <w:t>）列出具体计划并安排实施高水平的培训；</w:t>
      </w:r>
    </w:p>
    <w:p>
      <w:pPr>
        <w:pStyle w:val="null3"/>
        <w:ind w:firstLine="480"/>
        <w:jc w:val="both"/>
      </w:pPr>
      <w:r>
        <w:rPr>
          <w:sz w:val="24"/>
        </w:rPr>
        <w:t>（</w:t>
      </w:r>
      <w:r>
        <w:rPr>
          <w:sz w:val="24"/>
        </w:rPr>
        <w:t>6</w:t>
      </w:r>
      <w:r>
        <w:rPr>
          <w:sz w:val="24"/>
        </w:rPr>
        <w:t>）培训应包括所有设备的安装和维护、常见故障现象及诊断、常见问题及解决办法、操作系统使用等。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开户银行：工行广州大学城中环支行</w:t>
            </w:r>
          </w:p>
          <w:p>
            <w:pPr>
              <w:pStyle w:val="null3"/>
              <w:jc w:val="both"/>
            </w:pPr>
            <w:r>
              <w:rPr>
                <w:sz w:val="24"/>
              </w:rPr>
              <w:t>开户名称：广州大学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p>
            <w:pPr>
              <w:pStyle w:val="null3"/>
              <w:jc w:val="both"/>
            </w:pPr>
            <w:r>
              <w:rPr>
                <w:sz w:val="24"/>
              </w:rPr>
              <w:t>开户名称：</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r>
              <w:rPr>
                <w:sz w:val="24"/>
              </w:rPr>
              <w:t>3602114819100000192</w:t>
            </w:r>
          </w:p>
          <w:p>
            <w:pPr>
              <w:pStyle w:val="null3"/>
              <w:jc w:val="both"/>
            </w:pPr>
            <w:r>
              <w:rPr>
                <w:sz w:val="24"/>
              </w:rPr>
              <w:t>纳税人识别号</w:t>
            </w:r>
            <w:r>
              <w:rPr>
                <w:sz w:val="24"/>
              </w:rPr>
              <w:t>:124401007348911139</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p>
          <w:p>
            <w:pPr>
              <w:pStyle w:val="null3"/>
              <w:jc w:val="both"/>
            </w:pPr>
            <w:r>
              <w:rPr>
                <w:sz w:val="24"/>
              </w:rPr>
              <w:t>纳税人识别号</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地址与邮政编码：广州市番禺区大学城</w:t>
            </w:r>
          </w:p>
          <w:p>
            <w:pPr>
              <w:pStyle w:val="null3"/>
              <w:jc w:val="both"/>
            </w:pPr>
            <w:r>
              <w:rPr>
                <w:sz w:val="24"/>
              </w:rPr>
              <w:t>外环西路</w:t>
            </w:r>
            <w:r>
              <w:rPr>
                <w:sz w:val="24"/>
              </w:rPr>
              <w:t>230</w:t>
            </w:r>
            <w:r>
              <w:rPr>
                <w:sz w:val="24"/>
              </w:rPr>
              <w:t>号，</w:t>
            </w:r>
            <w:r>
              <w:rPr>
                <w:sz w:val="24"/>
              </w:rPr>
              <w:t>510006</w:t>
            </w:r>
          </w:p>
          <w:p>
            <w:pPr>
              <w:pStyle w:val="null3"/>
              <w:jc w:val="both"/>
            </w:pPr>
            <w:r>
              <w:rPr>
                <w:sz w:val="24"/>
              </w:rPr>
              <w:t>签约时间：年月日</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w:t>
            </w:r>
          </w:p>
          <w:p>
            <w:pPr>
              <w:pStyle w:val="null3"/>
              <w:jc w:val="both"/>
            </w:pPr>
            <w:r>
              <w:rPr>
                <w:sz w:val="24"/>
              </w:rPr>
              <w:t>签约时间：年　　月　日</w:t>
            </w:r>
          </w:p>
        </w:tc>
      </w:tr>
    </w:tbl>
    <w:p>
      <w:pPr>
        <w:pStyle w:val="null3"/>
        <w:jc w:val="both"/>
      </w:pPr>
      <w:r>
        <w:rPr>
          <w:sz w:val="24"/>
          <w:b/>
        </w:rPr>
        <w:t>附件：</w:t>
      </w:r>
      <w:r>
        <w:rPr>
          <w:sz w:val="24"/>
          <w:b/>
          <w:u w:val="single"/>
        </w:rPr>
        <w:t xml:space="preserve">GDS-    </w:t>
      </w:r>
      <w:r>
        <w:rPr>
          <w:sz w:val="24"/>
          <w:b/>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7"/>
        <w:gridCol w:w="1791"/>
        <w:gridCol w:w="5778"/>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货物名称</w:t>
            </w:r>
          </w:p>
        </w:tc>
        <w:tc>
          <w:tcPr>
            <w:tcW w:type="dxa" w:w="5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配置清单及技术指标</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i/>
        </w:rPr>
        <w:t>**</w:t>
      </w:r>
      <w:r>
        <w:rPr>
          <w:sz w:val="21"/>
          <w:i/>
        </w:rPr>
        <w:t>以下空白</w:t>
      </w:r>
      <w:r>
        <w:rPr>
          <w:sz w:val="21"/>
          <w:i/>
        </w:rPr>
        <w:t>**</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广州大学2024年文济楼办公家具采购项目</w:t>
      </w:r>
      <w:r>
        <w:rPr>
          <w:u w:val="single"/>
        </w:rPr>
        <w:t>”</w:t>
      </w:r>
      <w:r>
        <w:rPr/>
        <w:t>项目的招标[采购项目编号为：</w:t>
      </w:r>
      <w:r>
        <w:rPr>
          <w:u w:val="single"/>
        </w:rPr>
        <w:t>CZ2024-1154</w:t>
      </w:r>
      <w:r>
        <w:rPr/>
        <w:t>]，我方愿参与投标。</w:t>
      </w:r>
    </w:p>
    <w:p>
      <w:pPr>
        <w:pStyle w:val="null3"/>
        <w:ind w:firstLine="480"/>
      </w:pPr>
      <w:r>
        <w:rPr/>
        <w:t>我方确认收到贵方提供的</w:t>
      </w:r>
      <w:r>
        <w:rPr>
          <w:u w:val="single"/>
        </w:rPr>
        <w:t>“</w:t>
      </w:r>
      <w:r>
        <w:rPr>
          <w:u w:val="single"/>
        </w:rPr>
        <w:t>广州大学2024年文济楼办公家具采购项目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广州大学2024年文济楼办公家具采购项目</w:t>
      </w:r>
      <w:r>
        <w:rPr/>
        <w:t>”项目采购[采购项目编号为</w:t>
      </w:r>
      <w:r>
        <w:rPr/>
        <w:t>CZ2024-1154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广州大学2024年文济楼办公家具采购项目</w:t>
      </w:r>
      <w:r>
        <w:rPr/>
        <w:t>招标中获中标（采购项目编号：</w:t>
      </w:r>
      <w:r>
        <w:rPr/>
        <w:t>CZ2024-1154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