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0" w:firstLineChars="0"/>
        <w:rPr>
          <w:rFonts w:hint="eastAsia" w:ascii="宋体" w:hAnsi="宋体" w:eastAsia="宋体" w:cs="宋体"/>
          <w:color w:val="auto"/>
          <w:highlight w:val="none"/>
          <w:lang w:eastAsia="zh-CN"/>
        </w:rPr>
      </w:pPr>
    </w:p>
    <w:p>
      <w:pPr>
        <w:jc w:val="center"/>
        <w:rPr>
          <w:rFonts w:hint="eastAsia" w:ascii="宋体" w:hAnsi="宋体" w:eastAsia="宋体" w:cs="宋体"/>
          <w:b/>
          <w:color w:val="auto"/>
          <w:sz w:val="44"/>
          <w:szCs w:val="44"/>
          <w:highlight w:val="none"/>
        </w:rPr>
      </w:pPr>
    </w:p>
    <w:p>
      <w:pPr>
        <w:jc w:val="center"/>
        <w:rPr>
          <w:rFonts w:hint="eastAsia" w:ascii="宋体" w:hAnsi="宋体" w:eastAsia="宋体" w:cs="宋体"/>
          <w:b/>
          <w:bCs/>
          <w:color w:val="auto"/>
          <w:sz w:val="20"/>
          <w:szCs w:val="20"/>
          <w:highlight w:val="none"/>
        </w:rPr>
      </w:pPr>
      <w:r>
        <w:rPr>
          <w:rFonts w:hint="eastAsia" w:ascii="宋体" w:hAnsi="宋体" w:eastAsia="宋体" w:cs="宋体"/>
          <w:b/>
          <w:color w:val="auto"/>
          <w:sz w:val="72"/>
          <w:szCs w:val="72"/>
          <w:highlight w:val="none"/>
          <w:lang w:eastAsia="zh-CN"/>
        </w:rPr>
        <w:t>广东省中医院国家中医药传承创新中心项目设计</w:t>
      </w:r>
    </w:p>
    <w:p>
      <w:pPr>
        <w:jc w:val="center"/>
        <w:rPr>
          <w:rFonts w:hint="eastAsia" w:ascii="宋体" w:hAnsi="宋体" w:eastAsia="宋体" w:cs="宋体"/>
          <w:b/>
          <w:color w:val="auto"/>
          <w:sz w:val="96"/>
          <w:szCs w:val="84"/>
          <w:highlight w:val="none"/>
        </w:rPr>
      </w:pPr>
    </w:p>
    <w:p>
      <w:pPr>
        <w:jc w:val="center"/>
        <w:rPr>
          <w:rFonts w:hint="eastAsia" w:ascii="宋体" w:hAnsi="宋体" w:eastAsia="宋体" w:cs="宋体"/>
          <w:b/>
          <w:color w:val="auto"/>
          <w:sz w:val="96"/>
          <w:szCs w:val="84"/>
          <w:highlight w:val="none"/>
        </w:rPr>
      </w:pPr>
    </w:p>
    <w:p>
      <w:pPr>
        <w:jc w:val="center"/>
        <w:rPr>
          <w:rFonts w:hint="eastAsia" w:ascii="宋体" w:hAnsi="宋体" w:eastAsia="宋体" w:cs="宋体"/>
          <w:b/>
          <w:color w:val="auto"/>
          <w:sz w:val="72"/>
          <w:szCs w:val="72"/>
          <w:highlight w:val="none"/>
        </w:rPr>
      </w:pPr>
    </w:p>
    <w:p>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招</w:t>
      </w:r>
      <w:r>
        <w:rPr>
          <w:rFonts w:hint="eastAsia" w:ascii="宋体" w:hAnsi="宋体" w:eastAsia="宋体" w:cs="宋体"/>
          <w:b/>
          <w:color w:val="auto"/>
          <w:sz w:val="72"/>
          <w:szCs w:val="72"/>
          <w:highlight w:val="none"/>
          <w:lang w:val="en-US" w:eastAsia="zh-CN"/>
        </w:rPr>
        <w:t xml:space="preserve"> </w:t>
      </w:r>
      <w:r>
        <w:rPr>
          <w:rFonts w:hint="eastAsia" w:ascii="宋体" w:hAnsi="宋体" w:eastAsia="宋体" w:cs="宋体"/>
          <w:b/>
          <w:color w:val="auto"/>
          <w:sz w:val="72"/>
          <w:szCs w:val="72"/>
          <w:highlight w:val="none"/>
        </w:rPr>
        <w:t>标</w:t>
      </w:r>
      <w:r>
        <w:rPr>
          <w:rFonts w:hint="eastAsia" w:ascii="宋体" w:hAnsi="宋体" w:eastAsia="宋体" w:cs="宋体"/>
          <w:b/>
          <w:color w:val="auto"/>
          <w:sz w:val="72"/>
          <w:szCs w:val="72"/>
          <w:highlight w:val="none"/>
          <w:lang w:val="en-US" w:eastAsia="zh-CN"/>
        </w:rPr>
        <w:t xml:space="preserve"> </w:t>
      </w:r>
      <w:r>
        <w:rPr>
          <w:rFonts w:hint="eastAsia" w:ascii="宋体" w:hAnsi="宋体" w:eastAsia="宋体" w:cs="宋体"/>
          <w:b/>
          <w:color w:val="auto"/>
          <w:sz w:val="72"/>
          <w:szCs w:val="72"/>
          <w:highlight w:val="none"/>
        </w:rPr>
        <w:t>文</w:t>
      </w:r>
      <w:r>
        <w:rPr>
          <w:rFonts w:hint="eastAsia" w:ascii="宋体" w:hAnsi="宋体" w:eastAsia="宋体" w:cs="宋体"/>
          <w:b/>
          <w:color w:val="auto"/>
          <w:sz w:val="72"/>
          <w:szCs w:val="72"/>
          <w:highlight w:val="none"/>
          <w:lang w:val="en-US" w:eastAsia="zh-CN"/>
        </w:rPr>
        <w:t xml:space="preserve"> </w:t>
      </w:r>
      <w:r>
        <w:rPr>
          <w:rFonts w:hint="eastAsia" w:ascii="宋体" w:hAnsi="宋体" w:eastAsia="宋体" w:cs="宋体"/>
          <w:b/>
          <w:color w:val="auto"/>
          <w:sz w:val="72"/>
          <w:szCs w:val="72"/>
          <w:highlight w:val="none"/>
        </w:rPr>
        <w:t>件</w:t>
      </w:r>
    </w:p>
    <w:p>
      <w:pPr>
        <w:rPr>
          <w:rFonts w:hint="eastAsia" w:ascii="宋体" w:hAnsi="宋体" w:eastAsia="宋体" w:cs="宋体"/>
          <w:color w:val="auto"/>
          <w:sz w:val="44"/>
          <w:szCs w:val="44"/>
          <w:highlight w:val="none"/>
        </w:rPr>
      </w:pPr>
    </w:p>
    <w:p>
      <w:pPr>
        <w:pStyle w:val="8"/>
        <w:ind w:firstLine="880"/>
        <w:rPr>
          <w:rFonts w:hint="eastAsia" w:ascii="宋体" w:hAnsi="宋体" w:eastAsia="宋体" w:cs="宋体"/>
          <w:color w:val="auto"/>
          <w:sz w:val="44"/>
          <w:szCs w:val="44"/>
          <w:highlight w:val="none"/>
          <w:lang w:eastAsia="zh-CN"/>
        </w:rPr>
      </w:pPr>
    </w:p>
    <w:p>
      <w:pPr>
        <w:pStyle w:val="8"/>
        <w:ind w:firstLine="880"/>
        <w:rPr>
          <w:rFonts w:hint="eastAsia" w:ascii="宋体" w:hAnsi="宋体" w:eastAsia="宋体" w:cs="宋体"/>
          <w:color w:val="auto"/>
          <w:sz w:val="44"/>
          <w:szCs w:val="44"/>
          <w:highlight w:val="none"/>
          <w:lang w:eastAsia="zh-CN"/>
        </w:rPr>
      </w:pPr>
    </w:p>
    <w:p>
      <w:pPr>
        <w:rPr>
          <w:rFonts w:hint="eastAsia" w:ascii="宋体" w:hAnsi="宋体" w:eastAsia="宋体" w:cs="宋体"/>
          <w:color w:val="auto"/>
          <w:sz w:val="44"/>
          <w:szCs w:val="44"/>
          <w:highlight w:val="none"/>
        </w:rPr>
      </w:pPr>
    </w:p>
    <w:p>
      <w:pPr>
        <w:spacing w:before="8"/>
        <w:rPr>
          <w:rFonts w:hint="eastAsia" w:ascii="宋体" w:hAnsi="宋体" w:eastAsia="宋体" w:cs="宋体"/>
          <w:color w:val="auto"/>
          <w:sz w:val="33"/>
          <w:szCs w:val="33"/>
          <w:highlight w:val="none"/>
        </w:rPr>
      </w:pPr>
    </w:p>
    <w:p>
      <w:pPr>
        <w:spacing w:line="360" w:lineRule="auto"/>
        <w:ind w:firstLine="964" w:firstLineChars="3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招   标   人：</w:t>
      </w:r>
      <w:r>
        <w:rPr>
          <w:rFonts w:hint="eastAsia" w:ascii="宋体" w:hAnsi="宋体" w:eastAsia="宋体" w:cs="宋体"/>
          <w:b/>
          <w:color w:val="auto"/>
          <w:sz w:val="32"/>
          <w:highlight w:val="none"/>
          <w:lang w:eastAsia="zh-CN"/>
        </w:rPr>
        <w:t>广东省中医院</w:t>
      </w:r>
    </w:p>
    <w:p>
      <w:pPr>
        <w:spacing w:line="360" w:lineRule="auto"/>
        <w:ind w:firstLine="964" w:firstLineChars="3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招标代理机构：</w:t>
      </w:r>
      <w:r>
        <w:rPr>
          <w:rFonts w:hint="eastAsia" w:ascii="宋体" w:hAnsi="宋体" w:eastAsia="宋体" w:cs="宋体"/>
          <w:b/>
          <w:color w:val="auto"/>
          <w:sz w:val="32"/>
          <w:highlight w:val="none"/>
          <w:lang w:eastAsia="zh-CN"/>
        </w:rPr>
        <w:t>国义招标股份有限公司</w:t>
      </w:r>
    </w:p>
    <w:p>
      <w:pPr>
        <w:tabs>
          <w:tab w:val="left" w:pos="561"/>
        </w:tabs>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日        期：20</w:t>
      </w:r>
      <w:r>
        <w:rPr>
          <w:rFonts w:hint="eastAsia" w:ascii="宋体" w:hAnsi="宋体" w:eastAsia="宋体" w:cs="宋体"/>
          <w:b/>
          <w:color w:val="auto"/>
          <w:sz w:val="32"/>
          <w:szCs w:val="32"/>
          <w:highlight w:val="none"/>
          <w:lang w:val="en-US" w:eastAsia="zh-CN"/>
        </w:rPr>
        <w:t>24</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月</w:t>
      </w:r>
    </w:p>
    <w:p>
      <w:pPr>
        <w:pStyle w:val="18"/>
        <w:tabs>
          <w:tab w:val="right" w:pos="9350"/>
        </w:tabs>
        <w:spacing w:line="360" w:lineRule="auto"/>
        <w:jc w:val="center"/>
        <w:rPr>
          <w:rFonts w:hint="eastAsia" w:ascii="宋体" w:hAnsi="宋体" w:eastAsia="宋体" w:cs="宋体"/>
          <w:b/>
          <w:color w:val="auto"/>
          <w:sz w:val="32"/>
          <w:szCs w:val="32"/>
          <w:highlight w:val="none"/>
          <w:lang w:eastAsia="zh-CN"/>
        </w:rPr>
        <w:sectPr>
          <w:headerReference r:id="rId3" w:type="default"/>
          <w:pgSz w:w="12240" w:h="15840"/>
          <w:pgMar w:top="1440" w:right="1440" w:bottom="1440" w:left="1440" w:header="720" w:footer="720" w:gutter="0"/>
          <w:cols w:space="720" w:num="1"/>
        </w:sectPr>
      </w:pPr>
    </w:p>
    <w:p>
      <w:pPr>
        <w:pStyle w:val="18"/>
        <w:tabs>
          <w:tab w:val="right" w:pos="9350"/>
        </w:tabs>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目</w:t>
      </w:r>
      <w:r>
        <w:rPr>
          <w:rFonts w:hint="eastAsia" w:ascii="宋体" w:hAnsi="宋体" w:eastAsia="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lang w:eastAsia="zh-CN"/>
        </w:rPr>
        <w:t>录</w:t>
      </w:r>
    </w:p>
    <w:p>
      <w:pPr>
        <w:pStyle w:val="18"/>
        <w:keepNext w:val="0"/>
        <w:keepLines w:val="0"/>
        <w:pageBreakBefore w:val="0"/>
        <w:widowControl w:val="0"/>
        <w:tabs>
          <w:tab w:val="right" w:leader="dot" w:pos="936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fldChar w:fldCharType="begin"/>
      </w:r>
      <w:r>
        <w:rPr>
          <w:rFonts w:hint="eastAsia" w:ascii="宋体" w:hAnsi="宋体" w:eastAsia="宋体" w:cs="宋体"/>
          <w:b/>
          <w:bCs/>
          <w:color w:val="auto"/>
          <w:sz w:val="28"/>
          <w:szCs w:val="28"/>
          <w:highlight w:val="none"/>
          <w:lang w:eastAsia="zh-CN"/>
        </w:rPr>
        <w:instrText xml:space="preserve"> TOC \o "1-3" \h \z \u </w:instrText>
      </w:r>
      <w:r>
        <w:rPr>
          <w:rFonts w:hint="eastAsia" w:ascii="宋体" w:hAnsi="宋体" w:eastAsia="宋体" w:cs="宋体"/>
          <w:b/>
          <w:bCs/>
          <w:color w:val="auto"/>
          <w:sz w:val="28"/>
          <w:szCs w:val="28"/>
          <w:highlight w:val="none"/>
          <w:lang w:eastAsia="zh-CN"/>
        </w:rPr>
        <w:fldChar w:fldCharType="separate"/>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"_Toc32325"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第一章  招标公告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_Toc32325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18"/>
        <w:keepNext w:val="0"/>
        <w:keepLines w:val="0"/>
        <w:pageBreakBefore w:val="0"/>
        <w:widowControl w:val="0"/>
        <w:tabs>
          <w:tab w:val="right" w:leader="dot" w:pos="936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"_Toc20618"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第二章  投标人须知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_Toc20618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18"/>
        <w:keepNext w:val="0"/>
        <w:keepLines w:val="0"/>
        <w:pageBreakBefore w:val="0"/>
        <w:widowControl w:val="0"/>
        <w:tabs>
          <w:tab w:val="right" w:leader="dot" w:pos="936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"_Toc10838"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pacing w:val="2"/>
          <w:sz w:val="28"/>
          <w:szCs w:val="28"/>
          <w:highlight w:val="none"/>
        </w:rPr>
        <w:t>第三章</w:t>
      </w:r>
      <w:r>
        <w:rPr>
          <w:rFonts w:hint="eastAsia" w:ascii="宋体" w:hAnsi="宋体" w:eastAsia="宋体" w:cs="宋体"/>
          <w:b/>
          <w:bCs/>
          <w:color w:val="auto"/>
          <w:spacing w:val="2"/>
          <w:sz w:val="28"/>
          <w:szCs w:val="28"/>
          <w:highlight w:val="none"/>
          <w:lang w:eastAsia="zh-CN"/>
        </w:rPr>
        <w:t xml:space="preserve">  </w:t>
      </w:r>
      <w:r>
        <w:rPr>
          <w:rFonts w:hint="eastAsia" w:ascii="宋体" w:hAnsi="宋体" w:eastAsia="宋体" w:cs="宋体"/>
          <w:b/>
          <w:bCs/>
          <w:color w:val="auto"/>
          <w:spacing w:val="2"/>
          <w:sz w:val="28"/>
          <w:szCs w:val="28"/>
          <w:highlight w:val="none"/>
        </w:rPr>
        <w:t>评标办法（综合评估法）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_Toc10838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37</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18"/>
        <w:keepNext w:val="0"/>
        <w:keepLines w:val="0"/>
        <w:pageBreakBefore w:val="0"/>
        <w:widowControl w:val="0"/>
        <w:tabs>
          <w:tab w:val="right" w:leader="dot" w:pos="936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"_Toc23905"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第四章</w:t>
      </w:r>
      <w:r>
        <w:rPr>
          <w:rFonts w:hint="eastAsia" w:ascii="宋体" w:hAnsi="宋体" w:eastAsia="宋体" w:cs="宋体"/>
          <w:b/>
          <w:bCs/>
          <w:color w:val="auto"/>
          <w:sz w:val="28"/>
          <w:szCs w:val="28"/>
          <w:highlight w:val="none"/>
          <w:lang w:eastAsia="zh-CN"/>
        </w:rPr>
        <w:t xml:space="preserve"> </w:t>
      </w:r>
      <w:r>
        <w:rPr>
          <w:rFonts w:hint="eastAsia" w:ascii="宋体" w:hAnsi="宋体" w:eastAsia="宋体" w:cs="宋体"/>
          <w:b/>
          <w:bCs/>
          <w:color w:val="auto"/>
          <w:sz w:val="28"/>
          <w:szCs w:val="28"/>
          <w:highlight w:val="none"/>
        </w:rPr>
        <w:t xml:space="preserve"> 合同条款及格式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_Toc23905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53</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18"/>
        <w:keepNext w:val="0"/>
        <w:keepLines w:val="0"/>
        <w:pageBreakBefore w:val="0"/>
        <w:widowControl w:val="0"/>
        <w:tabs>
          <w:tab w:val="right" w:leader="dot" w:pos="936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"_Toc29802"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第五章</w:t>
      </w:r>
      <w:r>
        <w:rPr>
          <w:rFonts w:hint="eastAsia" w:ascii="宋体" w:hAnsi="宋体" w:eastAsia="宋体" w:cs="宋体"/>
          <w:b/>
          <w:bCs/>
          <w:color w:val="auto"/>
          <w:sz w:val="28"/>
          <w:szCs w:val="28"/>
          <w:highlight w:val="none"/>
          <w:lang w:eastAsia="zh-CN"/>
        </w:rPr>
        <w:t xml:space="preserve"> </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eastAsia="zh-CN"/>
        </w:rPr>
        <w:t>设计任务书</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lang w:val="en-US" w:eastAsia="zh-CN"/>
        </w:rPr>
        <w:t>1</w:t>
      </w:r>
    </w:p>
    <w:p>
      <w:pPr>
        <w:pStyle w:val="18"/>
        <w:keepNext w:val="0"/>
        <w:keepLines w:val="0"/>
        <w:pageBreakBefore w:val="0"/>
        <w:widowControl w:val="0"/>
        <w:tabs>
          <w:tab w:val="right" w:leader="dot" w:pos="936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"_Toc2738"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第六章  投标文件格式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_Toc2738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57</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keepNext w:val="0"/>
        <w:keepLines w:val="0"/>
        <w:pageBreakBefore w:val="0"/>
        <w:widowControl w:val="0"/>
        <w:tabs>
          <w:tab w:val="left" w:pos="561"/>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sectPr>
          <w:footerReference r:id="rId4" w:type="default"/>
          <w:pgSz w:w="12240" w:h="15840"/>
          <w:pgMar w:top="1440" w:right="1440" w:bottom="1440" w:left="1440" w:header="720" w:footer="720" w:gutter="0"/>
          <w:pgNumType w:start="1"/>
          <w:cols w:space="720" w:num="1"/>
        </w:sectPr>
      </w:pPr>
      <w:r>
        <w:rPr>
          <w:rFonts w:hint="eastAsia" w:ascii="宋体" w:hAnsi="宋体" w:eastAsia="宋体" w:cs="宋体"/>
          <w:b/>
          <w:bCs/>
          <w:color w:val="auto"/>
          <w:sz w:val="28"/>
          <w:szCs w:val="28"/>
          <w:highlight w:val="none"/>
        </w:rPr>
        <w:fldChar w:fldCharType="end"/>
      </w:r>
    </w:p>
    <w:p>
      <w:pPr>
        <w:jc w:val="both"/>
        <w:rPr>
          <w:rFonts w:hint="eastAsia" w:ascii="宋体" w:hAnsi="宋体" w:eastAsia="宋体" w:cs="宋体"/>
          <w:color w:val="auto"/>
          <w:highlight w:val="none"/>
        </w:rPr>
      </w:pPr>
    </w:p>
    <w:p>
      <w:pPr>
        <w:pStyle w:val="3"/>
        <w:jc w:val="center"/>
        <w:rPr>
          <w:rFonts w:hint="eastAsia" w:ascii="宋体" w:hAnsi="宋体" w:eastAsia="宋体" w:cs="宋体"/>
          <w:color w:val="auto"/>
          <w:highlight w:val="none"/>
        </w:rPr>
      </w:pPr>
      <w:bookmarkStart w:id="0" w:name="_Toc11420"/>
      <w:r>
        <w:rPr>
          <w:rFonts w:hint="eastAsia" w:ascii="宋体" w:hAnsi="宋体" w:eastAsia="宋体" w:cs="宋体"/>
          <w:color w:val="auto"/>
          <w:highlight w:val="none"/>
        </w:rPr>
        <w:t>第一卷</w:t>
      </w:r>
      <w:bookmarkEnd w:id="0"/>
    </w:p>
    <w:p>
      <w:pPr>
        <w:pStyle w:val="3"/>
        <w:jc w:val="center"/>
        <w:rPr>
          <w:rFonts w:hint="eastAsia" w:ascii="宋体" w:hAnsi="宋体" w:eastAsia="宋体" w:cs="宋体"/>
          <w:color w:val="auto"/>
          <w:highlight w:val="none"/>
        </w:rPr>
        <w:sectPr>
          <w:pgSz w:w="12240" w:h="15840"/>
          <w:pgMar w:top="1500" w:right="1720" w:bottom="1120" w:left="1720" w:header="0" w:footer="921" w:gutter="0"/>
          <w:cols w:space="720" w:num="1"/>
        </w:sectPr>
      </w:pPr>
    </w:p>
    <w:p>
      <w:pPr>
        <w:pStyle w:val="3"/>
        <w:numPr>
          <w:ilvl w:val="0"/>
          <w:numId w:val="0"/>
        </w:numPr>
        <w:jc w:val="both"/>
        <w:rPr>
          <w:rFonts w:hint="eastAsia" w:ascii="宋体" w:hAnsi="宋体" w:eastAsia="宋体" w:cs="宋体"/>
          <w:color w:val="auto"/>
          <w:highlight w:val="none"/>
        </w:rPr>
      </w:pPr>
      <w:bookmarkStart w:id="1" w:name="_Toc32325"/>
    </w:p>
    <w:p>
      <w:pPr>
        <w:pStyle w:val="3"/>
        <w:numPr>
          <w:ilvl w:val="0"/>
          <w:numId w:val="1"/>
        </w:numP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招标公告</w:t>
      </w:r>
      <w:bookmarkEnd w:id="1"/>
    </w:p>
    <w:p>
      <w:pPr>
        <w:numPr>
          <w:ilvl w:val="0"/>
          <w:numId w:val="0"/>
        </w:numPr>
        <w:jc w:val="center"/>
        <w:rPr>
          <w:rFonts w:hint="eastAsia" w:ascii="宋体" w:hAnsi="宋体" w:eastAsia="宋体" w:cs="宋体"/>
          <w:color w:val="auto"/>
          <w:sz w:val="32"/>
          <w:szCs w:val="36"/>
          <w:highlight w:val="none"/>
          <w:lang w:val="en-US" w:eastAsia="zh-CN"/>
        </w:rPr>
      </w:pPr>
      <w:r>
        <w:rPr>
          <w:rFonts w:hint="eastAsia" w:ascii="宋体" w:hAnsi="宋体" w:eastAsia="宋体" w:cs="宋体"/>
          <w:color w:val="auto"/>
          <w:sz w:val="32"/>
          <w:szCs w:val="36"/>
          <w:highlight w:val="none"/>
          <w:lang w:val="en-US" w:eastAsia="zh-CN"/>
        </w:rPr>
        <w:t>另 册</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widowControl/>
        <w:spacing w:line="360" w:lineRule="auto"/>
        <w:jc w:val="center"/>
        <w:rPr>
          <w:rFonts w:hint="eastAsia" w:ascii="宋体" w:hAnsi="宋体" w:eastAsia="宋体" w:cs="宋体"/>
          <w:b/>
          <w:bCs/>
          <w:color w:val="auto"/>
          <w:sz w:val="24"/>
          <w:szCs w:val="24"/>
          <w:highlight w:val="none"/>
        </w:rPr>
      </w:pPr>
    </w:p>
    <w:p>
      <w:pPr>
        <w:pStyle w:val="3"/>
        <w:spacing w:before="0" w:after="0" w:line="360" w:lineRule="auto"/>
        <w:jc w:val="center"/>
        <w:rPr>
          <w:rFonts w:hint="eastAsia" w:ascii="宋体" w:hAnsi="宋体" w:eastAsia="宋体" w:cs="宋体"/>
          <w:color w:val="auto"/>
          <w:sz w:val="30"/>
          <w:szCs w:val="30"/>
          <w:highlight w:val="none"/>
        </w:rPr>
      </w:pPr>
      <w:bookmarkStart w:id="2" w:name="_Toc20618"/>
      <w:r>
        <w:rPr>
          <w:rFonts w:hint="eastAsia" w:ascii="宋体" w:hAnsi="宋体" w:eastAsia="宋体" w:cs="宋体"/>
          <w:color w:val="auto"/>
          <w:sz w:val="30"/>
          <w:szCs w:val="30"/>
          <w:highlight w:val="none"/>
        </w:rPr>
        <w:t>第二章  投标人须知</w:t>
      </w:r>
      <w:bookmarkEnd w:id="2"/>
    </w:p>
    <w:p>
      <w:pPr>
        <w:pStyle w:val="5"/>
        <w:spacing w:before="0" w:after="0" w:line="360" w:lineRule="auto"/>
        <w:ind w:left="0"/>
        <w:jc w:val="center"/>
        <w:rPr>
          <w:rFonts w:hint="eastAsia" w:ascii="宋体" w:hAnsi="宋体" w:eastAsia="宋体" w:cs="宋体"/>
          <w:b w:val="0"/>
          <w:bCs w:val="0"/>
          <w:color w:val="auto"/>
          <w:sz w:val="30"/>
          <w:szCs w:val="30"/>
          <w:highlight w:val="none"/>
        </w:rPr>
      </w:pPr>
      <w:bookmarkStart w:id="3" w:name="_Toc2993"/>
      <w:r>
        <w:rPr>
          <w:rFonts w:hint="eastAsia" w:ascii="宋体" w:hAnsi="宋体" w:eastAsia="宋体" w:cs="宋体"/>
          <w:color w:val="auto"/>
          <w:sz w:val="30"/>
          <w:szCs w:val="30"/>
          <w:highlight w:val="none"/>
        </w:rPr>
        <w:t>投标人须知前附表</w:t>
      </w:r>
      <w:bookmarkEnd w:id="3"/>
    </w:p>
    <w:tbl>
      <w:tblPr>
        <w:tblStyle w:val="23"/>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8"/>
        <w:gridCol w:w="2773"/>
        <w:gridCol w:w="5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条款号</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条款名称</w:t>
            </w:r>
          </w:p>
        </w:tc>
        <w:tc>
          <w:tcPr>
            <w:tcW w:w="553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5538" w:type="dxa"/>
            <w:vAlign w:val="center"/>
          </w:tcPr>
          <w:p>
            <w:pPr>
              <w:pStyle w:val="31"/>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名称：广东省中医院</w:t>
            </w:r>
          </w:p>
          <w:p>
            <w:pPr>
              <w:pStyle w:val="31"/>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地址：广州市越秀区大德路111号</w:t>
            </w:r>
          </w:p>
          <w:p>
            <w:pPr>
              <w:pStyle w:val="31"/>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联系人：蓝工 </w:t>
            </w:r>
          </w:p>
          <w:p>
            <w:pPr>
              <w:pStyle w:val="31"/>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电话：020-81887233-31239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4"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5538" w:type="dxa"/>
            <w:vAlign w:val="center"/>
          </w:tcPr>
          <w:p>
            <w:pPr>
              <w:pStyle w:val="31"/>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名称：国义招标股份有限公司</w:t>
            </w:r>
          </w:p>
          <w:p>
            <w:pPr>
              <w:pStyle w:val="31"/>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地址：广州市越秀区东风东路726号19楼</w:t>
            </w:r>
          </w:p>
          <w:p>
            <w:pPr>
              <w:pStyle w:val="31"/>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联系人：林工、黄工</w:t>
            </w:r>
          </w:p>
          <w:p>
            <w:pPr>
              <w:pStyle w:val="31"/>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电话：020-37861059、37860562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招标项目名称</w:t>
            </w:r>
          </w:p>
        </w:tc>
        <w:tc>
          <w:tcPr>
            <w:tcW w:w="5538" w:type="dxa"/>
            <w:vAlign w:val="center"/>
          </w:tcPr>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广东省中医院国家中医药传承创新中心项目设计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项目建设地点</w:t>
            </w:r>
          </w:p>
        </w:tc>
        <w:tc>
          <w:tcPr>
            <w:tcW w:w="5538" w:type="dxa"/>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项目建设规模</w:t>
            </w:r>
          </w:p>
        </w:tc>
        <w:tc>
          <w:tcPr>
            <w:tcW w:w="5538" w:type="dxa"/>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项目投资估算</w:t>
            </w:r>
          </w:p>
        </w:tc>
        <w:tc>
          <w:tcPr>
            <w:tcW w:w="5538" w:type="dxa"/>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资金来源及比例</w:t>
            </w:r>
          </w:p>
        </w:tc>
        <w:tc>
          <w:tcPr>
            <w:tcW w:w="5538" w:type="dxa"/>
            <w:vAlign w:val="center"/>
          </w:tcPr>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5538" w:type="dxa"/>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5538" w:type="dxa"/>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设计服务期限</w:t>
            </w:r>
          </w:p>
        </w:tc>
        <w:tc>
          <w:tcPr>
            <w:tcW w:w="5538" w:type="dxa"/>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5538" w:type="dxa"/>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设计质量须满足国家相关规范和合同要求（具体详见设计合同）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2773" w:type="dxa"/>
            <w:vAlign w:val="center"/>
          </w:tcPr>
          <w:p>
            <w:pPr>
              <w:pStyle w:val="31"/>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投标人资质条件、能力、信誉</w:t>
            </w:r>
          </w:p>
        </w:tc>
        <w:tc>
          <w:tcPr>
            <w:tcW w:w="5538" w:type="dxa"/>
            <w:vAlign w:val="center"/>
          </w:tcPr>
          <w:p>
            <w:pPr>
              <w:pStyle w:val="31"/>
              <w:spacing w:line="240" w:lineRule="auto"/>
              <w:jc w:val="both"/>
              <w:rPr>
                <w:rFonts w:hint="eastAsia" w:ascii="宋体" w:hAnsi="宋体" w:eastAsia="宋体" w:cs="宋体"/>
                <w:b/>
                <w:color w:val="auto"/>
                <w:sz w:val="24"/>
                <w:szCs w:val="24"/>
                <w:highlight w:val="none"/>
                <w:lang w:eastAsia="zh-CN"/>
              </w:rPr>
            </w:pPr>
            <w:r>
              <w:rPr>
                <w:rFonts w:hint="eastAsia" w:ascii="宋体" w:hAnsi="宋体" w:eastAsia="宋体" w:cs="宋体"/>
                <w:b w:val="0"/>
                <w:bCs/>
                <w:color w:val="auto"/>
                <w:sz w:val="24"/>
                <w:szCs w:val="24"/>
                <w:highlight w:val="none"/>
                <w:u w:val="single"/>
                <w:lang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5538" w:type="dxa"/>
            <w:vAlign w:val="center"/>
          </w:tcPr>
          <w:p>
            <w:pP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接受</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3"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p>
        </w:tc>
        <w:tc>
          <w:tcPr>
            <w:tcW w:w="2773" w:type="dxa"/>
            <w:vAlign w:val="center"/>
          </w:tcPr>
          <w:p>
            <w:pPr>
              <w:pStyle w:val="31"/>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投标人不得存在的其他情形</w:t>
            </w:r>
          </w:p>
        </w:tc>
        <w:tc>
          <w:tcPr>
            <w:tcW w:w="5538" w:type="dxa"/>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（1）为招标人不具有独立法人资格的附属机构（单位）；</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（2）与招标人存在利害关系且可能影响招标公正性；</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（3）与本招标项目的其他投标人为同一个单位负责人；</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（4）与本招标项目的其他投标人存在控股、管理关系；</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（5）为本招标项目的代建人；</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（6）为本招标项目的招标代理机构；</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（7）与本招标项目的代建人或招标代理机构同为一个法定代表人；</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（8）与本招标项目的代建人或招标代理机构存在控股或参股关系；</w:t>
            </w:r>
          </w:p>
          <w:p>
            <w:pP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9）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color w:val="auto"/>
                <w:kern w:val="0"/>
                <w:sz w:val="24"/>
                <w:szCs w:val="24"/>
                <w:highlight w:val="none"/>
                <w:lang w:eastAsia="zh-CN"/>
              </w:rPr>
              <w:t>；</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（10）被责令停产停业、暂扣或者吊销许可证、暂扣或者吊销执照；（本项事实应当以根据《中华人民共和国行政处罚法》依法作出并已经生效的行政处罚决定为认定依据。）</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（11）进入清算程序，或被宣告破产，或其他丧失履约能力的情形；</w:t>
            </w: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（12）在最近三年内发生严重违约或重大设计质量问题（“严重违约”事实应当以司法机关、仲裁机构出具的认定文件为准。</w:t>
            </w:r>
            <w:r>
              <w:rPr>
                <w:rFonts w:hint="eastAsia" w:ascii="宋体" w:hAnsi="宋体" w:eastAsia="宋体" w:cs="宋体"/>
                <w:color w:val="auto"/>
                <w:kern w:val="0"/>
                <w:sz w:val="24"/>
                <w:szCs w:val="24"/>
                <w:highlight w:val="none"/>
                <w:lang w:eastAsia="zh-CN"/>
              </w:rPr>
              <w:t>“重大设计质量问题”</w:t>
            </w:r>
            <w:r>
              <w:rPr>
                <w:rFonts w:hint="eastAsia" w:ascii="宋体" w:hAnsi="宋体" w:eastAsia="宋体" w:cs="宋体"/>
                <w:color w:val="auto"/>
                <w:kern w:val="0"/>
                <w:sz w:val="24"/>
                <w:szCs w:val="24"/>
                <w:highlight w:val="none"/>
              </w:rPr>
              <w:t>以相关行业主管部门的行政处罚决定或司法机关出具的有关法律文书为准。“最近三年”是指从投标截止时间之日起逆推三年，以相关行业主管部门、司法机关、仲裁机构出具的生效文件的落款时间起计算）</w:t>
            </w:r>
          </w:p>
          <w:p>
            <w:pP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2" w:hRule="exact"/>
        </w:trPr>
        <w:tc>
          <w:tcPr>
            <w:tcW w:w="788"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2773"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5538" w:type="dxa"/>
            <w:vAlign w:val="center"/>
          </w:tcPr>
          <w:p>
            <w:pPr>
              <w:pStyle w:val="3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■不组织，由投标人自行现场考察。</w:t>
            </w:r>
          </w:p>
          <w:p>
            <w:pPr>
              <w:pStyle w:val="31"/>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补充说明如下：</w:t>
            </w:r>
          </w:p>
          <w:p>
            <w:pPr>
              <w:pStyle w:val="31"/>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自行对工程现场和周围环境进行现场考察，投标人应充分重视和仔细地进行现场考察，以获取那些须投标人自己负责的有关编制投标和签署合同所需的所有资料。一旦中标，现场考察即被认为其结果已在中标文件中得到充分反映。考察现场的费用由投标人自己承担。投标人若认为必要时，也可以独自增加现场考察活动。</w:t>
            </w:r>
          </w:p>
          <w:p>
            <w:pPr>
              <w:pStyle w:val="31"/>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pPr>
              <w:pStyle w:val="31"/>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（3）由招标人提供的资料和数据，只是为了使投标人能够利用招标人现有的资料。招标人对投标人由此而作出的推论、解释和结论概不负责。</w:t>
            </w:r>
          </w:p>
          <w:p>
            <w:pPr>
              <w:pStyle w:val="31"/>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（4）不论投标结果如何，投标人应承担其投标文件编制与递交所涉及的一切费用，招标人对上述费用不负任何责任。</w:t>
            </w:r>
          </w:p>
          <w:p>
            <w:pPr>
              <w:pStyle w:val="3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□组织，踏勘时间：</w:t>
            </w:r>
          </w:p>
          <w:p>
            <w:pPr>
              <w:pStyle w:val="31"/>
              <w:ind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exact"/>
        </w:trPr>
        <w:tc>
          <w:tcPr>
            <w:tcW w:w="788"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p>
        </w:tc>
        <w:tc>
          <w:tcPr>
            <w:tcW w:w="2773"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5538" w:type="dxa"/>
            <w:vAlign w:val="center"/>
          </w:tcPr>
          <w:p>
            <w:pPr>
              <w:pStyle w:val="3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■不召开</w:t>
            </w:r>
          </w:p>
          <w:p>
            <w:pPr>
              <w:pStyle w:val="3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□召开，召开时间：</w:t>
            </w:r>
          </w:p>
          <w:p>
            <w:pPr>
              <w:pStyle w:val="31"/>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8" w:type="dxa"/>
            <w:vMerge w:val="restart"/>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p>
        </w:tc>
        <w:tc>
          <w:tcPr>
            <w:tcW w:w="2773" w:type="dxa"/>
            <w:vMerge w:val="restart"/>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投标人在投标预备会前提出问题</w:t>
            </w:r>
          </w:p>
        </w:tc>
        <w:tc>
          <w:tcPr>
            <w:tcW w:w="5538" w:type="dxa"/>
            <w:vAlign w:val="center"/>
          </w:tcPr>
          <w:p>
            <w:pPr>
              <w:pStyle w:val="3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rPr>
        <w:tc>
          <w:tcPr>
            <w:tcW w:w="788" w:type="dxa"/>
            <w:vMerge w:val="continue"/>
            <w:vAlign w:val="center"/>
          </w:tcPr>
          <w:p>
            <w:pPr>
              <w:jc w:val="center"/>
              <w:rPr>
                <w:rFonts w:hint="eastAsia" w:ascii="宋体" w:hAnsi="宋体" w:eastAsia="宋体" w:cs="宋体"/>
                <w:color w:val="auto"/>
                <w:sz w:val="24"/>
                <w:szCs w:val="24"/>
                <w:highlight w:val="none"/>
              </w:rPr>
            </w:pPr>
          </w:p>
        </w:tc>
        <w:tc>
          <w:tcPr>
            <w:tcW w:w="2773" w:type="dxa"/>
            <w:vMerge w:val="continue"/>
            <w:vAlign w:val="center"/>
          </w:tcPr>
          <w:p>
            <w:pPr>
              <w:jc w:val="center"/>
              <w:rPr>
                <w:rFonts w:hint="eastAsia" w:ascii="宋体" w:hAnsi="宋体" w:eastAsia="宋体" w:cs="宋体"/>
                <w:color w:val="auto"/>
                <w:sz w:val="24"/>
                <w:szCs w:val="24"/>
                <w:highlight w:val="none"/>
              </w:rPr>
            </w:pPr>
          </w:p>
        </w:tc>
        <w:tc>
          <w:tcPr>
            <w:tcW w:w="5538" w:type="dxa"/>
            <w:vAlign w:val="center"/>
          </w:tcPr>
          <w:p>
            <w:pPr>
              <w:pStyle w:val="3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形式：</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exact"/>
        </w:trPr>
        <w:tc>
          <w:tcPr>
            <w:tcW w:w="788"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w:t>
            </w:r>
          </w:p>
        </w:tc>
        <w:tc>
          <w:tcPr>
            <w:tcW w:w="2773" w:type="dxa"/>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招标文件澄清发出的形式</w:t>
            </w:r>
          </w:p>
        </w:tc>
        <w:tc>
          <w:tcPr>
            <w:tcW w:w="5538"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6" w:hRule="atLeast"/>
        </w:trPr>
        <w:tc>
          <w:tcPr>
            <w:tcW w:w="788"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w:t>
            </w:r>
          </w:p>
        </w:tc>
        <w:tc>
          <w:tcPr>
            <w:tcW w:w="2773"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5538" w:type="dxa"/>
            <w:vAlign w:val="center"/>
          </w:tcPr>
          <w:p>
            <w:pPr>
              <w:pStyle w:val="31"/>
              <w:ind w:left="0" w:leftChars="0" w:right="0" w:righ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□不允许</w:t>
            </w:r>
          </w:p>
          <w:p>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■允许，分包内容要求：非主体的工程、非关键性的工作。</w:t>
            </w:r>
          </w:p>
          <w:p>
            <w:pPr>
              <w:pStyle w:val="31"/>
              <w:ind w:left="0" w:leftChars="0" w:right="0" w:righ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分包金额要求：/</w:t>
            </w:r>
          </w:p>
          <w:p>
            <w:pPr>
              <w:pStyle w:val="31"/>
              <w:ind w:left="0" w:leftChars="0" w:right="0" w:rightChars="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pacing w:val="-2"/>
                <w:sz w:val="24"/>
                <w:szCs w:val="24"/>
                <w:highlight w:val="none"/>
                <w:lang w:eastAsia="zh-CN"/>
              </w:rPr>
              <w:t>对分包人的资质要求：</w:t>
            </w:r>
            <w:r>
              <w:rPr>
                <w:rFonts w:hint="eastAsia" w:ascii="宋体" w:hAnsi="宋体" w:eastAsia="宋体" w:cs="宋体"/>
                <w:color w:val="auto"/>
                <w:sz w:val="24"/>
                <w:szCs w:val="24"/>
                <w:highlight w:val="none"/>
                <w:u w:val="single"/>
                <w:lang w:eastAsia="zh-CN"/>
              </w:rPr>
              <w:t>相对应的资质。</w:t>
            </w:r>
          </w:p>
          <w:p>
            <w:pPr>
              <w:widowControl/>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kern w:val="0"/>
                <w:sz w:val="24"/>
                <w:szCs w:val="24"/>
                <w:highlight w:val="none"/>
                <w:u w:val="single"/>
              </w:rPr>
              <w:t>对分包人的其他要求：按国家规定。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8"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w:t>
            </w:r>
          </w:p>
        </w:tc>
        <w:tc>
          <w:tcPr>
            <w:tcW w:w="2773"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实质性要求和条件</w:t>
            </w:r>
          </w:p>
        </w:tc>
        <w:tc>
          <w:tcPr>
            <w:tcW w:w="5538"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788"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w:t>
            </w:r>
          </w:p>
        </w:tc>
        <w:tc>
          <w:tcPr>
            <w:tcW w:w="2773"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w:t>
            </w:r>
          </w:p>
        </w:tc>
        <w:tc>
          <w:tcPr>
            <w:tcW w:w="5538" w:type="dxa"/>
            <w:vAlign w:val="center"/>
          </w:tcPr>
          <w:p>
            <w:pPr>
              <w:pStyle w:val="3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■不允许</w:t>
            </w:r>
          </w:p>
          <w:p>
            <w:pPr>
              <w:pStyle w:val="3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□允许，偏差范围：</w:t>
            </w:r>
            <w:r>
              <w:rPr>
                <w:rFonts w:hint="eastAsia" w:ascii="宋体" w:hAnsi="宋体" w:eastAsia="宋体" w:cs="宋体"/>
                <w:color w:val="auto"/>
                <w:sz w:val="24"/>
                <w:szCs w:val="24"/>
                <w:highlight w:val="none"/>
                <w:u w:val="single"/>
                <w:lang w:eastAsia="zh-CN"/>
              </w:rPr>
              <w:t xml:space="preserve"> </w:t>
            </w:r>
          </w:p>
          <w:p>
            <w:pPr>
              <w:pStyle w:val="3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exact"/>
        </w:trPr>
        <w:tc>
          <w:tcPr>
            <w:tcW w:w="788"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773" w:type="dxa"/>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构成招标文件的其他资料</w:t>
            </w:r>
          </w:p>
        </w:tc>
        <w:tc>
          <w:tcPr>
            <w:tcW w:w="5538"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7" w:hRule="atLeast"/>
        </w:trPr>
        <w:tc>
          <w:tcPr>
            <w:tcW w:w="788"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2773" w:type="dxa"/>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投标人要求澄清招标文件</w:t>
            </w:r>
          </w:p>
        </w:tc>
        <w:tc>
          <w:tcPr>
            <w:tcW w:w="5538" w:type="dxa"/>
            <w:vAlign w:val="center"/>
          </w:tcPr>
          <w:p>
            <w:pPr>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时间：在提交投标文件截止时间18天前提出。</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形式：投标人的疑问通过广州交易集团有限公司（广州公共资源交易中心）数字交易平台提交。按照广州交易集团有限公司（广州公共资源交易中心）数字交易平台关于全流程电子化项目的相关指南进行操作，详见：《房屋建筑和市政基础设施工程全流程电子化项目专章》。提问一律不得署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1" w:hRule="exact"/>
        </w:trPr>
        <w:tc>
          <w:tcPr>
            <w:tcW w:w="788"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773" w:type="dxa"/>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招标文件澄清发出的形式</w:t>
            </w:r>
          </w:p>
        </w:tc>
        <w:tc>
          <w:tcPr>
            <w:tcW w:w="5538" w:type="dxa"/>
            <w:vAlign w:val="center"/>
          </w:tcPr>
          <w:p>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招标人应在递交投标文件截止时间15日前将招标文件澄清文件在广州交易集团有限公司（广州公共资源交易中心）网站“招标答疑”专区发布。不足15日的，招标人应当顺延投标文件的截止时间。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2" w:hRule="exact"/>
        </w:trPr>
        <w:tc>
          <w:tcPr>
            <w:tcW w:w="788"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2773" w:type="dxa"/>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投标人确认收到招标文件澄清</w:t>
            </w:r>
          </w:p>
        </w:tc>
        <w:tc>
          <w:tcPr>
            <w:tcW w:w="5538"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exact"/>
        </w:trPr>
        <w:tc>
          <w:tcPr>
            <w:tcW w:w="788"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p>
        </w:tc>
        <w:tc>
          <w:tcPr>
            <w:tcW w:w="2773" w:type="dxa"/>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招标文件修改发出的形式</w:t>
            </w:r>
          </w:p>
        </w:tc>
        <w:tc>
          <w:tcPr>
            <w:tcW w:w="5538"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以补充公告或项目答疑澄清的方式在广州交易集团有限公司（广州公共资源交易中心）网站发布。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0" w:hRule="exact"/>
        </w:trPr>
        <w:tc>
          <w:tcPr>
            <w:tcW w:w="788" w:type="dxa"/>
            <w:vAlign w:val="center"/>
          </w:tcPr>
          <w:p>
            <w:pPr>
              <w:pStyle w:val="31"/>
              <w:jc w:val="center"/>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2.3.2</w:t>
            </w:r>
          </w:p>
        </w:tc>
        <w:tc>
          <w:tcPr>
            <w:tcW w:w="2773" w:type="dxa"/>
            <w:vAlign w:val="center"/>
          </w:tcPr>
          <w:p>
            <w:pPr>
              <w:pStyle w:val="31"/>
              <w:jc w:val="center"/>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eastAsia="zh-CN"/>
              </w:rPr>
              <w:t>投标人确认收到招标文件修改</w:t>
            </w:r>
          </w:p>
        </w:tc>
        <w:tc>
          <w:tcPr>
            <w:tcW w:w="5538"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文件的澄清或修改在广州交易集团有限公司（广州公共资源交易中心）网站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788" w:type="dxa"/>
            <w:vAlign w:val="center"/>
          </w:tcPr>
          <w:p>
            <w:pPr>
              <w:jc w:val="center"/>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3.1</w:t>
            </w:r>
          </w:p>
        </w:tc>
        <w:tc>
          <w:tcPr>
            <w:tcW w:w="2773" w:type="dxa"/>
            <w:vAlign w:val="center"/>
          </w:tcPr>
          <w:p>
            <w:pPr>
              <w:jc w:val="center"/>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投标文件的组成</w:t>
            </w:r>
          </w:p>
        </w:tc>
        <w:tc>
          <w:tcPr>
            <w:tcW w:w="5538" w:type="dxa"/>
            <w:vAlign w:val="center"/>
          </w:tcPr>
          <w:p>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满足本项目评审要求的其他资料。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8"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p>
        </w:tc>
        <w:tc>
          <w:tcPr>
            <w:tcW w:w="2773" w:type="dxa"/>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增值税税金的计算方法</w:t>
            </w:r>
          </w:p>
        </w:tc>
        <w:tc>
          <w:tcPr>
            <w:tcW w:w="5538"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投标人的投标报价为含税报价。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2" w:hRule="exact"/>
        </w:trPr>
        <w:tc>
          <w:tcPr>
            <w:tcW w:w="788"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w:t>
            </w:r>
          </w:p>
        </w:tc>
        <w:tc>
          <w:tcPr>
            <w:tcW w:w="2773"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报价方式</w:t>
            </w:r>
          </w:p>
        </w:tc>
        <w:tc>
          <w:tcPr>
            <w:tcW w:w="5538"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按招标文件第六章投标文件格式进行报价，并按招标文件有关要求盖单位电子印章上传。</w:t>
            </w:r>
            <w:r>
              <w:rPr>
                <w:rFonts w:hint="eastAsia" w:ascii="宋体" w:hAnsi="宋体" w:eastAsia="宋体" w:cs="宋体"/>
                <w:color w:val="auto"/>
                <w:sz w:val="24"/>
                <w:szCs w:val="24"/>
                <w:highlight w:val="none"/>
              </w:rPr>
              <w:t>投标人根据自身企业实力自行报价。设计费报价为投标人完成本招标项目所有设计工作及履行合同的成本、利润、税金及风险等。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exact"/>
        </w:trPr>
        <w:tc>
          <w:tcPr>
            <w:tcW w:w="788"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p>
        </w:tc>
        <w:tc>
          <w:tcPr>
            <w:tcW w:w="2773"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w:t>
            </w:r>
          </w:p>
        </w:tc>
        <w:tc>
          <w:tcPr>
            <w:tcW w:w="5538" w:type="dxa"/>
            <w:vAlign w:val="center"/>
          </w:tcPr>
          <w:p>
            <w:pPr>
              <w:pStyle w:val="31"/>
              <w:spacing w:line="240" w:lineRule="auto"/>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□无</w:t>
            </w:r>
          </w:p>
          <w:p>
            <w:pPr>
              <w:pStyle w:val="31"/>
              <w:spacing w:line="240" w:lineRule="auto"/>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■有，最高投标限价：</w:t>
            </w:r>
            <w:r>
              <w:rPr>
                <w:rFonts w:hint="eastAsia" w:ascii="宋体" w:hAnsi="宋体"/>
                <w:color w:val="auto"/>
                <w:sz w:val="24"/>
                <w:highlight w:val="none"/>
                <w:u w:val="single"/>
                <w:lang w:val="en-US" w:eastAsia="zh-CN"/>
              </w:rPr>
              <w:t>179.95</w:t>
            </w:r>
            <w:r>
              <w:rPr>
                <w:rFonts w:hint="eastAsia" w:ascii="宋体" w:hAnsi="宋体" w:eastAsia="宋体" w:cs="宋体"/>
                <w:color w:val="auto"/>
                <w:sz w:val="24"/>
                <w:szCs w:val="24"/>
                <w:highlight w:val="none"/>
                <w:u w:val="single"/>
                <w:lang w:val="en-US" w:eastAsia="zh-CN"/>
              </w:rPr>
              <w:t>万元</w:t>
            </w:r>
            <w:r>
              <w:rPr>
                <w:rFonts w:hint="eastAsia" w:ascii="宋体" w:hAnsi="宋体" w:eastAsia="宋体" w:cs="宋体"/>
                <w:color w:val="auto"/>
                <w:sz w:val="24"/>
                <w:szCs w:val="24"/>
                <w:highlight w:val="none"/>
                <w:u w:val="single"/>
                <w:lang w:eastAsia="zh-CN"/>
              </w:rPr>
              <w:t>。</w:t>
            </w:r>
          </w:p>
          <w:p>
            <w:pPr>
              <w:pStyle w:val="31"/>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投标报价超过最高投标限价的为无效标。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0" w:hRule="exact"/>
        </w:trPr>
        <w:tc>
          <w:tcPr>
            <w:tcW w:w="788"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p>
        </w:tc>
        <w:tc>
          <w:tcPr>
            <w:tcW w:w="2773"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投标报价的其他要求</w:t>
            </w:r>
          </w:p>
        </w:tc>
        <w:tc>
          <w:tcPr>
            <w:tcW w:w="5538" w:type="dxa"/>
            <w:vAlign w:val="center"/>
          </w:tcPr>
          <w:p>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1、各投标单位在最高投标限价内根据企业自身实力进行含税报价。</w:t>
            </w:r>
          </w:p>
          <w:p>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2、投标人在投标截止时间前修改《</w:t>
            </w:r>
            <w:r>
              <w:rPr>
                <w:rFonts w:hint="eastAsia" w:ascii="宋体" w:hAnsi="宋体" w:eastAsia="宋体" w:cs="宋体"/>
                <w:color w:val="auto"/>
                <w:sz w:val="24"/>
                <w:szCs w:val="24"/>
                <w:highlight w:val="none"/>
                <w:lang w:eastAsia="zh-CN"/>
              </w:rPr>
              <w:t>工程设计费报价表</w:t>
            </w:r>
            <w:r>
              <w:rPr>
                <w:rFonts w:hint="eastAsia" w:ascii="宋体" w:hAnsi="宋体" w:eastAsia="宋体" w:cs="宋体"/>
                <w:color w:val="auto"/>
                <w:sz w:val="24"/>
                <w:szCs w:val="24"/>
                <w:highlight w:val="none"/>
              </w:rPr>
              <w:t>》中的投标总价的，应同时修改第六章“投标文件格式”中投标报价表的相应报价。</w:t>
            </w:r>
          </w:p>
          <w:p>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3、投标人的报价，应是其按第五章“</w:t>
            </w:r>
            <w:r>
              <w:rPr>
                <w:rFonts w:hint="eastAsia" w:ascii="宋体" w:hAnsi="宋体" w:eastAsia="宋体" w:cs="宋体"/>
                <w:color w:val="auto"/>
                <w:sz w:val="24"/>
                <w:szCs w:val="24"/>
                <w:highlight w:val="none"/>
                <w:lang w:val="en-US" w:eastAsia="zh-CN"/>
              </w:rPr>
              <w:t>设计任务书</w:t>
            </w:r>
            <w:r>
              <w:rPr>
                <w:rFonts w:hint="eastAsia" w:ascii="宋体" w:hAnsi="宋体" w:eastAsia="宋体" w:cs="宋体"/>
                <w:color w:val="auto"/>
                <w:sz w:val="24"/>
                <w:szCs w:val="24"/>
                <w:highlight w:val="none"/>
              </w:rPr>
              <w:t>”完成服务工作的所有费用，包括人工费、设备使用费、管理费和利润，以及保险费、合同明示或暗示的风险、责任和义务涉及费用等。</w:t>
            </w:r>
          </w:p>
          <w:p>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4、工程设计费的结算原则具体详见合同条款的约定。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5538" w:type="dxa"/>
            <w:vAlign w:val="center"/>
          </w:tcPr>
          <w:p>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日历天</w:t>
            </w:r>
            <w:r>
              <w:rPr>
                <w:rFonts w:hint="eastAsia" w:ascii="宋体" w:hAnsi="宋体" w:eastAsia="宋体" w:cs="宋体"/>
                <w:color w:val="auto"/>
                <w:sz w:val="24"/>
                <w:szCs w:val="24"/>
                <w:highlight w:val="none"/>
                <w:u w:val="single"/>
              </w:rPr>
              <w:t>（从提交投标截止之日起计算。如出现异议或投诉，则投标有效期自动延长至异议或投诉处理结束）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9" w:hRule="exact"/>
        </w:trPr>
        <w:tc>
          <w:tcPr>
            <w:tcW w:w="788"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p>
        </w:tc>
        <w:tc>
          <w:tcPr>
            <w:tcW w:w="2773"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5538" w:type="dxa"/>
            <w:vAlign w:val="center"/>
          </w:tcPr>
          <w:p>
            <w:pPr>
              <w:topLinePun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是否要求投标人递交投标保证金：</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pacing w:val="-1"/>
                <w:sz w:val="24"/>
                <w:szCs w:val="24"/>
                <w:highlight w:val="none"/>
              </w:rPr>
              <w:t>不</w:t>
            </w:r>
            <w:r>
              <w:rPr>
                <w:rFonts w:hint="eastAsia" w:ascii="宋体" w:hAnsi="宋体" w:eastAsia="宋体" w:cs="宋体"/>
                <w:color w:val="auto"/>
                <w:sz w:val="24"/>
                <w:szCs w:val="24"/>
                <w:highlight w:val="none"/>
              </w:rPr>
              <w:t>要求</w:t>
            </w: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topLinePunct/>
              <w:rPr>
                <w:rFonts w:hint="eastAsia" w:ascii="宋体" w:hAnsi="宋体" w:eastAsia="宋体" w:cs="宋体"/>
                <w:color w:val="auto"/>
                <w:sz w:val="24"/>
                <w:szCs w:val="24"/>
                <w:highlight w:val="none"/>
              </w:rPr>
            </w:pPr>
          </w:p>
          <w:p>
            <w:pPr>
              <w:topLinePun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pacing w:val="-1"/>
                <w:sz w:val="24"/>
                <w:szCs w:val="24"/>
                <w:highlight w:val="none"/>
              </w:rPr>
              <w:t>不</w:t>
            </w:r>
            <w:r>
              <w:rPr>
                <w:rFonts w:hint="eastAsia" w:ascii="宋体" w:hAnsi="宋体" w:eastAsia="宋体" w:cs="宋体"/>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exact"/>
        </w:trPr>
        <w:tc>
          <w:tcPr>
            <w:tcW w:w="788" w:type="dxa"/>
            <w:vAlign w:val="center"/>
          </w:tcPr>
          <w:p>
            <w:pPr>
              <w:autoSpaceDE w:val="0"/>
              <w:autoSpaceDN w:val="0"/>
              <w:adjustRightInd w:val="0"/>
              <w:spacing w:line="24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w:t>
            </w:r>
          </w:p>
        </w:tc>
        <w:tc>
          <w:tcPr>
            <w:tcW w:w="2773" w:type="dxa"/>
            <w:vAlign w:val="center"/>
          </w:tcPr>
          <w:p>
            <w:pPr>
              <w:autoSpaceDE w:val="0"/>
              <w:autoSpaceDN w:val="0"/>
              <w:adjustRightInd w:val="0"/>
              <w:spacing w:before="0" w:line="24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其他可以不予退还投标保</w:t>
            </w:r>
          </w:p>
          <w:p>
            <w:pPr>
              <w:autoSpaceDE w:val="0"/>
              <w:autoSpaceDN w:val="0"/>
              <w:adjustRightInd w:val="0"/>
              <w:spacing w:before="0" w:line="24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证金的情形</w:t>
            </w:r>
          </w:p>
        </w:tc>
        <w:tc>
          <w:tcPr>
            <w:tcW w:w="5538" w:type="dxa"/>
            <w:vAlign w:val="center"/>
          </w:tcPr>
          <w:p>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6"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2773" w:type="dxa"/>
            <w:vAlign w:val="center"/>
          </w:tcPr>
          <w:p>
            <w:pPr>
              <w:pStyle w:val="31"/>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资格审查资料的特殊要求</w:t>
            </w:r>
          </w:p>
        </w:tc>
        <w:tc>
          <w:tcPr>
            <w:tcW w:w="5538" w:type="dxa"/>
            <w:vAlign w:val="center"/>
          </w:tcPr>
          <w:p>
            <w:pPr>
              <w:topLinePunct/>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w:t>
            </w:r>
          </w:p>
          <w:p>
            <w:pPr>
              <w:topLinePunct/>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具体要求：本招标项目不要求提供“投标人基本情况表”、“近年财务状况表”、“近年发生的诉讼及仲裁情况”、“近年完成的类似项目情况表”、“正在设计和新承接的项目情况表”、“拟委任的主要人员汇总表”，以上内容不作为资格审查内容；如本招标项目要求提供以上资料，则不作为资格审查内容，仅作为评标资料（如有）</w:t>
            </w:r>
            <w:r>
              <w:rPr>
                <w:rFonts w:hint="eastAsia" w:ascii="宋体" w:hAnsi="宋体" w:eastAsia="宋体" w:cs="宋体"/>
                <w:color w:val="auto"/>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w:t>
            </w:r>
          </w:p>
        </w:tc>
        <w:tc>
          <w:tcPr>
            <w:tcW w:w="2773" w:type="dxa"/>
            <w:vAlign w:val="center"/>
          </w:tcPr>
          <w:p>
            <w:pPr>
              <w:pStyle w:val="31"/>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近年财务状况的年份要求</w:t>
            </w:r>
          </w:p>
        </w:tc>
        <w:tc>
          <w:tcPr>
            <w:tcW w:w="5538" w:type="dxa"/>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2773" w:type="dxa"/>
            <w:vAlign w:val="center"/>
          </w:tcPr>
          <w:p>
            <w:pPr>
              <w:pStyle w:val="31"/>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近年完成的类似项目情况的时间要求</w:t>
            </w:r>
          </w:p>
        </w:tc>
        <w:tc>
          <w:tcPr>
            <w:tcW w:w="5538" w:type="dxa"/>
            <w:vAlign w:val="center"/>
          </w:tcPr>
          <w:p>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w:t>
            </w:r>
          </w:p>
        </w:tc>
        <w:tc>
          <w:tcPr>
            <w:tcW w:w="2773" w:type="dxa"/>
            <w:vAlign w:val="center"/>
          </w:tcPr>
          <w:p>
            <w:pPr>
              <w:pStyle w:val="31"/>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近年发生的诉讼及仲裁情况的时间要求</w:t>
            </w:r>
          </w:p>
        </w:tc>
        <w:tc>
          <w:tcPr>
            <w:tcW w:w="5538" w:type="dxa"/>
            <w:vAlign w:val="center"/>
          </w:tcPr>
          <w:p>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2773" w:type="dxa"/>
            <w:vAlign w:val="center"/>
          </w:tcPr>
          <w:p>
            <w:pPr>
              <w:pStyle w:val="31"/>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是否允许递交备选投标方案</w:t>
            </w:r>
          </w:p>
        </w:tc>
        <w:tc>
          <w:tcPr>
            <w:tcW w:w="5538" w:type="dxa"/>
            <w:vAlign w:val="center"/>
          </w:tcPr>
          <w:p>
            <w:pPr>
              <w:pStyle w:val="31"/>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p>
            <w:pPr>
              <w:pStyle w:val="31"/>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exact"/>
        </w:trPr>
        <w:tc>
          <w:tcPr>
            <w:tcW w:w="788" w:type="dxa"/>
            <w:vAlign w:val="center"/>
          </w:tcPr>
          <w:p>
            <w:pPr>
              <w:autoSpaceDE w:val="0"/>
              <w:autoSpaceDN w:val="0"/>
              <w:adjustRightInd w:val="0"/>
              <w:spacing w:line="24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42"/>
                <w:sz w:val="24"/>
                <w:szCs w:val="24"/>
                <w:highlight w:val="none"/>
              </w:rPr>
              <w:t>A</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2</w:t>
            </w:r>
            <w:r>
              <w:rPr>
                <w:rFonts w:hint="eastAsia" w:ascii="宋体" w:hAnsi="宋体" w:eastAsia="宋体" w:cs="宋体"/>
                <w:color w:val="auto"/>
                <w:sz w:val="24"/>
                <w:szCs w:val="24"/>
                <w:highlight w:val="none"/>
              </w:rPr>
              <w:t>）</w:t>
            </w:r>
          </w:p>
        </w:tc>
        <w:tc>
          <w:tcPr>
            <w:tcW w:w="2773" w:type="dxa"/>
          </w:tcPr>
          <w:p>
            <w:pPr>
              <w:autoSpaceDE w:val="0"/>
              <w:autoSpaceDN w:val="0"/>
              <w:adjustRightInd w:val="0"/>
              <w:spacing w:before="0" w:line="24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投标文件副本份数及其他要求</w:t>
            </w:r>
          </w:p>
        </w:tc>
        <w:tc>
          <w:tcPr>
            <w:tcW w:w="5538" w:type="dxa"/>
            <w:vAlign w:val="center"/>
          </w:tcPr>
          <w:p>
            <w:pPr>
              <w:autoSpaceDE w:val="0"/>
              <w:autoSpaceDN w:val="0"/>
              <w:adjustRightInd w:val="0"/>
              <w:spacing w:before="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exact"/>
        </w:trPr>
        <w:tc>
          <w:tcPr>
            <w:tcW w:w="788" w:type="dxa"/>
            <w:vAlign w:val="center"/>
          </w:tcPr>
          <w:p>
            <w:pPr>
              <w:autoSpaceDE w:val="0"/>
              <w:autoSpaceDN w:val="0"/>
              <w:adjustRightInd w:val="0"/>
              <w:spacing w:line="24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42"/>
                <w:sz w:val="24"/>
                <w:szCs w:val="24"/>
                <w:highlight w:val="none"/>
              </w:rPr>
              <w:t>A</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3</w:t>
            </w:r>
            <w:r>
              <w:rPr>
                <w:rFonts w:hint="eastAsia" w:ascii="宋体" w:hAnsi="宋体" w:eastAsia="宋体" w:cs="宋体"/>
                <w:color w:val="auto"/>
                <w:sz w:val="24"/>
                <w:szCs w:val="24"/>
                <w:highlight w:val="none"/>
              </w:rPr>
              <w:t>）</w:t>
            </w:r>
          </w:p>
        </w:tc>
        <w:tc>
          <w:tcPr>
            <w:tcW w:w="2773" w:type="dxa"/>
          </w:tcPr>
          <w:p>
            <w:pPr>
              <w:autoSpaceDE w:val="0"/>
              <w:autoSpaceDN w:val="0"/>
              <w:adjustRightInd w:val="0"/>
              <w:spacing w:before="0" w:line="24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投标文件是否需分册装订</w:t>
            </w:r>
          </w:p>
        </w:tc>
        <w:tc>
          <w:tcPr>
            <w:tcW w:w="5538" w:type="dxa"/>
            <w:vAlign w:val="center"/>
          </w:tcPr>
          <w:p>
            <w:pPr>
              <w:autoSpaceDE w:val="0"/>
              <w:autoSpaceDN w:val="0"/>
              <w:adjustRightInd w:val="0"/>
              <w:spacing w:before="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exact"/>
        </w:trPr>
        <w:tc>
          <w:tcPr>
            <w:tcW w:w="788" w:type="dxa"/>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3.7.3（B）</w:t>
            </w:r>
          </w:p>
        </w:tc>
        <w:tc>
          <w:tcPr>
            <w:tcW w:w="2773" w:type="dxa"/>
            <w:vAlign w:val="center"/>
          </w:tcPr>
          <w:p>
            <w:pPr>
              <w:spacing w:line="24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投标文件所附证书证件要求</w:t>
            </w:r>
          </w:p>
        </w:tc>
        <w:tc>
          <w:tcPr>
            <w:tcW w:w="5538" w:type="dxa"/>
            <w:vAlign w:val="center"/>
          </w:tcPr>
          <w:p>
            <w:pPr>
              <w:pStyle w:val="10"/>
              <w:topLinePunct/>
              <w:spacing w:after="0"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投标文件所附证书证件均为清晰扫描件。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4" w:hRule="exact"/>
        </w:trPr>
        <w:tc>
          <w:tcPr>
            <w:tcW w:w="788" w:type="dxa"/>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3.7.3（B）</w:t>
            </w:r>
          </w:p>
        </w:tc>
        <w:tc>
          <w:tcPr>
            <w:tcW w:w="2773" w:type="dxa"/>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投标文件签字或盖章要求</w:t>
            </w:r>
          </w:p>
        </w:tc>
        <w:tc>
          <w:tcPr>
            <w:tcW w:w="5538" w:type="dxa"/>
            <w:vAlign w:val="center"/>
          </w:tcPr>
          <w:p>
            <w:pPr>
              <w:pStyle w:val="10"/>
              <w:topLinePunct/>
              <w:snapToGri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全部采用电子文档，投标文件所附证书证件均为清晰扫描件，并采用单位数字证书，按招标文件要求在相应位置加盖电子印章（技术文件（设计方案）除外）。投标文件中需个人签字或盖章的，应在线下完成后扫描上传。具体操作详见广州交易集团有限公司（广州公共资源交易中心）网站最新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8"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4.1.1（B）</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投标文件加密要求</w:t>
            </w:r>
          </w:p>
        </w:tc>
        <w:tc>
          <w:tcPr>
            <w:tcW w:w="5538" w:type="dxa"/>
            <w:vAlign w:val="center"/>
          </w:tcPr>
          <w:p>
            <w:pPr>
              <w:pStyle w:val="31"/>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1.网上递交的电子投标文件须进行加密。具体操作详见广州交易集团有限公司（广州公共资源交易中心）网站最新指引。</w:t>
            </w:r>
          </w:p>
          <w:p>
            <w:pPr>
              <w:pStyle w:val="31"/>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2.未按要求密封的投标文件备用光盘，招标人将予以拒收。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0" w:hRule="exact"/>
        </w:trPr>
        <w:tc>
          <w:tcPr>
            <w:tcW w:w="788" w:type="dxa"/>
            <w:vAlign w:val="center"/>
          </w:tcPr>
          <w:p>
            <w:pPr>
              <w:pStyle w:val="31"/>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4.1.2</w:t>
            </w:r>
          </w:p>
        </w:tc>
        <w:tc>
          <w:tcPr>
            <w:tcW w:w="2773" w:type="dxa"/>
            <w:vAlign w:val="center"/>
          </w:tcPr>
          <w:p>
            <w:pPr>
              <w:pStyle w:val="31"/>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封套上应载明的信息</w:t>
            </w:r>
          </w:p>
        </w:tc>
        <w:tc>
          <w:tcPr>
            <w:tcW w:w="5538" w:type="dxa"/>
            <w:vAlign w:val="center"/>
          </w:tcPr>
          <w:p>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如有提交投标文件光盘备用，封套上应注明如下信息：</w:t>
            </w:r>
          </w:p>
          <w:p>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刻录好的投标文件光盘分别密封在不透明的密封袋并作标记，其中：</w:t>
            </w:r>
          </w:p>
          <w:p>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1.“资格审查文件光盘”、“商务文件光盘”应分别在密封袋上写明（1）招标人名称；（2）“[工项目名称]资格审查文件光盘或商务文件光盘”字样；（3）投标人名称；并在封口处加盖投标人公章；</w:t>
            </w:r>
          </w:p>
          <w:p>
            <w:pPr>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技术文件（设计方案）光盘”、“保密文件光盘”应仅在密封袋上写明“[项目名称][技术文件（设计方案）光盘或保密文件光盘]”字样，并不得标注或做任何可以辨认投标人及专业技术人员身份的名称、印章、商标、图形等记认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7"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5538" w:type="dxa"/>
            <w:vAlign w:val="center"/>
          </w:tcPr>
          <w:p>
            <w:pPr>
              <w:pStyle w:val="31"/>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详见招标公告。具体时间可以到广州交易集团有限公司（广州公共资源交易中心）交易平台“建设工程→项目查询（日程安排、答疑纪要）”输入本项目编号或项目名称进行查询。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2"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r>
              <w:rPr>
                <w:rFonts w:hint="eastAsia" w:ascii="宋体" w:hAnsi="宋体" w:eastAsia="宋体" w:cs="宋体"/>
                <w:color w:val="auto"/>
                <w:sz w:val="24"/>
                <w:szCs w:val="24"/>
                <w:highlight w:val="none"/>
                <w:lang w:eastAsia="zh-CN"/>
              </w:rPr>
              <w:t>B</w:t>
            </w:r>
            <w:r>
              <w:rPr>
                <w:rFonts w:hint="eastAsia" w:ascii="宋体" w:hAnsi="宋体" w:eastAsia="宋体" w:cs="宋体"/>
                <w:color w:val="auto"/>
                <w:sz w:val="24"/>
                <w:szCs w:val="24"/>
                <w:highlight w:val="none"/>
              </w:rPr>
              <w:t>）</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递交投标文件地点</w:t>
            </w:r>
          </w:p>
        </w:tc>
        <w:tc>
          <w:tcPr>
            <w:tcW w:w="5538" w:type="dxa"/>
            <w:vAlign w:val="center"/>
          </w:tcPr>
          <w:p>
            <w:pPr>
              <w:pStyle w:val="31"/>
              <w:spacing w:line="24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1、投标人登录广州交易集团有限公司（广州公共资源交易中心）交易平台递交电子投标文件。</w:t>
            </w:r>
          </w:p>
          <w:p>
            <w:pPr>
              <w:pStyle w:val="31"/>
              <w:spacing w:line="24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2、投标人完成电子投标文件上传后，交易平台即时向投标人发出递交回执通知。递交时间以递交回执通知载明的传输完成时间为准。</w:t>
            </w:r>
          </w:p>
          <w:p>
            <w:pPr>
              <w:pStyle w:val="31"/>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3、逾期送达的投标文件，交易平台将予以拒收。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投标文件是否退还</w:t>
            </w:r>
          </w:p>
        </w:tc>
        <w:tc>
          <w:tcPr>
            <w:tcW w:w="5538" w:type="dxa"/>
            <w:vAlign w:val="center"/>
          </w:tcPr>
          <w:p>
            <w:pPr>
              <w:pStyle w:val="31"/>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■否</w:t>
            </w:r>
          </w:p>
          <w:p>
            <w:pPr>
              <w:pStyle w:val="31"/>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0"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5.1（A）</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5538" w:type="dxa"/>
            <w:vAlign w:val="center"/>
          </w:tcPr>
          <w:p>
            <w:pPr>
              <w:pStyle w:val="31"/>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同投标文件递交截止时间和递交备用光盘地点。</w:t>
            </w:r>
            <w:r>
              <w:rPr>
                <w:rFonts w:hint="eastAsia" w:ascii="宋体" w:hAnsi="宋体" w:eastAsia="宋体" w:cs="宋体"/>
                <w:b/>
                <w:color w:val="auto"/>
                <w:sz w:val="24"/>
                <w:szCs w:val="24"/>
                <w:highlight w:val="none"/>
                <w:lang w:eastAsia="zh-CN"/>
              </w:rPr>
              <w:t>投标人也可选择参加在线开标，具体按照交易平台相关指南进行操作。</w:t>
            </w:r>
          </w:p>
          <w:p>
            <w:pPr>
              <w:pStyle w:val="31"/>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具体时间和地点可以到广州交易集团有限公司（广州公共资源交易中心）交易平台“建设工程→项目查询（日程安排、答疑纪要）”输入本项目编号或项目名称进行查询。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0"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5538" w:type="dxa"/>
            <w:vAlign w:val="center"/>
          </w:tcPr>
          <w:p>
            <w:pPr>
              <w:pStyle w:val="31"/>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电子招投标项目开标按下列程序进行：</w:t>
            </w:r>
          </w:p>
          <w:p>
            <w:pPr>
              <w:pStyle w:val="31"/>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5.2.1主持人按下列程序进行开标：</w:t>
            </w:r>
          </w:p>
          <w:p>
            <w:pPr>
              <w:pStyle w:val="31"/>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（1）宣布开标纪律；</w:t>
            </w:r>
          </w:p>
          <w:p>
            <w:pPr>
              <w:pStyle w:val="31"/>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（2）公布在投标截止时间前递交投标文件的投标人名称；</w:t>
            </w:r>
          </w:p>
          <w:p>
            <w:pPr>
              <w:pStyle w:val="31"/>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（3）宣布开标人、唱标人、记录人、监标人等有关人员姓名；</w:t>
            </w:r>
          </w:p>
          <w:p>
            <w:pPr>
              <w:pStyle w:val="31"/>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（4）投标人通过电子招标投标交易平台对已递交的电子投标文件进行解密，公布招标项目名称、投标人名称、投标报价、服务期限及其他内容，并记录在案；</w:t>
            </w:r>
          </w:p>
          <w:p>
            <w:pPr>
              <w:pStyle w:val="31"/>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文件（设计方案）开标时不得开启，在评标时由交易平台随机编号后开启，交由评标委员会进行评审。编号所对应的投标人在技术文件（设计方案）评审结束前不得告知评标委员会、交易平台工作人员、招标人或招标代理机构。</w:t>
            </w:r>
          </w:p>
          <w:p>
            <w:pPr>
              <w:pStyle w:val="31"/>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（5）投标人代表、监标人、记录人等有关人员在开标记录上签字确认；若有关人员不签字的，不影响开标程序；</w:t>
            </w:r>
          </w:p>
          <w:p>
            <w:pPr>
              <w:pStyle w:val="31"/>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（6）开标结束。</w:t>
            </w:r>
          </w:p>
          <w:p>
            <w:pPr>
              <w:pStyle w:val="31"/>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5.2.2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pStyle w:val="31"/>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5.2.3开标时，两个（含两个）以上的投标人加密打包投标文件的电脑机器特征码一致的，不参与下一程序，并由评标委员会否决其投标。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9"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w:t>
            </w:r>
          </w:p>
        </w:tc>
        <w:tc>
          <w:tcPr>
            <w:tcW w:w="2773" w:type="dxa"/>
            <w:vAlign w:val="center"/>
          </w:tcPr>
          <w:p>
            <w:pPr>
              <w:pStyle w:val="31"/>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w:t>
            </w:r>
            <w:r>
              <w:rPr>
                <w:rFonts w:hint="eastAsia" w:ascii="宋体" w:hAnsi="宋体" w:eastAsia="宋体" w:cs="宋体"/>
                <w:color w:val="auto"/>
                <w:sz w:val="24"/>
                <w:szCs w:val="24"/>
                <w:highlight w:val="none"/>
                <w:lang w:val="en-US" w:eastAsia="zh-CN"/>
              </w:rPr>
              <w:t>事项</w:t>
            </w:r>
          </w:p>
        </w:tc>
        <w:tc>
          <w:tcPr>
            <w:tcW w:w="5538" w:type="dxa"/>
            <w:vAlign w:val="center"/>
          </w:tcPr>
          <w:p>
            <w:pPr>
              <w:pStyle w:val="31"/>
              <w:spacing w:line="240" w:lineRule="auto"/>
              <w:ind w:firstLine="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5.</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 xml:space="preserve"> 开标</w:t>
            </w:r>
            <w:r>
              <w:rPr>
                <w:rFonts w:hint="eastAsia" w:ascii="宋体" w:hAnsi="宋体" w:eastAsia="宋体" w:cs="宋体"/>
                <w:color w:val="auto"/>
                <w:sz w:val="24"/>
                <w:szCs w:val="24"/>
                <w:highlight w:val="none"/>
                <w:u w:val="single"/>
                <w:lang w:val="en-US" w:eastAsia="zh-CN"/>
              </w:rPr>
              <w:t>事项</w:t>
            </w:r>
          </w:p>
          <w:p>
            <w:pPr>
              <w:pStyle w:val="31"/>
              <w:spacing w:line="240" w:lineRule="auto"/>
              <w:ind w:firstLine="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5.</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.1截标后，开标开始时间因故推迟的，相关评标信息仍以原定的开标开始时间的信息为准。</w:t>
            </w:r>
          </w:p>
          <w:p>
            <w:pPr>
              <w:pStyle w:val="31"/>
              <w:spacing w:line="240" w:lineRule="auto"/>
              <w:ind w:firstLine="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5.</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.2投标文件光盘（备用）的读取按《投标人须知前附表》的规定执行。</w:t>
            </w:r>
          </w:p>
          <w:p>
            <w:pPr>
              <w:pStyle w:val="31"/>
              <w:spacing w:line="240" w:lineRule="auto"/>
              <w:ind w:firstLine="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5.</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3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pStyle w:val="31"/>
              <w:spacing w:line="240" w:lineRule="auto"/>
              <w:ind w:firstLine="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5.</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参加现场开标的投标人对开标结果有异议的，应当在开标现场提出，招标人应当当场作出答复，并制作记录。</w:t>
            </w:r>
          </w:p>
          <w:p>
            <w:pPr>
              <w:pStyle w:val="31"/>
              <w:spacing w:line="240" w:lineRule="auto"/>
              <w:ind w:firstLine="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5.</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pStyle w:val="31"/>
              <w:spacing w:line="240" w:lineRule="auto"/>
              <w:ind w:firstLine="0" w:firstLineChars="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5.</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eastAsia="zh-CN"/>
              </w:rPr>
              <w:t>投标人未参加开标或在规定的时间内未提出异议的，视为对开标无异议。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评标委员会的组建</w:t>
            </w:r>
          </w:p>
        </w:tc>
        <w:tc>
          <w:tcPr>
            <w:tcW w:w="5538" w:type="dxa"/>
            <w:vAlign w:val="center"/>
          </w:tcPr>
          <w:p>
            <w:pPr>
              <w:pStyle w:val="31"/>
              <w:tabs>
                <w:tab w:val="left" w:pos="2309"/>
                <w:tab w:val="left" w:pos="2729"/>
                <w:tab w:val="left" w:pos="3826"/>
              </w:tabs>
              <w:spacing w:line="240" w:lineRule="auto"/>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评标委员会构成：评标委员会由招标人依法组建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w:t>
            </w:r>
          </w:p>
        </w:tc>
        <w:tc>
          <w:tcPr>
            <w:tcW w:w="2773" w:type="dxa"/>
            <w:vAlign w:val="center"/>
          </w:tcPr>
          <w:p>
            <w:pPr>
              <w:pStyle w:val="31"/>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评标委员会推荐中标候选人的人数</w:t>
            </w:r>
          </w:p>
        </w:tc>
        <w:tc>
          <w:tcPr>
            <w:tcW w:w="5538" w:type="dxa"/>
            <w:vAlign w:val="center"/>
          </w:tcPr>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推荐中标候选人3名。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2" w:hRule="atLeas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2773" w:type="dxa"/>
            <w:vAlign w:val="center"/>
          </w:tcPr>
          <w:p>
            <w:pPr>
              <w:pStyle w:val="31"/>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中标候选人公示媒介及期限</w:t>
            </w:r>
          </w:p>
        </w:tc>
        <w:tc>
          <w:tcPr>
            <w:tcW w:w="5538" w:type="dxa"/>
            <w:vAlign w:val="center"/>
          </w:tcPr>
          <w:p>
            <w:pPr>
              <w:pStyle w:val="31"/>
              <w:tabs>
                <w:tab w:val="left" w:pos="2100"/>
              </w:tabs>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公示媒介：中国招标投标公共服务平台、广东省招标投标监管网、广州公共资源交易网</w:t>
            </w:r>
          </w:p>
          <w:p>
            <w:pPr>
              <w:pStyle w:val="31"/>
              <w:tabs>
                <w:tab w:val="left" w:pos="2100"/>
              </w:tabs>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公示期限：</w:t>
            </w:r>
            <w:r>
              <w:rPr>
                <w:rFonts w:hint="eastAsia" w:ascii="宋体" w:hAnsi="宋体" w:eastAsia="宋体" w:cs="宋体"/>
                <w:color w:val="auto"/>
                <w:spacing w:val="-2"/>
                <w:sz w:val="24"/>
                <w:szCs w:val="24"/>
                <w:highlight w:val="none"/>
                <w:u w:val="single" w:color="auto"/>
                <w:lang w:eastAsia="zh-CN"/>
              </w:rPr>
              <w:t>3</w:t>
            </w:r>
            <w:r>
              <w:rPr>
                <w:rFonts w:hint="eastAsia" w:ascii="宋体" w:hAnsi="宋体" w:eastAsia="宋体" w:cs="宋体"/>
                <w:color w:val="auto"/>
                <w:sz w:val="24"/>
                <w:szCs w:val="24"/>
                <w:highlight w:val="none"/>
                <w:u w:val="single" w:color="auto"/>
                <w:lang w:eastAsia="zh-CN"/>
              </w:rPr>
              <w:t>日</w:t>
            </w:r>
          </w:p>
          <w:p>
            <w:pPr>
              <w:pStyle w:val="31"/>
              <w:tabs>
                <w:tab w:val="left" w:pos="2100"/>
              </w:tabs>
              <w:spacing w:line="240" w:lineRule="auto"/>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9"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p>
        </w:tc>
        <w:tc>
          <w:tcPr>
            <w:tcW w:w="2773" w:type="dxa"/>
            <w:vAlign w:val="center"/>
          </w:tcPr>
          <w:p>
            <w:pPr>
              <w:pStyle w:val="31"/>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是否授权评标委员会确定中标人</w:t>
            </w:r>
          </w:p>
        </w:tc>
        <w:tc>
          <w:tcPr>
            <w:tcW w:w="5538" w:type="dxa"/>
            <w:vAlign w:val="center"/>
          </w:tcPr>
          <w:p>
            <w:pPr>
              <w:pStyle w:val="31"/>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p>
            <w:pPr>
              <w:pStyle w:val="31"/>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■否</w:t>
            </w:r>
          </w:p>
          <w:p>
            <w:pPr>
              <w:pStyle w:val="31"/>
              <w:spacing w:line="240" w:lineRule="auto"/>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（1）招标人在评标委员会推荐的中标候选人中确定中标人。</w:t>
            </w:r>
          </w:p>
          <w:p>
            <w:pPr>
              <w:pStyle w:val="31"/>
              <w:spacing w:line="240" w:lineRule="auto"/>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（2）依法必须进行公开招标的项目，招标人应当确定排名第一的中标候选人为中标人。</w:t>
            </w:r>
          </w:p>
          <w:p>
            <w:pPr>
              <w:pStyle w:val="31"/>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w:t>
            </w:r>
          </w:p>
        </w:tc>
        <w:tc>
          <w:tcPr>
            <w:tcW w:w="2773"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技术成果经济补偿</w:t>
            </w:r>
          </w:p>
        </w:tc>
        <w:tc>
          <w:tcPr>
            <w:tcW w:w="5538" w:type="dxa"/>
            <w:vAlign w:val="center"/>
          </w:tcPr>
          <w:p>
            <w:pPr>
              <w:pStyle w:val="31"/>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■不补偿：详见招标公告第4条。</w:t>
            </w:r>
          </w:p>
          <w:p>
            <w:pPr>
              <w:pStyle w:val="31"/>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8" w:hRule="exac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7.7.1</w:t>
            </w:r>
          </w:p>
        </w:tc>
        <w:tc>
          <w:tcPr>
            <w:tcW w:w="2773"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5538" w:type="dxa"/>
            <w:vAlign w:val="center"/>
          </w:tcPr>
          <w:p>
            <w:pPr>
              <w:pStyle w:val="3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是否要求中标人提交履约保证金：</w:t>
            </w:r>
          </w:p>
          <w:p>
            <w:pPr>
              <w:pStyle w:val="3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■要求，履约保证金的形式：</w:t>
            </w:r>
            <w:r>
              <w:rPr>
                <w:rFonts w:hint="eastAsia" w:ascii="宋体" w:hAnsi="宋体" w:eastAsia="宋体" w:cs="宋体"/>
                <w:color w:val="auto"/>
                <w:sz w:val="24"/>
                <w:szCs w:val="24"/>
                <w:highlight w:val="none"/>
                <w:lang w:val="en-US" w:eastAsia="zh-CN"/>
              </w:rPr>
              <w:t>可采用银行保函、保证保险、担保保函的形式。提交时间详见合同相关条款。</w:t>
            </w:r>
            <w:r>
              <w:rPr>
                <w:rFonts w:hint="eastAsia" w:ascii="宋体" w:hAnsi="宋体" w:eastAsia="宋体" w:cs="宋体"/>
                <w:color w:val="auto"/>
                <w:sz w:val="24"/>
                <w:szCs w:val="24"/>
                <w:highlight w:val="none"/>
                <w:lang w:eastAsia="zh-CN"/>
              </w:rPr>
              <w:t xml:space="preserve"> </w:t>
            </w:r>
          </w:p>
          <w:p>
            <w:pPr>
              <w:pStyle w:val="31"/>
              <w:ind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履约保证金的金额：</w:t>
            </w:r>
            <w:r>
              <w:rPr>
                <w:rFonts w:hint="eastAsia" w:ascii="宋体" w:hAnsi="宋体" w:eastAsia="宋体" w:cs="宋体"/>
                <w:color w:val="auto"/>
                <w:sz w:val="24"/>
                <w:szCs w:val="24"/>
                <w:highlight w:val="none"/>
                <w:lang w:val="en-US" w:eastAsia="zh-CN"/>
              </w:rPr>
              <w:t>中标价款（人民币）10%，履约保证金。</w:t>
            </w:r>
          </w:p>
          <w:p>
            <w:pPr>
              <w:pStyle w:val="3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7" w:hRule="atLeas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773" w:type="dxa"/>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是否采用电子招标投标</w:t>
            </w:r>
          </w:p>
        </w:tc>
        <w:tc>
          <w:tcPr>
            <w:tcW w:w="5538" w:type="dxa"/>
            <w:vAlign w:val="center"/>
          </w:tcPr>
          <w:p>
            <w:pPr>
              <w:spacing w:line="24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p>
            <w:pPr>
              <w:spacing w:line="24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■是，具体要求：</w:t>
            </w:r>
          </w:p>
          <w:p>
            <w:pPr>
              <w:spacing w:line="24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1、按照交易平台关于全流程电子化项目的相关指南进行操作。详见：广州交易集团有限公司（广州公共资源交易中心）网站。</w:t>
            </w:r>
          </w:p>
          <w:p>
            <w:pPr>
              <w:spacing w:line="24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2、递交投标文件光盘备用</w:t>
            </w:r>
          </w:p>
          <w:p>
            <w:pPr>
              <w:spacing w:line="24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可制作非加密的电子投标文件（PDF格式）刻入光盘（1份），在规定的时间、地点提交备用光盘。1份完整的投标文件光盘（备用）包括“资格审查文件光盘”、“商务文件光盘”、“技术文件（设计方案）光盘”、“保密文件光盘”共４只光盘。</w:t>
            </w:r>
          </w:p>
          <w:p>
            <w:pPr>
              <w:spacing w:line="24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光盘按照投标人须知前附表4.1.2规定密封。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p>
            <w:pPr>
              <w:spacing w:line="24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3、补救方案</w:t>
            </w:r>
          </w:p>
          <w:p>
            <w:pPr>
              <w:spacing w:line="24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（1）投标文件解密失败的补救方案：</w:t>
            </w:r>
          </w:p>
          <w:p>
            <w:pPr>
              <w:spacing w:line="24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pacing w:line="24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（2）评标时突发情况的补救方案</w:t>
            </w:r>
          </w:p>
          <w:p>
            <w:pPr>
              <w:spacing w:line="240" w:lineRule="auto"/>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若遇不可抗力发生（指：网络瘫痪、服务器损坏、交易系统故障短期无法恢复），由评标委员会开启现场递交的全部投标文件光盘，并按光盘内容进行评审。</w:t>
            </w:r>
          </w:p>
          <w:p>
            <w:pPr>
              <w:pStyle w:val="3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788" w:type="dxa"/>
            <w:vAlign w:val="center"/>
          </w:tcPr>
          <w:p>
            <w:pPr>
              <w:pStyle w:val="31"/>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311" w:type="dxa"/>
            <w:gridSpan w:val="2"/>
            <w:vAlign w:val="center"/>
          </w:tcPr>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9" w:hRule="exact"/>
        </w:trPr>
        <w:tc>
          <w:tcPr>
            <w:tcW w:w="788" w:type="dxa"/>
            <w:vAlign w:val="center"/>
          </w:tcPr>
          <w:p>
            <w:pPr>
              <w:autoSpaceDE w:val="0"/>
              <w:autoSpaceDN w:val="0"/>
              <w:adjustRightInd w:val="0"/>
              <w:spacing w:line="24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p>
        </w:tc>
        <w:tc>
          <w:tcPr>
            <w:tcW w:w="2773" w:type="dxa"/>
            <w:vAlign w:val="center"/>
          </w:tcPr>
          <w:p>
            <w:pPr>
              <w:autoSpaceDE w:val="0"/>
              <w:autoSpaceDN w:val="0"/>
              <w:adjustRightInd w:val="0"/>
              <w:spacing w:before="0" w:line="24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资格审查方式</w:t>
            </w:r>
          </w:p>
        </w:tc>
        <w:tc>
          <w:tcPr>
            <w:tcW w:w="5538" w:type="dxa"/>
            <w:vAlign w:val="center"/>
          </w:tcPr>
          <w:p>
            <w:pPr>
              <w:autoSpaceDE w:val="0"/>
              <w:autoSpaceDN w:val="0"/>
              <w:adjustRightInd w:val="0"/>
              <w:spacing w:line="240" w:lineRule="auto"/>
              <w:ind w:left="0" w:lef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本招标项目采用全电子化资格后审方式，具体要求详见《房屋建筑和市政基础设施工程全流程电子化项目专章》。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9" w:hRule="atLeast"/>
        </w:trPr>
        <w:tc>
          <w:tcPr>
            <w:tcW w:w="788" w:type="dxa"/>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p>
        </w:tc>
        <w:tc>
          <w:tcPr>
            <w:tcW w:w="2773" w:type="dxa"/>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p>
        </w:tc>
        <w:tc>
          <w:tcPr>
            <w:tcW w:w="5538" w:type="dxa"/>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投标人在本项目招标人的工程项目中存在下列行为的，将被拒绝一年内参与我单位后续工程投标。（注：拒绝投标时限由招标人视严重程度确定，最低三个月起，自招标人发出通知之日起计）：</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（1）将中标</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转包或者违法分包的；</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（2）在中标</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中不执行质量相关规定的，造成质量事故的；</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（3）存在围标或串标情形的；</w:t>
            </w:r>
          </w:p>
          <w:p>
            <w:pPr>
              <w:pStyle w:val="11"/>
              <w:ind w:left="0"/>
              <w:rPr>
                <w:rFonts w:hint="eastAsia" w:ascii="宋体" w:hAnsi="宋体" w:eastAsia="宋体" w:cs="宋体"/>
                <w:color w:val="auto"/>
                <w:sz w:val="24"/>
                <w:szCs w:val="24"/>
              </w:rPr>
            </w:pPr>
            <w:r>
              <w:rPr>
                <w:rFonts w:hint="eastAsia" w:ascii="宋体" w:hAnsi="宋体" w:eastAsia="宋体" w:cs="宋体"/>
                <w:color w:val="auto"/>
                <w:sz w:val="24"/>
                <w:szCs w:val="24"/>
              </w:rPr>
              <w:t>（4）在投标文件中提供虚假材料的；</w:t>
            </w:r>
          </w:p>
          <w:p>
            <w:pPr>
              <w:pStyle w:val="11"/>
              <w:ind w:left="0"/>
              <w:rPr>
                <w:rFonts w:hint="eastAsia" w:ascii="宋体" w:hAnsi="宋体" w:eastAsia="宋体" w:cs="宋体"/>
                <w:color w:val="auto"/>
                <w:sz w:val="24"/>
                <w:szCs w:val="24"/>
              </w:rPr>
            </w:pPr>
            <w:r>
              <w:rPr>
                <w:rFonts w:hint="eastAsia" w:ascii="宋体" w:hAnsi="宋体" w:eastAsia="宋体" w:cs="宋体"/>
                <w:color w:val="auto"/>
                <w:sz w:val="24"/>
                <w:szCs w:val="24"/>
              </w:rPr>
              <w:t>（5）存在行贿情形的；</w:t>
            </w: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）存在因过错行为被生效法律文书认定承担违约或侵权责任的。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4" w:hRule="exact"/>
        </w:trPr>
        <w:tc>
          <w:tcPr>
            <w:tcW w:w="788" w:type="dxa"/>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w:t>
            </w:r>
          </w:p>
        </w:tc>
        <w:tc>
          <w:tcPr>
            <w:tcW w:w="2773" w:type="dxa"/>
            <w:vAlign w:val="center"/>
          </w:tcPr>
          <w:p>
            <w:pPr>
              <w:spacing w:line="24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招标失败的情形</w:t>
            </w:r>
          </w:p>
        </w:tc>
        <w:tc>
          <w:tcPr>
            <w:tcW w:w="5538" w:type="dxa"/>
            <w:vAlign w:val="center"/>
          </w:tcPr>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本项目采用资格后审，满足资格审查合格条件的投标人不足3名、或经评审有效的投标单位不足3名时为该标段招标失败。招标人分析招标失败原因，修正招标方案后，重新组织招标。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exact"/>
        </w:trPr>
        <w:tc>
          <w:tcPr>
            <w:tcW w:w="788" w:type="dxa"/>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2773" w:type="dxa"/>
            <w:vAlign w:val="center"/>
          </w:tcPr>
          <w:p>
            <w:pPr>
              <w:spacing w:line="24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招标人拒绝接收其投标文件情况</w:t>
            </w:r>
          </w:p>
        </w:tc>
        <w:tc>
          <w:tcPr>
            <w:tcW w:w="5538" w:type="dxa"/>
            <w:vAlign w:val="center"/>
          </w:tcPr>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招标人在本须知前附表第4.2.1项规定的投标截止时间以后收到的。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4" w:hRule="atLeast"/>
        </w:trPr>
        <w:tc>
          <w:tcPr>
            <w:tcW w:w="788" w:type="dxa"/>
            <w:vAlign w:val="center"/>
          </w:tcPr>
          <w:p>
            <w:pPr>
              <w:autoSpaceDE w:val="0"/>
              <w:autoSpaceDN w:val="0"/>
              <w:adjustRightInd w:val="0"/>
              <w:spacing w:before="0"/>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w:t>
            </w:r>
          </w:p>
        </w:tc>
        <w:tc>
          <w:tcPr>
            <w:tcW w:w="2773" w:type="dxa"/>
            <w:vAlign w:val="center"/>
          </w:tcPr>
          <w:p>
            <w:pPr>
              <w:autoSpaceDE w:val="0"/>
              <w:autoSpaceDN w:val="0"/>
              <w:adjustRightInd w:val="0"/>
              <w:spacing w:before="0"/>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否决投标</w:t>
            </w:r>
          </w:p>
        </w:tc>
        <w:tc>
          <w:tcPr>
            <w:tcW w:w="5538" w:type="dxa"/>
            <w:vAlign w:val="center"/>
          </w:tcPr>
          <w:p>
            <w:pPr>
              <w:ind w:left="0" w:leftChars="0" w:right="0" w:righ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10.5.1投标人有下列情况之一的，评标委员会应当否决其投标：</w:t>
            </w:r>
          </w:p>
          <w:p>
            <w:pPr>
              <w:ind w:left="0" w:leftChars="0" w:right="0" w:righ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 投标人与招标人、评标委员会成员或者其他投标人串通投标；</w:t>
            </w:r>
          </w:p>
          <w:p>
            <w:pPr>
              <w:ind w:left="0" w:leftChars="0" w:right="0" w:righ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(b) 在投标截止期后逾期或未在广州交易集团有限公司（广州公共资源交易中心）数字交易平台（http://www.gzggzy.cn）递交电子投标文件的，电子招标投标交易平台将拒绝接收其投标文件。</w:t>
            </w:r>
          </w:p>
          <w:p>
            <w:pPr>
              <w:ind w:left="0" w:leftChars="0" w:right="0" w:righ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10.5.2投标书有下列情况之一的，评标委员会应当否决其投标：</w:t>
            </w:r>
          </w:p>
          <w:p>
            <w:pPr>
              <w:ind w:left="0" w:leftChars="0" w:right="0" w:righ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 《投标书》未加盖投标人电子印章，也未经法定代表人或者其授权代表签字或签章；</w:t>
            </w:r>
          </w:p>
          <w:p>
            <w:pPr>
              <w:ind w:left="0" w:leftChars="0" w:right="0" w:righ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(b) 《投标书》包含有招标人不能接受的偏差，并且投标人拒绝书面撤回偏差。</w:t>
            </w:r>
          </w:p>
          <w:p>
            <w:pPr>
              <w:ind w:left="0" w:leftChars="0" w:right="0" w:righ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10.5.3投标文件有下列情况之一的，评标委员会应当否决其投标：</w:t>
            </w:r>
          </w:p>
          <w:p>
            <w:pPr>
              <w:ind w:right="0" w:righ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（a）有互相雷同的现象和串通投标的嫌疑；</w:t>
            </w:r>
          </w:p>
          <w:p>
            <w:pPr>
              <w:ind w:left="0" w:leftChars="0" w:right="0" w:righ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（b）投标总报价高于最高投标限价的。</w:t>
            </w:r>
          </w:p>
          <w:p>
            <w:pPr>
              <w:ind w:left="0" w:leftChars="0" w:right="0" w:righ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c</w:t>
            </w:r>
            <w:r>
              <w:rPr>
                <w:rFonts w:hint="eastAsia" w:ascii="宋体" w:hAnsi="宋体" w:eastAsia="宋体" w:cs="宋体"/>
                <w:color w:val="auto"/>
                <w:sz w:val="24"/>
                <w:szCs w:val="24"/>
                <w:highlight w:val="none"/>
                <w:u w:val="single"/>
              </w:rPr>
              <w:t>）投标人与其他投标人加密打包投标文件电脑机器特征码一致的；</w:t>
            </w:r>
          </w:p>
          <w:p>
            <w:pPr>
              <w:ind w:left="0" w:leftChars="0" w:right="0" w:righ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d</w:t>
            </w:r>
            <w:r>
              <w:rPr>
                <w:rFonts w:hint="eastAsia" w:ascii="宋体" w:hAnsi="宋体" w:eastAsia="宋体" w:cs="宋体"/>
                <w:color w:val="auto"/>
                <w:sz w:val="24"/>
                <w:szCs w:val="24"/>
                <w:highlight w:val="none"/>
                <w:u w:val="single"/>
              </w:rPr>
              <w:t>）投标人之间存在《广东省实施&lt;中华人民共和国招标投标法&gt;》第十六条所禁止的情形的。</w:t>
            </w:r>
          </w:p>
          <w:p>
            <w:pPr>
              <w:ind w:left="0" w:leftChars="0" w:right="0" w:righ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10.5.4投标文件如果隐瞒不符合评审标准的事实，一切法律责任由投标人承担。</w:t>
            </w:r>
          </w:p>
          <w:p>
            <w:pPr>
              <w:ind w:left="0" w:leftChars="0" w:right="0" w:righ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10.5.5资格审查</w:t>
            </w:r>
          </w:p>
          <w:p>
            <w:pPr>
              <w:ind w:left="0" w:leftChars="0" w:right="0" w:rightChars="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（a）投标人的资格条件不满足招标公告第3条“投标人资格要求”所列的条件，则由评标委员会否决其投标，不予通过资格审查，不参与下一阶段的评审；（资格审查详见《评标办法前附表》）；</w:t>
            </w:r>
          </w:p>
          <w:p>
            <w:pPr>
              <w:ind w:left="0" w:leftChars="0" w:right="0" w:righ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（b）通过资格审查不足三名，招标人应该依法重新组织招标。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trPr>
        <w:tc>
          <w:tcPr>
            <w:tcW w:w="788" w:type="dxa"/>
            <w:vAlign w:val="center"/>
          </w:tcPr>
          <w:p>
            <w:pPr>
              <w:autoSpaceDE w:val="0"/>
              <w:autoSpaceDN w:val="0"/>
              <w:adjustRightInd w:val="0"/>
              <w:spacing w:before="0" w:line="24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w:t>
            </w:r>
          </w:p>
        </w:tc>
        <w:tc>
          <w:tcPr>
            <w:tcW w:w="2773" w:type="dxa"/>
            <w:vAlign w:val="center"/>
          </w:tcPr>
          <w:p>
            <w:pPr>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投标文件份数</w:t>
            </w:r>
          </w:p>
        </w:tc>
        <w:tc>
          <w:tcPr>
            <w:tcW w:w="5538" w:type="dxa"/>
            <w:vAlign w:val="center"/>
          </w:tcPr>
          <w:p>
            <w:pPr>
              <w:spacing w:line="24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领取中标通知书后，签订合同前，中标人须向招标人提供独立装订成册的纸质投标文件（2正2副，加盖公章），纸质投标文件内容须与投标时提交的电子投标文件内容一致。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9" w:hRule="atLeast"/>
        </w:trPr>
        <w:tc>
          <w:tcPr>
            <w:tcW w:w="788" w:type="dxa"/>
            <w:vAlign w:val="center"/>
          </w:tcPr>
          <w:p>
            <w:pPr>
              <w:autoSpaceDE w:val="0"/>
              <w:autoSpaceDN w:val="0"/>
              <w:adjustRightInd w:val="0"/>
              <w:spacing w:before="0" w:line="240" w:lineRule="auto"/>
              <w:ind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10.7</w:t>
            </w:r>
          </w:p>
        </w:tc>
        <w:tc>
          <w:tcPr>
            <w:tcW w:w="2773" w:type="dxa"/>
            <w:vAlign w:val="center"/>
          </w:tcPr>
          <w:p>
            <w:pPr>
              <w:spacing w:line="240" w:lineRule="auto"/>
              <w:ind w:left="0" w:leftChars="0" w:right="0" w:rightChars="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代理服务费及</w:t>
            </w:r>
            <w:r>
              <w:rPr>
                <w:rFonts w:hint="eastAsia" w:ascii="宋体" w:hAnsi="宋体" w:eastAsia="宋体" w:cs="宋体"/>
                <w:color w:val="auto"/>
                <w:sz w:val="24"/>
                <w:szCs w:val="24"/>
                <w:highlight w:val="none"/>
              </w:rPr>
              <w:t>交易服务费</w:t>
            </w:r>
          </w:p>
        </w:tc>
        <w:tc>
          <w:tcPr>
            <w:tcW w:w="5538" w:type="dxa"/>
            <w:vAlign w:val="center"/>
          </w:tcPr>
          <w:p>
            <w:pPr>
              <w:spacing w:line="240" w:lineRule="auto"/>
              <w:ind w:left="0" w:leftChars="0" w:right="0" w:righ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（1）交易服务费</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中标人应按招标人或招标代理机构通知的日期向广州交易集团有限公司（广州公共资源交易中心）缴纳交易服务费、向广州交易集团有限公司（广州公共资源交易中心）索取发票，并在取得发票后及时告知招标代理。（具体收费标准投标人可以在广州交易集团有限公司（广州公共资源交易中心）网站查阅，如有变更以广州交易集团有限公司（广州公共资源交易中心）最新发布的标准为准）</w:t>
            </w:r>
            <w:r>
              <w:rPr>
                <w:rFonts w:hint="eastAsia" w:ascii="宋体" w:hAnsi="宋体" w:eastAsia="宋体" w:cs="宋体"/>
                <w:color w:val="auto"/>
                <w:sz w:val="24"/>
                <w:szCs w:val="24"/>
                <w:highlight w:val="none"/>
                <w:u w:val="single"/>
                <w:lang w:eastAsia="zh-CN"/>
              </w:rPr>
              <w:t>，其费用包含在</w:t>
            </w:r>
            <w:r>
              <w:rPr>
                <w:rFonts w:hint="eastAsia" w:ascii="宋体" w:hAnsi="宋体" w:eastAsia="宋体" w:cs="宋体"/>
                <w:color w:val="auto"/>
                <w:sz w:val="24"/>
                <w:szCs w:val="24"/>
                <w:highlight w:val="none"/>
                <w:u w:val="single"/>
                <w:lang w:val="en-US" w:eastAsia="zh-CN"/>
              </w:rPr>
              <w:t>投标</w:t>
            </w:r>
            <w:r>
              <w:rPr>
                <w:rFonts w:hint="eastAsia" w:ascii="宋体" w:hAnsi="宋体" w:eastAsia="宋体" w:cs="宋体"/>
                <w:color w:val="auto"/>
                <w:sz w:val="24"/>
                <w:szCs w:val="24"/>
                <w:highlight w:val="none"/>
                <w:u w:val="single"/>
                <w:lang w:eastAsia="zh-CN"/>
              </w:rPr>
              <w:t>报价中</w:t>
            </w:r>
            <w:r>
              <w:rPr>
                <w:rFonts w:hint="eastAsia" w:ascii="宋体" w:hAnsi="宋体" w:eastAsia="宋体" w:cs="宋体"/>
                <w:color w:val="auto"/>
                <w:sz w:val="24"/>
                <w:szCs w:val="24"/>
                <w:highlight w:val="none"/>
                <w:u w:val="single"/>
              </w:rPr>
              <w:t>。</w:t>
            </w:r>
          </w:p>
          <w:p>
            <w:pPr>
              <w:spacing w:line="240" w:lineRule="auto"/>
              <w:ind w:left="0" w:leftChars="0" w:right="0" w:right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（2）招标代理服务费：本项目招标代理服务费由中标单位支付，按照招标人与招标代理签订的招标代理合同约定的内容执行。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7" w:hRule="atLeast"/>
        </w:trPr>
        <w:tc>
          <w:tcPr>
            <w:tcW w:w="788" w:type="dxa"/>
            <w:vAlign w:val="center"/>
          </w:tcPr>
          <w:p>
            <w:pPr>
              <w:autoSpaceDE w:val="0"/>
              <w:autoSpaceDN w:val="0"/>
              <w:adjustRightInd w:val="0"/>
              <w:spacing w:before="0" w:line="240" w:lineRule="auto"/>
              <w:ind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10.8</w:t>
            </w:r>
          </w:p>
        </w:tc>
        <w:tc>
          <w:tcPr>
            <w:tcW w:w="2773" w:type="dxa"/>
            <w:vAlign w:val="center"/>
          </w:tcPr>
          <w:p>
            <w:pPr>
              <w:spacing w:line="240" w:lineRule="auto"/>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投标文件公开</w:t>
            </w:r>
          </w:p>
        </w:tc>
        <w:tc>
          <w:tcPr>
            <w:tcW w:w="5538" w:type="dxa"/>
            <w:vAlign w:val="center"/>
          </w:tcPr>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在产生中标候选人后，招标人将中标候选人的投标文件商务部分的电子版（报价清单、方案等涉及商业秘密的内容除外）在广州公共资源交易网（网址：http://www.gzggzy.cn）、广东省招标投标监管网（网址：http://zbtb.gd.gov.cn）发布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88" w:type="dxa"/>
            <w:vAlign w:val="center"/>
          </w:tcPr>
          <w:p>
            <w:pPr>
              <w:autoSpaceDE w:val="0"/>
              <w:autoSpaceDN w:val="0"/>
              <w:adjustRightInd w:val="0"/>
              <w:spacing w:before="0" w:line="240" w:lineRule="auto"/>
              <w:ind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10.9</w:t>
            </w:r>
          </w:p>
        </w:tc>
        <w:tc>
          <w:tcPr>
            <w:tcW w:w="2773" w:type="dxa"/>
            <w:vAlign w:val="center"/>
          </w:tcPr>
          <w:p>
            <w:pPr>
              <w:spacing w:line="240" w:lineRule="auto"/>
              <w:jc w:val="cente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其他要求</w:t>
            </w:r>
          </w:p>
        </w:tc>
        <w:tc>
          <w:tcPr>
            <w:tcW w:w="5538" w:type="dxa"/>
            <w:vAlign w:val="center"/>
          </w:tcPr>
          <w:p>
            <w:pPr>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设计人应积极配合招标人和招标人上级管理单位进行监督和检查工作。</w:t>
            </w:r>
          </w:p>
        </w:tc>
      </w:tr>
    </w:tbl>
    <w:p>
      <w:pPr>
        <w:spacing w:line="443" w:lineRule="exact"/>
        <w:ind w:right="44"/>
        <w:rPr>
          <w:rFonts w:hint="eastAsia" w:ascii="宋体" w:hAnsi="宋体" w:eastAsia="宋体" w:cs="宋体"/>
          <w:color w:val="auto"/>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p>
    <w:p>
      <w:pPr>
        <w:pStyle w:val="5"/>
        <w:spacing w:line="276" w:lineRule="auto"/>
        <w:ind w:right="44"/>
        <w:rPr>
          <w:rFonts w:hint="eastAsia" w:ascii="宋体" w:hAnsi="宋体" w:eastAsia="宋体" w:cs="宋体"/>
          <w:color w:val="auto"/>
          <w:sz w:val="24"/>
          <w:szCs w:val="24"/>
          <w:highlight w:val="none"/>
        </w:rPr>
      </w:pPr>
      <w:bookmarkStart w:id="4" w:name="_Toc27978"/>
      <w:r>
        <w:rPr>
          <w:rFonts w:hint="eastAsia" w:ascii="宋体" w:hAnsi="宋体" w:eastAsia="宋体" w:cs="宋体"/>
          <w:color w:val="auto"/>
          <w:highlight w:val="none"/>
        </w:rPr>
        <w:t>1. 总则</w:t>
      </w:r>
      <w:bookmarkEnd w:id="4"/>
    </w:p>
    <w:p>
      <w:pPr>
        <w:pStyle w:val="6"/>
        <w:spacing w:line="276"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1.1招标项目概况</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1.1.1</w:t>
      </w:r>
      <w:r>
        <w:rPr>
          <w:rFonts w:hint="eastAsia" w:ascii="宋体" w:hAnsi="宋体" w:eastAsia="宋体" w:cs="宋体"/>
          <w:color w:val="auto"/>
          <w:spacing w:val="-8"/>
          <w:sz w:val="24"/>
          <w:szCs w:val="24"/>
          <w:highlight w:val="none"/>
          <w:lang w:eastAsia="zh-CN"/>
        </w:rPr>
        <w:t>根据《中华人民共和国招标投标法》、《中华人民共和国招标投标法实施条例》等有关</w:t>
      </w:r>
      <w:r>
        <w:rPr>
          <w:rFonts w:hint="eastAsia" w:ascii="宋体" w:hAnsi="宋体" w:eastAsia="宋体" w:cs="宋体"/>
          <w:color w:val="auto"/>
          <w:sz w:val="24"/>
          <w:szCs w:val="24"/>
          <w:highlight w:val="none"/>
          <w:lang w:eastAsia="zh-CN"/>
        </w:rPr>
        <w:t>法律、法规和规章的规定，本招标项目已具备招标条件，现对</w:t>
      </w:r>
      <w:r>
        <w:rPr>
          <w:rFonts w:hint="eastAsia" w:ascii="宋体" w:hAnsi="宋体" w:eastAsia="宋体" w:cs="宋体"/>
          <w:color w:val="auto"/>
          <w:sz w:val="24"/>
          <w:szCs w:val="24"/>
          <w:highlight w:val="none"/>
          <w:u w:val="single"/>
          <w:lang w:eastAsia="zh-CN"/>
        </w:rPr>
        <w:t>本项目装饰装修工程设计</w:t>
      </w:r>
      <w:r>
        <w:rPr>
          <w:rFonts w:hint="eastAsia" w:ascii="宋体" w:hAnsi="宋体" w:eastAsia="宋体" w:cs="宋体"/>
          <w:color w:val="auto"/>
          <w:sz w:val="24"/>
          <w:szCs w:val="24"/>
          <w:highlight w:val="none"/>
          <w:lang w:eastAsia="zh-CN"/>
        </w:rPr>
        <w:t>进行招标。</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1.1.2招标人：见投标人须知前附表。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1.1.3招标代理机构：见投标人须知前附表。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1.1.4招标项目名称：见投标人须知前附表。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1.1.5项目建设地点：见投标人须知前附表。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1.1.6项目建设规模：见投标人须知前附表。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1.1.7项目投资估算：见投标人须知前附表。</w:t>
      </w:r>
    </w:p>
    <w:p>
      <w:pPr>
        <w:spacing w:line="276" w:lineRule="auto"/>
        <w:rPr>
          <w:rFonts w:hint="eastAsia" w:ascii="宋体" w:hAnsi="宋体" w:eastAsia="宋体" w:cs="宋体"/>
          <w:color w:val="auto"/>
          <w:sz w:val="24"/>
          <w:szCs w:val="24"/>
          <w:highlight w:val="none"/>
        </w:rPr>
      </w:pP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1.2招标项目的资金来源和落实情况</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1.2.1资金来源及比例：见投标人须知前附表。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1.2.2资金落实情况：见投标人须知前附表。</w:t>
      </w:r>
    </w:p>
    <w:p>
      <w:pPr>
        <w:spacing w:line="276" w:lineRule="auto"/>
        <w:rPr>
          <w:rFonts w:hint="eastAsia" w:ascii="宋体" w:hAnsi="宋体" w:eastAsia="宋体" w:cs="宋体"/>
          <w:color w:val="auto"/>
          <w:sz w:val="24"/>
          <w:szCs w:val="24"/>
          <w:highlight w:val="none"/>
        </w:rPr>
      </w:pP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1.3招标范围、设计服务期限和质量标准</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1.3.1招标范围：见投标人须知前附表。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1.3.2设计服务期限：见投标人须知前附表。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1.3.3质量标准：见投标人须知前附表。</w:t>
      </w:r>
    </w:p>
    <w:p>
      <w:pPr>
        <w:spacing w:line="276" w:lineRule="auto"/>
        <w:rPr>
          <w:rFonts w:hint="eastAsia" w:ascii="宋体" w:hAnsi="宋体" w:eastAsia="宋体" w:cs="宋体"/>
          <w:color w:val="auto"/>
          <w:sz w:val="24"/>
          <w:szCs w:val="24"/>
          <w:highlight w:val="none"/>
        </w:rPr>
      </w:pP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1.4投标人资格要求</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1.4.1投标人应具备承担本招标项目资质条件、能力和信誉：</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（1）资质要求：见投标人须知前附表；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（2）财务要求：见投标人须知前附表；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strike/>
          <w:color w:val="auto"/>
          <w:sz w:val="24"/>
          <w:szCs w:val="24"/>
          <w:highlight w:val="none"/>
          <w:lang w:eastAsia="zh-CN"/>
        </w:rPr>
        <w:t>（3）业绩要求：见投标人须知前附表；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（4）信誉要求：见投标人须知前附表；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（5）项目负责人的资格要求：见投标人须知前附表；</w:t>
      </w:r>
    </w:p>
    <w:p>
      <w:pPr>
        <w:pStyle w:val="11"/>
        <w:spacing w:line="360" w:lineRule="auto"/>
        <w:ind w:left="0" w:firstLine="480" w:firstLineChars="200"/>
        <w:rPr>
          <w:rFonts w:hint="eastAsia" w:ascii="宋体" w:hAnsi="宋体" w:eastAsia="宋体" w:cs="宋体"/>
          <w:strike/>
          <w:color w:val="auto"/>
          <w:sz w:val="24"/>
          <w:szCs w:val="24"/>
          <w:highlight w:val="none"/>
          <w:lang w:eastAsia="zh-CN"/>
        </w:rPr>
      </w:pPr>
      <w:r>
        <w:rPr>
          <w:rFonts w:hint="eastAsia" w:ascii="宋体" w:hAnsi="宋体" w:eastAsia="宋体" w:cs="宋体"/>
          <w:strike/>
          <w:color w:val="auto"/>
          <w:sz w:val="24"/>
          <w:szCs w:val="24"/>
          <w:highlight w:val="none"/>
          <w:lang w:eastAsia="zh-CN"/>
        </w:rPr>
        <w:t>（6）其他主要人员要求：见投标人须知前附表。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（7）其他要求：见投标人须知前附表。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需要提交的相关证明材料见本章第3.5款的规定。</w:t>
      </w:r>
    </w:p>
    <w:p>
      <w:pPr>
        <w:pStyle w:val="11"/>
        <w:spacing w:line="360" w:lineRule="auto"/>
        <w:ind w:left="0" w:firstLine="480" w:firstLineChars="200"/>
        <w:rPr>
          <w:rFonts w:hint="eastAsia" w:ascii="宋体" w:hAnsi="宋体" w:eastAsia="宋体" w:cs="宋体"/>
          <w:strike/>
          <w:color w:val="auto"/>
          <w:sz w:val="24"/>
          <w:szCs w:val="24"/>
          <w:highlight w:val="none"/>
          <w:lang w:eastAsia="zh-CN"/>
        </w:rPr>
      </w:pPr>
      <w:r>
        <w:rPr>
          <w:rFonts w:hint="eastAsia" w:ascii="宋体" w:hAnsi="宋体" w:eastAsia="宋体" w:cs="宋体"/>
          <w:strike/>
          <w:color w:val="auto"/>
          <w:sz w:val="24"/>
          <w:szCs w:val="24"/>
          <w:highlight w:val="none"/>
          <w:lang w:eastAsia="zh-CN"/>
        </w:rPr>
        <w:t>1.4.2 投标人须知前附表规定接受联合体投标的，联合体除应符合本章第1.4.1项和投标人须知前附表的要求外，还应遵守以下规定：</w:t>
      </w:r>
    </w:p>
    <w:p>
      <w:pPr>
        <w:pStyle w:val="11"/>
        <w:spacing w:line="360" w:lineRule="auto"/>
        <w:ind w:left="0" w:firstLine="480" w:firstLineChars="200"/>
        <w:rPr>
          <w:rFonts w:hint="eastAsia" w:ascii="宋体" w:hAnsi="宋体" w:eastAsia="宋体" w:cs="宋体"/>
          <w:strike/>
          <w:color w:val="auto"/>
          <w:sz w:val="24"/>
          <w:szCs w:val="24"/>
          <w:highlight w:val="none"/>
          <w:lang w:eastAsia="zh-CN"/>
        </w:rPr>
      </w:pPr>
      <w:r>
        <w:rPr>
          <w:rFonts w:hint="eastAsia" w:ascii="宋体" w:hAnsi="宋体" w:eastAsia="宋体" w:cs="宋体"/>
          <w:strike/>
          <w:color w:val="auto"/>
          <w:sz w:val="24"/>
          <w:szCs w:val="24"/>
          <w:highlight w:val="none"/>
          <w:lang w:eastAsia="zh-CN"/>
        </w:rPr>
        <w:t>（1）联合体各方应按招标文件提供的格式签订联合体协议书，明确联合体牵头人和各方权利义务，并承诺就中标项目向招标人承担连带责任；</w:t>
      </w:r>
    </w:p>
    <w:p>
      <w:pPr>
        <w:pStyle w:val="11"/>
        <w:spacing w:line="360" w:lineRule="auto"/>
        <w:ind w:left="0" w:firstLine="480" w:firstLineChars="200"/>
        <w:rPr>
          <w:rFonts w:hint="eastAsia" w:ascii="宋体" w:hAnsi="宋体" w:eastAsia="宋体" w:cs="宋体"/>
          <w:strike/>
          <w:color w:val="auto"/>
          <w:sz w:val="24"/>
          <w:szCs w:val="24"/>
          <w:highlight w:val="none"/>
          <w:lang w:eastAsia="zh-CN"/>
        </w:rPr>
      </w:pPr>
      <w:r>
        <w:rPr>
          <w:rFonts w:hint="eastAsia" w:ascii="宋体" w:hAnsi="宋体" w:eastAsia="宋体" w:cs="宋体"/>
          <w:strike/>
          <w:color w:val="auto"/>
          <w:sz w:val="24"/>
          <w:szCs w:val="24"/>
          <w:highlight w:val="none"/>
          <w:lang w:eastAsia="zh-CN"/>
        </w:rPr>
        <w:t>（2）由同一专业的单位组成的联合体，按照资质等级较低的单位确定资质等级；</w:t>
      </w:r>
    </w:p>
    <w:p>
      <w:pPr>
        <w:pStyle w:val="11"/>
        <w:spacing w:line="360" w:lineRule="auto"/>
        <w:ind w:left="0" w:firstLine="480" w:firstLineChars="200"/>
        <w:rPr>
          <w:rFonts w:hint="eastAsia" w:ascii="宋体" w:hAnsi="宋体" w:eastAsia="宋体" w:cs="宋体"/>
          <w:strike/>
          <w:color w:val="auto"/>
          <w:sz w:val="24"/>
          <w:szCs w:val="24"/>
          <w:highlight w:val="none"/>
          <w:lang w:eastAsia="zh-CN"/>
        </w:rPr>
      </w:pPr>
      <w:r>
        <w:rPr>
          <w:rFonts w:hint="eastAsia" w:ascii="宋体" w:hAnsi="宋体" w:eastAsia="宋体" w:cs="宋体"/>
          <w:strike/>
          <w:color w:val="auto"/>
          <w:sz w:val="24"/>
          <w:szCs w:val="24"/>
          <w:highlight w:val="none"/>
          <w:lang w:eastAsia="zh-CN"/>
        </w:rPr>
        <w:t>（3）联合体各方不得再以自己名义单独或参加其他联合体在本招标项目中投标，否则各相关投标均无效。</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1.4.3投标人不得存在下列情形之一：</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（1）为招标人不具有独立法人资格的附属机构（单位）；</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（2）与招标人存在利害关系且可能影响招标公正性；</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（3）与本招标项目的其他投标人为同一个单位负责人；</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（4）为本招标项目的代建人； </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（5）为本招标项目的招标代理机构；</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（6）与本招标项目的代建人或招标代理机构同为一个法定代表人；</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kern w:val="0"/>
          <w:sz w:val="24"/>
          <w:szCs w:val="24"/>
          <w:highlight w:val="none"/>
        </w:rPr>
        <w:t>与本招标项目的代建人或招标代理机构存在控股或参股关系</w:t>
      </w:r>
      <w:r>
        <w:rPr>
          <w:rFonts w:hint="eastAsia" w:ascii="宋体" w:hAnsi="宋体" w:eastAsia="宋体" w:cs="宋体"/>
          <w:color w:val="auto"/>
          <w:sz w:val="24"/>
          <w:szCs w:val="24"/>
          <w:highlight w:val="none"/>
          <w:lang w:eastAsia="zh-CN"/>
        </w:rPr>
        <w:t>；</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kern w:val="0"/>
          <w:sz w:val="24"/>
          <w:szCs w:val="24"/>
          <w:highlight w:val="none"/>
        </w:rPr>
        <w:t>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color w:val="auto"/>
          <w:sz w:val="24"/>
          <w:szCs w:val="24"/>
          <w:highlight w:val="none"/>
          <w:lang w:eastAsia="zh-CN"/>
        </w:rPr>
        <w:t>；</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kern w:val="0"/>
          <w:sz w:val="24"/>
          <w:szCs w:val="24"/>
          <w:highlight w:val="none"/>
        </w:rPr>
        <w:t>被责令停产停业、暂扣或者吊销许可证、暂扣或者吊销执照；（本项事实应当以根据《中华人民共和国行政处罚法》依法作出并已经生效的行政处罚决定为认定依据。）</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）与本招标项目的其他投标人存在控股、管理关系；</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进入清算程序，或被宣告破产，或其他丧失履约能力的情形</w:t>
      </w:r>
      <w:r>
        <w:rPr>
          <w:rFonts w:hint="eastAsia" w:ascii="宋体" w:hAnsi="宋体" w:eastAsia="宋体" w:cs="宋体"/>
          <w:color w:val="auto"/>
          <w:sz w:val="24"/>
          <w:szCs w:val="24"/>
          <w:highlight w:val="none"/>
          <w:lang w:eastAsia="zh-CN"/>
        </w:rPr>
        <w:t>；</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在最近三年内发生严重违约或重大设计质量问题（“严重违约”事实应当以司法机关、仲裁机构出具的认定文件为准。“重大设计质量问题”以相关行业主管部门的行政处罚决定或司法机关出具的有关法律文书为准。“最近三年”是指从投标截止时间之日起逆推三年，以相关行业主管部门、司法机关、仲裁机构出具的生效文件的落款时间起计算）；</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）法律法规规定的其他情形。</w:t>
      </w:r>
    </w:p>
    <w:p>
      <w:pPr>
        <w:spacing w:line="276" w:lineRule="auto"/>
        <w:rPr>
          <w:rFonts w:hint="eastAsia" w:ascii="宋体" w:hAnsi="宋体" w:eastAsia="宋体" w:cs="宋体"/>
          <w:color w:val="auto"/>
          <w:sz w:val="24"/>
          <w:szCs w:val="24"/>
          <w:highlight w:val="none"/>
        </w:rPr>
      </w:pP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1.5费用承担</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投标人准备和参加投标活动发生的费用自理。</w:t>
      </w:r>
    </w:p>
    <w:p>
      <w:pPr>
        <w:spacing w:line="360" w:lineRule="auto"/>
        <w:rPr>
          <w:rFonts w:hint="eastAsia" w:ascii="宋体" w:hAnsi="宋体" w:eastAsia="宋体" w:cs="宋体"/>
          <w:color w:val="auto"/>
          <w:sz w:val="24"/>
          <w:szCs w:val="24"/>
          <w:highlight w:val="none"/>
        </w:rPr>
      </w:pP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1.6保密</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参与招标投标活动的各方应对招标文件和投标文件中的商业和技术等秘密保密，否则应承担相应的法律责任。</w:t>
      </w:r>
    </w:p>
    <w:p>
      <w:pPr>
        <w:spacing w:line="276" w:lineRule="auto"/>
        <w:rPr>
          <w:rFonts w:hint="eastAsia" w:ascii="宋体" w:hAnsi="宋体" w:eastAsia="宋体" w:cs="宋体"/>
          <w:color w:val="auto"/>
          <w:sz w:val="24"/>
          <w:szCs w:val="24"/>
          <w:highlight w:val="none"/>
        </w:rPr>
      </w:pP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1.7语言文字</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招标投标文件使用的语言文字为中文。专用术语使用外文的，应附有中文注释。</w:t>
      </w:r>
    </w:p>
    <w:p>
      <w:pPr>
        <w:pStyle w:val="11"/>
        <w:spacing w:line="276" w:lineRule="auto"/>
        <w:ind w:left="0" w:firstLine="480" w:firstLineChars="200"/>
        <w:rPr>
          <w:rFonts w:hint="eastAsia" w:ascii="宋体" w:hAnsi="宋体" w:eastAsia="宋体" w:cs="宋体"/>
          <w:color w:val="auto"/>
          <w:sz w:val="24"/>
          <w:szCs w:val="24"/>
          <w:highlight w:val="none"/>
          <w:lang w:eastAsia="zh-CN"/>
        </w:rPr>
      </w:pP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1.8计量单位</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所有计量均采用中华人民共和国法定计量单位。</w:t>
      </w:r>
    </w:p>
    <w:p>
      <w:pPr>
        <w:spacing w:line="276" w:lineRule="auto"/>
        <w:rPr>
          <w:rFonts w:hint="eastAsia" w:ascii="宋体" w:hAnsi="宋体" w:eastAsia="宋体" w:cs="宋体"/>
          <w:color w:val="auto"/>
          <w:sz w:val="24"/>
          <w:szCs w:val="24"/>
          <w:highlight w:val="none"/>
        </w:rPr>
      </w:pP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1.9踏勘现场</w:t>
      </w:r>
    </w:p>
    <w:p>
      <w:pPr>
        <w:pStyle w:val="19"/>
        <w:widowControl w:val="0"/>
        <w:kinsoku w:val="0"/>
        <w:overflowPunct w:val="0"/>
        <w:spacing w:before="0" w:beforeAutospacing="0" w:after="0" w:afterAutospacing="0" w:line="360" w:lineRule="auto"/>
        <w:ind w:firstLine="480" w:firstLineChars="200"/>
        <w:jc w:val="both"/>
        <w:rPr>
          <w:rFonts w:hint="eastAsia" w:ascii="宋体" w:hAnsi="宋体" w:eastAsia="宋体" w:cs="宋体"/>
          <w:color w:val="auto"/>
          <w:kern w:val="2"/>
          <w:szCs w:val="24"/>
          <w:u w:val="single"/>
          <w:lang w:bidi="ar"/>
        </w:rPr>
      </w:pPr>
      <w:r>
        <w:rPr>
          <w:rFonts w:hint="eastAsia" w:ascii="宋体" w:hAnsi="宋体" w:eastAsia="宋体" w:cs="宋体"/>
          <w:color w:val="auto"/>
          <w:kern w:val="2"/>
          <w:szCs w:val="24"/>
          <w:u w:val="single"/>
          <w:lang w:bidi="ar"/>
        </w:rPr>
        <w:t>不组织踏勘现场。补充说明如下：</w:t>
      </w:r>
    </w:p>
    <w:p>
      <w:pPr>
        <w:pStyle w:val="19"/>
        <w:widowControl w:val="0"/>
        <w:kinsoku w:val="0"/>
        <w:overflowPunct w:val="0"/>
        <w:spacing w:before="0" w:beforeAutospacing="0" w:after="0" w:afterAutospacing="0" w:line="360" w:lineRule="auto"/>
        <w:ind w:firstLine="480" w:firstLineChars="200"/>
        <w:jc w:val="both"/>
        <w:rPr>
          <w:rFonts w:hint="eastAsia" w:ascii="宋体" w:hAnsi="宋体" w:eastAsia="宋体" w:cs="宋体"/>
          <w:color w:val="auto"/>
          <w:kern w:val="2"/>
          <w:szCs w:val="24"/>
          <w:u w:val="single"/>
          <w:lang w:bidi="ar"/>
        </w:rPr>
      </w:pPr>
      <w:r>
        <w:rPr>
          <w:rFonts w:hint="eastAsia" w:ascii="宋体" w:hAnsi="宋体" w:eastAsia="宋体" w:cs="宋体"/>
          <w:color w:val="auto"/>
          <w:kern w:val="2"/>
          <w:szCs w:val="24"/>
          <w:u w:val="single"/>
          <w:lang w:bidi="ar"/>
        </w:rPr>
        <w:t>（1）投标人自行对工程现场和周围环境进行现场考察，投标人应充分重视和仔细地进行现场考察，以获取那些须投标人自己负责的有关编制投标和签署合同所需的所有资料。一旦中标，现场考察即被认为其结果已在中标文件中得到充分反映。考察现场的费用由投标人自己承担。投标人若认为必要时，也可以独自增加现场考察活动。</w:t>
      </w:r>
    </w:p>
    <w:p>
      <w:pPr>
        <w:pStyle w:val="19"/>
        <w:widowControl w:val="0"/>
        <w:kinsoku w:val="0"/>
        <w:overflowPunct w:val="0"/>
        <w:spacing w:before="0" w:beforeAutospacing="0" w:after="0" w:afterAutospacing="0" w:line="360" w:lineRule="auto"/>
        <w:ind w:firstLine="480" w:firstLineChars="200"/>
        <w:jc w:val="both"/>
        <w:rPr>
          <w:rFonts w:hint="eastAsia" w:ascii="宋体" w:hAnsi="宋体" w:eastAsia="宋体" w:cs="宋体"/>
          <w:color w:val="auto"/>
          <w:kern w:val="2"/>
          <w:szCs w:val="24"/>
          <w:u w:val="single"/>
          <w:lang w:bidi="ar"/>
        </w:rPr>
      </w:pPr>
      <w:r>
        <w:rPr>
          <w:rFonts w:hint="eastAsia" w:ascii="宋体" w:hAnsi="宋体" w:eastAsia="宋体" w:cs="宋体"/>
          <w:color w:val="auto"/>
          <w:kern w:val="2"/>
          <w:szCs w:val="24"/>
          <w:u w:val="single"/>
          <w:lang w:bidi="ar"/>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pPr>
        <w:pStyle w:val="19"/>
        <w:widowControl w:val="0"/>
        <w:kinsoku w:val="0"/>
        <w:overflowPunct w:val="0"/>
        <w:spacing w:before="0" w:beforeAutospacing="0" w:after="0" w:afterAutospacing="0" w:line="360" w:lineRule="auto"/>
        <w:ind w:firstLine="480" w:firstLineChars="200"/>
        <w:jc w:val="both"/>
        <w:rPr>
          <w:rFonts w:hint="eastAsia" w:ascii="宋体" w:hAnsi="宋体" w:eastAsia="宋体" w:cs="宋体"/>
          <w:color w:val="auto"/>
          <w:kern w:val="2"/>
          <w:szCs w:val="24"/>
          <w:u w:val="single"/>
          <w:lang w:bidi="ar"/>
        </w:rPr>
      </w:pPr>
      <w:r>
        <w:rPr>
          <w:rFonts w:hint="eastAsia" w:ascii="宋体" w:hAnsi="宋体" w:eastAsia="宋体" w:cs="宋体"/>
          <w:color w:val="auto"/>
          <w:kern w:val="2"/>
          <w:szCs w:val="24"/>
          <w:u w:val="single"/>
          <w:lang w:bidi="ar"/>
        </w:rPr>
        <w:t>（3）由招标人提供的资料和数据，只是为了使投标人能够利用招标人现有的资料。招标人对投标人由此而作出的推论、解释和结论概不负责。</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u w:val="single"/>
          <w:lang w:bidi="ar"/>
        </w:rPr>
        <w:t>（4）不论投标结果如何，投标人应承担其投标文件编制与递交所涉及的一切费用，招标人对上述费用不负任何责任。</w:t>
      </w:r>
    </w:p>
    <w:p>
      <w:pPr>
        <w:pStyle w:val="11"/>
        <w:spacing w:line="360" w:lineRule="auto"/>
        <w:ind w:left="0" w:firstLine="480" w:firstLineChars="200"/>
        <w:rPr>
          <w:rFonts w:hint="eastAsia" w:ascii="宋体" w:hAnsi="宋体" w:eastAsia="宋体" w:cs="宋体"/>
          <w:strike/>
          <w:color w:val="auto"/>
          <w:sz w:val="24"/>
          <w:szCs w:val="24"/>
          <w:highlight w:val="none"/>
          <w:lang w:eastAsia="zh-CN"/>
        </w:rPr>
      </w:pPr>
      <w:r>
        <w:rPr>
          <w:rFonts w:hint="eastAsia" w:ascii="宋体" w:hAnsi="宋体" w:eastAsia="宋体" w:cs="宋体"/>
          <w:strike/>
          <w:color w:val="auto"/>
          <w:sz w:val="24"/>
          <w:szCs w:val="24"/>
          <w:highlight w:val="none"/>
          <w:lang w:eastAsia="zh-CN"/>
        </w:rPr>
        <w:t>1.9.1投标人须知前附表规定组织踏勘现场的，招标人按投标人须知前附表规定的时间、地点组织投标人踏勘项目现场。部分投标人未按时参加踏勘现场的，不影响踏勘现场的正常进行。</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1.9.2投标人踏勘现场发生的费用自理。</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1.9.3除招标人的原因外，投标人自行负责在踏勘现场中所发生的人员伤亡和财产损失。</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1.9.4招标人在踏勘现场中介绍的工程场地和相关的周边环境情况，供投标人在编制投标文件时参考，招标人不对投标人据此作出的判断和决策负责。</w:t>
      </w:r>
    </w:p>
    <w:p>
      <w:pPr>
        <w:spacing w:line="276" w:lineRule="auto"/>
        <w:rPr>
          <w:rFonts w:hint="eastAsia" w:ascii="宋体" w:hAnsi="宋体" w:eastAsia="宋体" w:cs="宋体"/>
          <w:color w:val="auto"/>
          <w:sz w:val="24"/>
          <w:szCs w:val="24"/>
          <w:highlight w:val="none"/>
        </w:rPr>
      </w:pP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1.10投标预备会</w:t>
      </w:r>
    </w:p>
    <w:p>
      <w:pPr>
        <w:pStyle w:val="11"/>
        <w:spacing w:line="360" w:lineRule="auto"/>
        <w:ind w:left="0" w:firstLine="480" w:firstLineChars="200"/>
        <w:rPr>
          <w:rFonts w:hint="eastAsia" w:ascii="宋体" w:hAnsi="宋体" w:eastAsia="宋体" w:cs="宋体"/>
          <w:strike/>
          <w:color w:val="auto"/>
          <w:sz w:val="24"/>
          <w:szCs w:val="24"/>
          <w:highlight w:val="none"/>
          <w:lang w:eastAsia="zh-CN"/>
        </w:rPr>
      </w:pPr>
      <w:r>
        <w:rPr>
          <w:rFonts w:hint="eastAsia" w:ascii="宋体" w:hAnsi="宋体" w:eastAsia="宋体" w:cs="宋体"/>
          <w:color w:val="auto"/>
          <w:sz w:val="24"/>
          <w:szCs w:val="24"/>
          <w:highlight w:val="none"/>
          <w:lang w:eastAsia="zh-CN"/>
        </w:rPr>
        <w:t>1.10.1</w:t>
      </w:r>
      <w:r>
        <w:rPr>
          <w:rFonts w:hint="eastAsia" w:ascii="宋体" w:hAnsi="宋体" w:eastAsia="宋体" w:cs="宋体"/>
          <w:color w:val="auto"/>
          <w:sz w:val="24"/>
          <w:szCs w:val="24"/>
          <w:highlight w:val="none"/>
          <w:u w:val="single"/>
          <w:lang w:eastAsia="zh-CN"/>
        </w:rPr>
        <w:t>不召开。</w:t>
      </w:r>
      <w:r>
        <w:rPr>
          <w:rFonts w:hint="eastAsia" w:ascii="宋体" w:hAnsi="宋体" w:eastAsia="宋体" w:cs="宋体"/>
          <w:strike/>
          <w:color w:val="auto"/>
          <w:sz w:val="24"/>
          <w:szCs w:val="24"/>
          <w:highlight w:val="none"/>
          <w:lang w:eastAsia="zh-CN"/>
        </w:rPr>
        <w:t>投标人须知前附表规定召开投标预备会的，招标人按投标人须知前附表规定的时间和地点召开投标预备会，澄清投标人提出的问题。</w:t>
      </w:r>
    </w:p>
    <w:p>
      <w:pPr>
        <w:pStyle w:val="11"/>
        <w:spacing w:line="360" w:lineRule="auto"/>
        <w:ind w:left="0" w:firstLine="480" w:firstLineChars="200"/>
        <w:rPr>
          <w:rFonts w:hint="eastAsia" w:ascii="宋体" w:hAnsi="宋体" w:eastAsia="宋体" w:cs="宋体"/>
          <w:strike/>
          <w:color w:val="auto"/>
          <w:sz w:val="24"/>
          <w:szCs w:val="24"/>
          <w:highlight w:val="none"/>
          <w:lang w:eastAsia="zh-CN"/>
        </w:rPr>
      </w:pPr>
      <w:r>
        <w:rPr>
          <w:rFonts w:hint="eastAsia" w:ascii="宋体" w:hAnsi="宋体" w:eastAsia="宋体" w:cs="宋体"/>
          <w:strike/>
          <w:color w:val="auto"/>
          <w:sz w:val="24"/>
          <w:szCs w:val="24"/>
          <w:highlight w:val="none"/>
          <w:lang w:eastAsia="zh-CN"/>
        </w:rPr>
        <w:t>1.10.2投标人应按投标人须知前附表规定的时间和形式将提出的问题送达招标人，以便招标人在会议期间澄清。</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1.10.3</w:t>
      </w:r>
      <w:r>
        <w:rPr>
          <w:rFonts w:hint="eastAsia" w:ascii="宋体" w:hAnsi="宋体" w:eastAsia="宋体" w:cs="宋体"/>
          <w:strike/>
          <w:color w:val="auto"/>
          <w:sz w:val="24"/>
          <w:szCs w:val="24"/>
          <w:highlight w:val="none"/>
          <w:lang w:eastAsia="zh-CN"/>
        </w:rPr>
        <w:t>投标预备会后，</w:t>
      </w:r>
      <w:r>
        <w:rPr>
          <w:rFonts w:hint="eastAsia" w:ascii="宋体" w:hAnsi="宋体" w:eastAsia="宋体" w:cs="宋体"/>
          <w:color w:val="auto"/>
          <w:sz w:val="24"/>
          <w:szCs w:val="24"/>
          <w:highlight w:val="none"/>
          <w:lang w:eastAsia="zh-CN"/>
        </w:rPr>
        <w:t>招标人将对投标人所提问题的澄清，以投标人须知前附表规定的形式通知所有</w:t>
      </w:r>
      <w:r>
        <w:rPr>
          <w:rFonts w:hint="eastAsia" w:ascii="宋体" w:hAnsi="宋体" w:eastAsia="宋体" w:cs="宋体"/>
          <w:strike/>
          <w:color w:val="auto"/>
          <w:sz w:val="24"/>
          <w:szCs w:val="24"/>
          <w:highlight w:val="none"/>
          <w:lang w:eastAsia="zh-CN"/>
        </w:rPr>
        <w:t>购买招标文件</w:t>
      </w:r>
      <w:r>
        <w:rPr>
          <w:rFonts w:hint="eastAsia" w:ascii="宋体" w:hAnsi="宋体" w:eastAsia="宋体" w:cs="宋体"/>
          <w:color w:val="auto"/>
          <w:sz w:val="24"/>
          <w:szCs w:val="24"/>
          <w:highlight w:val="none"/>
          <w:lang w:eastAsia="zh-CN"/>
        </w:rPr>
        <w:t>的投标人。该澄清内容为招标文件的组成部分。</w:t>
      </w:r>
    </w:p>
    <w:p>
      <w:pPr>
        <w:spacing w:line="276" w:lineRule="auto"/>
        <w:rPr>
          <w:rFonts w:hint="eastAsia" w:ascii="宋体" w:hAnsi="宋体" w:eastAsia="宋体" w:cs="宋体"/>
          <w:color w:val="auto"/>
          <w:sz w:val="24"/>
          <w:szCs w:val="24"/>
          <w:highlight w:val="none"/>
        </w:rPr>
      </w:pP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1.11分包</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1.11.1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1.11.2中标人不得向他人转让中标项目，接受分包的人不得再次分包。中标人应当就分包项目向招标人负责，接受分包的人就分包项目承担连带责任。</w:t>
      </w:r>
    </w:p>
    <w:p>
      <w:pPr>
        <w:spacing w:line="276" w:lineRule="auto"/>
        <w:rPr>
          <w:rFonts w:hint="eastAsia" w:ascii="宋体" w:hAnsi="宋体" w:eastAsia="宋体" w:cs="宋体"/>
          <w:color w:val="auto"/>
          <w:sz w:val="24"/>
          <w:szCs w:val="24"/>
          <w:highlight w:val="none"/>
        </w:rPr>
      </w:pP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1.12响应和偏差</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1.12.1投标文件应当对招标文件的实质性要求和条件作出满足性或更有利于招标人的响应，否则，投标人的投标将被否决。实质性要求和条件见投标人须知前附表。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1.12.2投标人应根据招标文件的要求提供投标</w:t>
      </w:r>
      <w:r>
        <w:rPr>
          <w:rFonts w:hint="eastAsia" w:ascii="宋体" w:hAnsi="宋体" w:eastAsia="宋体" w:cs="宋体"/>
          <w:color w:val="auto"/>
          <w:sz w:val="24"/>
          <w:szCs w:val="24"/>
          <w:highlight w:val="none"/>
          <w:u w:val="none"/>
          <w:lang w:eastAsia="zh-CN"/>
        </w:rPr>
        <w:t>设计工作方案</w:t>
      </w:r>
      <w:r>
        <w:rPr>
          <w:rFonts w:hint="eastAsia" w:ascii="宋体" w:hAnsi="宋体" w:eastAsia="宋体" w:cs="宋体"/>
          <w:color w:val="auto"/>
          <w:sz w:val="24"/>
          <w:szCs w:val="24"/>
          <w:highlight w:val="none"/>
          <w:lang w:eastAsia="zh-CN"/>
        </w:rPr>
        <w:t>等内容以对招标文件作出响应。</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1.12.3投标人须知前附表允许投标文件偏离招标文件某些要求的，偏差应当符合招标文件规定的偏差范围和幅度。</w:t>
      </w:r>
    </w:p>
    <w:p>
      <w:pPr>
        <w:spacing w:line="276" w:lineRule="auto"/>
        <w:rPr>
          <w:rFonts w:hint="eastAsia" w:ascii="宋体" w:hAnsi="宋体" w:eastAsia="宋体" w:cs="宋体"/>
          <w:color w:val="auto"/>
          <w:sz w:val="24"/>
          <w:szCs w:val="24"/>
          <w:highlight w:val="none"/>
        </w:rPr>
      </w:pPr>
    </w:p>
    <w:p>
      <w:pPr>
        <w:pStyle w:val="5"/>
        <w:spacing w:line="360" w:lineRule="auto"/>
        <w:ind w:right="44"/>
        <w:rPr>
          <w:rFonts w:hint="eastAsia" w:ascii="宋体" w:hAnsi="宋体" w:eastAsia="宋体" w:cs="宋体"/>
          <w:color w:val="auto"/>
          <w:sz w:val="24"/>
          <w:szCs w:val="24"/>
          <w:highlight w:val="none"/>
        </w:rPr>
      </w:pPr>
      <w:bookmarkStart w:id="5" w:name="_Toc21633"/>
      <w:r>
        <w:rPr>
          <w:rFonts w:hint="eastAsia" w:ascii="宋体" w:hAnsi="宋体" w:eastAsia="宋体" w:cs="宋体"/>
          <w:color w:val="auto"/>
          <w:highlight w:val="none"/>
        </w:rPr>
        <w:t>2. 招标文件</w:t>
      </w:r>
      <w:bookmarkEnd w:id="5"/>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2.1招标文件的组成</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本招标文件包括：</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（1）招标公告；</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（2）投标人须知；</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（3）评标办法（</w:t>
      </w:r>
      <w:r>
        <w:rPr>
          <w:rFonts w:hint="eastAsia" w:ascii="宋体" w:hAnsi="宋体" w:eastAsia="宋体" w:cs="宋体"/>
          <w:color w:val="auto"/>
          <w:sz w:val="24"/>
          <w:szCs w:val="24"/>
          <w:highlight w:val="none"/>
          <w:lang w:val="en-US" w:eastAsia="zh-CN"/>
        </w:rPr>
        <w:t>综合评估法</w:t>
      </w:r>
      <w:r>
        <w:rPr>
          <w:rFonts w:hint="eastAsia" w:ascii="宋体" w:hAnsi="宋体" w:eastAsia="宋体" w:cs="宋体"/>
          <w:color w:val="auto"/>
          <w:sz w:val="24"/>
          <w:szCs w:val="24"/>
          <w:highlight w:val="none"/>
          <w:lang w:eastAsia="zh-CN"/>
        </w:rPr>
        <w:t>）；</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（4）合同条款及格式；</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（5）设计任务书；</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（6）投标文件格式；</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（7）投标人须知前附表规定的其他资料。</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根据本章第1.10款、第2.2款和第2.3款对招标文件所作的澄清、修改，构成招标文件的组成部分。</w:t>
      </w:r>
    </w:p>
    <w:p>
      <w:pPr>
        <w:spacing w:line="360" w:lineRule="auto"/>
        <w:rPr>
          <w:rFonts w:hint="eastAsia" w:ascii="宋体" w:hAnsi="宋体" w:eastAsia="宋体" w:cs="宋体"/>
          <w:color w:val="auto"/>
          <w:sz w:val="24"/>
          <w:szCs w:val="24"/>
          <w:highlight w:val="none"/>
        </w:rPr>
      </w:pP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2.2招标文件的澄清</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2.2.2</w:t>
      </w:r>
      <w:r>
        <w:rPr>
          <w:rFonts w:hint="eastAsia" w:ascii="宋体" w:hAnsi="宋体" w:eastAsia="宋体" w:cs="宋体"/>
          <w:color w:val="auto"/>
          <w:sz w:val="24"/>
          <w:szCs w:val="24"/>
          <w:u w:val="single"/>
          <w:lang w:bidi="ar"/>
        </w:rPr>
        <w:t>招标文件的澄清以投标人须知前附表规定的形式发给所有潜在投标人，但不指明澄清问题的来源。</w:t>
      </w:r>
      <w:r>
        <w:rPr>
          <w:rFonts w:hint="eastAsia" w:ascii="宋体" w:hAnsi="宋体" w:eastAsia="宋体" w:cs="宋体"/>
          <w:color w:val="auto"/>
          <w:sz w:val="24"/>
          <w:szCs w:val="24"/>
          <w:highlight w:val="none"/>
          <w:lang w:eastAsia="zh-CN"/>
        </w:rPr>
        <w:t>澄清发出的时间距本章第4.2.1项规定的投标截止时间不足15日的，并且澄清内容可能影响投标文件编制的，将相应延长投标截止时间。</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2.2.3投标人在收到澄清后，应按投标人须知前附表规定的时间和形式通知招标人，确认已收到该澄清。</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2.2.4 除非招标人认为确有必要答复，否则，招标人有权拒绝回复投标人在本章第 2.2.1项规定的时间后的任何澄清要求。</w:t>
      </w:r>
    </w:p>
    <w:p>
      <w:pPr>
        <w:spacing w:line="360" w:lineRule="auto"/>
        <w:rPr>
          <w:rFonts w:hint="eastAsia" w:ascii="宋体" w:hAnsi="宋体" w:eastAsia="宋体" w:cs="宋体"/>
          <w:color w:val="auto"/>
          <w:sz w:val="24"/>
          <w:szCs w:val="24"/>
          <w:highlight w:val="none"/>
        </w:rPr>
      </w:pP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2.3招标文件的修改</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w:t>
      </w:r>
      <w:r>
        <w:rPr>
          <w:rFonts w:hint="eastAsia" w:ascii="宋体" w:hAnsi="宋体" w:eastAsia="宋体" w:cs="宋体"/>
          <w:color w:val="auto"/>
          <w:sz w:val="24"/>
          <w:szCs w:val="24"/>
          <w:u w:val="single"/>
          <w:lang w:bidi="ar"/>
        </w:rPr>
        <w:t>招标人以投标人须知前附表规定的形式修改招标文件，并通知所有潜在投标人</w:t>
      </w:r>
      <w:r>
        <w:rPr>
          <w:rFonts w:hint="eastAsia" w:ascii="宋体" w:hAnsi="宋体" w:eastAsia="宋体" w:cs="宋体"/>
          <w:color w:val="auto"/>
          <w:sz w:val="24"/>
          <w:szCs w:val="24"/>
          <w:highlight w:val="none"/>
          <w:lang w:eastAsia="zh-CN"/>
        </w:rPr>
        <w:t>。修改招标文件的时间距本章第4.2.1项规定的投标截止时间不足15日的，并且修改内容可能影响投标文件编制的，将相应延长投标截止时间。</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2.3.2投标人收到修改内容后，应按投标人须知前附表规定的时间和形式通知招标人，确认已收到该修改。</w:t>
      </w:r>
    </w:p>
    <w:p>
      <w:pPr>
        <w:spacing w:line="360" w:lineRule="auto"/>
        <w:rPr>
          <w:rFonts w:hint="eastAsia" w:ascii="宋体" w:hAnsi="宋体" w:eastAsia="宋体" w:cs="宋体"/>
          <w:color w:val="auto"/>
          <w:sz w:val="24"/>
          <w:szCs w:val="24"/>
          <w:highlight w:val="none"/>
        </w:rPr>
      </w:pP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2.4招标文件的异议</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或者其他利害关系人对招标文件有异议的，应当在投标截止时间10日前提出。可以通过线下或线上的形式提出异议。线上提交的，应通过交易平台进行，招标人也应通过交易平台答复线上提交的异议。作出答复前，应当暂停招标投标活动。</w:t>
      </w:r>
    </w:p>
    <w:p>
      <w:pPr>
        <w:spacing w:line="360" w:lineRule="auto"/>
        <w:rPr>
          <w:rFonts w:hint="eastAsia" w:ascii="宋体" w:hAnsi="宋体" w:eastAsia="宋体" w:cs="宋体"/>
          <w:color w:val="auto"/>
          <w:sz w:val="24"/>
          <w:szCs w:val="24"/>
          <w:highlight w:val="none"/>
        </w:rPr>
      </w:pPr>
    </w:p>
    <w:p>
      <w:pPr>
        <w:pStyle w:val="5"/>
        <w:spacing w:line="360" w:lineRule="auto"/>
        <w:ind w:right="44"/>
        <w:rPr>
          <w:rFonts w:hint="eastAsia" w:ascii="宋体" w:hAnsi="宋体" w:eastAsia="宋体" w:cs="宋体"/>
          <w:color w:val="auto"/>
          <w:sz w:val="24"/>
          <w:szCs w:val="24"/>
          <w:highlight w:val="none"/>
        </w:rPr>
      </w:pPr>
      <w:bookmarkStart w:id="6" w:name="_Toc27465"/>
      <w:r>
        <w:rPr>
          <w:rFonts w:hint="eastAsia" w:ascii="宋体" w:hAnsi="宋体" w:eastAsia="宋体" w:cs="宋体"/>
          <w:color w:val="auto"/>
          <w:highlight w:val="none"/>
        </w:rPr>
        <w:t>3. 投标文件</w:t>
      </w:r>
      <w:bookmarkEnd w:id="6"/>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3.1投标文件的组成</w:t>
      </w:r>
    </w:p>
    <w:p>
      <w:pPr>
        <w:autoSpaceDE w:val="0"/>
        <w:autoSpaceDN w:val="0"/>
        <w:adjustRightInd w:val="0"/>
        <w:spacing w:before="3" w:line="360" w:lineRule="auto"/>
        <w:ind w:firstLine="484" w:firstLineChars="202"/>
        <w:rPr>
          <w:rFonts w:hint="eastAsia" w:ascii="宋体" w:hAnsi="宋体" w:eastAsia="宋体" w:cs="宋体"/>
          <w:color w:val="auto"/>
          <w:spacing w:val="0"/>
          <w:kern w:val="0"/>
          <w:sz w:val="24"/>
          <w:szCs w:val="24"/>
          <w:highlight w:val="none"/>
        </w:rPr>
      </w:pPr>
      <w:r>
        <w:rPr>
          <w:rFonts w:hint="eastAsia" w:ascii="宋体" w:hAnsi="宋体" w:eastAsia="宋体" w:cs="宋体"/>
          <w:color w:val="auto"/>
          <w:kern w:val="0"/>
          <w:sz w:val="24"/>
          <w:szCs w:val="24"/>
          <w:highlight w:val="none"/>
        </w:rPr>
        <w:t xml:space="preserve">3.1.1 </w:t>
      </w:r>
      <w:r>
        <w:rPr>
          <w:rFonts w:hint="eastAsia" w:ascii="宋体" w:hAnsi="宋体" w:eastAsia="宋体" w:cs="宋体"/>
          <w:color w:val="auto"/>
          <w:spacing w:val="0"/>
          <w:kern w:val="0"/>
          <w:sz w:val="24"/>
          <w:szCs w:val="24"/>
          <w:highlight w:val="none"/>
        </w:rPr>
        <w:t>投标文件应包括下列内容：</w:t>
      </w:r>
    </w:p>
    <w:p>
      <w:pPr>
        <w:autoSpaceDE w:val="0"/>
        <w:autoSpaceDN w:val="0"/>
        <w:adjustRightInd w:val="0"/>
        <w:spacing w:before="3" w:line="360" w:lineRule="auto"/>
        <w:ind w:firstLine="484" w:firstLineChars="202"/>
        <w:rPr>
          <w:rFonts w:hint="eastAsia" w:ascii="宋体" w:hAnsi="宋体" w:eastAsia="宋体" w:cs="宋体"/>
          <w:color w:val="auto"/>
          <w:spacing w:val="0"/>
          <w:kern w:val="0"/>
          <w:sz w:val="24"/>
          <w:szCs w:val="24"/>
          <w:highlight w:val="none"/>
          <w:u w:val="none"/>
        </w:rPr>
      </w:pPr>
      <w:r>
        <w:rPr>
          <w:rFonts w:hint="eastAsia" w:ascii="宋体" w:hAnsi="宋体" w:eastAsia="宋体" w:cs="宋体"/>
          <w:color w:val="auto"/>
          <w:spacing w:val="0"/>
          <w:kern w:val="0"/>
          <w:sz w:val="24"/>
          <w:szCs w:val="24"/>
          <w:highlight w:val="none"/>
          <w:u w:val="none"/>
        </w:rPr>
        <w:t>（1）资格审查文件；</w:t>
      </w:r>
    </w:p>
    <w:p>
      <w:pPr>
        <w:autoSpaceDE w:val="0"/>
        <w:autoSpaceDN w:val="0"/>
        <w:adjustRightInd w:val="0"/>
        <w:spacing w:before="3" w:line="360" w:lineRule="auto"/>
        <w:ind w:firstLine="482" w:firstLineChars="201"/>
        <w:rPr>
          <w:rFonts w:hint="eastAsia" w:ascii="宋体" w:hAnsi="宋体" w:eastAsia="宋体" w:cs="宋体"/>
          <w:color w:val="auto"/>
          <w:spacing w:val="0"/>
          <w:kern w:val="0"/>
          <w:sz w:val="24"/>
          <w:szCs w:val="24"/>
          <w:highlight w:val="none"/>
          <w:u w:val="none"/>
        </w:rPr>
      </w:pPr>
      <w:r>
        <w:rPr>
          <w:rFonts w:hint="eastAsia" w:ascii="宋体" w:hAnsi="宋体" w:eastAsia="宋体" w:cs="宋体"/>
          <w:color w:val="auto"/>
          <w:spacing w:val="0"/>
          <w:kern w:val="0"/>
          <w:sz w:val="24"/>
          <w:szCs w:val="24"/>
          <w:highlight w:val="none"/>
          <w:u w:val="none"/>
        </w:rPr>
        <w:t>（2）商务</w:t>
      </w:r>
      <w:r>
        <w:rPr>
          <w:rFonts w:hint="eastAsia" w:ascii="宋体" w:hAnsi="宋体" w:eastAsia="宋体" w:cs="宋体"/>
          <w:color w:val="auto"/>
          <w:kern w:val="0"/>
          <w:sz w:val="24"/>
          <w:szCs w:val="24"/>
          <w:highlight w:val="none"/>
          <w:u w:val="none"/>
        </w:rPr>
        <w:t>文件</w:t>
      </w:r>
      <w:r>
        <w:rPr>
          <w:rFonts w:hint="eastAsia" w:ascii="宋体" w:hAnsi="宋体" w:eastAsia="宋体" w:cs="宋体"/>
          <w:color w:val="auto"/>
          <w:spacing w:val="0"/>
          <w:kern w:val="0"/>
          <w:sz w:val="24"/>
          <w:szCs w:val="24"/>
          <w:highlight w:val="none"/>
          <w:u w:val="none"/>
        </w:rPr>
        <w:t>；</w:t>
      </w:r>
    </w:p>
    <w:p>
      <w:pPr>
        <w:autoSpaceDE w:val="0"/>
        <w:autoSpaceDN w:val="0"/>
        <w:adjustRightInd w:val="0"/>
        <w:spacing w:before="3" w:line="360" w:lineRule="auto"/>
        <w:ind w:firstLine="482" w:firstLineChars="201"/>
        <w:rPr>
          <w:rFonts w:hint="eastAsia" w:ascii="宋体" w:hAnsi="宋体" w:eastAsia="宋体" w:cs="宋体"/>
          <w:color w:val="auto"/>
          <w:spacing w:val="0"/>
          <w:kern w:val="0"/>
          <w:sz w:val="24"/>
          <w:szCs w:val="24"/>
          <w:highlight w:val="none"/>
          <w:u w:val="none"/>
        </w:rPr>
      </w:pPr>
      <w:r>
        <w:rPr>
          <w:rFonts w:hint="eastAsia" w:ascii="宋体" w:hAnsi="宋体" w:eastAsia="宋体" w:cs="宋体"/>
          <w:color w:val="auto"/>
          <w:spacing w:val="0"/>
          <w:kern w:val="0"/>
          <w:sz w:val="24"/>
          <w:szCs w:val="24"/>
          <w:highlight w:val="none"/>
          <w:u w:val="none"/>
        </w:rPr>
        <w:t>（3）技术文件（</w:t>
      </w:r>
      <w:r>
        <w:rPr>
          <w:rFonts w:hint="eastAsia" w:ascii="宋体" w:hAnsi="宋体" w:eastAsia="宋体" w:cs="宋体"/>
          <w:color w:val="auto"/>
          <w:kern w:val="0"/>
          <w:sz w:val="24"/>
          <w:szCs w:val="24"/>
          <w:highlight w:val="none"/>
          <w:u w:val="none"/>
        </w:rPr>
        <w:t>设计方案）。</w:t>
      </w:r>
    </w:p>
    <w:p>
      <w:pPr>
        <w:autoSpaceDE w:val="0"/>
        <w:autoSpaceDN w:val="0"/>
        <w:adjustRightInd w:val="0"/>
        <w:spacing w:before="3" w:line="360" w:lineRule="auto"/>
        <w:ind w:firstLine="482" w:firstLineChars="201"/>
        <w:rPr>
          <w:rFonts w:hint="eastAsia" w:ascii="宋体" w:hAnsi="宋体" w:eastAsia="宋体" w:cs="宋体"/>
          <w:color w:val="auto"/>
          <w:spacing w:val="0"/>
          <w:kern w:val="0"/>
          <w:sz w:val="24"/>
          <w:szCs w:val="24"/>
          <w:highlight w:val="none"/>
          <w:u w:val="none"/>
        </w:rPr>
      </w:pPr>
      <w:r>
        <w:rPr>
          <w:rFonts w:hint="eastAsia" w:ascii="宋体" w:hAnsi="宋体" w:eastAsia="宋体" w:cs="宋体"/>
          <w:color w:val="auto"/>
          <w:spacing w:val="0"/>
          <w:kern w:val="0"/>
          <w:sz w:val="24"/>
          <w:szCs w:val="24"/>
          <w:highlight w:val="none"/>
          <w:u w:val="none"/>
        </w:rPr>
        <w:t>3.1.2 投标文件具体编制规定详见招标文件第六章的设计投标文件编制要求。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注：技术文件（设计方案）为暗标。技术标中不能辨认出投标人或其专业技术人员的身份。不在设计方案上标注或做任何可以辨认投标人及专业技术人员身份的名称、印章、商标、图形等记认符号。</w:t>
      </w: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3.2投标报价</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3.2.1投标报价应包括国家规定的增值税税金，除投标人须知前附表另有规定外，增值税税金按一般计税方法计算。</w:t>
      </w:r>
      <w:r>
        <w:rPr>
          <w:rFonts w:hint="eastAsia" w:ascii="宋体" w:hAnsi="宋体" w:eastAsia="宋体" w:cs="宋体"/>
          <w:color w:val="auto"/>
          <w:sz w:val="24"/>
          <w:szCs w:val="24"/>
          <w:highlight w:val="none"/>
          <w:u w:val="single"/>
          <w:lang w:eastAsia="zh-CN"/>
        </w:rPr>
        <w:t>投标人应按第六章“投标文件格式”的要求进行报价。</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3.2.2投标人应充分了解该项目的总体情况以及影响投标报价的其他要素。</w:t>
      </w:r>
    </w:p>
    <w:p>
      <w:pPr>
        <w:pStyle w:val="11"/>
        <w:spacing w:line="360" w:lineRule="auto"/>
        <w:ind w:left="0" w:firstLine="480" w:firstLineChars="200"/>
        <w:rPr>
          <w:rFonts w:hint="eastAsia" w:ascii="宋体" w:hAnsi="宋体" w:eastAsia="宋体" w:cs="宋体"/>
          <w:strike/>
          <w:color w:val="auto"/>
          <w:sz w:val="24"/>
          <w:szCs w:val="24"/>
          <w:highlight w:val="none"/>
          <w:lang w:eastAsia="zh-CN"/>
        </w:rPr>
      </w:pPr>
      <w:r>
        <w:rPr>
          <w:rFonts w:hint="eastAsia" w:ascii="宋体" w:hAnsi="宋体" w:eastAsia="宋体" w:cs="宋体"/>
          <w:color w:val="auto"/>
          <w:sz w:val="24"/>
          <w:szCs w:val="24"/>
          <w:highlight w:val="none"/>
          <w:lang w:eastAsia="zh-CN"/>
        </w:rPr>
        <w:t>3.2.3本项目的报价方式见投标人须知前附表。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3.2.4招标人设有最高投标限价的，投标人的投标报价不得超过最高投标限价，最高投标限价在投标人须知前附表中载明。</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3.2.5投标报价的其他要求见投标人须知前附表。</w:t>
      </w: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3.3投标有效期</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3.3.1除投标人须知前附表另有规定外，投标有效期为90天。</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3.3.2在投标有效期内，投标人撤销投标文件的，应承担招标文件和法律规定的责任。</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3.3.3出现特殊情况需要延长投标有效期的，招标人以书面形式通知所有投标人延长投标有效期。投标人应予以书面答复，同意延长的，</w:t>
      </w:r>
      <w:r>
        <w:rPr>
          <w:rFonts w:hint="eastAsia" w:ascii="宋体" w:hAnsi="宋体" w:eastAsia="宋体" w:cs="宋体"/>
          <w:strike/>
          <w:dstrike w:val="0"/>
          <w:color w:val="auto"/>
          <w:sz w:val="24"/>
          <w:szCs w:val="24"/>
          <w:highlight w:val="none"/>
          <w:lang w:eastAsia="zh-CN"/>
        </w:rPr>
        <w:t>应相应延长其投标保证金的有效期，但</w:t>
      </w:r>
      <w:r>
        <w:rPr>
          <w:rFonts w:hint="eastAsia" w:ascii="宋体" w:hAnsi="宋体" w:eastAsia="宋体" w:cs="宋体"/>
          <w:color w:val="auto"/>
          <w:sz w:val="24"/>
          <w:szCs w:val="24"/>
          <w:highlight w:val="none"/>
          <w:lang w:eastAsia="zh-CN"/>
        </w:rPr>
        <w:t>不得要求或被允许修改其投标文件；投标人拒绝延长的，其投标失效</w:t>
      </w:r>
      <w:r>
        <w:rPr>
          <w:rFonts w:hint="eastAsia" w:ascii="宋体" w:hAnsi="宋体" w:eastAsia="宋体" w:cs="宋体"/>
          <w:strike/>
          <w:dstrike w:val="0"/>
          <w:color w:val="auto"/>
          <w:sz w:val="24"/>
          <w:szCs w:val="24"/>
          <w:highlight w:val="none"/>
          <w:lang w:eastAsia="zh-CN"/>
        </w:rPr>
        <w:t>，但投标人有权收回其投标保证金及以现金或者支票形式递交的投标保证金的银行同期存款利息</w:t>
      </w:r>
      <w:r>
        <w:rPr>
          <w:rFonts w:hint="eastAsia" w:ascii="宋体" w:hAnsi="宋体" w:eastAsia="宋体" w:cs="宋体"/>
          <w:color w:val="auto"/>
          <w:sz w:val="24"/>
          <w:szCs w:val="24"/>
          <w:highlight w:val="none"/>
          <w:lang w:eastAsia="zh-CN"/>
        </w:rPr>
        <w:t>。</w:t>
      </w:r>
    </w:p>
    <w:p>
      <w:pPr>
        <w:pStyle w:val="6"/>
        <w:spacing w:line="360" w:lineRule="auto"/>
        <w:ind w:right="44"/>
        <w:rPr>
          <w:rFonts w:hint="eastAsia" w:ascii="宋体" w:hAnsi="宋体" w:eastAsia="宋体" w:cs="宋体"/>
          <w:strike/>
          <w:color w:val="auto"/>
          <w:sz w:val="24"/>
          <w:szCs w:val="24"/>
          <w:highlight w:val="none"/>
        </w:rPr>
      </w:pPr>
      <w:r>
        <w:rPr>
          <w:rFonts w:hint="eastAsia" w:ascii="宋体" w:hAnsi="宋体" w:eastAsia="宋体" w:cs="宋体"/>
          <w:color w:val="auto"/>
          <w:highlight w:val="none"/>
        </w:rPr>
        <w:t>3.4投标保证金</w:t>
      </w:r>
    </w:p>
    <w:p>
      <w:pPr>
        <w:pStyle w:val="11"/>
        <w:spacing w:line="360" w:lineRule="auto"/>
        <w:ind w:left="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本项目不要求投标人递交投标保证金。</w:t>
      </w: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3.5资格审查资料（适用于未进行资格预审的）</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除投标人须知前附表另有规定外，投标人应按</w:t>
      </w:r>
      <w:r>
        <w:rPr>
          <w:rFonts w:hint="eastAsia" w:ascii="宋体" w:hAnsi="宋体" w:eastAsia="宋体" w:cs="宋体"/>
          <w:color w:val="auto"/>
          <w:sz w:val="24"/>
          <w:szCs w:val="24"/>
          <w:highlight w:val="none"/>
          <w:u w:val="single"/>
          <w:lang w:eastAsia="zh-CN"/>
        </w:rPr>
        <w:t>招标公告和本章第3.1项的要求</w:t>
      </w:r>
      <w:r>
        <w:rPr>
          <w:rFonts w:hint="eastAsia" w:ascii="宋体" w:hAnsi="宋体" w:eastAsia="宋体" w:cs="宋体"/>
          <w:color w:val="auto"/>
          <w:sz w:val="24"/>
          <w:szCs w:val="24"/>
          <w:highlight w:val="none"/>
          <w:lang w:eastAsia="zh-CN"/>
        </w:rPr>
        <w:t>提供资格审查资料，以证明其满足本章第1.4款规定的资质、</w:t>
      </w:r>
      <w:r>
        <w:rPr>
          <w:rFonts w:hint="eastAsia" w:ascii="宋体" w:hAnsi="宋体" w:eastAsia="宋体" w:cs="宋体"/>
          <w:strike/>
          <w:color w:val="auto"/>
          <w:sz w:val="24"/>
          <w:szCs w:val="24"/>
          <w:highlight w:val="none"/>
          <w:lang w:eastAsia="zh-CN"/>
        </w:rPr>
        <w:t>财务、业绩</w:t>
      </w:r>
      <w:r>
        <w:rPr>
          <w:rFonts w:hint="eastAsia" w:ascii="宋体" w:hAnsi="宋体" w:eastAsia="宋体" w:cs="宋体"/>
          <w:color w:val="auto"/>
          <w:sz w:val="24"/>
          <w:szCs w:val="24"/>
          <w:highlight w:val="none"/>
          <w:lang w:eastAsia="zh-CN"/>
        </w:rPr>
        <w:t>、信誉等要求。</w:t>
      </w:r>
    </w:p>
    <w:p>
      <w:pPr>
        <w:pStyle w:val="11"/>
        <w:spacing w:line="360" w:lineRule="auto"/>
        <w:ind w:lef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具体要求详见第六章“投标文件格式”。</w:t>
      </w: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3.6备选投标方案</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3.6.1除投标人须知前附表规定允许外，投标人不得递交备选投标方案，否则其投标将被否决。</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3.6.3投标人提供两个或两个以上投标报价，或者在投标文件中提供一个报价，但同时提供两个或两个以上设计方案的，视为提供备选方案。</w:t>
      </w: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3.7投标文件的编制</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3.7.1投标文件应按第六章“投标文件格式”进行编写，如有必要，可以增加附页，作为投标文件的组成部分。其中，投标函附录在满足招标文件实质性要求的基础上，可以提出比招标文件要求更有利于招标人的承诺。</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3.7.2投标文件应当对招标文件有关设计服务期限、投标有效期、</w:t>
      </w:r>
      <w:r>
        <w:rPr>
          <w:rFonts w:hint="eastAsia" w:ascii="宋体" w:hAnsi="宋体" w:eastAsia="宋体" w:cs="宋体"/>
          <w:color w:val="auto"/>
          <w:sz w:val="24"/>
          <w:szCs w:val="24"/>
          <w:highlight w:val="none"/>
          <w:lang w:val="en-US" w:eastAsia="zh-CN"/>
        </w:rPr>
        <w:t>设计任务书</w:t>
      </w:r>
      <w:r>
        <w:rPr>
          <w:rFonts w:hint="eastAsia" w:ascii="宋体" w:hAnsi="宋体" w:eastAsia="宋体" w:cs="宋体"/>
          <w:color w:val="auto"/>
          <w:sz w:val="24"/>
          <w:szCs w:val="24"/>
          <w:highlight w:val="none"/>
          <w:lang w:eastAsia="zh-CN"/>
        </w:rPr>
        <w:t>、招标范围等实质性内容作出响应。</w:t>
      </w:r>
    </w:p>
    <w:p>
      <w:pPr>
        <w:autoSpaceDE w:val="0"/>
        <w:autoSpaceDN w:val="0"/>
        <w:adjustRightInd w:val="0"/>
        <w:spacing w:before="10" w:line="360" w:lineRule="auto"/>
        <w:ind w:right="142"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3.7.3 （B）投标文件全部采用电子文档，除投标人须知前附表另有规定外，投标文件所附证书证件均为原件扫描件，并采用单位和个人数字证书，按招标文件要求在相应位置加盖电子印章</w:t>
      </w:r>
      <w:r>
        <w:rPr>
          <w:rFonts w:hint="eastAsia" w:ascii="宋体" w:hAnsi="宋体" w:eastAsia="宋体" w:cs="宋体"/>
          <w:color w:val="auto"/>
          <w:kern w:val="0"/>
          <w:sz w:val="24"/>
          <w:szCs w:val="24"/>
          <w:highlight w:val="none"/>
          <w:u w:val="none"/>
        </w:rPr>
        <w:t>（技术文件（设计方案）除外）</w:t>
      </w:r>
      <w:r>
        <w:rPr>
          <w:rFonts w:hint="eastAsia" w:ascii="宋体" w:hAnsi="宋体" w:eastAsia="宋体" w:cs="宋体"/>
          <w:color w:val="auto"/>
          <w:kern w:val="0"/>
          <w:sz w:val="24"/>
          <w:szCs w:val="24"/>
          <w:highlight w:val="none"/>
        </w:rPr>
        <w:t>。由投标人的法定代表人签字或加盖电子印章的，应附法定代表人身份证明，由代理人签字或加盖电子印章的，应附由法定代表人签署的授权委托书。签字或盖章的具体要求见投标人须知前附表。</w:t>
      </w:r>
    </w:p>
    <w:p>
      <w:pPr>
        <w:spacing w:line="360" w:lineRule="auto"/>
        <w:ind w:left="63" w:leftChars="30" w:firstLine="576" w:firstLineChars="240"/>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3.7.4投标文件</w:t>
      </w:r>
      <w:r>
        <w:rPr>
          <w:rFonts w:hint="eastAsia" w:ascii="宋体" w:hAnsi="宋体" w:eastAsia="宋体" w:cs="宋体"/>
          <w:color w:val="auto"/>
          <w:spacing w:val="0"/>
          <w:kern w:val="0"/>
          <w:sz w:val="24"/>
          <w:szCs w:val="24"/>
          <w:highlight w:val="none"/>
          <w:u w:val="none"/>
        </w:rPr>
        <w:t>的</w:t>
      </w:r>
      <w:r>
        <w:rPr>
          <w:rFonts w:hint="eastAsia" w:ascii="宋体" w:hAnsi="宋体" w:eastAsia="宋体" w:cs="宋体"/>
          <w:color w:val="auto"/>
          <w:kern w:val="0"/>
          <w:sz w:val="24"/>
          <w:szCs w:val="24"/>
          <w:highlight w:val="none"/>
          <w:u w:val="none"/>
        </w:rPr>
        <w:t>具体编制规定详见第六章的“设计投标文件编制要求”。</w:t>
      </w:r>
    </w:p>
    <w:p>
      <w:pPr>
        <w:pStyle w:val="5"/>
        <w:spacing w:line="360" w:lineRule="auto"/>
        <w:ind w:right="44"/>
        <w:rPr>
          <w:rFonts w:hint="eastAsia" w:ascii="宋体" w:hAnsi="宋体" w:eastAsia="宋体" w:cs="宋体"/>
          <w:color w:val="auto"/>
          <w:sz w:val="24"/>
          <w:szCs w:val="24"/>
          <w:highlight w:val="none"/>
        </w:rPr>
      </w:pPr>
      <w:bookmarkStart w:id="7" w:name="_Toc12380"/>
      <w:r>
        <w:rPr>
          <w:rFonts w:hint="eastAsia" w:ascii="宋体" w:hAnsi="宋体" w:eastAsia="宋体" w:cs="宋体"/>
          <w:color w:val="auto"/>
          <w:highlight w:val="none"/>
        </w:rPr>
        <w:t>4. 投标</w:t>
      </w:r>
      <w:bookmarkEnd w:id="7"/>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4.1投标文件的密封和标记</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4.1.1（B）投标人应当按照招标文件和电子招标投标交易平台的要求加密投标文件，具体要求见投标人须知前附表。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4.1.2投标文件备用光盘封套上应写明的内容见投标人须知前附表。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4.1.3未按本章第 4.1.1项要求密封的投标文件，招标人将予以拒收。</w:t>
      </w: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4.2投标文件的递交</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4.2.1投标人应在投标人须知前附表规定的投标截止时间前递交投标文件。</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4.2.2（B）投标人通过下载招标文件的电子招标投标交易平台递交电子投标文件。</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4.2.3除投标人须知前附表另有规定外，投标人所递交的投标文件不予退还。</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4.2.4（B）投标人完成电子投标文件上传后，电子招标投标交易平台即时向投标人发出递交回执通知。递交时间以递交回执通知载明的传输完成时间为准。</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4.2.5（B）逾期送达的投标文件，电子招标投标交易平台将予以拒收。</w:t>
      </w: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4.3投标文件的修改与撤回</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4.3.1在本章第 4.2.1项规定的投标截止时间前，投标人可以修改或撤回已递交的投标文件，但应以书面形式通知招标人。</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4.3.2（B）投标人修改或撤回已递交投标文件的通知，应按照本章第3.7.3（B）项的要求加盖电子印章。电子招标投标交易平台收到通知后，即时向投标人发出确认回执通知。</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4.3.3投标人撤回投标文件的，招标人自收到投标人书面撤回通知之日起 5日内退还已收取的投标保证金。（本项目不适用）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4.3.4修改的内容为投标文件的组成部分。修改的投标文件应按照本章第3条、第4条的规定进行编制、密封、标记和递交，并标明“修改”字样。</w:t>
      </w:r>
    </w:p>
    <w:p>
      <w:pPr>
        <w:pStyle w:val="5"/>
        <w:spacing w:line="360" w:lineRule="auto"/>
        <w:ind w:right="44"/>
        <w:rPr>
          <w:rFonts w:hint="eastAsia" w:ascii="宋体" w:hAnsi="宋体" w:eastAsia="宋体" w:cs="宋体"/>
          <w:color w:val="auto"/>
          <w:sz w:val="24"/>
          <w:szCs w:val="24"/>
          <w:highlight w:val="none"/>
        </w:rPr>
      </w:pPr>
      <w:bookmarkStart w:id="8" w:name="_Toc14543"/>
      <w:r>
        <w:rPr>
          <w:rFonts w:hint="eastAsia" w:ascii="宋体" w:hAnsi="宋体" w:eastAsia="宋体" w:cs="宋体"/>
          <w:color w:val="auto"/>
          <w:highlight w:val="none"/>
        </w:rPr>
        <w:t>5. 开标</w:t>
      </w:r>
      <w:bookmarkEnd w:id="8"/>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5.1开标时间和地点（B）</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招标人在本章第 4.2.1项规定的投标截止时间（开标时间）,通过电子招标投标交易平台公开开标，</w:t>
      </w:r>
      <w:r>
        <w:rPr>
          <w:rStyle w:val="49"/>
          <w:rFonts w:hint="eastAsia" w:ascii="宋体" w:hAnsi="宋体" w:eastAsia="宋体" w:cs="宋体"/>
          <w:color w:val="auto"/>
          <w:sz w:val="24"/>
          <w:szCs w:val="24"/>
          <w:highlight w:val="none"/>
          <w:u w:val="single"/>
        </w:rPr>
        <w:t>开标时，投标人代表有权出席开标会，也可以自主决定不参加开标会。</w:t>
      </w: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5.2开标程序</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5.2.1 主持</w:t>
      </w:r>
      <w:r>
        <w:rPr>
          <w:rFonts w:hint="eastAsia" w:ascii="宋体" w:hAnsi="宋体" w:eastAsia="宋体" w:cs="宋体"/>
          <w:color w:val="auto"/>
          <w:spacing w:val="-2"/>
          <w:kern w:val="0"/>
          <w:sz w:val="24"/>
          <w:szCs w:val="24"/>
        </w:rPr>
        <w:t>人</w:t>
      </w:r>
      <w:r>
        <w:rPr>
          <w:rFonts w:hint="eastAsia" w:ascii="宋体" w:hAnsi="宋体" w:eastAsia="宋体" w:cs="宋体"/>
          <w:color w:val="auto"/>
          <w:kern w:val="0"/>
          <w:sz w:val="24"/>
          <w:szCs w:val="24"/>
        </w:rPr>
        <w:t>按</w:t>
      </w:r>
      <w:r>
        <w:rPr>
          <w:rFonts w:hint="eastAsia" w:ascii="宋体" w:hAnsi="宋体" w:eastAsia="宋体" w:cs="宋体"/>
          <w:color w:val="auto"/>
          <w:spacing w:val="-2"/>
          <w:kern w:val="0"/>
          <w:sz w:val="24"/>
          <w:szCs w:val="24"/>
        </w:rPr>
        <w:t>下</w:t>
      </w:r>
      <w:r>
        <w:rPr>
          <w:rFonts w:hint="eastAsia" w:ascii="宋体" w:hAnsi="宋体" w:eastAsia="宋体" w:cs="宋体"/>
          <w:color w:val="auto"/>
          <w:kern w:val="0"/>
          <w:sz w:val="24"/>
          <w:szCs w:val="24"/>
        </w:rPr>
        <w:t>列</w:t>
      </w:r>
      <w:r>
        <w:rPr>
          <w:rFonts w:hint="eastAsia" w:ascii="宋体" w:hAnsi="宋体" w:eastAsia="宋体" w:cs="宋体"/>
          <w:color w:val="auto"/>
          <w:spacing w:val="-2"/>
          <w:kern w:val="0"/>
          <w:sz w:val="24"/>
          <w:szCs w:val="24"/>
        </w:rPr>
        <w:t>程</w:t>
      </w:r>
      <w:r>
        <w:rPr>
          <w:rFonts w:hint="eastAsia" w:ascii="宋体" w:hAnsi="宋体" w:eastAsia="宋体" w:cs="宋体"/>
          <w:color w:val="auto"/>
          <w:kern w:val="0"/>
          <w:sz w:val="24"/>
          <w:szCs w:val="24"/>
        </w:rPr>
        <w:t>序</w:t>
      </w:r>
      <w:r>
        <w:rPr>
          <w:rFonts w:hint="eastAsia" w:ascii="宋体" w:hAnsi="宋体" w:eastAsia="宋体" w:cs="宋体"/>
          <w:color w:val="auto"/>
          <w:spacing w:val="-2"/>
          <w:kern w:val="0"/>
          <w:sz w:val="24"/>
          <w:szCs w:val="24"/>
        </w:rPr>
        <w:t>进</w:t>
      </w:r>
      <w:r>
        <w:rPr>
          <w:rFonts w:hint="eastAsia" w:ascii="宋体" w:hAnsi="宋体" w:eastAsia="宋体" w:cs="宋体"/>
          <w:color w:val="auto"/>
          <w:kern w:val="0"/>
          <w:sz w:val="24"/>
          <w:szCs w:val="24"/>
        </w:rPr>
        <w:t>行</w:t>
      </w:r>
      <w:r>
        <w:rPr>
          <w:rFonts w:hint="eastAsia" w:ascii="宋体" w:hAnsi="宋体" w:eastAsia="宋体" w:cs="宋体"/>
          <w:color w:val="auto"/>
          <w:spacing w:val="-2"/>
          <w:kern w:val="0"/>
          <w:sz w:val="24"/>
          <w:szCs w:val="24"/>
        </w:rPr>
        <w:t>开</w:t>
      </w:r>
      <w:r>
        <w:rPr>
          <w:rFonts w:hint="eastAsia" w:ascii="宋体" w:hAnsi="宋体" w:eastAsia="宋体" w:cs="宋体"/>
          <w:color w:val="auto"/>
          <w:kern w:val="0"/>
          <w:sz w:val="24"/>
          <w:szCs w:val="24"/>
        </w:rPr>
        <w:t>标：</w:t>
      </w:r>
    </w:p>
    <w:p>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（1）宣布开标纪律；</w:t>
      </w:r>
    </w:p>
    <w:p>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（2）公布在投标截止时间前递交投标文件的投标人名称；</w:t>
      </w:r>
    </w:p>
    <w:p>
      <w:pPr>
        <w:spacing w:line="360" w:lineRule="auto"/>
        <w:ind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（3）宣布开标人、唱标人、记录人、监标人等有关人员姓名；</w:t>
      </w:r>
    </w:p>
    <w:p>
      <w:pPr>
        <w:spacing w:line="360" w:lineRule="auto"/>
        <w:ind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（4）投标人通过电子招标投标交易平台对已递交的电子投标文件进行解密，公布招标项目名称、投标人名称、投标报价、服务期限及其他内容，并记录在案；</w:t>
      </w:r>
    </w:p>
    <w:p>
      <w:pPr>
        <w:spacing w:line="360" w:lineRule="auto"/>
        <w:ind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技术文件（设计方案）开标时不得开启，在评标时由交易平台随机编号后开启，交由评标委员会进行评审。编号所对应的投标人在技术文件（设计方案）评审结束前不得告知评标委员会、交易平台工作人员、招标人或招标代理机构。</w:t>
      </w:r>
    </w:p>
    <w:p>
      <w:pPr>
        <w:spacing w:line="360" w:lineRule="auto"/>
        <w:ind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（5）投标人代表、监标人、记录人等有关人员在开标记录上签字确认；若有关人员不签字的，不影响开标程序；</w:t>
      </w:r>
    </w:p>
    <w:p>
      <w:pPr>
        <w:spacing w:line="360" w:lineRule="auto"/>
        <w:ind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（6）开标结束。</w:t>
      </w:r>
    </w:p>
    <w:p>
      <w:pPr>
        <w:spacing w:line="360" w:lineRule="auto"/>
        <w:ind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5.2.2 投标截止时间前未完成投标文件传输的或因投标人之外的原因造成投标文件未解密的，视为投标人撤回其投标文件。因投标人原因造成投标文件未解密的，或未在投标截止时间后半小时内解密的且未提交光盘用的，视为撤销其投标文件。</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u w:val="single"/>
        </w:rPr>
        <w:t>5.2.3 开标时，两个（含两个）以上的投标人加密打包投标文件的电脑机器特征码一致的，不参与下一程序，并由评标委员会否决其投标。</w:t>
      </w: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5.3开标异议</w:t>
      </w:r>
    </w:p>
    <w:p>
      <w:pPr>
        <w:autoSpaceDE w:val="0"/>
        <w:autoSpaceDN w:val="0"/>
        <w:adjustRightInd w:val="0"/>
        <w:spacing w:line="360" w:lineRule="auto"/>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5.3.1 参加现场开标的投标人对开标有异议的，应当在开标现场提出，同时出示本人身份证原件，招标人应当当场作出答复，并制作记录。</w:t>
      </w:r>
    </w:p>
    <w:p>
      <w:pPr>
        <w:autoSpaceDE w:val="0"/>
        <w:autoSpaceDN w:val="0"/>
        <w:adjustRightInd w:val="0"/>
        <w:spacing w:line="360" w:lineRule="auto"/>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5.3.2 参加在线开标的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autoSpaceDE w:val="0"/>
        <w:autoSpaceDN w:val="0"/>
        <w:adjustRightInd w:val="0"/>
        <w:spacing w:line="360" w:lineRule="auto"/>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5.3.3 投标人未参加开标或在规定的时间内未提出异议的，视为对开标无异议。</w:t>
      </w:r>
    </w:p>
    <w:p>
      <w:pPr>
        <w:pStyle w:val="5"/>
        <w:spacing w:line="360" w:lineRule="auto"/>
        <w:ind w:right="44"/>
        <w:rPr>
          <w:rFonts w:hint="eastAsia" w:ascii="宋体" w:hAnsi="宋体" w:eastAsia="宋体" w:cs="宋体"/>
          <w:color w:val="auto"/>
          <w:sz w:val="24"/>
          <w:szCs w:val="24"/>
          <w:highlight w:val="none"/>
        </w:rPr>
      </w:pPr>
      <w:bookmarkStart w:id="9" w:name="_Toc31906"/>
      <w:r>
        <w:rPr>
          <w:rFonts w:hint="eastAsia" w:ascii="宋体" w:hAnsi="宋体" w:eastAsia="宋体" w:cs="宋体"/>
          <w:color w:val="auto"/>
          <w:highlight w:val="none"/>
        </w:rPr>
        <w:t>6. 评标</w:t>
      </w:r>
      <w:bookmarkEnd w:id="9"/>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6.1评标委员会</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6.1.2评标委员会成员有下列情形之一的，应当回避：</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（1）投标人或投标人主要负责人的近亲属；</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（2）项目主管部门或者行政监督部门的人员；</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（3）与投标人有经济利益关系，可能影响对投标公正评审的；</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（4）曾因在招标、评标以及其他与招标投标有关活动中从事违法行为而受过行政处罚或刑事处罚的；</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（5）与投标人有其他利害关系。</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6.1.3评标过程中，评标委员会成员有回避事由、擅离职守或者因健康等原因不能继续评标的，招标人有权更换。被更换的评标委员会成员作出的评审结论无效，由更换后的评标委员会成员重新进行评审。</w:t>
      </w: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6.2评标原则</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评标活动遵循公平、公正、科学和择优的原则。</w:t>
      </w:r>
    </w:p>
    <w:p>
      <w:pPr>
        <w:spacing w:line="360" w:lineRule="auto"/>
        <w:rPr>
          <w:rFonts w:hint="eastAsia" w:ascii="宋体" w:hAnsi="宋体" w:eastAsia="宋体" w:cs="宋体"/>
          <w:color w:val="auto"/>
          <w:sz w:val="24"/>
          <w:szCs w:val="24"/>
          <w:highlight w:val="none"/>
        </w:rPr>
      </w:pP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6.3评标</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6.3.1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6.3.2评标完成后，评标委员会应当向招标人提交书面评标报告和中标候选人名单。评标委员会推荐中标候选人的人数见投标人须知前附表。</w:t>
      </w:r>
    </w:p>
    <w:p>
      <w:pPr>
        <w:pStyle w:val="5"/>
        <w:spacing w:line="360" w:lineRule="auto"/>
        <w:ind w:right="44"/>
        <w:rPr>
          <w:rFonts w:hint="eastAsia" w:ascii="宋体" w:hAnsi="宋体" w:eastAsia="宋体" w:cs="宋体"/>
          <w:color w:val="auto"/>
          <w:sz w:val="24"/>
          <w:szCs w:val="24"/>
          <w:highlight w:val="none"/>
        </w:rPr>
      </w:pPr>
      <w:bookmarkStart w:id="10" w:name="_Toc11536"/>
      <w:r>
        <w:rPr>
          <w:rFonts w:hint="eastAsia" w:ascii="宋体" w:hAnsi="宋体" w:eastAsia="宋体" w:cs="宋体"/>
          <w:color w:val="auto"/>
          <w:highlight w:val="none"/>
        </w:rPr>
        <w:t>7. 合同授予</w:t>
      </w:r>
      <w:bookmarkEnd w:id="10"/>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7.1中标候选人公示</w:t>
      </w:r>
    </w:p>
    <w:p>
      <w:pPr>
        <w:pStyle w:val="6"/>
        <w:spacing w:before="0" w:after="0"/>
        <w:ind w:left="0" w:right="0"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招标人在收到评标报告之日起 3日内，按照投标人须知前附表规定的公示媒介和期限公示中标候选人，公示期不得少于3天。</w:t>
      </w:r>
    </w:p>
    <w:p>
      <w:pPr>
        <w:pStyle w:val="6"/>
        <w:spacing w:before="0" w:after="0" w:line="360" w:lineRule="auto"/>
        <w:ind w:left="0" w:right="0"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u w:val="none"/>
          <w:lang w:eastAsia="zh-CN"/>
        </w:rPr>
        <w:t>在产生中标候选人后，招标人将中标候选人的投标文件商务部分的电子版（报价清单、方案等涉及商业秘密的内容除外）在广州交易集团有限公司（广州公共资源交易中心）网站等法定媒介公开。</w:t>
      </w:r>
    </w:p>
    <w:p>
      <w:pPr>
        <w:pStyle w:val="11"/>
        <w:spacing w:line="360" w:lineRule="auto"/>
        <w:ind w:left="0" w:firstLine="480" w:firstLineChars="200"/>
        <w:jc w:val="both"/>
        <w:rPr>
          <w:rFonts w:hint="eastAsia" w:ascii="宋体" w:hAnsi="宋体" w:eastAsia="宋体" w:cs="宋体"/>
          <w:color w:val="auto"/>
          <w:sz w:val="24"/>
          <w:szCs w:val="24"/>
          <w:highlight w:val="none"/>
          <w:u w:val="single"/>
          <w:lang w:eastAsia="zh-CN"/>
        </w:rPr>
      </w:pP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7.2评标结果异议</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或者其他利害关系人对评标结果有异议的，应当在中标候选人公示期间提出，可以通过线下或线上的形式提出异议。线上提交的，应通过交易平台进行，招标人也应通过交易平台答复线上提交的异议。招标人将在收到异议之日起3日内作出答复；作出答复前，将暂停招标投标活动。</w:t>
      </w: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7.3中标候选人履约能力审查</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7.4定标</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按照投标人须知前附表的规定，招标人依法确定中标人。</w:t>
      </w: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7.5中标通知</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在本章第 3.3款规定的投标有效期内，招标人以书面形式向中标人发出中标通知书，同时将中标结果通知未中标的投标人。</w:t>
      </w: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7.6技术成果经济补偿</w:t>
      </w:r>
    </w:p>
    <w:p>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本招标项目不设经济补偿。</w:t>
      </w: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7.7履约保证金</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7.7.1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7.7.2中标人不能按本章第 7.7.1项要求提交履约保证金的，视为放弃中标，其投标保证金不予退还，给招标人造成的损失超过投标保证金数额的，中标人还应当对超过部分予以赔偿。</w:t>
      </w:r>
    </w:p>
    <w:p>
      <w:pPr>
        <w:spacing w:line="360" w:lineRule="auto"/>
        <w:rPr>
          <w:rFonts w:hint="eastAsia" w:ascii="宋体" w:hAnsi="宋体" w:eastAsia="宋体" w:cs="宋体"/>
          <w:color w:val="auto"/>
          <w:sz w:val="24"/>
          <w:szCs w:val="24"/>
          <w:highlight w:val="none"/>
        </w:rPr>
      </w:pPr>
    </w:p>
    <w:p>
      <w:pPr>
        <w:pStyle w:val="6"/>
        <w:spacing w:line="360" w:lineRule="auto"/>
        <w:ind w:right="44"/>
        <w:rPr>
          <w:rFonts w:hint="eastAsia" w:ascii="宋体" w:hAnsi="宋体" w:eastAsia="宋体" w:cs="宋体"/>
          <w:color w:val="auto"/>
          <w:highlight w:val="none"/>
        </w:rPr>
      </w:pPr>
      <w:r>
        <w:rPr>
          <w:rFonts w:hint="eastAsia" w:ascii="宋体" w:hAnsi="宋体" w:eastAsia="宋体" w:cs="宋体"/>
          <w:color w:val="auto"/>
          <w:highlight w:val="none"/>
        </w:rPr>
        <w:t>7.8签订合同</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7.8.1招标人和中标人应当在中标通知书发出之日起 30日内，根据招标文件和中标人的投标文件订立书面合同。中标人无正当理由拒签合同，在签订合同时向招标人提出附加条件，或者不按照招标文件要求提交履约保证金的，招标人有权取消其中标资格</w:t>
      </w:r>
      <w:r>
        <w:rPr>
          <w:rFonts w:hint="eastAsia" w:ascii="宋体" w:hAnsi="宋体" w:eastAsia="宋体" w:cs="宋体"/>
          <w:strike/>
          <w:dstrike w:val="0"/>
          <w:color w:val="auto"/>
          <w:sz w:val="24"/>
          <w:szCs w:val="24"/>
          <w:highlight w:val="none"/>
          <w:lang w:eastAsia="zh-CN"/>
        </w:rPr>
        <w:t>，其投标保证金不予退还</w:t>
      </w:r>
      <w:r>
        <w:rPr>
          <w:rFonts w:hint="eastAsia" w:ascii="宋体" w:hAnsi="宋体" w:eastAsia="宋体" w:cs="宋体"/>
          <w:color w:val="auto"/>
          <w:sz w:val="24"/>
          <w:szCs w:val="24"/>
          <w:highlight w:val="none"/>
          <w:lang w:eastAsia="zh-CN"/>
        </w:rPr>
        <w:t>；给招标人造成</w:t>
      </w:r>
      <w:r>
        <w:rPr>
          <w:rFonts w:hint="eastAsia" w:ascii="宋体" w:hAnsi="宋体" w:eastAsia="宋体" w:cs="宋体"/>
          <w:strike/>
          <w:dstrike w:val="0"/>
          <w:color w:val="auto"/>
          <w:sz w:val="24"/>
          <w:szCs w:val="24"/>
          <w:highlight w:val="none"/>
          <w:lang w:eastAsia="zh-CN"/>
        </w:rPr>
        <w:t>的</w:t>
      </w:r>
      <w:r>
        <w:rPr>
          <w:rFonts w:hint="eastAsia" w:ascii="宋体" w:hAnsi="宋体" w:eastAsia="宋体" w:cs="宋体"/>
          <w:color w:val="auto"/>
          <w:sz w:val="24"/>
          <w:szCs w:val="24"/>
          <w:highlight w:val="none"/>
          <w:lang w:eastAsia="zh-CN"/>
        </w:rPr>
        <w:t>损失</w:t>
      </w:r>
      <w:r>
        <w:rPr>
          <w:rFonts w:hint="eastAsia" w:ascii="宋体" w:hAnsi="宋体" w:eastAsia="宋体" w:cs="宋体"/>
          <w:strike/>
          <w:dstrike w:val="0"/>
          <w:color w:val="auto"/>
          <w:sz w:val="24"/>
          <w:szCs w:val="24"/>
          <w:highlight w:val="none"/>
          <w:lang w:eastAsia="zh-CN"/>
        </w:rPr>
        <w:t>超过投标保证金数额</w:t>
      </w:r>
      <w:r>
        <w:rPr>
          <w:rFonts w:hint="eastAsia" w:ascii="宋体" w:hAnsi="宋体" w:eastAsia="宋体" w:cs="宋体"/>
          <w:color w:val="auto"/>
          <w:sz w:val="24"/>
          <w:szCs w:val="24"/>
          <w:highlight w:val="none"/>
          <w:lang w:eastAsia="zh-CN"/>
        </w:rPr>
        <w:t>的，中标人</w:t>
      </w:r>
      <w:r>
        <w:rPr>
          <w:rFonts w:hint="eastAsia" w:ascii="宋体" w:hAnsi="宋体" w:eastAsia="宋体" w:cs="宋体"/>
          <w:strike/>
          <w:dstrike w:val="0"/>
          <w:color w:val="auto"/>
          <w:sz w:val="24"/>
          <w:szCs w:val="24"/>
          <w:highlight w:val="none"/>
          <w:lang w:eastAsia="zh-CN"/>
        </w:rPr>
        <w:t>还</w:t>
      </w:r>
      <w:r>
        <w:rPr>
          <w:rFonts w:hint="eastAsia" w:ascii="宋体" w:hAnsi="宋体" w:eastAsia="宋体" w:cs="宋体"/>
          <w:color w:val="auto"/>
          <w:sz w:val="24"/>
          <w:szCs w:val="24"/>
          <w:highlight w:val="none"/>
          <w:lang w:eastAsia="zh-CN"/>
        </w:rPr>
        <w:t>应当</w:t>
      </w:r>
      <w:r>
        <w:rPr>
          <w:rFonts w:hint="eastAsia" w:ascii="宋体" w:hAnsi="宋体" w:eastAsia="宋体" w:cs="宋体"/>
          <w:strike/>
          <w:dstrike w:val="0"/>
          <w:color w:val="auto"/>
          <w:sz w:val="24"/>
          <w:szCs w:val="24"/>
          <w:highlight w:val="none"/>
          <w:lang w:eastAsia="zh-CN"/>
        </w:rPr>
        <w:t>对超过部分</w:t>
      </w:r>
      <w:r>
        <w:rPr>
          <w:rFonts w:hint="eastAsia" w:ascii="宋体" w:hAnsi="宋体" w:eastAsia="宋体" w:cs="宋体"/>
          <w:color w:val="auto"/>
          <w:sz w:val="24"/>
          <w:szCs w:val="24"/>
          <w:highlight w:val="none"/>
          <w:lang w:eastAsia="zh-CN"/>
        </w:rPr>
        <w:t>予以赔偿。</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7.8.2发出中标通知书后，招标人无正当理由拒签合同，或者在签订合同时向中标人提出附加条件的，</w:t>
      </w:r>
      <w:r>
        <w:rPr>
          <w:rFonts w:hint="eastAsia" w:ascii="宋体" w:hAnsi="宋体" w:eastAsia="宋体" w:cs="宋体"/>
          <w:strike/>
          <w:dstrike w:val="0"/>
          <w:color w:val="auto"/>
          <w:sz w:val="24"/>
          <w:szCs w:val="24"/>
          <w:highlight w:val="none"/>
          <w:lang w:eastAsia="zh-CN"/>
        </w:rPr>
        <w:t>招标人向中标人退还投标保证金</w:t>
      </w:r>
      <w:r>
        <w:rPr>
          <w:rFonts w:hint="eastAsia" w:ascii="宋体" w:hAnsi="宋体" w:eastAsia="宋体" w:cs="宋体"/>
          <w:color w:val="auto"/>
          <w:sz w:val="24"/>
          <w:szCs w:val="24"/>
          <w:highlight w:val="none"/>
          <w:lang w:eastAsia="zh-CN"/>
        </w:rPr>
        <w:t>；给中标人造成损失的，还应当赔偿损失。</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7.8.3联合体中标的，联合体各方应当共同与招标人签订合同，就中标项目向招标人承担连带责任。</w:t>
      </w:r>
    </w:p>
    <w:p>
      <w:pPr>
        <w:pStyle w:val="5"/>
        <w:spacing w:line="240" w:lineRule="auto"/>
        <w:ind w:right="44"/>
        <w:rPr>
          <w:rFonts w:hint="eastAsia" w:ascii="宋体" w:hAnsi="宋体" w:eastAsia="宋体" w:cs="宋体"/>
          <w:color w:val="auto"/>
          <w:sz w:val="24"/>
          <w:szCs w:val="24"/>
          <w:highlight w:val="none"/>
        </w:rPr>
      </w:pPr>
      <w:bookmarkStart w:id="11" w:name="_Toc11717"/>
      <w:r>
        <w:rPr>
          <w:rFonts w:hint="eastAsia" w:ascii="宋体" w:hAnsi="宋体" w:eastAsia="宋体" w:cs="宋体"/>
          <w:color w:val="auto"/>
          <w:highlight w:val="none"/>
        </w:rPr>
        <w:t>8. 纪律和监督</w:t>
      </w:r>
      <w:bookmarkEnd w:id="11"/>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8.1对招标人的纪律要求</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招标人不得泄露招标投标活动中应当保密的情况和资料，不得与投标人串通损害国家利益、社会公共利益或者他人合法权益。</w:t>
      </w: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8.2对投标人的纪律要求</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spacing w:line="360" w:lineRule="auto"/>
        <w:ind w:right="44"/>
        <w:rPr>
          <w:rFonts w:hint="eastAsia" w:ascii="宋体" w:hAnsi="宋体" w:eastAsia="宋体" w:cs="宋体"/>
          <w:color w:val="auto"/>
          <w:highlight w:val="none"/>
        </w:rPr>
      </w:pPr>
      <w:r>
        <w:rPr>
          <w:rFonts w:hint="eastAsia" w:ascii="宋体" w:hAnsi="宋体" w:eastAsia="宋体" w:cs="宋体"/>
          <w:color w:val="auto"/>
          <w:highlight w:val="none"/>
        </w:rPr>
        <w:t>8.3对评标委员会成员的纪律要求</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6"/>
        <w:spacing w:line="360" w:lineRule="auto"/>
        <w:ind w:right="44"/>
        <w:rPr>
          <w:rFonts w:hint="eastAsia" w:ascii="宋体" w:hAnsi="宋体" w:eastAsia="宋体" w:cs="宋体"/>
          <w:color w:val="auto"/>
          <w:sz w:val="24"/>
          <w:szCs w:val="24"/>
          <w:highlight w:val="none"/>
        </w:rPr>
      </w:pPr>
      <w:r>
        <w:rPr>
          <w:rFonts w:hint="eastAsia" w:ascii="宋体" w:hAnsi="宋体" w:eastAsia="宋体" w:cs="宋体"/>
          <w:color w:val="auto"/>
          <w:highlight w:val="none"/>
        </w:rPr>
        <w:t>8.4对与评标活动有关的工作人员的纪律要求</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6"/>
        <w:spacing w:line="360" w:lineRule="auto"/>
        <w:ind w:right="44"/>
        <w:rPr>
          <w:rFonts w:hint="eastAsia" w:ascii="宋体" w:hAnsi="宋体" w:eastAsia="宋体" w:cs="宋体"/>
          <w:color w:val="auto"/>
          <w:highlight w:val="none"/>
        </w:rPr>
      </w:pPr>
      <w:r>
        <w:rPr>
          <w:rFonts w:hint="eastAsia" w:ascii="宋体" w:hAnsi="宋体" w:eastAsia="宋体" w:cs="宋体"/>
          <w:color w:val="auto"/>
          <w:highlight w:val="none"/>
        </w:rPr>
        <w:t>8.5投诉</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8.5.1投标人或者其他利害关系人认为招标投标活动不符合法律、行政法规规定的，可以自知道或者应当知道之日起10日内向有关行政监督部门投诉。投诉应当有明确的请求和必要的证明材料。</w:t>
      </w:r>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8.5.2投标人或者其他利害关系人对招标文件、开标和评标结果提出投诉的，应当按照投标人须知第2.4款、第5.3款和第7.2款的规定先向招标人提出异议。异议答复期间不计算在第8.5.1项规定的期限内。</w:t>
      </w:r>
    </w:p>
    <w:p>
      <w:pPr>
        <w:pStyle w:val="5"/>
        <w:spacing w:line="360" w:lineRule="auto"/>
        <w:ind w:right="44"/>
        <w:rPr>
          <w:rFonts w:hint="eastAsia" w:ascii="宋体" w:hAnsi="宋体" w:eastAsia="宋体" w:cs="宋体"/>
          <w:color w:val="auto"/>
          <w:sz w:val="24"/>
          <w:szCs w:val="24"/>
          <w:highlight w:val="none"/>
        </w:rPr>
      </w:pPr>
      <w:bookmarkStart w:id="12" w:name="_Toc9370"/>
      <w:r>
        <w:rPr>
          <w:rFonts w:hint="eastAsia" w:ascii="宋体" w:hAnsi="宋体" w:eastAsia="宋体" w:cs="宋体"/>
          <w:color w:val="auto"/>
          <w:highlight w:val="none"/>
        </w:rPr>
        <w:t>9. 是否采用电子招标投标</w:t>
      </w:r>
      <w:bookmarkEnd w:id="12"/>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本招标项目是否采用电子招标投标方式，见投标人须知前附表。</w:t>
      </w:r>
    </w:p>
    <w:p>
      <w:pPr>
        <w:spacing w:line="360" w:lineRule="auto"/>
        <w:rPr>
          <w:rFonts w:hint="eastAsia" w:ascii="宋体" w:hAnsi="宋体" w:eastAsia="宋体" w:cs="宋体"/>
          <w:color w:val="auto"/>
          <w:sz w:val="24"/>
          <w:szCs w:val="24"/>
          <w:highlight w:val="none"/>
        </w:rPr>
      </w:pPr>
    </w:p>
    <w:p>
      <w:pPr>
        <w:pStyle w:val="5"/>
        <w:spacing w:line="360" w:lineRule="auto"/>
        <w:ind w:right="44"/>
        <w:rPr>
          <w:rFonts w:hint="eastAsia" w:ascii="宋体" w:hAnsi="宋体" w:eastAsia="宋体" w:cs="宋体"/>
          <w:color w:val="auto"/>
          <w:sz w:val="24"/>
          <w:szCs w:val="24"/>
          <w:highlight w:val="none"/>
        </w:rPr>
      </w:pPr>
      <w:bookmarkStart w:id="13" w:name="_Toc2161"/>
      <w:r>
        <w:rPr>
          <w:rFonts w:hint="eastAsia" w:ascii="宋体" w:hAnsi="宋体" w:eastAsia="宋体" w:cs="宋体"/>
          <w:color w:val="auto"/>
          <w:highlight w:val="none"/>
        </w:rPr>
        <w:t>10. 需要补充的其他内容</w:t>
      </w:r>
      <w:bookmarkEnd w:id="13"/>
    </w:p>
    <w:p>
      <w:pPr>
        <w:pStyle w:val="11"/>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需要补充的其他内容：见投标人须知前附表。</w:t>
      </w:r>
    </w:p>
    <w:p>
      <w:pPr>
        <w:pStyle w:val="11"/>
        <w:spacing w:line="360" w:lineRule="auto"/>
        <w:ind w:left="0" w:firstLine="480" w:firstLineChars="200"/>
        <w:rPr>
          <w:rFonts w:hint="eastAsia" w:ascii="宋体" w:hAnsi="宋体" w:eastAsia="宋体" w:cs="宋体"/>
          <w:color w:val="auto"/>
          <w:sz w:val="24"/>
          <w:szCs w:val="24"/>
          <w:highlight w:val="none"/>
          <w:lang w:eastAsia="zh-CN"/>
        </w:rPr>
        <w:sectPr>
          <w:footerReference r:id="rId5" w:type="default"/>
          <w:pgSz w:w="12240" w:h="15840"/>
          <w:pgMar w:top="1400" w:right="1467" w:bottom="1276" w:left="1700" w:header="0" w:footer="921" w:gutter="0"/>
          <w:cols w:space="720" w:num="1"/>
        </w:sectPr>
      </w:pPr>
    </w:p>
    <w:p>
      <w:pPr>
        <w:pStyle w:val="6"/>
        <w:spacing w:line="363" w:lineRule="exact"/>
        <w:ind w:left="357"/>
        <w:rPr>
          <w:rFonts w:hint="eastAsia" w:ascii="宋体" w:hAnsi="宋体" w:eastAsia="宋体" w:cs="宋体"/>
          <w:color w:val="auto"/>
          <w:highlight w:val="none"/>
        </w:rPr>
      </w:pPr>
      <w:r>
        <w:rPr>
          <w:rFonts w:hint="eastAsia" w:ascii="宋体" w:hAnsi="宋体" w:eastAsia="宋体" w:cs="宋体"/>
          <w:color w:val="auto"/>
          <w:highlight w:val="none"/>
        </w:rPr>
        <w:t>附件一：开标记录表</w:t>
      </w:r>
    </w:p>
    <w:p>
      <w:pPr>
        <w:rPr>
          <w:rFonts w:hint="eastAsia" w:ascii="宋体" w:hAnsi="宋体" w:eastAsia="宋体" w:cs="宋体"/>
          <w:color w:val="auto"/>
          <w:sz w:val="20"/>
          <w:szCs w:val="20"/>
          <w:highlight w:val="none"/>
        </w:rPr>
      </w:pPr>
    </w:p>
    <w:p>
      <w:pPr>
        <w:spacing w:before="9"/>
        <w:rPr>
          <w:rFonts w:hint="eastAsia" w:ascii="宋体" w:hAnsi="宋体" w:eastAsia="宋体" w:cs="宋体"/>
          <w:color w:val="auto"/>
          <w:sz w:val="23"/>
          <w:szCs w:val="23"/>
          <w:highlight w:val="none"/>
        </w:rPr>
      </w:pPr>
    </w:p>
    <w:p>
      <w:pPr>
        <w:spacing w:before="14"/>
        <w:ind w:left="3238" w:right="313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开标记录表</w:t>
      </w:r>
    </w:p>
    <w:p>
      <w:pPr>
        <w:spacing w:before="2"/>
        <w:rPr>
          <w:rFonts w:hint="eastAsia" w:ascii="宋体" w:hAnsi="宋体" w:eastAsia="宋体" w:cs="宋体"/>
          <w:color w:val="auto"/>
          <w:sz w:val="13"/>
          <w:szCs w:val="13"/>
          <w:highlight w:val="none"/>
        </w:rPr>
      </w:pPr>
    </w:p>
    <w:tbl>
      <w:tblPr>
        <w:tblStyle w:val="23"/>
        <w:tblW w:w="8985" w:type="dxa"/>
        <w:tblInd w:w="0" w:type="dxa"/>
        <w:tblLayout w:type="fixed"/>
        <w:tblCellMar>
          <w:top w:w="0" w:type="dxa"/>
          <w:left w:w="0" w:type="dxa"/>
          <w:bottom w:w="0" w:type="dxa"/>
          <w:right w:w="0" w:type="dxa"/>
        </w:tblCellMar>
      </w:tblPr>
      <w:tblGrid>
        <w:gridCol w:w="606"/>
        <w:gridCol w:w="954"/>
        <w:gridCol w:w="1152"/>
        <w:gridCol w:w="1229"/>
        <w:gridCol w:w="983"/>
        <w:gridCol w:w="1229"/>
        <w:gridCol w:w="1230"/>
        <w:gridCol w:w="1602"/>
      </w:tblGrid>
      <w:tr>
        <w:trPr>
          <w:trHeight w:val="1010" w:hRule="exact"/>
        </w:trPr>
        <w:tc>
          <w:tcPr>
            <w:tcW w:w="60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954"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投标人</w:t>
            </w:r>
            <w:r>
              <w:rPr>
                <w:rFonts w:hint="eastAsia" w:ascii="宋体" w:hAnsi="宋体" w:eastAsia="宋体" w:cs="宋体"/>
                <w:color w:val="auto"/>
                <w:sz w:val="18"/>
                <w:szCs w:val="18"/>
                <w:highlight w:val="none"/>
                <w:lang w:val="en-US" w:eastAsia="zh-CN"/>
              </w:rPr>
              <w:t>名称</w:t>
            </w:r>
          </w:p>
        </w:tc>
        <w:tc>
          <w:tcPr>
            <w:tcW w:w="115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密封情况</w:t>
            </w:r>
          </w:p>
        </w:tc>
        <w:tc>
          <w:tcPr>
            <w:tcW w:w="1229"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w:t>
            </w:r>
            <w:r>
              <w:rPr>
                <w:rFonts w:hint="eastAsia" w:ascii="宋体" w:hAnsi="宋体" w:eastAsia="宋体" w:cs="宋体"/>
                <w:color w:val="auto"/>
                <w:sz w:val="18"/>
                <w:szCs w:val="18"/>
                <w:highlight w:val="none"/>
                <w:lang w:val="en-US" w:eastAsia="zh-CN"/>
              </w:rPr>
              <w:t>总</w:t>
            </w:r>
            <w:r>
              <w:rPr>
                <w:rFonts w:hint="eastAsia" w:ascii="宋体" w:hAnsi="宋体" w:eastAsia="宋体" w:cs="宋体"/>
                <w:color w:val="auto"/>
                <w:sz w:val="18"/>
                <w:szCs w:val="18"/>
                <w:highlight w:val="none"/>
              </w:rPr>
              <w:t>报价</w:t>
            </w:r>
          </w:p>
        </w:tc>
        <w:tc>
          <w:tcPr>
            <w:tcW w:w="983"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项目负责人</w:t>
            </w:r>
          </w:p>
        </w:tc>
        <w:tc>
          <w:tcPr>
            <w:tcW w:w="1229"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设计服务期</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c>
          <w:tcPr>
            <w:tcW w:w="160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投标人代表签名</w:t>
            </w:r>
          </w:p>
        </w:tc>
      </w:tr>
      <w:tr>
        <w:tblPrEx>
          <w:tblCellMar>
            <w:top w:w="0" w:type="dxa"/>
            <w:left w:w="0" w:type="dxa"/>
            <w:bottom w:w="0" w:type="dxa"/>
            <w:right w:w="0" w:type="dxa"/>
          </w:tblCellMar>
        </w:tblPrEx>
        <w:trPr>
          <w:trHeight w:val="509" w:hRule="exact"/>
        </w:trPr>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511" w:hRule="exact"/>
        </w:trPr>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509" w:hRule="exact"/>
        </w:trPr>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r>
      <w:tr>
        <w:trPr>
          <w:trHeight w:val="511" w:hRule="exact"/>
        </w:trPr>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509" w:hRule="exact"/>
        </w:trPr>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511" w:hRule="exact"/>
        </w:trPr>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509" w:hRule="exact"/>
        </w:trPr>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511" w:hRule="exact"/>
        </w:trPr>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511" w:hRule="exact"/>
        </w:trPr>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511" w:hRule="exact"/>
        </w:trPr>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509" w:hRule="exact"/>
        </w:trPr>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9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highlight w:val="none"/>
              </w:rPr>
            </w:pPr>
          </w:p>
        </w:tc>
      </w:tr>
      <w:tr>
        <w:tblPrEx>
          <w:tblCellMar>
            <w:top w:w="0" w:type="dxa"/>
            <w:left w:w="0" w:type="dxa"/>
            <w:bottom w:w="0" w:type="dxa"/>
            <w:right w:w="0" w:type="dxa"/>
          </w:tblCellMar>
        </w:tblPrEx>
        <w:trPr>
          <w:trHeight w:val="511" w:hRule="exact"/>
        </w:trPr>
        <w:tc>
          <w:tcPr>
            <w:tcW w:w="2712" w:type="dxa"/>
            <w:gridSpan w:val="3"/>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tc>
        <w:tc>
          <w:tcPr>
            <w:tcW w:w="1229" w:type="dxa"/>
            <w:tcBorders>
              <w:top w:val="single" w:color="auto" w:sz="4" w:space="0"/>
              <w:bottom w:val="single" w:color="auto" w:sz="4" w:space="0"/>
              <w:right w:val="single" w:color="auto" w:sz="4" w:space="0"/>
            </w:tcBorders>
          </w:tcPr>
          <w:p>
            <w:pPr>
              <w:widowControl/>
              <w:rPr>
                <w:rFonts w:hint="eastAsia" w:ascii="宋体" w:hAnsi="宋体" w:eastAsia="宋体" w:cs="宋体"/>
                <w:color w:val="auto"/>
                <w:highlight w:val="none"/>
              </w:rPr>
            </w:pPr>
          </w:p>
        </w:tc>
        <w:tc>
          <w:tcPr>
            <w:tcW w:w="5044" w:type="dxa"/>
            <w:gridSpan w:val="4"/>
            <w:tcBorders>
              <w:top w:val="single" w:color="auto" w:sz="4" w:space="0"/>
              <w:bottom w:val="single" w:color="auto" w:sz="4" w:space="0"/>
              <w:right w:val="single" w:color="auto" w:sz="4" w:space="0"/>
            </w:tcBorders>
          </w:tcPr>
          <w:p>
            <w:pPr>
              <w:widowControl/>
              <w:rPr>
                <w:rFonts w:hint="eastAsia" w:ascii="宋体" w:hAnsi="宋体" w:eastAsia="宋体" w:cs="宋体"/>
                <w:color w:val="auto"/>
                <w:highlight w:val="none"/>
              </w:rPr>
            </w:pPr>
          </w:p>
        </w:tc>
      </w:tr>
    </w:tbl>
    <w:p>
      <w:pPr>
        <w:pStyle w:val="11"/>
        <w:tabs>
          <w:tab w:val="left" w:pos="736"/>
          <w:tab w:val="left" w:pos="1682"/>
          <w:tab w:val="left" w:pos="2626"/>
        </w:tabs>
        <w:kinsoku w:val="0"/>
        <w:overflowPunct w:val="0"/>
        <w:spacing w:before="36"/>
        <w:ind w:left="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注：本表仅供参考，具体以开标时的开标记录表为准。</w:t>
      </w:r>
    </w:p>
    <w:p>
      <w:pPr>
        <w:rPr>
          <w:rFonts w:hint="eastAsia" w:ascii="宋体" w:hAnsi="宋体" w:eastAsia="宋体" w:cs="宋体"/>
          <w:color w:val="auto"/>
          <w:sz w:val="20"/>
          <w:szCs w:val="20"/>
          <w:highlight w:val="none"/>
        </w:rPr>
      </w:pPr>
    </w:p>
    <w:p>
      <w:pPr>
        <w:pStyle w:val="11"/>
        <w:tabs>
          <w:tab w:val="left" w:pos="2264"/>
          <w:tab w:val="left" w:pos="3057"/>
          <w:tab w:val="left" w:pos="4679"/>
          <w:tab w:val="left" w:pos="5366"/>
          <w:tab w:val="left" w:pos="6989"/>
        </w:tabs>
        <w:spacing w:before="168"/>
        <w:ind w:left="220"/>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招标人代表：</w:t>
      </w:r>
      <w:r>
        <w:rPr>
          <w:rFonts w:hint="eastAsia" w:ascii="宋体" w:hAnsi="宋体" w:eastAsia="宋体" w:cs="宋体"/>
          <w:color w:val="auto"/>
          <w:spacing w:val="-2"/>
          <w:highlight w:val="none"/>
          <w:u w:val="single" w:color="000000"/>
          <w:lang w:eastAsia="zh-CN"/>
        </w:rPr>
        <w:tab/>
      </w:r>
      <w:r>
        <w:rPr>
          <w:rFonts w:hint="eastAsia" w:ascii="宋体" w:hAnsi="宋体" w:eastAsia="宋体" w:cs="宋体"/>
          <w:color w:val="auto"/>
          <w:spacing w:val="-2"/>
          <w:highlight w:val="none"/>
          <w:lang w:eastAsia="zh-CN"/>
        </w:rPr>
        <w:tab/>
      </w:r>
      <w:r>
        <w:rPr>
          <w:rFonts w:hint="eastAsia" w:ascii="宋体" w:hAnsi="宋体" w:eastAsia="宋体" w:cs="宋体"/>
          <w:color w:val="auto"/>
          <w:spacing w:val="-2"/>
          <w:highlight w:val="none"/>
          <w:lang w:eastAsia="zh-CN"/>
        </w:rPr>
        <w:t>记录人：</w:t>
      </w:r>
      <w:r>
        <w:rPr>
          <w:rFonts w:hint="eastAsia" w:ascii="宋体" w:hAnsi="宋体" w:eastAsia="宋体" w:cs="宋体"/>
          <w:color w:val="auto"/>
          <w:spacing w:val="-2"/>
          <w:highlight w:val="none"/>
          <w:u w:val="single" w:color="000000"/>
          <w:lang w:eastAsia="zh-CN"/>
        </w:rPr>
        <w:tab/>
      </w:r>
      <w:r>
        <w:rPr>
          <w:rFonts w:hint="eastAsia" w:ascii="宋体" w:hAnsi="宋体" w:eastAsia="宋体" w:cs="宋体"/>
          <w:color w:val="auto"/>
          <w:spacing w:val="-2"/>
          <w:highlight w:val="none"/>
          <w:lang w:eastAsia="zh-CN"/>
        </w:rPr>
        <w:tab/>
      </w:r>
      <w:r>
        <w:rPr>
          <w:rFonts w:hint="eastAsia" w:ascii="宋体" w:hAnsi="宋体" w:eastAsia="宋体" w:cs="宋体"/>
          <w:color w:val="auto"/>
          <w:spacing w:val="-2"/>
          <w:highlight w:val="none"/>
          <w:lang w:eastAsia="zh-CN"/>
        </w:rPr>
        <w:t>监标人：</w:t>
      </w:r>
      <w:r>
        <w:rPr>
          <w:rFonts w:hint="eastAsia" w:ascii="宋体" w:hAnsi="宋体" w:eastAsia="宋体" w:cs="宋体"/>
          <w:color w:val="auto"/>
          <w:highlight w:val="none"/>
          <w:u w:val="single" w:color="000000"/>
          <w:lang w:eastAsia="zh-CN"/>
        </w:rPr>
        <w:tab/>
      </w:r>
    </w:p>
    <w:p>
      <w:pPr>
        <w:rPr>
          <w:rFonts w:hint="eastAsia" w:ascii="宋体" w:hAnsi="宋体" w:eastAsia="宋体" w:cs="宋体"/>
          <w:color w:val="auto"/>
          <w:sz w:val="27"/>
          <w:szCs w:val="27"/>
          <w:highlight w:val="none"/>
        </w:rPr>
      </w:pPr>
    </w:p>
    <w:p>
      <w:pPr>
        <w:pStyle w:val="11"/>
        <w:tabs>
          <w:tab w:val="left" w:pos="736"/>
          <w:tab w:val="left" w:pos="1682"/>
          <w:tab w:val="left" w:pos="2626"/>
        </w:tabs>
        <w:spacing w:before="36"/>
        <w:ind w:left="0" w:right="113"/>
        <w:jc w:val="right"/>
        <w:rPr>
          <w:rFonts w:hint="eastAsia" w:ascii="宋体" w:hAnsi="宋体" w:eastAsia="宋体" w:cs="宋体"/>
          <w:color w:val="auto"/>
          <w:highlight w:val="none"/>
          <w:lang w:eastAsia="zh-CN"/>
        </w:rPr>
      </w:pPr>
      <w:r>
        <w:rPr>
          <w:rFonts w:hint="eastAsia" w:ascii="宋体" w:hAnsi="宋体" w:eastAsia="宋体" w:cs="宋体"/>
          <w:color w:val="auto"/>
          <w:highlight w:val="none"/>
          <w:u w:val="single" w:color="000000"/>
          <w:lang w:eastAsia="zh-CN"/>
        </w:rPr>
        <w:tab/>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color="000000"/>
          <w:lang w:eastAsia="zh-CN"/>
        </w:rPr>
        <w:tab/>
      </w:r>
      <w:r>
        <w:rPr>
          <w:rFonts w:hint="eastAsia" w:ascii="宋体" w:hAnsi="宋体" w:eastAsia="宋体" w:cs="宋体"/>
          <w:color w:val="auto"/>
          <w:spacing w:val="-3"/>
          <w:highlight w:val="none"/>
          <w:lang w:eastAsia="zh-CN"/>
        </w:rPr>
        <w:t>月</w:t>
      </w:r>
      <w:r>
        <w:rPr>
          <w:rFonts w:hint="eastAsia" w:ascii="宋体" w:hAnsi="宋体" w:eastAsia="宋体" w:cs="宋体"/>
          <w:color w:val="auto"/>
          <w:spacing w:val="-3"/>
          <w:highlight w:val="none"/>
          <w:u w:val="single" w:color="000000"/>
          <w:lang w:eastAsia="zh-CN"/>
        </w:rPr>
        <w:tab/>
      </w:r>
      <w:r>
        <w:rPr>
          <w:rFonts w:hint="eastAsia" w:ascii="宋体" w:hAnsi="宋体" w:eastAsia="宋体" w:cs="宋体"/>
          <w:color w:val="auto"/>
          <w:highlight w:val="none"/>
          <w:lang w:eastAsia="zh-CN"/>
        </w:rPr>
        <w:t>日</w:t>
      </w:r>
    </w:p>
    <w:p>
      <w:pPr>
        <w:pStyle w:val="11"/>
        <w:tabs>
          <w:tab w:val="left" w:pos="736"/>
          <w:tab w:val="left" w:pos="1682"/>
          <w:tab w:val="left" w:pos="2626"/>
        </w:tabs>
        <w:spacing w:before="36"/>
        <w:ind w:left="0" w:right="113"/>
        <w:jc w:val="right"/>
        <w:rPr>
          <w:rFonts w:hint="eastAsia" w:ascii="宋体" w:hAnsi="宋体" w:eastAsia="宋体" w:cs="宋体"/>
          <w:color w:val="auto"/>
          <w:highlight w:val="none"/>
          <w:lang w:eastAsia="zh-CN"/>
        </w:rPr>
      </w:pPr>
    </w:p>
    <w:p>
      <w:pPr>
        <w:pStyle w:val="11"/>
        <w:tabs>
          <w:tab w:val="left" w:pos="736"/>
          <w:tab w:val="left" w:pos="1682"/>
          <w:tab w:val="left" w:pos="2626"/>
        </w:tabs>
        <w:spacing w:before="36"/>
        <w:ind w:left="0" w:right="113"/>
        <w:rPr>
          <w:rFonts w:hint="eastAsia" w:ascii="宋体" w:hAnsi="宋体" w:eastAsia="宋体" w:cs="宋体"/>
          <w:color w:val="auto"/>
          <w:highlight w:val="none"/>
          <w:lang w:eastAsia="zh-CN"/>
        </w:rPr>
      </w:pPr>
    </w:p>
    <w:p>
      <w:pPr>
        <w:jc w:val="right"/>
        <w:rPr>
          <w:rFonts w:hint="eastAsia" w:ascii="宋体" w:hAnsi="宋体" w:eastAsia="宋体" w:cs="宋体"/>
          <w:color w:val="auto"/>
          <w:highlight w:val="none"/>
        </w:rPr>
        <w:sectPr>
          <w:pgSz w:w="12240" w:h="15840"/>
          <w:pgMar w:top="1400" w:right="1680" w:bottom="1120" w:left="1580" w:header="0" w:footer="921" w:gutter="0"/>
          <w:cols w:space="720" w:num="1"/>
        </w:sectPr>
      </w:pPr>
    </w:p>
    <w:p>
      <w:pPr>
        <w:pStyle w:val="6"/>
        <w:spacing w:line="363" w:lineRule="exact"/>
        <w:ind w:right="44"/>
        <w:rPr>
          <w:rFonts w:hint="eastAsia" w:ascii="宋体" w:hAnsi="宋体" w:eastAsia="宋体" w:cs="宋体"/>
          <w:color w:val="auto"/>
          <w:highlight w:val="none"/>
        </w:rPr>
      </w:pPr>
      <w:r>
        <w:rPr>
          <w:rFonts w:hint="eastAsia" w:ascii="宋体" w:hAnsi="宋体" w:eastAsia="宋体" w:cs="宋体"/>
          <w:color w:val="auto"/>
          <w:highlight w:val="none"/>
        </w:rPr>
        <w:t>附件二：问题澄清通知</w:t>
      </w:r>
    </w:p>
    <w:p>
      <w:pPr>
        <w:rPr>
          <w:rFonts w:hint="eastAsia" w:ascii="宋体" w:hAnsi="宋体" w:eastAsia="宋体" w:cs="宋体"/>
          <w:color w:val="auto"/>
          <w:sz w:val="20"/>
          <w:szCs w:val="20"/>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r>
        <w:rPr>
          <w:rFonts w:hint="eastAsia" w:ascii="宋体" w:hAnsi="宋体" w:eastAsia="宋体" w:cs="宋体"/>
          <w:b/>
          <w:color w:val="auto"/>
          <w:sz w:val="32"/>
          <w:szCs w:val="32"/>
          <w:highlight w:val="none"/>
          <w:u w:val="single"/>
        </w:rPr>
        <w:t>（按广州公共资源交易中心的版式为准）</w:t>
      </w: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jc w:val="right"/>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ind w:firstLine="440"/>
        <w:rPr>
          <w:rFonts w:hint="eastAsia" w:ascii="宋体" w:hAnsi="宋体" w:eastAsia="宋体" w:cs="宋体"/>
          <w:color w:val="auto"/>
          <w:highlight w:val="none"/>
          <w:lang w:eastAsia="zh-CN"/>
        </w:rPr>
      </w:pPr>
    </w:p>
    <w:p>
      <w:pPr>
        <w:pStyle w:val="8"/>
        <w:ind w:firstLine="440"/>
        <w:rPr>
          <w:rFonts w:hint="eastAsia" w:ascii="宋体" w:hAnsi="宋体" w:eastAsia="宋体" w:cs="宋体"/>
          <w:color w:val="auto"/>
          <w:highlight w:val="none"/>
          <w:lang w:eastAsia="zh-CN"/>
        </w:rPr>
        <w:sectPr>
          <w:pgSz w:w="12240" w:h="15840"/>
          <w:pgMar w:top="1400" w:right="1680" w:bottom="1120" w:left="1700" w:header="0" w:footer="921" w:gutter="0"/>
          <w:cols w:space="720" w:num="1"/>
        </w:sectPr>
      </w:pPr>
    </w:p>
    <w:p>
      <w:pPr>
        <w:pStyle w:val="6"/>
        <w:spacing w:line="363" w:lineRule="exact"/>
        <w:ind w:right="44"/>
        <w:rPr>
          <w:rFonts w:hint="eastAsia" w:ascii="宋体" w:hAnsi="宋体" w:eastAsia="宋体" w:cs="宋体"/>
          <w:color w:val="auto"/>
          <w:highlight w:val="none"/>
        </w:rPr>
      </w:pPr>
      <w:r>
        <w:rPr>
          <w:rFonts w:hint="eastAsia" w:ascii="宋体" w:hAnsi="宋体" w:eastAsia="宋体" w:cs="宋体"/>
          <w:color w:val="auto"/>
          <w:highlight w:val="none"/>
        </w:rPr>
        <w:t>附件三：问题的澄清</w:t>
      </w:r>
    </w:p>
    <w:p>
      <w:pPr>
        <w:rPr>
          <w:rFonts w:hint="eastAsia" w:ascii="宋体" w:hAnsi="宋体" w:eastAsia="宋体" w:cs="宋体"/>
          <w:color w:val="auto"/>
          <w:sz w:val="20"/>
          <w:szCs w:val="20"/>
          <w:highlight w:val="none"/>
        </w:rPr>
      </w:pPr>
    </w:p>
    <w:p>
      <w:pPr>
        <w:bidi w:val="0"/>
        <w:rPr>
          <w:rFonts w:hint="eastAsia" w:ascii="宋体" w:hAnsi="宋体" w:eastAsia="宋体" w:cs="宋体"/>
          <w:color w:val="auto"/>
          <w:highlight w:val="none"/>
          <w:lang w:eastAsia="zh-CN"/>
        </w:rPr>
      </w:pPr>
      <w:r>
        <w:rPr>
          <w:rFonts w:hint="eastAsia" w:ascii="宋体" w:hAnsi="宋体" w:eastAsia="宋体" w:cs="宋体"/>
          <w:b/>
          <w:color w:val="auto"/>
          <w:sz w:val="32"/>
          <w:szCs w:val="32"/>
          <w:highlight w:val="none"/>
          <w:u w:val="single"/>
        </w:rPr>
        <w:t>（按广州公共资源交易中心的版式为准）</w:t>
      </w:r>
    </w:p>
    <w:p>
      <w:pPr>
        <w:pStyle w:val="8"/>
        <w:ind w:firstLine="440" w:firstLineChars="0"/>
        <w:rPr>
          <w:rFonts w:hint="eastAsia" w:ascii="宋体" w:hAnsi="宋体" w:eastAsia="宋体" w:cs="宋体"/>
          <w:color w:val="auto"/>
          <w:highlight w:val="none"/>
          <w:lang w:eastAsia="zh-CN"/>
        </w:rPr>
      </w:pPr>
    </w:p>
    <w:p>
      <w:pPr>
        <w:pStyle w:val="8"/>
        <w:ind w:firstLine="440"/>
        <w:rPr>
          <w:rFonts w:hint="eastAsia" w:ascii="宋体" w:hAnsi="宋体" w:eastAsia="宋体" w:cs="宋体"/>
          <w:color w:val="auto"/>
          <w:highlight w:val="none"/>
          <w:lang w:eastAsia="zh-CN"/>
        </w:rPr>
      </w:pPr>
    </w:p>
    <w:p>
      <w:pPr>
        <w:pStyle w:val="8"/>
        <w:ind w:firstLine="440"/>
        <w:rPr>
          <w:rFonts w:hint="eastAsia" w:ascii="宋体" w:hAnsi="宋体" w:eastAsia="宋体" w:cs="宋体"/>
          <w:color w:val="auto"/>
          <w:highlight w:val="none"/>
          <w:lang w:eastAsia="zh-CN"/>
        </w:rPr>
        <w:sectPr>
          <w:footerReference r:id="rId6" w:type="default"/>
          <w:pgSz w:w="12240" w:h="15840"/>
          <w:pgMar w:top="1400" w:right="1680" w:bottom="1120" w:left="1700" w:header="0" w:footer="921" w:gutter="0"/>
          <w:cols w:space="720" w:num="1"/>
        </w:sectPr>
      </w:pPr>
    </w:p>
    <w:p>
      <w:pPr>
        <w:pStyle w:val="6"/>
        <w:spacing w:line="363" w:lineRule="exact"/>
        <w:ind w:right="44"/>
        <w:rPr>
          <w:rFonts w:hint="eastAsia" w:ascii="宋体" w:hAnsi="宋体" w:eastAsia="宋体" w:cs="宋体"/>
          <w:color w:val="auto"/>
          <w:highlight w:val="none"/>
        </w:rPr>
      </w:pPr>
      <w:r>
        <w:rPr>
          <w:rFonts w:hint="eastAsia" w:ascii="宋体" w:hAnsi="宋体" w:eastAsia="宋体" w:cs="宋体"/>
          <w:color w:val="auto"/>
          <w:highlight w:val="none"/>
        </w:rPr>
        <w:t>附件四：中标通知书</w:t>
      </w:r>
    </w:p>
    <w:p>
      <w:pPr>
        <w:rPr>
          <w:rFonts w:hint="eastAsia" w:ascii="宋体" w:hAnsi="宋体" w:eastAsia="宋体" w:cs="宋体"/>
          <w:color w:val="auto"/>
          <w:highlight w:val="none"/>
        </w:rPr>
      </w:pPr>
    </w:p>
    <w:p>
      <w:pPr>
        <w:pStyle w:val="22"/>
        <w:rPr>
          <w:rFonts w:hint="eastAsia" w:ascii="宋体" w:hAnsi="宋体" w:eastAsia="宋体" w:cs="宋体"/>
          <w:color w:val="auto"/>
          <w:highlight w:val="none"/>
          <w:lang w:eastAsia="zh-CN"/>
        </w:rPr>
      </w:pPr>
    </w:p>
    <w:p>
      <w:pPr>
        <w:pStyle w:val="22"/>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b/>
          <w:color w:val="auto"/>
          <w:sz w:val="32"/>
          <w:szCs w:val="32"/>
          <w:highlight w:val="none"/>
          <w:u w:val="single"/>
        </w:rPr>
        <w:t>（按广州公共资源交易中心的版式为准）</w:t>
      </w:r>
    </w:p>
    <w:p>
      <w:pPr>
        <w:pStyle w:val="22"/>
        <w:rPr>
          <w:rFonts w:hint="eastAsia" w:ascii="宋体" w:hAnsi="宋体" w:eastAsia="宋体" w:cs="宋体"/>
          <w:color w:val="auto"/>
          <w:highlight w:val="none"/>
          <w:lang w:eastAsia="zh-CN"/>
        </w:rPr>
      </w:pPr>
    </w:p>
    <w:p>
      <w:pPr>
        <w:pStyle w:val="22"/>
        <w:rPr>
          <w:rFonts w:hint="eastAsia" w:ascii="宋体" w:hAnsi="宋体" w:eastAsia="宋体" w:cs="宋体"/>
          <w:color w:val="auto"/>
          <w:highlight w:val="none"/>
          <w:lang w:eastAsia="zh-CN"/>
        </w:rPr>
        <w:sectPr>
          <w:pgSz w:w="12240" w:h="15840"/>
          <w:pgMar w:top="1400" w:right="1680" w:bottom="1100" w:left="1700" w:header="0" w:footer="901" w:gutter="0"/>
          <w:cols w:space="720" w:num="1"/>
        </w:sectPr>
      </w:pPr>
    </w:p>
    <w:p>
      <w:pPr>
        <w:pStyle w:val="3"/>
        <w:spacing w:before="0" w:after="0" w:line="360" w:lineRule="auto"/>
        <w:ind w:left="0"/>
        <w:jc w:val="center"/>
        <w:rPr>
          <w:rFonts w:hint="eastAsia" w:ascii="宋体" w:hAnsi="宋体" w:eastAsia="宋体" w:cs="宋体"/>
          <w:color w:val="auto"/>
          <w:sz w:val="36"/>
          <w:szCs w:val="36"/>
          <w:highlight w:val="none"/>
        </w:rPr>
      </w:pPr>
      <w:bookmarkStart w:id="14" w:name="_Toc10838"/>
      <w:r>
        <w:rPr>
          <w:rFonts w:hint="eastAsia" w:ascii="宋体" w:hAnsi="宋体" w:eastAsia="宋体" w:cs="宋体"/>
          <w:color w:val="auto"/>
          <w:spacing w:val="2"/>
          <w:sz w:val="36"/>
          <w:szCs w:val="36"/>
          <w:highlight w:val="none"/>
        </w:rPr>
        <w:t>第三章评标办法（综合评估法）</w:t>
      </w:r>
      <w:bookmarkEnd w:id="14"/>
    </w:p>
    <w:p>
      <w:pPr>
        <w:pStyle w:val="5"/>
        <w:spacing w:before="0" w:after="0" w:line="360" w:lineRule="auto"/>
        <w:ind w:left="0"/>
        <w:jc w:val="center"/>
        <w:rPr>
          <w:rFonts w:hint="eastAsia" w:ascii="宋体" w:hAnsi="宋体" w:eastAsia="宋体" w:cs="宋体"/>
          <w:color w:val="auto"/>
          <w:sz w:val="36"/>
          <w:szCs w:val="36"/>
          <w:highlight w:val="none"/>
        </w:rPr>
      </w:pPr>
      <w:bookmarkStart w:id="15" w:name="_Toc10518"/>
      <w:r>
        <w:rPr>
          <w:rFonts w:hint="eastAsia" w:ascii="宋体" w:hAnsi="宋体" w:eastAsia="宋体" w:cs="宋体"/>
          <w:color w:val="auto"/>
          <w:sz w:val="36"/>
          <w:szCs w:val="36"/>
          <w:highlight w:val="none"/>
        </w:rPr>
        <w:t>评标办法前附表</w:t>
      </w:r>
      <w:bookmarkEnd w:id="15"/>
    </w:p>
    <w:tbl>
      <w:tblPr>
        <w:tblStyle w:val="23"/>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9"/>
        <w:gridCol w:w="81"/>
        <w:gridCol w:w="838"/>
        <w:gridCol w:w="2595"/>
        <w:gridCol w:w="4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1548" w:type="dxa"/>
            <w:gridSpan w:val="3"/>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条款号</w:t>
            </w:r>
          </w:p>
        </w:tc>
        <w:tc>
          <w:tcPr>
            <w:tcW w:w="2595"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评审因素</w:t>
            </w:r>
          </w:p>
        </w:tc>
        <w:tc>
          <w:tcPr>
            <w:tcW w:w="4663"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8" w:hRule="atLeast"/>
        </w:trPr>
        <w:tc>
          <w:tcPr>
            <w:tcW w:w="629"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19" w:type="dxa"/>
            <w:gridSpan w:val="2"/>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p>
        </w:tc>
        <w:tc>
          <w:tcPr>
            <w:tcW w:w="2595"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中标候选人排序方法</w:t>
            </w:r>
          </w:p>
        </w:tc>
        <w:tc>
          <w:tcPr>
            <w:tcW w:w="4663"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第2.2款规定的评分标准进行打分，并按得分由高到低顺序推荐前三名为中标候选人，综合评分（总得分）相同的，以技术文件（设计方案）得分高的排前；技术文件（设计方案）得分也相同的，以商务文件得分高的排前；若商务文件得分仍相同的，以投标报价较低的排前；如仍存在相同情况，则对具有相同情况的投标人，由评标委员会采用记名投票方式，确定投标人最终名次的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exact"/>
        </w:trPr>
        <w:tc>
          <w:tcPr>
            <w:tcW w:w="629" w:type="dxa"/>
            <w:vMerge w:val="restart"/>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eastAsia="zh-CN"/>
              </w:rPr>
              <w:t>1</w:t>
            </w:r>
          </w:p>
        </w:tc>
        <w:tc>
          <w:tcPr>
            <w:tcW w:w="919" w:type="dxa"/>
            <w:gridSpan w:val="2"/>
            <w:vMerge w:val="restart"/>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商务文件形式评审标准</w:t>
            </w:r>
          </w:p>
        </w:tc>
        <w:tc>
          <w:tcPr>
            <w:tcW w:w="2595" w:type="dxa"/>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投标人名称</w:t>
            </w:r>
          </w:p>
        </w:tc>
        <w:tc>
          <w:tcPr>
            <w:tcW w:w="4663"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与营业执照（或事业单位法人证书）、资质证书一致。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8" w:hRule="exact"/>
        </w:trPr>
        <w:tc>
          <w:tcPr>
            <w:tcW w:w="629" w:type="dxa"/>
            <w:vMerge w:val="continue"/>
            <w:vAlign w:val="center"/>
          </w:tcPr>
          <w:p>
            <w:pPr>
              <w:pStyle w:val="31"/>
              <w:jc w:val="center"/>
              <w:rPr>
                <w:rFonts w:hint="eastAsia" w:ascii="宋体" w:hAnsi="宋体" w:eastAsia="宋体" w:cs="宋体"/>
                <w:color w:val="auto"/>
                <w:sz w:val="24"/>
                <w:szCs w:val="24"/>
                <w:highlight w:val="none"/>
                <w:lang w:eastAsia="zh-CN"/>
              </w:rPr>
            </w:pPr>
          </w:p>
        </w:tc>
        <w:tc>
          <w:tcPr>
            <w:tcW w:w="919" w:type="dxa"/>
            <w:gridSpan w:val="2"/>
            <w:vMerge w:val="continue"/>
            <w:vAlign w:val="center"/>
          </w:tcPr>
          <w:p>
            <w:pPr>
              <w:pStyle w:val="31"/>
              <w:jc w:val="center"/>
              <w:rPr>
                <w:rFonts w:hint="eastAsia" w:ascii="宋体" w:hAnsi="宋体" w:eastAsia="宋体" w:cs="宋体"/>
                <w:color w:val="auto"/>
                <w:sz w:val="24"/>
                <w:szCs w:val="24"/>
                <w:highlight w:val="none"/>
                <w:lang w:eastAsia="zh-CN"/>
              </w:rPr>
            </w:pPr>
          </w:p>
        </w:tc>
        <w:tc>
          <w:tcPr>
            <w:tcW w:w="2595" w:type="dxa"/>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投标书及投标书附录签字盖章</w:t>
            </w:r>
          </w:p>
        </w:tc>
        <w:tc>
          <w:tcPr>
            <w:tcW w:w="4663" w:type="dxa"/>
            <w:vAlign w:val="center"/>
          </w:tcPr>
          <w:p>
            <w:pPr>
              <w:pStyle w:val="11"/>
              <w:ind w:left="10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有法定代表人、委托代理人及项目负责人签名（或盖章）及加盖单位公章。由法定代表人签字的，应附法定代表人证明书，由代理人签字的，应附授权委托书。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exact"/>
        </w:trPr>
        <w:tc>
          <w:tcPr>
            <w:tcW w:w="629" w:type="dxa"/>
            <w:vMerge w:val="continue"/>
            <w:vAlign w:val="center"/>
          </w:tcPr>
          <w:p>
            <w:pPr>
              <w:pStyle w:val="31"/>
              <w:jc w:val="center"/>
              <w:rPr>
                <w:rFonts w:hint="eastAsia" w:ascii="宋体" w:hAnsi="宋体" w:eastAsia="宋体" w:cs="宋体"/>
                <w:color w:val="auto"/>
                <w:sz w:val="24"/>
                <w:szCs w:val="24"/>
                <w:highlight w:val="none"/>
                <w:lang w:eastAsia="zh-CN"/>
              </w:rPr>
            </w:pPr>
          </w:p>
        </w:tc>
        <w:tc>
          <w:tcPr>
            <w:tcW w:w="919" w:type="dxa"/>
            <w:gridSpan w:val="2"/>
            <w:vMerge w:val="continue"/>
            <w:vAlign w:val="center"/>
          </w:tcPr>
          <w:p>
            <w:pPr>
              <w:pStyle w:val="31"/>
              <w:jc w:val="center"/>
              <w:rPr>
                <w:rFonts w:hint="eastAsia" w:ascii="宋体" w:hAnsi="宋体" w:eastAsia="宋体" w:cs="宋体"/>
                <w:color w:val="auto"/>
                <w:sz w:val="24"/>
                <w:szCs w:val="24"/>
                <w:highlight w:val="none"/>
                <w:lang w:eastAsia="zh-CN"/>
              </w:rPr>
            </w:pPr>
          </w:p>
        </w:tc>
        <w:tc>
          <w:tcPr>
            <w:tcW w:w="2595"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投标文件格式</w:t>
            </w:r>
          </w:p>
        </w:tc>
        <w:tc>
          <w:tcPr>
            <w:tcW w:w="4663"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按招标文件第六章编制投标文件（指格式一、格式四、格式五）。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exact"/>
        </w:trPr>
        <w:tc>
          <w:tcPr>
            <w:tcW w:w="629" w:type="dxa"/>
            <w:vMerge w:val="continue"/>
            <w:vAlign w:val="center"/>
          </w:tcPr>
          <w:p>
            <w:pPr>
              <w:pStyle w:val="31"/>
              <w:jc w:val="center"/>
              <w:rPr>
                <w:rFonts w:hint="eastAsia" w:ascii="宋体" w:hAnsi="宋体" w:eastAsia="宋体" w:cs="宋体"/>
                <w:color w:val="auto"/>
                <w:sz w:val="24"/>
                <w:szCs w:val="24"/>
                <w:highlight w:val="none"/>
                <w:lang w:eastAsia="zh-CN"/>
              </w:rPr>
            </w:pPr>
          </w:p>
        </w:tc>
        <w:tc>
          <w:tcPr>
            <w:tcW w:w="919" w:type="dxa"/>
            <w:gridSpan w:val="2"/>
            <w:vMerge w:val="continue"/>
            <w:vAlign w:val="center"/>
          </w:tcPr>
          <w:p>
            <w:pPr>
              <w:pStyle w:val="31"/>
              <w:jc w:val="center"/>
              <w:rPr>
                <w:rFonts w:hint="eastAsia" w:ascii="宋体" w:hAnsi="宋体" w:eastAsia="宋体" w:cs="宋体"/>
                <w:color w:val="auto"/>
                <w:sz w:val="24"/>
                <w:szCs w:val="24"/>
                <w:highlight w:val="none"/>
                <w:lang w:eastAsia="zh-CN"/>
              </w:rPr>
            </w:pPr>
          </w:p>
        </w:tc>
        <w:tc>
          <w:tcPr>
            <w:tcW w:w="2595" w:type="dxa"/>
            <w:vAlign w:val="center"/>
          </w:tcPr>
          <w:p>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投标书</w:t>
            </w:r>
          </w:p>
        </w:tc>
        <w:tc>
          <w:tcPr>
            <w:tcW w:w="4663" w:type="dxa"/>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投标书格式符合第六章“投标文件格式”的规定，没有出现内容不全或者关键字迹模糊无法辨认。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exact"/>
        </w:trPr>
        <w:tc>
          <w:tcPr>
            <w:tcW w:w="629" w:type="dxa"/>
            <w:vMerge w:val="continue"/>
            <w:vAlign w:val="center"/>
          </w:tcPr>
          <w:p>
            <w:pPr>
              <w:pStyle w:val="31"/>
              <w:jc w:val="center"/>
              <w:rPr>
                <w:rFonts w:hint="eastAsia" w:ascii="宋体" w:hAnsi="宋体" w:eastAsia="宋体" w:cs="宋体"/>
                <w:color w:val="auto"/>
                <w:sz w:val="24"/>
                <w:szCs w:val="24"/>
                <w:highlight w:val="none"/>
                <w:lang w:eastAsia="zh-CN"/>
              </w:rPr>
            </w:pPr>
          </w:p>
        </w:tc>
        <w:tc>
          <w:tcPr>
            <w:tcW w:w="919" w:type="dxa"/>
            <w:gridSpan w:val="2"/>
            <w:vMerge w:val="continue"/>
            <w:vAlign w:val="center"/>
          </w:tcPr>
          <w:p>
            <w:pPr>
              <w:pStyle w:val="31"/>
              <w:jc w:val="center"/>
              <w:rPr>
                <w:rFonts w:hint="eastAsia" w:ascii="宋体" w:hAnsi="宋体" w:eastAsia="宋体" w:cs="宋体"/>
                <w:color w:val="auto"/>
                <w:sz w:val="24"/>
                <w:szCs w:val="24"/>
                <w:highlight w:val="none"/>
                <w:lang w:eastAsia="zh-CN"/>
              </w:rPr>
            </w:pPr>
          </w:p>
        </w:tc>
        <w:tc>
          <w:tcPr>
            <w:tcW w:w="2595" w:type="dxa"/>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联合体投标</w:t>
            </w:r>
            <w:r>
              <w:rPr>
                <w:rFonts w:hint="eastAsia" w:ascii="宋体" w:hAnsi="宋体" w:eastAsia="宋体" w:cs="宋体"/>
                <w:color w:val="auto"/>
                <w:sz w:val="24"/>
                <w:szCs w:val="24"/>
                <w:highlight w:val="none"/>
                <w:lang w:eastAsia="zh-CN"/>
              </w:rPr>
              <w:t>人</w:t>
            </w:r>
          </w:p>
        </w:tc>
        <w:tc>
          <w:tcPr>
            <w:tcW w:w="4663"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exact"/>
        </w:trPr>
        <w:tc>
          <w:tcPr>
            <w:tcW w:w="629" w:type="dxa"/>
            <w:vMerge w:val="continue"/>
            <w:vAlign w:val="center"/>
          </w:tcPr>
          <w:p>
            <w:pPr>
              <w:pStyle w:val="31"/>
              <w:jc w:val="center"/>
              <w:rPr>
                <w:rFonts w:hint="eastAsia" w:ascii="宋体" w:hAnsi="宋体" w:eastAsia="宋体" w:cs="宋体"/>
                <w:color w:val="auto"/>
                <w:sz w:val="24"/>
                <w:szCs w:val="24"/>
                <w:highlight w:val="none"/>
                <w:lang w:eastAsia="zh-CN"/>
              </w:rPr>
            </w:pPr>
          </w:p>
        </w:tc>
        <w:tc>
          <w:tcPr>
            <w:tcW w:w="919" w:type="dxa"/>
            <w:gridSpan w:val="2"/>
            <w:vMerge w:val="continue"/>
            <w:vAlign w:val="center"/>
          </w:tcPr>
          <w:p>
            <w:pPr>
              <w:pStyle w:val="31"/>
              <w:jc w:val="center"/>
              <w:rPr>
                <w:rFonts w:hint="eastAsia" w:ascii="宋体" w:hAnsi="宋体" w:eastAsia="宋体" w:cs="宋体"/>
                <w:color w:val="auto"/>
                <w:sz w:val="24"/>
                <w:szCs w:val="24"/>
                <w:highlight w:val="none"/>
                <w:lang w:eastAsia="zh-CN"/>
              </w:rPr>
            </w:pPr>
          </w:p>
        </w:tc>
        <w:tc>
          <w:tcPr>
            <w:tcW w:w="2595"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备选投标方案</w:t>
            </w:r>
          </w:p>
        </w:tc>
        <w:tc>
          <w:tcPr>
            <w:tcW w:w="4663"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1" w:hRule="exact"/>
        </w:trPr>
        <w:tc>
          <w:tcPr>
            <w:tcW w:w="629" w:type="dxa"/>
            <w:vMerge w:val="continue"/>
            <w:vAlign w:val="center"/>
          </w:tcPr>
          <w:p>
            <w:pPr>
              <w:pStyle w:val="31"/>
              <w:jc w:val="center"/>
              <w:rPr>
                <w:rFonts w:hint="eastAsia" w:ascii="宋体" w:hAnsi="宋体" w:eastAsia="宋体" w:cs="宋体"/>
                <w:color w:val="auto"/>
                <w:sz w:val="24"/>
                <w:szCs w:val="24"/>
                <w:highlight w:val="none"/>
                <w:lang w:eastAsia="zh-CN"/>
              </w:rPr>
            </w:pPr>
          </w:p>
        </w:tc>
        <w:tc>
          <w:tcPr>
            <w:tcW w:w="919" w:type="dxa"/>
            <w:gridSpan w:val="2"/>
            <w:vMerge w:val="continue"/>
            <w:vAlign w:val="center"/>
          </w:tcPr>
          <w:p>
            <w:pPr>
              <w:pStyle w:val="31"/>
              <w:jc w:val="center"/>
              <w:rPr>
                <w:rFonts w:hint="eastAsia" w:ascii="宋体" w:hAnsi="宋体" w:eastAsia="宋体" w:cs="宋体"/>
                <w:color w:val="auto"/>
                <w:sz w:val="24"/>
                <w:szCs w:val="24"/>
                <w:highlight w:val="none"/>
                <w:lang w:eastAsia="zh-CN"/>
              </w:rPr>
            </w:pPr>
          </w:p>
        </w:tc>
        <w:tc>
          <w:tcPr>
            <w:tcW w:w="2595" w:type="dxa"/>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投标人机器码</w:t>
            </w:r>
          </w:p>
        </w:tc>
        <w:tc>
          <w:tcPr>
            <w:tcW w:w="4663" w:type="dxa"/>
            <w:vAlign w:val="top"/>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投标人与其他投标人加密打包投标文件电脑机器特征码一致的(以广州交易集团有限公司（广州公共资源交易中心）评标系统的检索信息为准)将被否决。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exact"/>
        </w:trPr>
        <w:tc>
          <w:tcPr>
            <w:tcW w:w="629" w:type="dxa"/>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eastAsia="zh-CN"/>
              </w:rPr>
              <w:t>2</w:t>
            </w:r>
          </w:p>
        </w:tc>
        <w:tc>
          <w:tcPr>
            <w:tcW w:w="919" w:type="dxa"/>
            <w:gridSpan w:val="2"/>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资格评审</w:t>
            </w:r>
            <w:r>
              <w:rPr>
                <w:rFonts w:hint="eastAsia" w:ascii="宋体" w:hAnsi="宋体" w:eastAsia="宋体" w:cs="宋体"/>
                <w:color w:val="auto"/>
                <w:sz w:val="24"/>
                <w:szCs w:val="24"/>
                <w:highlight w:val="none"/>
                <w:lang w:eastAsia="zh-CN"/>
              </w:rPr>
              <w:t>标准</w:t>
            </w:r>
          </w:p>
        </w:tc>
        <w:tc>
          <w:tcPr>
            <w:tcW w:w="2595"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资格审查表</w:t>
            </w:r>
          </w:p>
        </w:tc>
        <w:tc>
          <w:tcPr>
            <w:tcW w:w="4663" w:type="dxa"/>
            <w:vAlign w:val="center"/>
          </w:tcPr>
          <w:p>
            <w:pPr>
              <w:pStyle w:val="3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见后附件二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exact"/>
        </w:trPr>
        <w:tc>
          <w:tcPr>
            <w:tcW w:w="629" w:type="dxa"/>
            <w:vMerge w:val="restart"/>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2.1.3</w:t>
            </w:r>
          </w:p>
        </w:tc>
        <w:tc>
          <w:tcPr>
            <w:tcW w:w="919" w:type="dxa"/>
            <w:gridSpan w:val="2"/>
            <w:vMerge w:val="restart"/>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商务文件响应性评审标准准</w:t>
            </w:r>
          </w:p>
        </w:tc>
        <w:tc>
          <w:tcPr>
            <w:tcW w:w="2595"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w:t>
            </w:r>
          </w:p>
        </w:tc>
        <w:tc>
          <w:tcPr>
            <w:tcW w:w="4663" w:type="dxa"/>
            <w:vAlign w:val="center"/>
          </w:tcPr>
          <w:p>
            <w:pPr>
              <w:pStyle w:val="3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exact"/>
        </w:trPr>
        <w:tc>
          <w:tcPr>
            <w:tcW w:w="629" w:type="dxa"/>
            <w:vMerge w:val="continue"/>
            <w:vAlign w:val="center"/>
          </w:tcPr>
          <w:p>
            <w:pPr>
              <w:pStyle w:val="31"/>
              <w:jc w:val="center"/>
              <w:rPr>
                <w:rFonts w:hint="eastAsia" w:ascii="宋体" w:hAnsi="宋体" w:eastAsia="宋体" w:cs="宋体"/>
                <w:color w:val="auto"/>
                <w:sz w:val="24"/>
                <w:szCs w:val="24"/>
                <w:highlight w:val="none"/>
                <w:lang w:eastAsia="zh-CN"/>
              </w:rPr>
            </w:pPr>
          </w:p>
        </w:tc>
        <w:tc>
          <w:tcPr>
            <w:tcW w:w="919" w:type="dxa"/>
            <w:gridSpan w:val="2"/>
            <w:vMerge w:val="continue"/>
            <w:vAlign w:val="center"/>
          </w:tcPr>
          <w:p>
            <w:pPr>
              <w:pStyle w:val="31"/>
              <w:jc w:val="center"/>
              <w:rPr>
                <w:rFonts w:hint="eastAsia" w:ascii="宋体" w:hAnsi="宋体" w:eastAsia="宋体" w:cs="宋体"/>
                <w:color w:val="auto"/>
                <w:sz w:val="24"/>
                <w:szCs w:val="24"/>
                <w:highlight w:val="none"/>
                <w:lang w:eastAsia="zh-CN"/>
              </w:rPr>
            </w:pPr>
          </w:p>
        </w:tc>
        <w:tc>
          <w:tcPr>
            <w:tcW w:w="2595"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设计服务期限</w:t>
            </w:r>
          </w:p>
        </w:tc>
        <w:tc>
          <w:tcPr>
            <w:tcW w:w="4663" w:type="dxa"/>
            <w:vAlign w:val="center"/>
          </w:tcPr>
          <w:p>
            <w:pPr>
              <w:pStyle w:val="3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exact"/>
        </w:trPr>
        <w:tc>
          <w:tcPr>
            <w:tcW w:w="629" w:type="dxa"/>
            <w:vMerge w:val="continue"/>
            <w:vAlign w:val="center"/>
          </w:tcPr>
          <w:p>
            <w:pPr>
              <w:pStyle w:val="31"/>
              <w:jc w:val="center"/>
              <w:rPr>
                <w:rFonts w:hint="eastAsia" w:ascii="宋体" w:hAnsi="宋体" w:eastAsia="宋体" w:cs="宋体"/>
                <w:color w:val="auto"/>
                <w:sz w:val="24"/>
                <w:szCs w:val="24"/>
                <w:highlight w:val="none"/>
                <w:lang w:eastAsia="zh-CN"/>
              </w:rPr>
            </w:pPr>
          </w:p>
        </w:tc>
        <w:tc>
          <w:tcPr>
            <w:tcW w:w="919" w:type="dxa"/>
            <w:gridSpan w:val="2"/>
            <w:vMerge w:val="continue"/>
            <w:vAlign w:val="center"/>
          </w:tcPr>
          <w:p>
            <w:pPr>
              <w:pStyle w:val="31"/>
              <w:jc w:val="center"/>
              <w:rPr>
                <w:rFonts w:hint="eastAsia" w:ascii="宋体" w:hAnsi="宋体" w:eastAsia="宋体" w:cs="宋体"/>
                <w:color w:val="auto"/>
                <w:sz w:val="24"/>
                <w:szCs w:val="24"/>
                <w:highlight w:val="none"/>
                <w:lang w:eastAsia="zh-CN"/>
              </w:rPr>
            </w:pPr>
          </w:p>
        </w:tc>
        <w:tc>
          <w:tcPr>
            <w:tcW w:w="2595"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4663" w:type="dxa"/>
            <w:vAlign w:val="center"/>
          </w:tcPr>
          <w:p>
            <w:pPr>
              <w:pStyle w:val="3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exact"/>
        </w:trPr>
        <w:tc>
          <w:tcPr>
            <w:tcW w:w="629" w:type="dxa"/>
            <w:vMerge w:val="continue"/>
            <w:vAlign w:val="center"/>
          </w:tcPr>
          <w:p>
            <w:pPr>
              <w:pStyle w:val="31"/>
              <w:jc w:val="center"/>
              <w:rPr>
                <w:rFonts w:hint="eastAsia" w:ascii="宋体" w:hAnsi="宋体" w:eastAsia="宋体" w:cs="宋体"/>
                <w:color w:val="auto"/>
                <w:sz w:val="24"/>
                <w:szCs w:val="24"/>
                <w:highlight w:val="none"/>
                <w:lang w:eastAsia="zh-CN"/>
              </w:rPr>
            </w:pPr>
          </w:p>
        </w:tc>
        <w:tc>
          <w:tcPr>
            <w:tcW w:w="919" w:type="dxa"/>
            <w:gridSpan w:val="2"/>
            <w:vMerge w:val="continue"/>
            <w:vAlign w:val="center"/>
          </w:tcPr>
          <w:p>
            <w:pPr>
              <w:pStyle w:val="31"/>
              <w:jc w:val="center"/>
              <w:rPr>
                <w:rFonts w:hint="eastAsia" w:ascii="宋体" w:hAnsi="宋体" w:eastAsia="宋体" w:cs="宋体"/>
                <w:color w:val="auto"/>
                <w:sz w:val="24"/>
                <w:szCs w:val="24"/>
                <w:highlight w:val="none"/>
                <w:lang w:eastAsia="zh-CN"/>
              </w:rPr>
            </w:pPr>
          </w:p>
        </w:tc>
        <w:tc>
          <w:tcPr>
            <w:tcW w:w="2595"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4663" w:type="dxa"/>
            <w:vAlign w:val="center"/>
          </w:tcPr>
          <w:p>
            <w:pPr>
              <w:pStyle w:val="3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629" w:type="dxa"/>
            <w:vMerge w:val="continue"/>
            <w:vAlign w:val="center"/>
          </w:tcPr>
          <w:p>
            <w:pPr>
              <w:pStyle w:val="31"/>
              <w:jc w:val="center"/>
              <w:rPr>
                <w:rFonts w:hint="eastAsia" w:ascii="宋体" w:hAnsi="宋体" w:eastAsia="宋体" w:cs="宋体"/>
                <w:color w:val="auto"/>
                <w:sz w:val="24"/>
                <w:szCs w:val="24"/>
                <w:highlight w:val="none"/>
                <w:lang w:eastAsia="zh-CN"/>
              </w:rPr>
            </w:pPr>
          </w:p>
        </w:tc>
        <w:tc>
          <w:tcPr>
            <w:tcW w:w="919" w:type="dxa"/>
            <w:gridSpan w:val="2"/>
            <w:vMerge w:val="continue"/>
            <w:vAlign w:val="center"/>
          </w:tcPr>
          <w:p>
            <w:pPr>
              <w:pStyle w:val="31"/>
              <w:jc w:val="center"/>
              <w:rPr>
                <w:rFonts w:hint="eastAsia" w:ascii="宋体" w:hAnsi="宋体" w:eastAsia="宋体" w:cs="宋体"/>
                <w:color w:val="auto"/>
                <w:sz w:val="24"/>
                <w:szCs w:val="24"/>
                <w:highlight w:val="none"/>
                <w:lang w:eastAsia="zh-CN"/>
              </w:rPr>
            </w:pPr>
          </w:p>
        </w:tc>
        <w:tc>
          <w:tcPr>
            <w:tcW w:w="2595"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4663" w:type="dxa"/>
            <w:vAlign w:val="center"/>
          </w:tcPr>
          <w:p>
            <w:pPr>
              <w:pStyle w:val="3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符合第二章“投标人须知”第3.2款规定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exact"/>
        </w:trPr>
        <w:tc>
          <w:tcPr>
            <w:tcW w:w="629" w:type="dxa"/>
            <w:vMerge w:val="continue"/>
            <w:vAlign w:val="center"/>
          </w:tcPr>
          <w:p>
            <w:pPr>
              <w:pStyle w:val="31"/>
              <w:jc w:val="center"/>
              <w:rPr>
                <w:rFonts w:hint="eastAsia" w:ascii="宋体" w:hAnsi="宋体" w:eastAsia="宋体" w:cs="宋体"/>
                <w:color w:val="auto"/>
                <w:sz w:val="24"/>
                <w:szCs w:val="24"/>
                <w:highlight w:val="none"/>
                <w:lang w:eastAsia="zh-CN"/>
              </w:rPr>
            </w:pPr>
          </w:p>
        </w:tc>
        <w:tc>
          <w:tcPr>
            <w:tcW w:w="919" w:type="dxa"/>
            <w:gridSpan w:val="2"/>
            <w:vMerge w:val="continue"/>
            <w:vAlign w:val="center"/>
          </w:tcPr>
          <w:p>
            <w:pPr>
              <w:pStyle w:val="31"/>
              <w:jc w:val="center"/>
              <w:rPr>
                <w:rFonts w:hint="eastAsia" w:ascii="宋体" w:hAnsi="宋体" w:eastAsia="宋体" w:cs="宋体"/>
                <w:color w:val="auto"/>
                <w:sz w:val="24"/>
                <w:szCs w:val="24"/>
                <w:highlight w:val="none"/>
                <w:lang w:eastAsia="zh-CN"/>
              </w:rPr>
            </w:pPr>
          </w:p>
        </w:tc>
        <w:tc>
          <w:tcPr>
            <w:tcW w:w="2595" w:type="dxa"/>
            <w:vAlign w:val="center"/>
          </w:tcPr>
          <w:p>
            <w:pPr>
              <w:pStyle w:val="31"/>
              <w:jc w:val="center"/>
              <w:rPr>
                <w:rFonts w:hint="eastAsia" w:ascii="宋体" w:hAnsi="宋体" w:eastAsia="宋体" w:cs="宋体"/>
                <w:strike w:val="0"/>
                <w:dstrike w:val="0"/>
                <w:color w:val="auto"/>
                <w:sz w:val="24"/>
                <w:szCs w:val="24"/>
                <w:highlight w:val="none"/>
                <w:u w:val="single"/>
              </w:rPr>
            </w:pPr>
            <w:r>
              <w:rPr>
                <w:rFonts w:hint="eastAsia" w:ascii="宋体" w:hAnsi="宋体" w:eastAsia="宋体" w:cs="宋体"/>
                <w:strike w:val="0"/>
                <w:dstrike w:val="0"/>
                <w:color w:val="auto"/>
                <w:sz w:val="24"/>
                <w:szCs w:val="24"/>
                <w:highlight w:val="none"/>
                <w:u w:val="single"/>
              </w:rPr>
              <w:t>串通投标情形</w:t>
            </w:r>
          </w:p>
        </w:tc>
        <w:tc>
          <w:tcPr>
            <w:tcW w:w="4663" w:type="dxa"/>
            <w:vAlign w:val="center"/>
          </w:tcPr>
          <w:p>
            <w:pPr>
              <w:pStyle w:val="31"/>
              <w:rPr>
                <w:rFonts w:hint="eastAsia" w:ascii="宋体" w:hAnsi="宋体" w:eastAsia="宋体" w:cs="宋体"/>
                <w:strike w:val="0"/>
                <w:dstrike w:val="0"/>
                <w:color w:val="auto"/>
                <w:sz w:val="24"/>
                <w:szCs w:val="24"/>
                <w:highlight w:val="none"/>
                <w:u w:val="single"/>
                <w:lang w:eastAsia="zh-CN"/>
              </w:rPr>
            </w:pPr>
            <w:r>
              <w:rPr>
                <w:rFonts w:hint="eastAsia" w:ascii="宋体" w:hAnsi="宋体" w:eastAsia="宋体" w:cs="宋体"/>
                <w:strike w:val="0"/>
                <w:dstrike w:val="0"/>
                <w:color w:val="auto"/>
                <w:sz w:val="24"/>
                <w:szCs w:val="24"/>
                <w:highlight w:val="none"/>
                <w:u w:val="single"/>
                <w:lang w:eastAsia="zh-CN"/>
              </w:rPr>
              <w:t>不存在串通投标情形（串通投标情形以《中华人民共和国招标投标法实施条例》的规定为准）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trPr>
        <w:tc>
          <w:tcPr>
            <w:tcW w:w="629" w:type="dxa"/>
            <w:vMerge w:val="continue"/>
            <w:vAlign w:val="center"/>
          </w:tcPr>
          <w:p>
            <w:pPr>
              <w:pStyle w:val="31"/>
              <w:jc w:val="center"/>
              <w:rPr>
                <w:rFonts w:hint="eastAsia" w:ascii="宋体" w:hAnsi="宋体" w:eastAsia="宋体" w:cs="宋体"/>
                <w:color w:val="auto"/>
                <w:sz w:val="24"/>
                <w:szCs w:val="24"/>
                <w:highlight w:val="none"/>
                <w:lang w:eastAsia="zh-CN"/>
              </w:rPr>
            </w:pPr>
          </w:p>
        </w:tc>
        <w:tc>
          <w:tcPr>
            <w:tcW w:w="919" w:type="dxa"/>
            <w:gridSpan w:val="2"/>
            <w:vMerge w:val="continue"/>
            <w:vAlign w:val="center"/>
          </w:tcPr>
          <w:p>
            <w:pPr>
              <w:pStyle w:val="31"/>
              <w:jc w:val="center"/>
              <w:rPr>
                <w:rFonts w:hint="eastAsia" w:ascii="宋体" w:hAnsi="宋体" w:eastAsia="宋体" w:cs="宋体"/>
                <w:color w:val="auto"/>
                <w:sz w:val="24"/>
                <w:szCs w:val="24"/>
                <w:highlight w:val="none"/>
                <w:lang w:eastAsia="zh-CN"/>
              </w:rPr>
            </w:pPr>
          </w:p>
        </w:tc>
        <w:tc>
          <w:tcPr>
            <w:tcW w:w="2595"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4663" w:type="dxa"/>
            <w:vAlign w:val="center"/>
          </w:tcPr>
          <w:p>
            <w:pPr>
              <w:pStyle w:val="3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不存在第二章“投标人须知”前附表第10.5项规定的情形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exact"/>
        </w:trPr>
        <w:tc>
          <w:tcPr>
            <w:tcW w:w="629" w:type="dxa"/>
            <w:vMerge w:val="continue"/>
            <w:vAlign w:val="center"/>
          </w:tcPr>
          <w:p>
            <w:pPr>
              <w:pStyle w:val="31"/>
              <w:jc w:val="center"/>
              <w:rPr>
                <w:rFonts w:hint="eastAsia" w:ascii="宋体" w:hAnsi="宋体" w:eastAsia="宋体" w:cs="宋体"/>
                <w:color w:val="auto"/>
                <w:sz w:val="24"/>
                <w:szCs w:val="24"/>
                <w:highlight w:val="none"/>
                <w:lang w:eastAsia="zh-CN"/>
              </w:rPr>
            </w:pPr>
          </w:p>
        </w:tc>
        <w:tc>
          <w:tcPr>
            <w:tcW w:w="919" w:type="dxa"/>
            <w:gridSpan w:val="2"/>
            <w:vMerge w:val="continue"/>
            <w:vAlign w:val="center"/>
          </w:tcPr>
          <w:p>
            <w:pPr>
              <w:pStyle w:val="31"/>
              <w:jc w:val="center"/>
              <w:rPr>
                <w:rFonts w:hint="eastAsia" w:ascii="宋体" w:hAnsi="宋体" w:eastAsia="宋体" w:cs="宋体"/>
                <w:color w:val="auto"/>
                <w:sz w:val="24"/>
                <w:szCs w:val="24"/>
                <w:highlight w:val="none"/>
                <w:lang w:eastAsia="zh-CN"/>
              </w:rPr>
            </w:pPr>
          </w:p>
        </w:tc>
        <w:tc>
          <w:tcPr>
            <w:tcW w:w="7258" w:type="dxa"/>
            <w:gridSpan w:val="2"/>
            <w:vAlign w:val="center"/>
          </w:tcPr>
          <w:p>
            <w:pPr>
              <w:pStyle w:val="31"/>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注：商务文件响应性评审标准中“投标内容”、“设计服务期限”、“质量标准”、“投标有效期”，以投标人在投标书附录中的承诺为准。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exact"/>
        </w:trPr>
        <w:tc>
          <w:tcPr>
            <w:tcW w:w="1548" w:type="dxa"/>
            <w:gridSpan w:val="3"/>
            <w:vMerge w:val="restart"/>
            <w:vAlign w:val="center"/>
          </w:tcPr>
          <w:p>
            <w:pPr>
              <w:pStyle w:val="3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技术文件（设计方案）（暗标）初步评审标准</w:t>
            </w:r>
          </w:p>
        </w:tc>
        <w:tc>
          <w:tcPr>
            <w:tcW w:w="2595" w:type="dxa"/>
            <w:vAlign w:val="center"/>
          </w:tcPr>
          <w:p>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rPr>
              <w:t>未发现投标人在设计方案内标注名称、印章、商标、图形等记认符号（或使人辨认出投标人或其专业技术人员的身份）</w:t>
            </w:r>
          </w:p>
        </w:tc>
        <w:tc>
          <w:tcPr>
            <w:tcW w:w="4663" w:type="dxa"/>
            <w:vAlign w:val="center"/>
          </w:tcPr>
          <w:p>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rPr>
              <w:t>满足左述要求。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exact"/>
        </w:trPr>
        <w:tc>
          <w:tcPr>
            <w:tcW w:w="1548" w:type="dxa"/>
            <w:gridSpan w:val="3"/>
            <w:vMerge w:val="continue"/>
            <w:vAlign w:val="center"/>
          </w:tcPr>
          <w:p>
            <w:pPr>
              <w:pStyle w:val="31"/>
              <w:jc w:val="center"/>
              <w:rPr>
                <w:rFonts w:hint="eastAsia" w:ascii="宋体" w:hAnsi="宋体" w:eastAsia="宋体" w:cs="宋体"/>
                <w:b/>
                <w:bCs/>
                <w:color w:val="auto"/>
                <w:sz w:val="24"/>
                <w:szCs w:val="24"/>
                <w:highlight w:val="none"/>
              </w:rPr>
            </w:pPr>
          </w:p>
        </w:tc>
        <w:tc>
          <w:tcPr>
            <w:tcW w:w="2595" w:type="dxa"/>
            <w:vAlign w:val="center"/>
          </w:tcPr>
          <w:p>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rPr>
              <w:t>未发现互相雷同和串通投标</w:t>
            </w:r>
          </w:p>
        </w:tc>
        <w:tc>
          <w:tcPr>
            <w:tcW w:w="4663" w:type="dxa"/>
            <w:vAlign w:val="center"/>
          </w:tcPr>
          <w:p>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rPr>
              <w:t>满足左述要求。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exact"/>
        </w:trPr>
        <w:tc>
          <w:tcPr>
            <w:tcW w:w="1548" w:type="dxa"/>
            <w:gridSpan w:val="3"/>
            <w:vMerge w:val="continue"/>
            <w:vAlign w:val="center"/>
          </w:tcPr>
          <w:p>
            <w:pPr>
              <w:pStyle w:val="31"/>
              <w:jc w:val="center"/>
              <w:rPr>
                <w:rFonts w:hint="eastAsia" w:ascii="宋体" w:hAnsi="宋体" w:eastAsia="宋体" w:cs="宋体"/>
                <w:b/>
                <w:bCs/>
                <w:color w:val="auto"/>
                <w:sz w:val="24"/>
                <w:szCs w:val="24"/>
                <w:highlight w:val="none"/>
              </w:rPr>
            </w:pPr>
          </w:p>
        </w:tc>
        <w:tc>
          <w:tcPr>
            <w:tcW w:w="2595" w:type="dxa"/>
            <w:vAlign w:val="center"/>
          </w:tcPr>
          <w:p>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rPr>
              <w:t>未发现明显抄袭行为</w:t>
            </w:r>
          </w:p>
        </w:tc>
        <w:tc>
          <w:tcPr>
            <w:tcW w:w="4663" w:type="dxa"/>
            <w:vAlign w:val="center"/>
          </w:tcPr>
          <w:p>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rPr>
              <w:t>满足左述要求。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exact"/>
        </w:trPr>
        <w:tc>
          <w:tcPr>
            <w:tcW w:w="1548" w:type="dxa"/>
            <w:gridSpan w:val="3"/>
            <w:vMerge w:val="continue"/>
            <w:vAlign w:val="center"/>
          </w:tcPr>
          <w:p>
            <w:pPr>
              <w:pStyle w:val="31"/>
              <w:jc w:val="center"/>
              <w:rPr>
                <w:rFonts w:hint="eastAsia" w:ascii="宋体" w:hAnsi="宋体" w:eastAsia="宋体" w:cs="宋体"/>
                <w:b/>
                <w:bCs/>
                <w:color w:val="auto"/>
                <w:sz w:val="24"/>
                <w:szCs w:val="24"/>
                <w:highlight w:val="none"/>
              </w:rPr>
            </w:pPr>
          </w:p>
        </w:tc>
        <w:tc>
          <w:tcPr>
            <w:tcW w:w="2595" w:type="dxa"/>
            <w:vAlign w:val="center"/>
          </w:tcPr>
          <w:p>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rPr>
              <w:t>未发现侵犯他人著作权和特许权</w:t>
            </w:r>
          </w:p>
        </w:tc>
        <w:tc>
          <w:tcPr>
            <w:tcW w:w="4663" w:type="dxa"/>
            <w:vAlign w:val="center"/>
          </w:tcPr>
          <w:p>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rPr>
              <w:t>满足左述要求。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exact"/>
        </w:trPr>
        <w:tc>
          <w:tcPr>
            <w:tcW w:w="1548" w:type="dxa"/>
            <w:gridSpan w:val="3"/>
            <w:vMerge w:val="continue"/>
            <w:vAlign w:val="center"/>
          </w:tcPr>
          <w:p>
            <w:pPr>
              <w:pStyle w:val="31"/>
              <w:jc w:val="center"/>
              <w:rPr>
                <w:rFonts w:hint="eastAsia" w:ascii="宋体" w:hAnsi="宋体" w:eastAsia="宋体" w:cs="宋体"/>
                <w:b/>
                <w:bCs/>
                <w:color w:val="auto"/>
                <w:sz w:val="24"/>
                <w:szCs w:val="24"/>
                <w:highlight w:val="none"/>
              </w:rPr>
            </w:pPr>
          </w:p>
        </w:tc>
        <w:tc>
          <w:tcPr>
            <w:tcW w:w="2595" w:type="dxa"/>
            <w:vAlign w:val="center"/>
          </w:tcPr>
          <w:p>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rPr>
              <w:t>按招标文件第六章《投标文件格式》</w:t>
            </w:r>
            <w:r>
              <w:rPr>
                <w:rFonts w:hint="eastAsia" w:ascii="宋体" w:hAnsi="宋体" w:cs="宋体"/>
                <w:color w:val="auto"/>
                <w:sz w:val="24"/>
                <w:szCs w:val="24"/>
                <w:lang w:val="en-US" w:eastAsia="zh-CN"/>
              </w:rPr>
              <w:t>要求</w:t>
            </w:r>
            <w:r>
              <w:rPr>
                <w:rFonts w:hint="eastAsia" w:ascii="宋体" w:hAnsi="宋体" w:eastAsia="宋体" w:cs="宋体"/>
                <w:color w:val="auto"/>
                <w:sz w:val="24"/>
                <w:szCs w:val="24"/>
              </w:rPr>
              <w:t>编制投标文件</w:t>
            </w:r>
          </w:p>
        </w:tc>
        <w:tc>
          <w:tcPr>
            <w:tcW w:w="4663" w:type="dxa"/>
            <w:vAlign w:val="center"/>
          </w:tcPr>
          <w:p>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rPr>
              <w:t>满足左述要求。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rPr>
        <w:tc>
          <w:tcPr>
            <w:tcW w:w="1548" w:type="dxa"/>
            <w:gridSpan w:val="3"/>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条款号</w:t>
            </w:r>
          </w:p>
        </w:tc>
        <w:tc>
          <w:tcPr>
            <w:tcW w:w="2595"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条款内容</w:t>
            </w:r>
          </w:p>
        </w:tc>
        <w:tc>
          <w:tcPr>
            <w:tcW w:w="4663"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8" w:hRule="exact"/>
        </w:trPr>
        <w:tc>
          <w:tcPr>
            <w:tcW w:w="1548" w:type="dxa"/>
            <w:gridSpan w:val="3"/>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2595" w:type="dxa"/>
            <w:vAlign w:val="center"/>
          </w:tcPr>
          <w:p>
            <w:pPr>
              <w:pStyle w:val="31"/>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p>
            <w:pPr>
              <w:pStyle w:val="31"/>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4663" w:type="dxa"/>
            <w:vAlign w:val="center"/>
          </w:tcPr>
          <w:p>
            <w:pPr>
              <w:spacing w:line="360" w:lineRule="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u w:val="single"/>
              </w:rPr>
              <w:t>商务部分：</w:t>
            </w:r>
            <w:r>
              <w:rPr>
                <w:rFonts w:hint="eastAsia" w:ascii="宋体" w:hAnsi="宋体" w:eastAsia="宋体" w:cs="宋体"/>
                <w:b/>
                <w:color w:val="auto"/>
                <w:sz w:val="24"/>
                <w:szCs w:val="24"/>
                <w:highlight w:val="none"/>
                <w:u w:val="single"/>
                <w:lang w:val="en-US" w:eastAsia="zh-CN"/>
              </w:rPr>
              <w:t>30</w:t>
            </w:r>
            <w:r>
              <w:rPr>
                <w:rFonts w:hint="eastAsia" w:ascii="宋体" w:hAnsi="宋体" w:eastAsia="宋体" w:cs="宋体"/>
                <w:b/>
                <w:color w:val="auto"/>
                <w:sz w:val="24"/>
                <w:szCs w:val="24"/>
                <w:highlight w:val="none"/>
                <w:u w:val="single"/>
              </w:rPr>
              <w:t>分</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lang w:val="en-US" w:eastAsia="zh-CN"/>
              </w:rPr>
              <w:t>权重100 %</w:t>
            </w:r>
            <w:r>
              <w:rPr>
                <w:rFonts w:hint="eastAsia" w:ascii="宋体" w:hAnsi="宋体" w:eastAsia="宋体" w:cs="宋体"/>
                <w:b/>
                <w:color w:val="auto"/>
                <w:sz w:val="24"/>
                <w:szCs w:val="24"/>
                <w:highlight w:val="none"/>
                <w:u w:val="single"/>
                <w:lang w:eastAsia="zh-CN"/>
              </w:rPr>
              <w:t>）</w:t>
            </w:r>
          </w:p>
          <w:p>
            <w:pPr>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技术部分：</w:t>
            </w:r>
            <w:r>
              <w:rPr>
                <w:rFonts w:hint="eastAsia" w:ascii="宋体" w:hAnsi="宋体" w:eastAsia="宋体" w:cs="宋体"/>
                <w:b/>
                <w:color w:val="auto"/>
                <w:sz w:val="24"/>
                <w:szCs w:val="24"/>
                <w:highlight w:val="none"/>
                <w:u w:val="single"/>
                <w:lang w:val="en-US" w:eastAsia="zh-CN"/>
              </w:rPr>
              <w:t>60</w:t>
            </w:r>
            <w:r>
              <w:rPr>
                <w:rFonts w:hint="eastAsia" w:ascii="宋体" w:hAnsi="宋体" w:eastAsia="宋体" w:cs="宋体"/>
                <w:b/>
                <w:color w:val="auto"/>
                <w:sz w:val="24"/>
                <w:szCs w:val="24"/>
                <w:highlight w:val="none"/>
                <w:u w:val="single"/>
              </w:rPr>
              <w:t>分</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lang w:val="en-US" w:eastAsia="zh-CN"/>
              </w:rPr>
              <w:t>权重100 %</w:t>
            </w:r>
            <w:r>
              <w:rPr>
                <w:rFonts w:hint="eastAsia" w:ascii="宋体" w:hAnsi="宋体" w:eastAsia="宋体" w:cs="宋体"/>
                <w:b/>
                <w:color w:val="auto"/>
                <w:sz w:val="24"/>
                <w:szCs w:val="24"/>
                <w:highlight w:val="none"/>
                <w:u w:val="single"/>
                <w:lang w:eastAsia="zh-CN"/>
              </w:rPr>
              <w:t>）</w:t>
            </w:r>
          </w:p>
          <w:p>
            <w:pPr>
              <w:spacing w:line="360" w:lineRule="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投标报价：</w:t>
            </w:r>
            <w:r>
              <w:rPr>
                <w:rFonts w:hint="eastAsia" w:ascii="宋体" w:hAnsi="宋体" w:eastAsia="宋体" w:cs="宋体"/>
                <w:b/>
                <w:bCs/>
                <w:color w:val="auto"/>
                <w:sz w:val="24"/>
                <w:szCs w:val="24"/>
                <w:highlight w:val="none"/>
                <w:u w:val="single"/>
                <w:lang w:val="en-US" w:eastAsia="zh-CN"/>
              </w:rPr>
              <w:t>10分</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lang w:val="en-US" w:eastAsia="zh-CN"/>
              </w:rPr>
              <w:t>权重100 %</w:t>
            </w:r>
            <w:r>
              <w:rPr>
                <w:rFonts w:hint="eastAsia" w:ascii="宋体" w:hAnsi="宋体" w:eastAsia="宋体" w:cs="宋体"/>
                <w:b/>
                <w:color w:val="auto"/>
                <w:sz w:val="24"/>
                <w:szCs w:val="24"/>
                <w:highlight w:val="none"/>
                <w:u w:val="single"/>
                <w:lang w:eastAsia="zh-CN"/>
              </w:rPr>
              <w:t>）</w:t>
            </w:r>
          </w:p>
          <w:p>
            <w:pPr>
              <w:spacing w:line="360" w:lineRule="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u w:val="single"/>
              </w:rPr>
              <w:t>投标人综合得分=商务部分得分</w:t>
            </w:r>
            <w:r>
              <w:rPr>
                <w:rFonts w:hint="eastAsia" w:ascii="宋体" w:hAnsi="宋体" w:eastAsia="宋体" w:cs="宋体"/>
                <w:b/>
                <w:color w:val="auto"/>
                <w:sz w:val="24"/>
                <w:szCs w:val="24"/>
                <w:highlight w:val="none"/>
                <w:u w:val="single"/>
                <w:lang w:val="en-US" w:eastAsia="zh-CN"/>
              </w:rPr>
              <w:t>*权重</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lang w:val="en-US" w:eastAsia="zh-CN"/>
              </w:rPr>
              <w:t>100%</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+技术部分得分</w:t>
            </w:r>
            <w:r>
              <w:rPr>
                <w:rFonts w:hint="eastAsia" w:ascii="宋体" w:hAnsi="宋体" w:eastAsia="宋体" w:cs="宋体"/>
                <w:b/>
                <w:color w:val="auto"/>
                <w:sz w:val="24"/>
                <w:szCs w:val="24"/>
                <w:highlight w:val="none"/>
                <w:u w:val="single"/>
                <w:lang w:val="en-US" w:eastAsia="zh-CN"/>
              </w:rPr>
              <w:t>*权重（100%）+投标报价得分*权重（100%）</w:t>
            </w:r>
          </w:p>
          <w:p>
            <w:pPr>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其他评分因素：</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2" w:hRule="exact"/>
        </w:trPr>
        <w:tc>
          <w:tcPr>
            <w:tcW w:w="1548" w:type="dxa"/>
            <w:gridSpan w:val="3"/>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595" w:type="dxa"/>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评标基准价计算方法</w:t>
            </w:r>
          </w:p>
        </w:tc>
        <w:tc>
          <w:tcPr>
            <w:tcW w:w="4663"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取所有入围的有效投标价的算术平均值作为评标基准价。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0" w:hRule="exact"/>
        </w:trPr>
        <w:tc>
          <w:tcPr>
            <w:tcW w:w="1548" w:type="dxa"/>
            <w:gridSpan w:val="3"/>
            <w:vAlign w:val="center"/>
          </w:tcPr>
          <w:p>
            <w:pPr>
              <w:pStyle w:val="3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2595" w:type="dxa"/>
            <w:vAlign w:val="center"/>
          </w:tcPr>
          <w:p>
            <w:pPr>
              <w:pStyle w:val="3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投标报价的偏差率计算公式</w:t>
            </w:r>
          </w:p>
        </w:tc>
        <w:tc>
          <w:tcPr>
            <w:tcW w:w="4663" w:type="dxa"/>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偏差率=∣投标报价—评标基准价∣/评标基准价*100</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（偏差率四舍五入保留1位小数,报价偏差率不足1.00%的，按直线内插法计算投标报价得分）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exact"/>
        </w:trPr>
        <w:tc>
          <w:tcPr>
            <w:tcW w:w="1548" w:type="dxa"/>
            <w:gridSpan w:val="3"/>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条款号</w:t>
            </w:r>
          </w:p>
        </w:tc>
        <w:tc>
          <w:tcPr>
            <w:tcW w:w="2595"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评分因素（偏差率）</w:t>
            </w:r>
          </w:p>
        </w:tc>
        <w:tc>
          <w:tcPr>
            <w:tcW w:w="4663"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7" w:hRule="exact"/>
        </w:trPr>
        <w:tc>
          <w:tcPr>
            <w:tcW w:w="710" w:type="dxa"/>
            <w:gridSpan w:val="2"/>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商务文件</w:t>
            </w:r>
            <w:r>
              <w:rPr>
                <w:rFonts w:hint="eastAsia" w:ascii="宋体" w:hAnsi="宋体" w:eastAsia="宋体" w:cs="宋体"/>
                <w:color w:val="auto"/>
                <w:sz w:val="24"/>
                <w:szCs w:val="24"/>
                <w:highlight w:val="none"/>
              </w:rPr>
              <w:t>评分标准</w:t>
            </w:r>
          </w:p>
        </w:tc>
        <w:tc>
          <w:tcPr>
            <w:tcW w:w="2595"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rPr>
              <w:t>详见附表一：《商务文件综合评分表》</w:t>
            </w:r>
          </w:p>
        </w:tc>
        <w:tc>
          <w:tcPr>
            <w:tcW w:w="466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详见附表一：《商务文件综合评分表》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6" w:hRule="exact"/>
        </w:trPr>
        <w:tc>
          <w:tcPr>
            <w:tcW w:w="710" w:type="dxa"/>
            <w:gridSpan w:val="2"/>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38"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技术文件</w:t>
            </w:r>
            <w:r>
              <w:rPr>
                <w:rFonts w:hint="eastAsia" w:ascii="宋体" w:hAnsi="宋体" w:eastAsia="宋体" w:cs="宋体"/>
                <w:color w:val="auto"/>
                <w:sz w:val="24"/>
                <w:szCs w:val="24"/>
                <w:highlight w:val="none"/>
              </w:rPr>
              <w:t>评分标准</w:t>
            </w:r>
          </w:p>
        </w:tc>
        <w:tc>
          <w:tcPr>
            <w:tcW w:w="2595"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rPr>
              <w:t>详见附表二：《技术文件综合评分表》</w:t>
            </w:r>
          </w:p>
        </w:tc>
        <w:tc>
          <w:tcPr>
            <w:tcW w:w="4663"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详见附表二：《技术文件综合评分表》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exact"/>
        </w:trPr>
        <w:tc>
          <w:tcPr>
            <w:tcW w:w="710" w:type="dxa"/>
            <w:gridSpan w:val="2"/>
            <w:vMerge w:val="restar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38" w:type="dxa"/>
            <w:vMerge w:val="restar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投标报价评分标准</w:t>
            </w:r>
          </w:p>
        </w:tc>
        <w:tc>
          <w:tcPr>
            <w:tcW w:w="2595"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偏差率</w:t>
            </w:r>
          </w:p>
        </w:tc>
        <w:tc>
          <w:tcPr>
            <w:tcW w:w="4663" w:type="dxa"/>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偏差率=∣投标报价—评标基准价∣/评标基准价*100%</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（偏差率四舍五入保留1位小数,报价偏差率不足1.00%的，按直线内插法计算投标报价得分）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9" w:hRule="exact"/>
        </w:trPr>
        <w:tc>
          <w:tcPr>
            <w:tcW w:w="710" w:type="dxa"/>
            <w:gridSpan w:val="2"/>
            <w:vMerge w:val="continue"/>
            <w:vAlign w:val="center"/>
          </w:tcPr>
          <w:p>
            <w:pPr>
              <w:spacing w:line="360" w:lineRule="auto"/>
              <w:jc w:val="center"/>
              <w:rPr>
                <w:rFonts w:hint="eastAsia" w:ascii="宋体" w:hAnsi="宋体" w:eastAsia="宋体" w:cs="宋体"/>
                <w:color w:val="auto"/>
                <w:sz w:val="24"/>
                <w:szCs w:val="24"/>
                <w:highlight w:val="none"/>
              </w:rPr>
            </w:pPr>
          </w:p>
        </w:tc>
        <w:tc>
          <w:tcPr>
            <w:tcW w:w="838" w:type="dxa"/>
            <w:vMerge w:val="continue"/>
            <w:vAlign w:val="center"/>
          </w:tcPr>
          <w:p>
            <w:pPr>
              <w:spacing w:line="360" w:lineRule="auto"/>
              <w:jc w:val="center"/>
              <w:rPr>
                <w:rFonts w:hint="eastAsia" w:ascii="宋体" w:hAnsi="宋体" w:eastAsia="宋体" w:cs="宋体"/>
                <w:color w:val="auto"/>
                <w:sz w:val="24"/>
                <w:szCs w:val="24"/>
                <w:highlight w:val="none"/>
              </w:rPr>
            </w:pPr>
          </w:p>
        </w:tc>
        <w:tc>
          <w:tcPr>
            <w:tcW w:w="2595"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投标报价</w:t>
            </w:r>
          </w:p>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分）</w:t>
            </w:r>
          </w:p>
        </w:tc>
        <w:tc>
          <w:tcPr>
            <w:tcW w:w="4663" w:type="dxa"/>
            <w:vAlign w:val="center"/>
          </w:tcPr>
          <w:p>
            <w:pPr>
              <w:bidi w:val="0"/>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当标价等于</w:t>
            </w:r>
            <w:r>
              <w:rPr>
                <w:rFonts w:hint="eastAsia" w:ascii="宋体" w:hAnsi="宋体" w:eastAsia="宋体" w:cs="宋体"/>
                <w:color w:val="auto"/>
                <w:sz w:val="24"/>
                <w:szCs w:val="24"/>
                <w:highlight w:val="none"/>
                <w:lang w:val="en-US" w:eastAsia="zh-CN"/>
              </w:rPr>
              <w:t>评标基准价</w:t>
            </w:r>
            <w:r>
              <w:rPr>
                <w:rFonts w:hint="eastAsia" w:ascii="宋体" w:hAnsi="宋体" w:eastAsia="宋体" w:cs="宋体"/>
                <w:color w:val="auto"/>
                <w:sz w:val="24"/>
                <w:szCs w:val="24"/>
                <w:highlight w:val="none"/>
              </w:rPr>
              <w:t>时得10分，标价每高于</w:t>
            </w:r>
            <w:r>
              <w:rPr>
                <w:rFonts w:hint="eastAsia" w:ascii="宋体" w:hAnsi="宋体" w:eastAsia="宋体" w:cs="宋体"/>
                <w:color w:val="auto"/>
                <w:sz w:val="24"/>
                <w:szCs w:val="24"/>
                <w:highlight w:val="none"/>
                <w:lang w:val="en-US" w:eastAsia="zh-CN"/>
              </w:rPr>
              <w:t>评标基准价</w:t>
            </w:r>
            <w:r>
              <w:rPr>
                <w:rFonts w:hint="eastAsia" w:ascii="宋体" w:hAnsi="宋体" w:eastAsia="宋体" w:cs="宋体"/>
                <w:color w:val="auto"/>
                <w:sz w:val="24"/>
                <w:szCs w:val="24"/>
                <w:highlight w:val="none"/>
              </w:rPr>
              <w:t>1%，扣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分，每低于</w:t>
            </w:r>
            <w:r>
              <w:rPr>
                <w:rFonts w:hint="eastAsia" w:ascii="宋体" w:hAnsi="宋体" w:eastAsia="宋体" w:cs="宋体"/>
                <w:color w:val="auto"/>
                <w:sz w:val="24"/>
                <w:szCs w:val="24"/>
                <w:highlight w:val="none"/>
                <w:lang w:val="en-US" w:eastAsia="zh-CN"/>
              </w:rPr>
              <w:t>评标基准价</w:t>
            </w:r>
            <w:r>
              <w:rPr>
                <w:rFonts w:hint="eastAsia" w:ascii="宋体" w:hAnsi="宋体" w:eastAsia="宋体" w:cs="宋体"/>
                <w:color w:val="auto"/>
                <w:sz w:val="24"/>
                <w:szCs w:val="24"/>
                <w:highlight w:val="none"/>
              </w:rPr>
              <w:t>1%，扣</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分，扣至0分为止</w:t>
            </w:r>
            <w:r>
              <w:rPr>
                <w:rFonts w:hint="eastAsia" w:ascii="宋体" w:hAnsi="宋体" w:eastAsia="宋体" w:cs="宋体"/>
                <w:color w:val="auto"/>
                <w:sz w:val="24"/>
                <w:szCs w:val="24"/>
                <w:highlight w:val="none"/>
                <w:lang w:val="en-US" w:eastAsia="zh-CN"/>
              </w:rPr>
              <w:t>，得出经济得分，精确到小数点后两位。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3" w:hRule="exact"/>
        </w:trPr>
        <w:tc>
          <w:tcPr>
            <w:tcW w:w="710" w:type="dxa"/>
            <w:gridSpan w:val="2"/>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p>
        </w:tc>
        <w:tc>
          <w:tcPr>
            <w:tcW w:w="838"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其他因素评分标准</w:t>
            </w:r>
          </w:p>
        </w:tc>
        <w:tc>
          <w:tcPr>
            <w:tcW w:w="2595"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4663" w:type="dxa"/>
            <w:vAlign w:val="center"/>
          </w:tcPr>
          <w:p>
            <w:pPr>
              <w:bidi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pPr>
        <w:pStyle w:val="20"/>
        <w:jc w:val="both"/>
        <w:rPr>
          <w:rFonts w:hint="eastAsia" w:ascii="宋体" w:hAnsi="宋体" w:eastAsia="宋体" w:cs="宋体"/>
          <w:color w:val="auto"/>
          <w:highlight w:val="none"/>
          <w:lang w:eastAsia="zh-CN"/>
        </w:rPr>
        <w:sectPr>
          <w:footerReference r:id="rId7" w:type="default"/>
          <w:pgSz w:w="12240" w:h="15840"/>
          <w:pgMar w:top="1500" w:right="1720" w:bottom="1120" w:left="1720" w:header="0" w:footer="921" w:gutter="0"/>
          <w:cols w:space="720" w:num="1"/>
        </w:sectPr>
      </w:pPr>
    </w:p>
    <w:p>
      <w:pPr>
        <w:pStyle w:val="20"/>
        <w:jc w:val="both"/>
        <w:rPr>
          <w:rFonts w:hint="eastAsia" w:ascii="宋体" w:hAnsi="宋体" w:eastAsia="宋体" w:cs="宋体"/>
          <w:color w:val="auto"/>
          <w:highlight w:val="none"/>
          <w:lang w:eastAsia="zh-CN"/>
        </w:rPr>
      </w:pPr>
      <w:bookmarkStart w:id="16" w:name="_Toc22908"/>
      <w:r>
        <w:rPr>
          <w:rFonts w:hint="eastAsia" w:ascii="宋体" w:hAnsi="宋体" w:eastAsia="宋体" w:cs="宋体"/>
          <w:color w:val="auto"/>
          <w:highlight w:val="none"/>
          <w:lang w:eastAsia="zh-CN"/>
        </w:rPr>
        <w:t>附件一：</w:t>
      </w:r>
      <w:bookmarkEnd w:id="16"/>
      <w:r>
        <w:rPr>
          <w:rFonts w:hint="eastAsia" w:ascii="宋体" w:hAnsi="宋体" w:eastAsia="宋体" w:cs="宋体"/>
          <w:color w:val="auto"/>
          <w:highlight w:val="none"/>
          <w:lang w:eastAsia="zh-CN"/>
        </w:rPr>
        <w:t>商务文件综合评分表</w:t>
      </w:r>
    </w:p>
    <w:p>
      <w:pPr>
        <w:pStyle w:val="19"/>
        <w:widowControl w:val="0"/>
        <w:spacing w:before="240" w:beforeAutospacing="0" w:after="60" w:afterAutospacing="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商务文件综合评分表</w:t>
      </w:r>
    </w:p>
    <w:tbl>
      <w:tblPr>
        <w:tblStyle w:val="23"/>
        <w:tblW w:w="4998" w:type="pct"/>
        <w:tblInd w:w="0" w:type="dxa"/>
        <w:tblLayout w:type="autofit"/>
        <w:tblCellMar>
          <w:top w:w="0" w:type="dxa"/>
          <w:left w:w="108" w:type="dxa"/>
          <w:bottom w:w="0" w:type="dxa"/>
          <w:right w:w="108" w:type="dxa"/>
        </w:tblCellMar>
      </w:tblPr>
      <w:tblGrid>
        <w:gridCol w:w="672"/>
        <w:gridCol w:w="1319"/>
        <w:gridCol w:w="1166"/>
        <w:gridCol w:w="9302"/>
        <w:gridCol w:w="967"/>
      </w:tblGrid>
      <w:tr>
        <w:tblPrEx>
          <w:tblCellMar>
            <w:top w:w="0" w:type="dxa"/>
            <w:left w:w="108" w:type="dxa"/>
            <w:bottom w:w="0" w:type="dxa"/>
            <w:right w:w="108" w:type="dxa"/>
          </w:tblCellMar>
        </w:tblPrEx>
        <w:trPr>
          <w:trHeight w:val="445" w:hRule="atLeast"/>
        </w:trPr>
        <w:tc>
          <w:tcPr>
            <w:tcW w:w="25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序号</w:t>
            </w:r>
          </w:p>
        </w:tc>
        <w:tc>
          <w:tcPr>
            <w:tcW w:w="4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项目</w:t>
            </w:r>
          </w:p>
        </w:tc>
        <w:tc>
          <w:tcPr>
            <w:tcW w:w="43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分值</w:t>
            </w:r>
          </w:p>
        </w:tc>
        <w:tc>
          <w:tcPr>
            <w:tcW w:w="346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内容</w:t>
            </w:r>
          </w:p>
        </w:tc>
        <w:tc>
          <w:tcPr>
            <w:tcW w:w="3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得分</w:t>
            </w:r>
          </w:p>
        </w:tc>
      </w:tr>
      <w:tr>
        <w:tblPrEx>
          <w:tblCellMar>
            <w:top w:w="0" w:type="dxa"/>
            <w:left w:w="108" w:type="dxa"/>
            <w:bottom w:w="0" w:type="dxa"/>
            <w:right w:w="108" w:type="dxa"/>
          </w:tblCellMar>
        </w:tblPrEx>
        <w:trPr>
          <w:trHeight w:val="90" w:hRule="atLeast"/>
        </w:trPr>
        <w:tc>
          <w:tcPr>
            <w:tcW w:w="25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4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信誉</w:t>
            </w:r>
          </w:p>
        </w:tc>
        <w:tc>
          <w:tcPr>
            <w:tcW w:w="43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分</w:t>
            </w:r>
          </w:p>
        </w:tc>
        <w:tc>
          <w:tcPr>
            <w:tcW w:w="9302" w:type="dxa"/>
            <w:tcBorders>
              <w:top w:val="single" w:color="auto" w:sz="6" w:space="0"/>
              <w:left w:val="single" w:color="auto" w:sz="6" w:space="0"/>
              <w:right w:val="single" w:color="auto" w:sz="6" w:space="0"/>
            </w:tcBorders>
            <w:noWrap w:val="0"/>
            <w:vAlign w:val="center"/>
          </w:tcPr>
          <w:p>
            <w:pPr>
              <w:pStyle w:val="8"/>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color w:val="auto"/>
                <w:sz w:val="24"/>
                <w:szCs w:val="24"/>
                <w:lang w:eastAsia="zh-CN"/>
              </w:rPr>
              <w:t>投标人具有高新技术企业证书</w:t>
            </w:r>
            <w:r>
              <w:rPr>
                <w:rFonts w:hint="eastAsia" w:ascii="宋体" w:hAnsi="宋体" w:eastAsia="宋体" w:cs="宋体"/>
                <w:color w:val="auto"/>
                <w:sz w:val="24"/>
                <w:szCs w:val="24"/>
                <w:lang w:val="en-US" w:eastAsia="zh-CN"/>
              </w:rPr>
              <w:t>的得2分，</w:t>
            </w:r>
            <w:r>
              <w:rPr>
                <w:rFonts w:hint="eastAsia" w:ascii="宋体" w:hAnsi="宋体" w:eastAsia="宋体" w:cs="宋体"/>
                <w:b w:val="0"/>
                <w:bCs w:val="0"/>
                <w:color w:val="auto"/>
                <w:sz w:val="24"/>
                <w:szCs w:val="24"/>
                <w:lang w:val="en-US" w:eastAsia="zh-CN"/>
              </w:rPr>
              <w:t>未提供</w:t>
            </w:r>
            <w:r>
              <w:rPr>
                <w:rFonts w:hint="eastAsia" w:ascii="宋体" w:hAnsi="宋体" w:eastAsia="宋体" w:cs="宋体"/>
                <w:color w:val="auto"/>
                <w:sz w:val="24"/>
                <w:szCs w:val="24"/>
                <w:lang w:val="en-US" w:eastAsia="zh-CN"/>
              </w:rPr>
              <w:t>不得分；</w:t>
            </w:r>
          </w:p>
          <w:p>
            <w:pPr>
              <w:pStyle w:val="8"/>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lang w:val="en-US" w:eastAsia="zh-CN"/>
              </w:rPr>
              <w:t>2、投标人具有有效的质量管理体系认证证书、环境管理体系认证证书、职业健康安全管理体系认证证书，且在有效期内的，每具有上述证书其中1项得1分，全部具备得3分</w:t>
            </w:r>
            <w:r>
              <w:rPr>
                <w:rFonts w:hint="eastAsia" w:ascii="宋体" w:hAnsi="宋体" w:eastAsia="宋体" w:cs="宋体"/>
                <w:b w:val="0"/>
                <w:bCs w:val="0"/>
                <w:color w:val="auto"/>
                <w:sz w:val="24"/>
                <w:szCs w:val="24"/>
                <w:lang w:val="en-US" w:eastAsia="zh-CN"/>
              </w:rPr>
              <w:t>，未提供不得分。</w:t>
            </w:r>
          </w:p>
        </w:tc>
        <w:tc>
          <w:tcPr>
            <w:tcW w:w="360" w:type="pc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43" w:hRule="atLeast"/>
        </w:trPr>
        <w:tc>
          <w:tcPr>
            <w:tcW w:w="25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w:t>
            </w:r>
          </w:p>
        </w:tc>
        <w:tc>
          <w:tcPr>
            <w:tcW w:w="491"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类似项目业绩</w:t>
            </w:r>
          </w:p>
        </w:tc>
        <w:tc>
          <w:tcPr>
            <w:tcW w:w="43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9302" w:type="dxa"/>
            <w:tcBorders>
              <w:top w:val="single" w:color="auto" w:sz="6" w:space="0"/>
              <w:left w:val="single" w:color="auto" w:sz="6" w:space="0"/>
              <w:right w:val="single" w:color="auto" w:sz="6" w:space="0"/>
            </w:tcBorders>
            <w:noWrap w:val="0"/>
            <w:vAlign w:val="center"/>
          </w:tcPr>
          <w:p>
            <w:pPr>
              <w:pStyle w:val="11"/>
              <w:spacing w:after="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投标人</w:t>
            </w:r>
            <w:r>
              <w:rPr>
                <w:rFonts w:hint="eastAsia" w:cs="宋体"/>
                <w:bCs/>
                <w:color w:val="auto"/>
                <w:sz w:val="24"/>
                <w:szCs w:val="24"/>
                <w:highlight w:val="none"/>
                <w:lang w:val="en-US" w:eastAsia="zh-CN"/>
              </w:rPr>
              <w:t>自</w:t>
            </w:r>
            <w:r>
              <w:rPr>
                <w:rFonts w:hint="eastAsia" w:ascii="宋体" w:hAnsi="宋体" w:cs="宋体"/>
                <w:bCs/>
                <w:color w:val="auto"/>
                <w:sz w:val="24"/>
                <w:szCs w:val="24"/>
                <w:highlight w:val="none"/>
              </w:rPr>
              <w:t>2019年1月1日至投标截止时间止完成过总建筑面积≥</w:t>
            </w:r>
            <w:r>
              <w:rPr>
                <w:rFonts w:hint="eastAsia" w:cs="宋体"/>
                <w:bCs/>
                <w:color w:val="auto"/>
                <w:sz w:val="24"/>
                <w:szCs w:val="24"/>
                <w:highlight w:val="none"/>
                <w:lang w:val="en-US" w:eastAsia="zh-CN"/>
              </w:rPr>
              <w:t>1</w:t>
            </w:r>
            <w:r>
              <w:rPr>
                <w:rFonts w:hint="eastAsia" w:ascii="宋体" w:hAnsi="宋体" w:cs="宋体"/>
                <w:bCs/>
                <w:color w:val="auto"/>
                <w:sz w:val="24"/>
                <w:szCs w:val="24"/>
                <w:highlight w:val="none"/>
              </w:rPr>
              <w:t>0000平方米的房屋建筑工程设计业绩的，每项得</w:t>
            </w:r>
            <w:r>
              <w:rPr>
                <w:rFonts w:hint="eastAsia" w:cs="宋体"/>
                <w:bCs/>
                <w:color w:val="auto"/>
                <w:sz w:val="24"/>
                <w:szCs w:val="24"/>
                <w:highlight w:val="none"/>
                <w:lang w:val="en-US" w:eastAsia="zh-CN"/>
              </w:rPr>
              <w:t>2</w:t>
            </w:r>
            <w:r>
              <w:rPr>
                <w:rFonts w:hint="eastAsia" w:ascii="宋体" w:hAnsi="宋体" w:cs="宋体"/>
                <w:bCs/>
                <w:color w:val="auto"/>
                <w:sz w:val="24"/>
                <w:szCs w:val="24"/>
                <w:highlight w:val="none"/>
              </w:rPr>
              <w:t>分，最高得</w:t>
            </w:r>
            <w:r>
              <w:rPr>
                <w:rFonts w:hint="eastAsia" w:cs="宋体"/>
                <w:bCs/>
                <w:color w:val="auto"/>
                <w:sz w:val="24"/>
                <w:szCs w:val="24"/>
                <w:highlight w:val="none"/>
                <w:lang w:val="en-US" w:eastAsia="zh-CN"/>
              </w:rPr>
              <w:t>10</w:t>
            </w:r>
            <w:r>
              <w:rPr>
                <w:rFonts w:hint="eastAsia" w:ascii="宋体" w:hAnsi="宋体" w:cs="宋体"/>
                <w:bCs/>
                <w:color w:val="auto"/>
                <w:sz w:val="24"/>
                <w:szCs w:val="24"/>
                <w:highlight w:val="none"/>
              </w:rPr>
              <w:t>分。</w:t>
            </w:r>
          </w:p>
          <w:p>
            <w:pPr>
              <w:pStyle w:val="11"/>
              <w:spacing w:after="0"/>
              <w:rPr>
                <w:rFonts w:hint="eastAsia" w:cs="宋体"/>
                <w:color w:val="auto"/>
                <w:sz w:val="24"/>
                <w:szCs w:val="24"/>
                <w:lang w:val="en-US" w:eastAsia="zh-CN"/>
              </w:rPr>
            </w:pPr>
            <w:r>
              <w:rPr>
                <w:rFonts w:hint="eastAsia" w:cs="宋体"/>
                <w:color w:val="auto"/>
                <w:sz w:val="24"/>
                <w:szCs w:val="24"/>
                <w:lang w:val="en-US" w:eastAsia="zh-CN"/>
              </w:rPr>
              <w:t>注：（1）设计业绩须同时提供合同关键页、初步设计批复（或初步设计复函、或工程规划许可证、或施工图审查合格证明文件、或全国（或各省）建筑市场监管公共服务平台中施工图审查信息的截图、或经该项目业主盖章确认的设计履行的证明）等证明文件，证明文件以清晰扫描件方式提供并加盖投标人电子印章。</w:t>
            </w:r>
          </w:p>
          <w:p>
            <w:pPr>
              <w:pStyle w:val="11"/>
              <w:spacing w:after="0"/>
              <w:rPr>
                <w:rFonts w:hint="eastAsia" w:cs="宋体"/>
                <w:color w:val="auto"/>
                <w:sz w:val="24"/>
                <w:szCs w:val="24"/>
                <w:lang w:val="en-US" w:eastAsia="zh-CN"/>
              </w:rPr>
            </w:pPr>
            <w:r>
              <w:rPr>
                <w:rFonts w:hint="eastAsia" w:cs="宋体"/>
                <w:color w:val="auto"/>
                <w:sz w:val="24"/>
                <w:szCs w:val="24"/>
                <w:lang w:val="en-US" w:eastAsia="zh-CN"/>
              </w:rPr>
              <w:t>（2）业绩时间：以初步设计批复（或初步设计复函、或工程规划许可证、或施工图审查合格证明文件、或全国（或各省）建筑市场监管公共服务平台中施工图审查信息的截图、或经该项目业主盖章确认的设计履行的证明）载明时间为准。</w:t>
            </w:r>
          </w:p>
          <w:p>
            <w:pPr>
              <w:pStyle w:val="11"/>
              <w:spacing w:after="0"/>
              <w:rPr>
                <w:rFonts w:hint="eastAsia" w:cs="宋体"/>
                <w:color w:val="auto"/>
                <w:sz w:val="24"/>
                <w:szCs w:val="24"/>
                <w:lang w:val="en-US" w:eastAsia="zh-CN"/>
              </w:rPr>
            </w:pPr>
            <w:r>
              <w:rPr>
                <w:rFonts w:hint="eastAsia" w:cs="宋体"/>
                <w:color w:val="auto"/>
                <w:sz w:val="24"/>
                <w:szCs w:val="24"/>
                <w:lang w:val="en-US" w:eastAsia="zh-CN"/>
              </w:rPr>
              <w:t>总建筑面积：以合同内容（或初步设计批复、或初步设计复函、或工程规划许可证、或施工图审查合格证明文件、或全国（或各省）建筑市场监管公共服务平台的截图）作为证明材料，如均不能证明，可提供经该项目业主盖章确认的可证明业绩总建筑面积的其他证明文件。</w:t>
            </w:r>
          </w:p>
          <w:p>
            <w:pPr>
              <w:pStyle w:val="11"/>
              <w:spacing w:after="0"/>
              <w:ind w:left="100" w:left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（3）不符合上述条件或未提供上述资料的不得分。</w:t>
            </w:r>
          </w:p>
        </w:tc>
        <w:tc>
          <w:tcPr>
            <w:tcW w:w="360" w:type="pc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lang w:val="zh-CN"/>
              </w:rPr>
            </w:pPr>
          </w:p>
        </w:tc>
      </w:tr>
      <w:tr>
        <w:tblPrEx>
          <w:tblCellMar>
            <w:top w:w="0" w:type="dxa"/>
            <w:left w:w="108" w:type="dxa"/>
            <w:bottom w:w="0" w:type="dxa"/>
            <w:right w:w="108" w:type="dxa"/>
          </w:tblCellMar>
        </w:tblPrEx>
        <w:trPr>
          <w:trHeight w:val="589" w:hRule="atLeast"/>
        </w:trPr>
        <w:tc>
          <w:tcPr>
            <w:tcW w:w="250" w:type="pc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p>
        </w:tc>
        <w:tc>
          <w:tcPr>
            <w:tcW w:w="491" w:type="pc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人员配备及技术水平</w:t>
            </w:r>
          </w:p>
        </w:tc>
        <w:tc>
          <w:tcPr>
            <w:tcW w:w="434" w:type="pc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9302" w:type="dxa"/>
            <w:tcBorders>
              <w:top w:val="single" w:color="auto" w:sz="6" w:space="0"/>
              <w:left w:val="single" w:color="auto" w:sz="6" w:space="0"/>
              <w:bottom w:val="single" w:color="auto" w:sz="6" w:space="0"/>
              <w:right w:val="single" w:color="auto" w:sz="6" w:space="0"/>
            </w:tcBorders>
            <w:noWrap w:val="0"/>
            <w:vAlign w:val="center"/>
          </w:tcPr>
          <w:p>
            <w:pPr>
              <w:pStyle w:val="22"/>
              <w:numPr>
                <w:ilvl w:val="0"/>
                <w:numId w:val="0"/>
              </w:numPr>
              <w:spacing w:after="0"/>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1、项目负责人（本项最多得6分）:</w:t>
            </w:r>
          </w:p>
          <w:p>
            <w:pPr>
              <w:pStyle w:val="22"/>
              <w:numPr>
                <w:ilvl w:val="0"/>
                <w:numId w:val="0"/>
              </w:numPr>
              <w:spacing w:after="0"/>
              <w:ind w:lef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（1）具有建筑类相关专业高级（或以上）技术职称的得2分，建筑类相关专业中级职称的得1分。</w:t>
            </w:r>
            <w:r>
              <w:rPr>
                <w:rFonts w:hint="eastAsia" w:ascii="宋体" w:hAnsi="宋体" w:eastAsia="宋体" w:cs="宋体"/>
                <w:i w:val="0"/>
                <w:iCs w:val="0"/>
                <w:caps w:val="0"/>
                <w:color w:val="auto"/>
                <w:spacing w:val="0"/>
                <w:sz w:val="24"/>
                <w:szCs w:val="24"/>
                <w:u w:val="none"/>
                <w:shd w:val="clear" w:fill="FFFFFF"/>
              </w:rPr>
              <w:t>本小项合计最高得</w:t>
            </w:r>
            <w:r>
              <w:rPr>
                <w:rFonts w:hint="eastAsia" w:ascii="宋体" w:hAnsi="宋体" w:eastAsia="宋体" w:cs="宋体"/>
                <w:i w:val="0"/>
                <w:iCs w:val="0"/>
                <w:caps w:val="0"/>
                <w:color w:val="auto"/>
                <w:spacing w:val="0"/>
                <w:sz w:val="24"/>
                <w:szCs w:val="24"/>
                <w:u w:val="none"/>
                <w:shd w:val="clear" w:fill="FFFFFF"/>
                <w:lang w:val="en-US" w:eastAsia="zh-CN"/>
              </w:rPr>
              <w:t>2</w:t>
            </w:r>
            <w:r>
              <w:rPr>
                <w:rFonts w:hint="eastAsia" w:ascii="宋体" w:hAnsi="宋体" w:eastAsia="宋体" w:cs="宋体"/>
                <w:i w:val="0"/>
                <w:iCs w:val="0"/>
                <w:caps w:val="0"/>
                <w:color w:val="auto"/>
                <w:spacing w:val="0"/>
                <w:sz w:val="24"/>
                <w:szCs w:val="24"/>
                <w:u w:val="none"/>
                <w:shd w:val="clear" w:fill="FFFFFF"/>
              </w:rPr>
              <w:t>分。</w:t>
            </w:r>
          </w:p>
          <w:p>
            <w:pPr>
              <w:pStyle w:val="22"/>
              <w:numPr>
                <w:ilvl w:val="0"/>
                <w:numId w:val="0"/>
              </w:numPr>
              <w:spacing w:after="0"/>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自</w:t>
            </w:r>
            <w:r>
              <w:rPr>
                <w:rFonts w:hint="eastAsia" w:ascii="宋体" w:hAnsi="宋体" w:cs="宋体"/>
                <w:kern w:val="1"/>
                <w:sz w:val="24"/>
                <w:szCs w:val="24"/>
                <w:highlight w:val="none"/>
                <w:lang w:val="zh-CN"/>
              </w:rPr>
              <w:t>2019年1月1日至</w:t>
            </w:r>
            <w:r>
              <w:rPr>
                <w:rFonts w:hint="eastAsia" w:ascii="宋体" w:hAnsi="宋体" w:cs="宋体"/>
                <w:sz w:val="24"/>
                <w:szCs w:val="24"/>
                <w:highlight w:val="none"/>
              </w:rPr>
              <w:t>投标截止时间止</w:t>
            </w:r>
            <w:r>
              <w:rPr>
                <w:rFonts w:hint="eastAsia" w:ascii="宋体" w:hAnsi="宋体" w:cs="宋体"/>
                <w:sz w:val="24"/>
                <w:szCs w:val="24"/>
                <w:highlight w:val="none"/>
                <w:lang w:eastAsia="zh-CN"/>
              </w:rPr>
              <w:t>，</w:t>
            </w:r>
            <w:r>
              <w:rPr>
                <w:rFonts w:hint="eastAsia" w:ascii="宋体" w:hAnsi="宋体" w:cs="宋体"/>
                <w:kern w:val="1"/>
                <w:sz w:val="24"/>
                <w:szCs w:val="24"/>
                <w:highlight w:val="none"/>
                <w:lang w:val="en-US" w:eastAsia="zh-CN"/>
              </w:rPr>
              <w:t>以</w:t>
            </w:r>
            <w:r>
              <w:rPr>
                <w:rFonts w:hint="eastAsia" w:ascii="宋体" w:hAnsi="宋体" w:cs="宋体"/>
                <w:kern w:val="1"/>
                <w:sz w:val="24"/>
                <w:szCs w:val="24"/>
                <w:highlight w:val="none"/>
                <w:lang w:val="zh-CN"/>
              </w:rPr>
              <w:t>项目负责人（或设计负责人）</w:t>
            </w:r>
            <w:r>
              <w:rPr>
                <w:rFonts w:hint="eastAsia" w:ascii="宋体" w:hAnsi="宋体" w:cs="宋体"/>
                <w:kern w:val="1"/>
                <w:sz w:val="24"/>
                <w:szCs w:val="24"/>
                <w:highlight w:val="none"/>
                <w:lang w:val="en-US" w:eastAsia="zh-CN"/>
              </w:rPr>
              <w:t>身份</w:t>
            </w:r>
            <w:r>
              <w:rPr>
                <w:rFonts w:hint="eastAsia" w:ascii="宋体" w:hAnsi="宋体" w:cs="宋体"/>
                <w:kern w:val="1"/>
                <w:sz w:val="24"/>
                <w:szCs w:val="24"/>
                <w:highlight w:val="none"/>
                <w:lang w:val="zh-CN"/>
              </w:rPr>
              <w:t>主持过总建筑面积≥</w:t>
            </w:r>
            <w:r>
              <w:rPr>
                <w:rFonts w:hint="eastAsia" w:ascii="宋体" w:hAnsi="宋体" w:cs="宋体"/>
                <w:kern w:val="1"/>
                <w:sz w:val="24"/>
                <w:szCs w:val="24"/>
                <w:highlight w:val="none"/>
                <w:lang w:val="en-US" w:eastAsia="zh-CN"/>
              </w:rPr>
              <w:t>1</w:t>
            </w:r>
            <w:r>
              <w:rPr>
                <w:rFonts w:hint="eastAsia" w:ascii="宋体" w:hAnsi="宋体" w:cs="宋体"/>
                <w:kern w:val="1"/>
                <w:sz w:val="24"/>
                <w:szCs w:val="24"/>
                <w:highlight w:val="none"/>
              </w:rPr>
              <w:t>0000</w:t>
            </w:r>
            <w:r>
              <w:rPr>
                <w:rFonts w:hint="eastAsia" w:ascii="宋体" w:hAnsi="宋体" w:cs="宋体"/>
                <w:kern w:val="1"/>
                <w:sz w:val="24"/>
                <w:szCs w:val="24"/>
                <w:highlight w:val="none"/>
                <w:lang w:val="zh-CN"/>
              </w:rPr>
              <w:t>平方米的房屋建筑工程设计业绩的得</w:t>
            </w:r>
            <w:r>
              <w:rPr>
                <w:rFonts w:hint="eastAsia" w:ascii="宋体" w:hAnsi="宋体" w:cs="宋体"/>
                <w:kern w:val="1"/>
                <w:sz w:val="24"/>
                <w:szCs w:val="24"/>
                <w:highlight w:val="none"/>
                <w:lang w:val="en-US" w:eastAsia="zh-CN"/>
              </w:rPr>
              <w:t>1</w:t>
            </w:r>
            <w:r>
              <w:rPr>
                <w:rFonts w:hint="eastAsia" w:ascii="宋体" w:hAnsi="宋体" w:cs="宋体"/>
                <w:kern w:val="1"/>
                <w:sz w:val="24"/>
                <w:szCs w:val="24"/>
                <w:highlight w:val="none"/>
                <w:lang w:val="zh-CN"/>
              </w:rPr>
              <w:t>分，本小项最高得</w:t>
            </w:r>
            <w:r>
              <w:rPr>
                <w:rFonts w:hint="eastAsia" w:ascii="宋体" w:hAnsi="宋体" w:cs="宋体"/>
                <w:kern w:val="1"/>
                <w:sz w:val="24"/>
                <w:szCs w:val="24"/>
                <w:highlight w:val="none"/>
                <w:lang w:val="en-US" w:eastAsia="zh-CN"/>
              </w:rPr>
              <w:t>1</w:t>
            </w:r>
            <w:r>
              <w:rPr>
                <w:rFonts w:hint="eastAsia" w:ascii="宋体" w:hAnsi="宋体" w:cs="宋体"/>
                <w:kern w:val="1"/>
                <w:sz w:val="24"/>
                <w:szCs w:val="24"/>
                <w:highlight w:val="none"/>
                <w:lang w:val="zh-CN"/>
              </w:rPr>
              <w:t>分</w:t>
            </w:r>
            <w:r>
              <w:rPr>
                <w:rFonts w:hint="eastAsia" w:ascii="宋体" w:hAnsi="宋体" w:eastAsia="宋体" w:cs="宋体"/>
                <w:i w:val="0"/>
                <w:iCs w:val="0"/>
                <w:caps w:val="0"/>
                <w:color w:val="auto"/>
                <w:spacing w:val="0"/>
                <w:sz w:val="24"/>
                <w:szCs w:val="24"/>
                <w:u w:val="none"/>
                <w:shd w:val="clear" w:fill="FFFFFF"/>
              </w:rPr>
              <w:t>。</w:t>
            </w:r>
          </w:p>
          <w:p>
            <w:pPr>
              <w:pStyle w:val="22"/>
              <w:numPr>
                <w:ilvl w:val="0"/>
                <w:numId w:val="0"/>
              </w:numPr>
              <w:spacing w:after="0"/>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i w:val="0"/>
                <w:iCs w:val="0"/>
                <w:caps w:val="0"/>
                <w:color w:val="auto"/>
                <w:spacing w:val="0"/>
                <w:sz w:val="24"/>
                <w:szCs w:val="24"/>
                <w:u w:val="none"/>
                <w:shd w:val="clear" w:fill="FFFFFF"/>
              </w:rPr>
              <w:t>自2020年1月1日</w:t>
            </w:r>
            <w:r>
              <w:rPr>
                <w:rFonts w:hint="eastAsia" w:ascii="宋体" w:hAnsi="宋体" w:eastAsia="宋体" w:cs="宋体"/>
                <w:color w:val="auto"/>
                <w:sz w:val="24"/>
                <w:szCs w:val="24"/>
                <w:lang w:val="en-US" w:eastAsia="zh-CN"/>
              </w:rPr>
              <w:t>至投标截止时间止</w:t>
            </w:r>
            <w:r>
              <w:rPr>
                <w:rFonts w:hint="eastAsia" w:ascii="宋体" w:hAnsi="宋体" w:eastAsia="宋体" w:cs="宋体"/>
                <w:i w:val="0"/>
                <w:iCs w:val="0"/>
                <w:caps w:val="0"/>
                <w:color w:val="auto"/>
                <w:spacing w:val="0"/>
                <w:sz w:val="24"/>
                <w:szCs w:val="24"/>
                <w:u w:val="none"/>
                <w:shd w:val="clear" w:fill="FFFFFF"/>
              </w:rPr>
              <w:t>，以项目负责人（或设计负责人）身份参与过的房屋建筑</w:t>
            </w:r>
            <w:r>
              <w:rPr>
                <w:rFonts w:hint="eastAsia" w:ascii="宋体" w:hAnsi="宋体" w:eastAsia="宋体" w:cs="宋体"/>
                <w:i w:val="0"/>
                <w:iCs w:val="0"/>
                <w:caps w:val="0"/>
                <w:color w:val="auto"/>
                <w:spacing w:val="0"/>
                <w:sz w:val="24"/>
                <w:szCs w:val="24"/>
                <w:u w:val="none"/>
                <w:shd w:val="clear" w:fill="FFFFFF"/>
                <w:lang w:val="en-US" w:eastAsia="zh-CN"/>
              </w:rPr>
              <w:t>类</w:t>
            </w:r>
            <w:r>
              <w:rPr>
                <w:rFonts w:hint="eastAsia" w:ascii="宋体" w:hAnsi="宋体" w:eastAsia="宋体" w:cs="宋体"/>
                <w:i w:val="0"/>
                <w:iCs w:val="0"/>
                <w:caps w:val="0"/>
                <w:color w:val="auto"/>
                <w:spacing w:val="0"/>
                <w:sz w:val="24"/>
                <w:szCs w:val="24"/>
                <w:u w:val="none"/>
                <w:shd w:val="clear" w:fill="FFFFFF"/>
              </w:rPr>
              <w:t>设计项目：获得过国家级奖项的，每项得</w:t>
            </w:r>
            <w:r>
              <w:rPr>
                <w:rFonts w:hint="eastAsia" w:ascii="宋体" w:hAnsi="宋体" w:eastAsia="宋体" w:cs="宋体"/>
                <w:i w:val="0"/>
                <w:iCs w:val="0"/>
                <w:caps w:val="0"/>
                <w:color w:val="auto"/>
                <w:spacing w:val="0"/>
                <w:sz w:val="24"/>
                <w:szCs w:val="24"/>
                <w:u w:val="none"/>
                <w:shd w:val="clear" w:fill="FFFFFF"/>
                <w:lang w:val="en-US" w:eastAsia="zh-CN"/>
              </w:rPr>
              <w:t>2</w:t>
            </w:r>
            <w:r>
              <w:rPr>
                <w:rFonts w:hint="eastAsia" w:ascii="宋体" w:hAnsi="宋体" w:eastAsia="宋体" w:cs="宋体"/>
                <w:i w:val="0"/>
                <w:iCs w:val="0"/>
                <w:caps w:val="0"/>
                <w:color w:val="auto"/>
                <w:spacing w:val="0"/>
                <w:sz w:val="24"/>
                <w:szCs w:val="24"/>
                <w:u w:val="none"/>
                <w:shd w:val="clear" w:fill="FFFFFF"/>
              </w:rPr>
              <w:t>分；获得省级奖项的，每项得</w:t>
            </w:r>
            <w:r>
              <w:rPr>
                <w:rFonts w:hint="eastAsia" w:ascii="宋体" w:hAnsi="宋体" w:eastAsia="宋体" w:cs="宋体"/>
                <w:i w:val="0"/>
                <w:iCs w:val="0"/>
                <w:caps w:val="0"/>
                <w:color w:val="auto"/>
                <w:spacing w:val="0"/>
                <w:sz w:val="24"/>
                <w:szCs w:val="24"/>
                <w:u w:val="none"/>
                <w:shd w:val="clear" w:fill="FFFFFF"/>
                <w:lang w:val="en-US" w:eastAsia="zh-CN"/>
              </w:rPr>
              <w:t>1</w:t>
            </w:r>
            <w:r>
              <w:rPr>
                <w:rFonts w:hint="eastAsia" w:ascii="宋体" w:hAnsi="宋体" w:eastAsia="宋体" w:cs="宋体"/>
                <w:i w:val="0"/>
                <w:iCs w:val="0"/>
                <w:caps w:val="0"/>
                <w:color w:val="auto"/>
                <w:spacing w:val="0"/>
                <w:sz w:val="24"/>
                <w:szCs w:val="24"/>
                <w:u w:val="none"/>
                <w:shd w:val="clear" w:fill="FFFFFF"/>
              </w:rPr>
              <w:t>分；获得市级（含副省级）奖项的，每项得</w:t>
            </w:r>
            <w:r>
              <w:rPr>
                <w:rFonts w:hint="eastAsia" w:ascii="宋体" w:hAnsi="宋体" w:eastAsia="宋体" w:cs="宋体"/>
                <w:i w:val="0"/>
                <w:iCs w:val="0"/>
                <w:caps w:val="0"/>
                <w:color w:val="auto"/>
                <w:spacing w:val="0"/>
                <w:sz w:val="24"/>
                <w:szCs w:val="24"/>
                <w:u w:val="none"/>
                <w:shd w:val="clear" w:fill="FFFFFF"/>
                <w:lang w:val="en-US" w:eastAsia="zh-CN"/>
              </w:rPr>
              <w:t>0.5</w:t>
            </w:r>
            <w:r>
              <w:rPr>
                <w:rFonts w:hint="eastAsia" w:ascii="宋体" w:hAnsi="宋体" w:eastAsia="宋体" w:cs="宋体"/>
                <w:i w:val="0"/>
                <w:iCs w:val="0"/>
                <w:caps w:val="0"/>
                <w:color w:val="auto"/>
                <w:spacing w:val="0"/>
                <w:sz w:val="24"/>
                <w:szCs w:val="24"/>
                <w:u w:val="none"/>
                <w:shd w:val="clear" w:fill="FFFFFF"/>
              </w:rPr>
              <w:t>分；其他情况不得分。本小项合计最高得</w:t>
            </w:r>
            <w:r>
              <w:rPr>
                <w:rFonts w:hint="eastAsia" w:ascii="宋体" w:hAnsi="宋体" w:eastAsia="宋体" w:cs="宋体"/>
                <w:i w:val="0"/>
                <w:iCs w:val="0"/>
                <w:caps w:val="0"/>
                <w:color w:val="auto"/>
                <w:spacing w:val="0"/>
                <w:sz w:val="24"/>
                <w:szCs w:val="24"/>
                <w:u w:val="none"/>
                <w:shd w:val="clear" w:fill="FFFFFF"/>
                <w:lang w:val="en-US" w:eastAsia="zh-CN"/>
              </w:rPr>
              <w:t>3</w:t>
            </w:r>
            <w:r>
              <w:rPr>
                <w:rFonts w:hint="eastAsia" w:ascii="宋体" w:hAnsi="宋体" w:eastAsia="宋体" w:cs="宋体"/>
                <w:i w:val="0"/>
                <w:iCs w:val="0"/>
                <w:caps w:val="0"/>
                <w:color w:val="auto"/>
                <w:spacing w:val="0"/>
                <w:sz w:val="24"/>
                <w:szCs w:val="24"/>
                <w:u w:val="none"/>
                <w:shd w:val="clear" w:fill="FFFFFF"/>
              </w:rPr>
              <w:t>分。</w:t>
            </w:r>
          </w:p>
          <w:p>
            <w:pPr>
              <w:pStyle w:val="22"/>
              <w:numPr>
                <w:ilvl w:val="0"/>
                <w:numId w:val="0"/>
              </w:numPr>
              <w:spacing w:after="0"/>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注：（1）需提供职称证书扫描件及2024年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月在投标单位缴纳社保的证明材料（人员仅指投标人自身人员（含不具有独立法人资格的分公司人员），不含子母公司人员。未按要求提供完整相关资料的人员，该人员不作为评分依据)扫描件并加盖投标人企业电子印章。未提供有效社保证明或退休返聘人员无法提供社保不得分，证明资料不提供或提供不齐全或不符合要求不得分。职称专业以职称证书上注明的专业为准，不同专业职称证书只计算一次且按最高级别的职称进行计分，职称证书以县级（或以上）人社部门核发为准，若不是人社部门核发的职称证书，投标人应同时提供县级（或以上）人社部门委托核发机构开展职称评审工作的证明文件或其他可由该机构核发的政策文件依据，或在人社部门专业技术人才职称管理系统登记的信息记录网页及截图，否则，对该职称证书不予认可。</w:t>
            </w:r>
          </w:p>
          <w:p>
            <w:pPr>
              <w:pStyle w:val="22"/>
              <w:numPr>
                <w:ilvl w:val="0"/>
                <w:numId w:val="0"/>
              </w:numPr>
              <w:spacing w:after="0"/>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项目负责人业绩需提供合同关键页、初步设计批复（或初步设计复函、或工程规划许可证、或施工图审查合格证明文件、或全国（或各省）建筑市场监管公共服务平台中施工图审查信息的截图、或经该项目业主盖章确认的设计履行的证明）作为业绩证明文件。①业绩时间：以初步设计批复（或初步设计复函、或工程规划许可证、或施工图审查合格证明文件、或全国（或各省）建筑市场监管公共服务平台中施工图审查信息的截图、或经该项目业主盖章确认的设计履行的证明）载明时间为准。</w:t>
            </w:r>
          </w:p>
          <w:p>
            <w:pPr>
              <w:pStyle w:val="22"/>
              <w:numPr>
                <w:ilvl w:val="0"/>
                <w:numId w:val="0"/>
              </w:numPr>
              <w:spacing w:after="0"/>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项目负责人的名字及任职：以合同（或初步设计批复、或初步设计复函、或施工图审查合格证明文件、或全国（或各省）建筑市场监管公共服务平台的截图）作为证明材料，如均不能证明，可提供经该项目业主盖章确认的其他证明文件。</w:t>
            </w:r>
          </w:p>
          <w:p>
            <w:pPr>
              <w:pStyle w:val="22"/>
              <w:numPr>
                <w:ilvl w:val="0"/>
                <w:numId w:val="0"/>
              </w:numPr>
              <w:spacing w:after="0"/>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lang w:val="en-US" w:eastAsia="zh-CN"/>
              </w:rPr>
              <w:t>③总建筑面积：以合同内容（或初步设计批复、或初步设计复函、或工程规划许可证、或施工图审查合格证明文件、或全国（或各省）建筑市场监管公共服务平台的截图）作为证明材料，如均不能证明，可提供经该项目业主盖章确认的可证明业绩总建筑面积的其他证明文件。不符合上述条件或未提供上述资料的不得分。</w:t>
            </w:r>
            <w:r>
              <w:rPr>
                <w:rFonts w:hint="eastAsia" w:ascii="宋体" w:hAnsi="宋体" w:eastAsia="宋体" w:cs="宋体"/>
                <w:color w:val="auto"/>
                <w:sz w:val="24"/>
                <w:szCs w:val="24"/>
                <w:highlight w:val="none"/>
                <w:lang w:val="en-US" w:eastAsia="zh-CN" w:bidi="ar-SA"/>
              </w:rPr>
              <w:t>。</w:t>
            </w:r>
          </w:p>
          <w:p>
            <w:pPr>
              <w:pStyle w:val="22"/>
              <w:numPr>
                <w:ilvl w:val="0"/>
                <w:numId w:val="0"/>
              </w:numPr>
              <w:spacing w:after="0"/>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lang w:val="en-US" w:eastAsia="zh-CN"/>
              </w:rPr>
              <w:t>项目负责人</w:t>
            </w:r>
            <w:r>
              <w:rPr>
                <w:rFonts w:hint="eastAsia" w:ascii="宋体" w:hAnsi="宋体" w:eastAsia="宋体" w:cs="宋体"/>
                <w:color w:val="auto"/>
                <w:sz w:val="24"/>
                <w:szCs w:val="24"/>
                <w:highlight w:val="none"/>
                <w:lang w:val="en-US" w:eastAsia="zh-CN" w:bidi="ar-SA"/>
              </w:rPr>
              <w:t>设计奖项：①国家级设计奖项是指由住建部颁发的全国优秀工程勘察设计奖、中国勘察设计协会颁发的全国优秀工程勘察设计行业奖或行业优秀勘察设计奖、国务院颁发的国家科学技术奖、住建部的华夏建设科学技术奖励委员会颁发的华夏建设科学技术奖。省级奖项指由省级建设行政主管部门、省级工程勘察设计行业协会颁发的省级优秀勘察设计奖、省级人民政府颁发的省科学技术奖；市级（含副省级）奖项指由市级（含副省级）建设行政主管部门或市级（含副省级）工程勘察设计行业协会颁发的“优秀工程勘察设计奖”、市级（含副省级）人民政府颁发的科学技术奖。若颁发机构为行业协会，还需要提供组织在中国社会组织政务服务平台（网址：https://chinanpo.mca.gov.cn/）“全国社会组织信用信息公示平台”栏查询结果截图并加盖投标人电子印章，证明其登记备案。</w:t>
            </w:r>
          </w:p>
          <w:p>
            <w:pPr>
              <w:pStyle w:val="22"/>
              <w:numPr>
                <w:ilvl w:val="0"/>
                <w:numId w:val="0"/>
              </w:numPr>
              <w:spacing w:after="0"/>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②对同一工程项目按最高奖项计取，不重复计取；时间以获奖证书上的颁发日期为准。</w:t>
            </w:r>
          </w:p>
          <w:p>
            <w:pPr>
              <w:pStyle w:val="22"/>
              <w:numPr>
                <w:ilvl w:val="0"/>
                <w:numId w:val="0"/>
              </w:numPr>
              <w:spacing w:after="0"/>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获奖业绩需提供项目获奖证书和合同关键页原件清晰扫描件，如果合同或获奖证书不能证明项目负责人的名字，必须另行提供有效证明文件证明。上述证明材料均需加盖投标人电子印章，不符合条件或未按要求提供相关证明文件或无加盖投标人电子印章的不得分。</w:t>
            </w:r>
          </w:p>
          <w:p>
            <w:pPr>
              <w:pStyle w:val="22"/>
              <w:numPr>
                <w:ilvl w:val="0"/>
                <w:numId w:val="0"/>
              </w:numPr>
              <w:spacing w:after="0"/>
              <w:ind w:leftChars="0"/>
              <w:rPr>
                <w:rFonts w:hint="eastAsia" w:ascii="宋体" w:hAnsi="宋体" w:eastAsia="宋体" w:cs="宋体"/>
                <w:color w:val="auto"/>
                <w:kern w:val="0"/>
                <w:sz w:val="24"/>
                <w:szCs w:val="24"/>
                <w:lang w:eastAsia="zh-CN"/>
              </w:rPr>
            </w:pPr>
            <w:r>
              <w:rPr>
                <w:rFonts w:hint="eastAsia" w:ascii="宋体" w:hAnsi="宋体" w:eastAsia="宋体" w:cs="宋体"/>
                <w:b/>
                <w:bCs/>
                <w:color w:val="auto"/>
                <w:sz w:val="24"/>
                <w:szCs w:val="24"/>
                <w:lang w:val="en-US" w:eastAsia="zh-CN"/>
              </w:rPr>
              <w:t>2、投标人拟投入本项目的技术人员（项目负责人除外）情况：</w:t>
            </w:r>
            <w:r>
              <w:rPr>
                <w:rFonts w:hint="eastAsia" w:ascii="宋体" w:hAnsi="宋体" w:eastAsia="宋体" w:cs="宋体"/>
                <w:b/>
                <w:bCs/>
                <w:color w:val="auto"/>
                <w:kern w:val="0"/>
                <w:sz w:val="24"/>
                <w:szCs w:val="24"/>
                <w:lang w:val="en-US" w:eastAsia="zh-CN"/>
              </w:rPr>
              <w:t>（本项最多得4分）:</w:t>
            </w:r>
          </w:p>
          <w:p>
            <w:pPr>
              <w:pStyle w:val="22"/>
              <w:numPr>
                <w:ilvl w:val="0"/>
                <w:numId w:val="0"/>
              </w:numPr>
              <w:spacing w:after="0"/>
              <w:ind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各专业</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lang w:eastAsia="zh-CN"/>
              </w:rPr>
              <w:t>负责人（给排水、电气、暖通、室内装修）；每有1名具有</w:t>
            </w:r>
            <w:r>
              <w:rPr>
                <w:rFonts w:hint="eastAsia" w:ascii="宋体" w:hAnsi="宋体" w:eastAsia="宋体" w:cs="宋体"/>
                <w:color w:val="auto"/>
                <w:sz w:val="24"/>
                <w:szCs w:val="24"/>
                <w:highlight w:val="none"/>
                <w:lang w:val="en-US" w:eastAsia="zh-CN"/>
              </w:rPr>
              <w:t>建筑类相关专业高级（或以上）技术职称的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分；每有1名具有</w:t>
            </w:r>
            <w:r>
              <w:rPr>
                <w:rFonts w:hint="eastAsia" w:ascii="宋体" w:hAnsi="宋体" w:eastAsia="宋体" w:cs="宋体"/>
                <w:color w:val="auto"/>
                <w:sz w:val="24"/>
                <w:szCs w:val="24"/>
                <w:highlight w:val="none"/>
                <w:lang w:val="en-US" w:eastAsia="zh-CN"/>
              </w:rPr>
              <w:t>建筑类相关专业中级技术职称</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eastAsia="zh-CN"/>
              </w:rPr>
              <w:t>分。</w:t>
            </w:r>
          </w:p>
          <w:p>
            <w:pPr>
              <w:pStyle w:val="22"/>
              <w:numPr>
                <w:ilvl w:val="0"/>
                <w:numId w:val="0"/>
              </w:numPr>
              <w:spacing w:after="0"/>
              <w:ind w:leftChars="0"/>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注：需提供上述人员的职称证书扫描件及2024年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月在投标单位缴纳社保的证明材料（人员仅指投标人自身人员（含不具有独立法人资格的分公司人员），不含子母公司人员。未按要求提供完整相关资料的人员，该人员不作为评分依据)扫描件并加盖投标人企业电子印章。未提供有效社保证明或退休返聘人员无法提供社保不得分，证明资料不提供或提供不齐全或不符合要求不得分。</w:t>
            </w:r>
            <w:r>
              <w:rPr>
                <w:rFonts w:hint="eastAsia" w:ascii="宋体" w:hAnsi="宋体" w:eastAsia="宋体" w:cs="宋体"/>
                <w:color w:val="auto"/>
                <w:sz w:val="24"/>
                <w:szCs w:val="24"/>
                <w:highlight w:val="none"/>
                <w:lang w:eastAsia="zh-CN"/>
              </w:rPr>
              <w:t>各专业设计负责人不可兼任，每专业仅计算一人得分，一个专业配置多人仅计算第一人得分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职称专业以职称证书上注明的专业为准，不同专业职称证书只计算一次且按最高级别的职称进行计分，职称证书以县级（或以上）人社部门核发为准，若不是人社部门核发的职称证书，投标人应同时提供县级（或以上）人社部门委托核发机构开展职称评审工作的证明文件或其他可由该机构核发的政策文件依据，或在人社部门专业技术人才职称管理系统登记的信息记录网页及截图，否则，对该职称证书不予认可。</w:t>
            </w:r>
          </w:p>
        </w:tc>
        <w:tc>
          <w:tcPr>
            <w:tcW w:w="3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460" w:hRule="atLeast"/>
        </w:trPr>
        <w:tc>
          <w:tcPr>
            <w:tcW w:w="250" w:type="pc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p>
        </w:tc>
        <w:tc>
          <w:tcPr>
            <w:tcW w:w="491" w:type="pc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w:t>
            </w:r>
          </w:p>
          <w:p>
            <w:pPr>
              <w:autoSpaceDE w:val="0"/>
              <w:autoSpaceDN w:val="0"/>
              <w:adjustRightIn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设计获奖</w:t>
            </w:r>
          </w:p>
        </w:tc>
        <w:tc>
          <w:tcPr>
            <w:tcW w:w="434" w:type="pc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9302"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自202</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rPr>
              <w:t>年1月1日至投标截止时间止</w:t>
            </w:r>
            <w:r>
              <w:rPr>
                <w:rFonts w:hint="eastAsia" w:ascii="宋体" w:hAnsi="宋体" w:eastAsia="宋体" w:cs="宋体"/>
                <w:color w:val="auto"/>
                <w:kern w:val="0"/>
                <w:sz w:val="24"/>
                <w:szCs w:val="24"/>
                <w:lang w:val="en-US" w:eastAsia="zh-CN"/>
              </w:rPr>
              <w:t>承接过的</w:t>
            </w:r>
            <w:r>
              <w:rPr>
                <w:rFonts w:hint="eastAsia" w:ascii="宋体" w:hAnsi="宋体" w:eastAsia="宋体" w:cs="宋体"/>
                <w:i w:val="0"/>
                <w:iCs w:val="0"/>
                <w:caps w:val="0"/>
                <w:color w:val="auto"/>
                <w:spacing w:val="0"/>
                <w:sz w:val="24"/>
                <w:szCs w:val="24"/>
                <w:u w:val="none"/>
                <w:shd w:val="clear" w:fill="FFFFFF"/>
              </w:rPr>
              <w:t>房屋建筑</w:t>
            </w:r>
            <w:r>
              <w:rPr>
                <w:rFonts w:hint="eastAsia" w:ascii="宋体" w:hAnsi="宋体" w:cs="宋体"/>
                <w:kern w:val="1"/>
                <w:sz w:val="24"/>
                <w:szCs w:val="24"/>
                <w:highlight w:val="none"/>
                <w:lang w:val="zh-CN"/>
              </w:rPr>
              <w:t>工程</w:t>
            </w:r>
            <w:r>
              <w:rPr>
                <w:rFonts w:hint="eastAsia" w:ascii="宋体" w:hAnsi="宋体" w:eastAsia="宋体" w:cs="宋体"/>
                <w:i w:val="0"/>
                <w:iCs w:val="0"/>
                <w:caps w:val="0"/>
                <w:color w:val="auto"/>
                <w:spacing w:val="0"/>
                <w:sz w:val="24"/>
                <w:szCs w:val="24"/>
                <w:u w:val="none"/>
                <w:shd w:val="clear" w:fill="FFFFFF"/>
              </w:rPr>
              <w:t>设计业绩获奖情况：获得过国家级奖项的，每项得</w:t>
            </w:r>
            <w:r>
              <w:rPr>
                <w:rFonts w:hint="eastAsia" w:ascii="宋体" w:hAnsi="宋体" w:cs="宋体"/>
                <w:i w:val="0"/>
                <w:iCs w:val="0"/>
                <w:caps w:val="0"/>
                <w:color w:val="auto"/>
                <w:spacing w:val="0"/>
                <w:sz w:val="24"/>
                <w:szCs w:val="24"/>
                <w:u w:val="none"/>
                <w:shd w:val="clear" w:fill="FFFFFF"/>
                <w:lang w:val="en-US" w:eastAsia="zh-CN"/>
              </w:rPr>
              <w:t>2</w:t>
            </w:r>
            <w:r>
              <w:rPr>
                <w:rFonts w:hint="eastAsia" w:ascii="宋体" w:hAnsi="宋体" w:eastAsia="宋体" w:cs="宋体"/>
                <w:i w:val="0"/>
                <w:iCs w:val="0"/>
                <w:caps w:val="0"/>
                <w:color w:val="auto"/>
                <w:spacing w:val="0"/>
                <w:sz w:val="24"/>
                <w:szCs w:val="24"/>
                <w:u w:val="none"/>
                <w:shd w:val="clear" w:fill="FFFFFF"/>
              </w:rPr>
              <w:t>分；获得省级奖项的，每项得</w:t>
            </w:r>
            <w:r>
              <w:rPr>
                <w:rFonts w:hint="eastAsia" w:ascii="宋体" w:hAnsi="宋体" w:cs="宋体"/>
                <w:i w:val="0"/>
                <w:iCs w:val="0"/>
                <w:caps w:val="0"/>
                <w:color w:val="auto"/>
                <w:spacing w:val="0"/>
                <w:sz w:val="24"/>
                <w:szCs w:val="24"/>
                <w:u w:val="none"/>
                <w:shd w:val="clear" w:fill="FFFFFF"/>
                <w:lang w:val="en-US" w:eastAsia="zh-CN"/>
              </w:rPr>
              <w:t>1</w:t>
            </w:r>
            <w:r>
              <w:rPr>
                <w:rFonts w:hint="eastAsia" w:ascii="宋体" w:hAnsi="宋体" w:eastAsia="宋体" w:cs="宋体"/>
                <w:i w:val="0"/>
                <w:iCs w:val="0"/>
                <w:caps w:val="0"/>
                <w:color w:val="auto"/>
                <w:spacing w:val="0"/>
                <w:sz w:val="24"/>
                <w:szCs w:val="24"/>
                <w:u w:val="none"/>
                <w:shd w:val="clear" w:fill="FFFFFF"/>
              </w:rPr>
              <w:t>分；获得市级（含副省级）奖项的，每项得</w:t>
            </w:r>
            <w:r>
              <w:rPr>
                <w:rFonts w:hint="eastAsia" w:ascii="宋体" w:hAnsi="宋体" w:cs="宋体"/>
                <w:i w:val="0"/>
                <w:iCs w:val="0"/>
                <w:caps w:val="0"/>
                <w:color w:val="auto"/>
                <w:spacing w:val="0"/>
                <w:sz w:val="24"/>
                <w:szCs w:val="24"/>
                <w:u w:val="none"/>
                <w:shd w:val="clear" w:fill="FFFFFF"/>
                <w:lang w:val="en-US" w:eastAsia="zh-CN"/>
              </w:rPr>
              <w:t>0.5</w:t>
            </w:r>
            <w:r>
              <w:rPr>
                <w:rFonts w:hint="eastAsia" w:ascii="宋体" w:hAnsi="宋体" w:eastAsia="宋体" w:cs="宋体"/>
                <w:i w:val="0"/>
                <w:iCs w:val="0"/>
                <w:caps w:val="0"/>
                <w:color w:val="auto"/>
                <w:spacing w:val="0"/>
                <w:sz w:val="24"/>
                <w:szCs w:val="24"/>
                <w:u w:val="none"/>
                <w:shd w:val="clear" w:fill="FFFFFF"/>
              </w:rPr>
              <w:t>分；其他情况不得分。本小项合计最高得</w:t>
            </w:r>
            <w:r>
              <w:rPr>
                <w:rFonts w:hint="eastAsia" w:ascii="宋体" w:hAnsi="宋体" w:eastAsia="宋体" w:cs="宋体"/>
                <w:i w:val="0"/>
                <w:iCs w:val="0"/>
                <w:caps w:val="0"/>
                <w:color w:val="auto"/>
                <w:spacing w:val="0"/>
                <w:sz w:val="24"/>
                <w:szCs w:val="24"/>
                <w:u w:val="none"/>
                <w:shd w:val="clear" w:fill="FFFFFF"/>
                <w:lang w:val="en-US" w:eastAsia="zh-CN"/>
              </w:rPr>
              <w:t>5</w:t>
            </w:r>
            <w:r>
              <w:rPr>
                <w:rFonts w:hint="eastAsia" w:ascii="宋体" w:hAnsi="宋体" w:eastAsia="宋体" w:cs="宋体"/>
                <w:i w:val="0"/>
                <w:iCs w:val="0"/>
                <w:caps w:val="0"/>
                <w:color w:val="auto"/>
                <w:spacing w:val="0"/>
                <w:sz w:val="24"/>
                <w:szCs w:val="24"/>
                <w:u w:val="none"/>
                <w:shd w:val="clear" w:fill="FFFFFF"/>
              </w:rPr>
              <w:t>分。</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设计奖项：①国家级设计奖项是指由住建部颁发的全国优秀工程勘察设计奖、中国勘察设计协会颁发的全国优秀工程勘察设计行业奖或行业优秀勘察设计奖、国务院颁发的国家科学技术奖、住建部的华夏建设科学技术奖励委员会颁发的华夏建设科学技术奖。省级奖项指由省级建设行政主管部门、省级工程勘察设计行业协会颁发的省级优秀勘察设计奖、省级人民政府颁发的省科学技术奖；市级（含副省级）奖项指由市级（含副省级）建设行政主管部门或市级（含副省级）工程勘察设计行业协会颁发的“优秀工程勘察设计奖”、市级（含副省级）人民政府颁发的科学技术奖。若颁发机构为行业协会，还需要提供组织在中国社会组织政务服务平台（网址：https://chinanpo.mca.gov.cn/）“全国社会组织信用信息公示平台”栏查询结果截图并加盖投标人电子印章，证明其登记备案。</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②对同一工程项目按最高奖项计取，不重复计取；时间以获奖证书上的颁发日期为准。</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③获奖业绩需提供项目获奖证书清晰扫描件并加盖投标人电子印章，不符合条件或未按要求提供相关证明文件或无加盖投标人电子印章的不得分。</w:t>
            </w:r>
          </w:p>
        </w:tc>
        <w:tc>
          <w:tcPr>
            <w:tcW w:w="3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450" w:hRule="atLeast"/>
        </w:trPr>
        <w:tc>
          <w:tcPr>
            <w:tcW w:w="741" w:type="pct"/>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4"/>
                <w:szCs w:val="24"/>
              </w:rPr>
            </w:pPr>
            <w:r>
              <w:rPr>
                <w:rFonts w:hint="eastAsia" w:ascii="宋体" w:hAnsi="宋体" w:eastAsia="宋体" w:cs="宋体"/>
                <w:color w:val="auto"/>
                <w:sz w:val="24"/>
                <w:szCs w:val="24"/>
                <w:lang w:val="zh-CN"/>
              </w:rPr>
              <w:t>总计</w:t>
            </w:r>
          </w:p>
        </w:tc>
        <w:tc>
          <w:tcPr>
            <w:tcW w:w="434"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3462"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宋体" w:hAnsi="宋体" w:eastAsia="宋体" w:cs="宋体"/>
                <w:color w:val="auto"/>
                <w:sz w:val="24"/>
                <w:szCs w:val="24"/>
              </w:rPr>
            </w:pPr>
          </w:p>
        </w:tc>
        <w:tc>
          <w:tcPr>
            <w:tcW w:w="3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宋体"/>
                <w:color w:val="auto"/>
                <w:sz w:val="24"/>
                <w:szCs w:val="24"/>
              </w:rPr>
            </w:pPr>
          </w:p>
        </w:tc>
      </w:tr>
    </w:tbl>
    <w:p>
      <w:pPr>
        <w:pStyle w:val="19"/>
        <w:widowControl w:val="0"/>
        <w:spacing w:before="240" w:beforeAutospacing="0" w:after="60" w:afterAutospacing="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pStyle w:val="2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附件</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lang w:eastAsia="zh-CN"/>
        </w:rPr>
        <w:t>：技术文件综合评分表</w:t>
      </w:r>
    </w:p>
    <w:p>
      <w:pPr>
        <w:pStyle w:val="19"/>
        <w:widowControl w:val="0"/>
        <w:spacing w:before="0" w:beforeAutospacing="0" w:after="0" w:afterAutospacing="0"/>
        <w:rPr>
          <w:rFonts w:hint="eastAsia" w:ascii="宋体" w:hAnsi="宋体" w:eastAsia="宋体" w:cs="宋体"/>
          <w:color w:val="auto"/>
          <w:highlight w:val="none"/>
          <w:lang w:val="zh-CN"/>
        </w:rPr>
      </w:pP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469"/>
        <w:gridCol w:w="916"/>
        <w:gridCol w:w="1765"/>
        <w:gridCol w:w="7462"/>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21" w:type="pct"/>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47"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评审内容</w:t>
            </w:r>
          </w:p>
        </w:tc>
        <w:tc>
          <w:tcPr>
            <w:tcW w:w="341" w:type="pct"/>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3435"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c>
          <w:tcPr>
            <w:tcW w:w="354" w:type="pct"/>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1" w:type="pct"/>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47"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E w:val="0"/>
              <w:autoSpaceDN w:val="0"/>
              <w:bidi w:val="0"/>
              <w:adjustRightInd w:val="0"/>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投标方案完整</w:t>
            </w:r>
            <w:r>
              <w:rPr>
                <w:rFonts w:hint="eastAsia" w:ascii="宋体" w:hAnsi="宋体" w:eastAsia="宋体" w:cs="宋体"/>
                <w:color w:val="auto"/>
                <w:sz w:val="24"/>
                <w:szCs w:val="24"/>
                <w:lang w:val="zh-CN"/>
              </w:rPr>
              <w:t>性</w:t>
            </w:r>
          </w:p>
        </w:tc>
        <w:tc>
          <w:tcPr>
            <w:tcW w:w="341" w:type="pct"/>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autoSpaceDE w:val="0"/>
              <w:autoSpaceDN w:val="0"/>
              <w:bidi w:val="0"/>
              <w:adjustRightInd w:val="0"/>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3435"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bidi w:val="0"/>
              <w:adjustRightInd w:val="0"/>
              <w:snapToGrid/>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设计内容完整，符合设计任务书要求，全面把握病房提升改造关键环节，功能布局合理，室内装饰色彩搭配合理，重点难点解决。</w:t>
            </w:r>
          </w:p>
          <w:p>
            <w:pPr>
              <w:keepNext w:val="0"/>
              <w:keepLines w:val="0"/>
              <w:pageBreakBefore w:val="0"/>
              <w:kinsoku/>
              <w:wordWrap/>
              <w:overflowPunct/>
              <w:bidi w:val="0"/>
              <w:snapToGri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cs="Calibri"/>
                <w:b/>
                <w:bCs/>
                <w:szCs w:val="21"/>
                <w:lang w:val="en-US" w:eastAsia="zh-CN"/>
              </w:rPr>
              <w:t>评分标准：优秀得4-5分，良好得2-3分，差得0-1分。</w:t>
            </w:r>
          </w:p>
        </w:tc>
        <w:tc>
          <w:tcPr>
            <w:tcW w:w="354" w:type="pct"/>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21" w:type="pct"/>
            <w:vMerge w:val="restart"/>
            <w:tcBorders>
              <w:top w:val="single" w:color="auto" w:sz="4" w:space="0"/>
              <w:left w:val="single" w:color="auto" w:sz="4" w:space="0"/>
              <w:right w:val="single" w:color="auto" w:sz="8"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47" w:type="pct"/>
            <w:vMerge w:val="restart"/>
            <w:tcBorders>
              <w:top w:val="single" w:color="auto" w:sz="4" w:space="0"/>
              <w:left w:val="nil"/>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设计方案</w:t>
            </w:r>
          </w:p>
        </w:tc>
        <w:tc>
          <w:tcPr>
            <w:tcW w:w="341" w:type="pct"/>
            <w:vMerge w:val="restart"/>
            <w:tcBorders>
              <w:top w:val="single" w:color="auto" w:sz="4" w:space="0"/>
              <w:left w:val="single" w:color="auto" w:sz="8" w:space="0"/>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分</w:t>
            </w:r>
          </w:p>
        </w:tc>
        <w:tc>
          <w:tcPr>
            <w:tcW w:w="65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bidi w:val="0"/>
              <w:snapToGrid/>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设计理念</w:t>
            </w:r>
          </w:p>
          <w:p>
            <w:pPr>
              <w:keepNext w:val="0"/>
              <w:keepLines w:val="0"/>
              <w:pageBreakBefore w:val="0"/>
              <w:widowControl/>
              <w:kinsoku/>
              <w:wordWrap/>
              <w:overflowPunct/>
              <w:bidi w:val="0"/>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2778"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bidi w:val="0"/>
              <w:snapToGrid/>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设计理念新颖，注重高端病房用户需求，融入中医药文化。</w:t>
            </w:r>
          </w:p>
          <w:p>
            <w:pPr>
              <w:pStyle w:val="22"/>
              <w:keepNext w:val="0"/>
              <w:keepLines w:val="0"/>
              <w:pageBreakBefore w:val="0"/>
              <w:kinsoku/>
              <w:wordWrap/>
              <w:overflowPunct/>
              <w:bidi w:val="0"/>
              <w:snapToGrid/>
              <w:spacing w:after="0"/>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评分标准：</w:t>
            </w:r>
            <w:r>
              <w:rPr>
                <w:rFonts w:hint="eastAsia" w:ascii="宋体" w:hAnsi="宋体" w:cs="Calibri"/>
                <w:b/>
                <w:bCs/>
                <w:szCs w:val="21"/>
                <w:lang w:val="en-US" w:eastAsia="zh-CN"/>
              </w:rPr>
              <w:t>优秀得4-5分，良好得2-3分，差得0-1分。</w:t>
            </w:r>
          </w:p>
        </w:tc>
        <w:tc>
          <w:tcPr>
            <w:tcW w:w="354" w:type="pct"/>
            <w:tcBorders>
              <w:top w:val="single" w:color="auto" w:sz="4" w:space="0"/>
              <w:left w:val="nil"/>
              <w:right w:val="single" w:color="auto" w:sz="4" w:space="0"/>
            </w:tcBorders>
            <w:noWrap w:val="0"/>
            <w:vAlign w:val="top"/>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321" w:type="pct"/>
            <w:vMerge w:val="continue"/>
            <w:tcBorders>
              <w:left w:val="single" w:color="auto" w:sz="4" w:space="0"/>
              <w:right w:val="single" w:color="auto" w:sz="8"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547" w:type="pct"/>
            <w:vMerge w:val="continue"/>
            <w:tcBorders>
              <w:left w:val="nil"/>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341" w:type="pct"/>
            <w:vMerge w:val="continue"/>
            <w:tcBorders>
              <w:left w:val="single" w:color="auto" w:sz="8" w:space="0"/>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657" w:type="pct"/>
            <w:tcBorders>
              <w:top w:val="single" w:color="auto" w:sz="4" w:space="0"/>
              <w:left w:val="nil"/>
              <w:bottom w:val="single" w:color="auto" w:sz="4" w:space="0"/>
              <w:right w:val="single" w:color="auto" w:sz="4" w:space="0"/>
            </w:tcBorders>
            <w:noWrap w:val="0"/>
            <w:vAlign w:val="center"/>
          </w:tcPr>
          <w:p>
            <w:pPr>
              <w:pStyle w:val="8"/>
              <w:keepNext w:val="0"/>
              <w:keepLines w:val="0"/>
              <w:pageBreakBefore w:val="0"/>
              <w:kinsoku/>
              <w:wordWrap/>
              <w:overflowPunct/>
              <w:bidi w:val="0"/>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概念性方案</w:t>
            </w:r>
          </w:p>
          <w:p>
            <w:pPr>
              <w:pStyle w:val="8"/>
              <w:keepNext w:val="0"/>
              <w:keepLines w:val="0"/>
              <w:pageBreakBefore w:val="0"/>
              <w:kinsoku/>
              <w:wordWrap/>
              <w:overflowPunct/>
              <w:bidi w:val="0"/>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c>
          <w:tcPr>
            <w:tcW w:w="2778" w:type="pct"/>
            <w:tcBorders>
              <w:top w:val="single" w:color="auto" w:sz="4" w:space="0"/>
              <w:left w:val="nil"/>
              <w:bottom w:val="single" w:color="auto" w:sz="4" w:space="0"/>
              <w:right w:val="single" w:color="auto" w:sz="4" w:space="0"/>
            </w:tcBorders>
            <w:noWrap w:val="0"/>
            <w:vAlign w:val="center"/>
          </w:tcPr>
          <w:p>
            <w:pPr>
              <w:pStyle w:val="22"/>
              <w:keepNext w:val="0"/>
              <w:keepLines w:val="0"/>
              <w:pageBreakBefore w:val="0"/>
              <w:kinsoku/>
              <w:wordWrap/>
              <w:overflowPunct/>
              <w:bidi w:val="0"/>
              <w:snapToGrid/>
              <w:spacing w:after="0"/>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深刻理解设计任务书，紧扣设计目标，方案符合特殊人员需求。</w:t>
            </w:r>
          </w:p>
          <w:p>
            <w:pPr>
              <w:pStyle w:val="22"/>
              <w:keepNext w:val="0"/>
              <w:keepLines w:val="0"/>
              <w:pageBreakBefore w:val="0"/>
              <w:kinsoku/>
              <w:wordWrap/>
              <w:overflowPunct/>
              <w:bidi w:val="0"/>
              <w:snapToGrid/>
              <w:spacing w:after="0"/>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cs="Calibri"/>
                <w:b/>
                <w:bCs/>
                <w:szCs w:val="21"/>
                <w:lang w:val="en-US" w:eastAsia="zh-CN"/>
              </w:rPr>
              <w:t>评分标准：优秀得7-10分，良好得2-6分，差得0-1分。</w:t>
            </w:r>
          </w:p>
        </w:tc>
        <w:tc>
          <w:tcPr>
            <w:tcW w:w="354" w:type="pct"/>
            <w:tcBorders>
              <w:left w:val="nil"/>
              <w:right w:val="single" w:color="auto" w:sz="4" w:space="0"/>
            </w:tcBorders>
            <w:noWrap w:val="0"/>
            <w:vAlign w:val="top"/>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321" w:type="pct"/>
            <w:vMerge w:val="continue"/>
            <w:tcBorders>
              <w:left w:val="single" w:color="auto" w:sz="4" w:space="0"/>
              <w:right w:val="single" w:color="auto" w:sz="8"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547" w:type="pct"/>
            <w:vMerge w:val="continue"/>
            <w:tcBorders>
              <w:left w:val="nil"/>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341" w:type="pct"/>
            <w:vMerge w:val="continue"/>
            <w:tcBorders>
              <w:left w:val="single" w:color="auto" w:sz="8" w:space="0"/>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657"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总平面图</w:t>
            </w:r>
          </w:p>
          <w:p>
            <w:pPr>
              <w:pStyle w:val="8"/>
              <w:keepNext w:val="0"/>
              <w:keepLines w:val="0"/>
              <w:pageBreakBefore w:val="0"/>
              <w:kinsoku/>
              <w:wordWrap/>
              <w:overflowPunct/>
              <w:bidi w:val="0"/>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c>
          <w:tcPr>
            <w:tcW w:w="2778"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bidi w:val="0"/>
              <w:snapToGrid/>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总平面图设计优秀，病房提升与功能用房布局合理，功能明确，分区完善。</w:t>
            </w:r>
          </w:p>
          <w:p>
            <w:pPr>
              <w:pStyle w:val="22"/>
              <w:keepNext w:val="0"/>
              <w:keepLines w:val="0"/>
              <w:pageBreakBefore w:val="0"/>
              <w:kinsoku/>
              <w:wordWrap/>
              <w:overflowPunct/>
              <w:bidi w:val="0"/>
              <w:snapToGrid/>
              <w:spacing w:after="0"/>
              <w:ind w:left="0" w:leftChars="0" w:firstLine="0" w:firstLineChars="0"/>
              <w:jc w:val="left"/>
              <w:textAlignment w:val="auto"/>
              <w:rPr>
                <w:rFonts w:hint="eastAsia" w:ascii="宋体" w:hAnsi="宋体" w:eastAsia="宋体" w:cs="宋体"/>
                <w:color w:val="auto"/>
                <w:sz w:val="24"/>
                <w:szCs w:val="24"/>
              </w:rPr>
            </w:pPr>
            <w:r>
              <w:rPr>
                <w:rFonts w:hint="eastAsia" w:ascii="宋体" w:hAnsi="宋体" w:cs="Calibri"/>
                <w:b/>
                <w:bCs/>
                <w:szCs w:val="21"/>
                <w:lang w:val="en-US" w:eastAsia="zh-CN"/>
              </w:rPr>
              <w:t>评分标准：优秀得7-10分，良好得2-6分，差得0-1分。</w:t>
            </w:r>
          </w:p>
        </w:tc>
        <w:tc>
          <w:tcPr>
            <w:tcW w:w="354" w:type="pct"/>
            <w:tcBorders>
              <w:left w:val="nil"/>
              <w:right w:val="single" w:color="auto" w:sz="4" w:space="0"/>
            </w:tcBorders>
            <w:noWrap w:val="0"/>
            <w:vAlign w:val="top"/>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321" w:type="pct"/>
            <w:vMerge w:val="continue"/>
            <w:tcBorders>
              <w:left w:val="single" w:color="auto" w:sz="4" w:space="0"/>
              <w:right w:val="single" w:color="auto" w:sz="8"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547" w:type="pct"/>
            <w:vMerge w:val="continue"/>
            <w:tcBorders>
              <w:left w:val="nil"/>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341" w:type="pct"/>
            <w:vMerge w:val="continue"/>
            <w:tcBorders>
              <w:left w:val="single" w:color="auto" w:sz="8" w:space="0"/>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657" w:type="pct"/>
            <w:tcBorders>
              <w:top w:val="single" w:color="auto" w:sz="4" w:space="0"/>
              <w:left w:val="nil"/>
              <w:bottom w:val="single" w:color="auto" w:sz="4" w:space="0"/>
              <w:right w:val="single" w:color="auto" w:sz="4" w:space="0"/>
            </w:tcBorders>
            <w:noWrap w:val="0"/>
            <w:vAlign w:val="center"/>
          </w:tcPr>
          <w:p>
            <w:pPr>
              <w:pStyle w:val="8"/>
              <w:keepNext w:val="0"/>
              <w:keepLines w:val="0"/>
              <w:pageBreakBefore w:val="0"/>
              <w:kinsoku/>
              <w:wordWrap/>
              <w:overflowPunct/>
              <w:bidi w:val="0"/>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效果图</w:t>
            </w:r>
          </w:p>
          <w:p>
            <w:pPr>
              <w:pStyle w:val="8"/>
              <w:keepNext w:val="0"/>
              <w:keepLines w:val="0"/>
              <w:pageBreakBefore w:val="0"/>
              <w:kinsoku/>
              <w:wordWrap/>
              <w:overflowPunct/>
              <w:bidi w:val="0"/>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c>
          <w:tcPr>
            <w:tcW w:w="2778" w:type="pct"/>
            <w:tcBorders>
              <w:top w:val="single" w:color="auto" w:sz="4" w:space="0"/>
              <w:left w:val="nil"/>
              <w:bottom w:val="single" w:color="auto" w:sz="4" w:space="0"/>
              <w:right w:val="single" w:color="auto" w:sz="4" w:space="0"/>
            </w:tcBorders>
            <w:noWrap w:val="0"/>
            <w:vAlign w:val="center"/>
          </w:tcPr>
          <w:p>
            <w:pPr>
              <w:pStyle w:val="22"/>
              <w:keepNext w:val="0"/>
              <w:keepLines w:val="0"/>
              <w:pageBreakBefore w:val="0"/>
              <w:kinsoku/>
              <w:wordWrap/>
              <w:overflowPunct/>
              <w:bidi w:val="0"/>
              <w:snapToGrid/>
              <w:spacing w:after="0"/>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效果表现丰富，效果符合用户需求，与现有建筑风格完美融合，符合保健与康养环境需求。</w:t>
            </w:r>
          </w:p>
          <w:p>
            <w:pPr>
              <w:pStyle w:val="22"/>
              <w:keepNext w:val="0"/>
              <w:keepLines w:val="0"/>
              <w:pageBreakBefore w:val="0"/>
              <w:kinsoku/>
              <w:wordWrap/>
              <w:overflowPunct/>
              <w:bidi w:val="0"/>
              <w:snapToGrid/>
              <w:spacing w:after="0"/>
              <w:ind w:left="0" w:leftChars="0" w:firstLine="0" w:firstLineChars="0"/>
              <w:jc w:val="left"/>
              <w:textAlignment w:val="auto"/>
              <w:rPr>
                <w:rFonts w:hint="eastAsia" w:ascii="宋体" w:hAnsi="宋体" w:eastAsia="宋体" w:cs="宋体"/>
                <w:b/>
                <w:bCs/>
                <w:color w:val="auto"/>
                <w:sz w:val="24"/>
                <w:szCs w:val="24"/>
                <w:lang w:val="en-US" w:eastAsia="zh-CN"/>
              </w:rPr>
            </w:pPr>
            <w:r>
              <w:rPr>
                <w:rFonts w:hint="eastAsia" w:ascii="宋体" w:hAnsi="宋体" w:cs="Calibri"/>
                <w:b/>
                <w:bCs/>
                <w:szCs w:val="21"/>
                <w:lang w:val="en-US" w:eastAsia="zh-CN"/>
              </w:rPr>
              <w:t>评分标准：优秀得7-10分，良好得3-6分，差得0-1分。</w:t>
            </w:r>
          </w:p>
        </w:tc>
        <w:tc>
          <w:tcPr>
            <w:tcW w:w="354" w:type="pct"/>
            <w:tcBorders>
              <w:left w:val="nil"/>
              <w:right w:val="single" w:color="auto" w:sz="4" w:space="0"/>
            </w:tcBorders>
            <w:noWrap w:val="0"/>
            <w:vAlign w:val="top"/>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21" w:type="pct"/>
            <w:vMerge w:val="continue"/>
            <w:tcBorders>
              <w:left w:val="single" w:color="auto" w:sz="4" w:space="0"/>
              <w:right w:val="single" w:color="auto" w:sz="8"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547" w:type="pct"/>
            <w:vMerge w:val="continue"/>
            <w:tcBorders>
              <w:left w:val="nil"/>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341" w:type="pct"/>
            <w:vMerge w:val="continue"/>
            <w:tcBorders>
              <w:left w:val="single" w:color="auto" w:sz="8" w:space="0"/>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657"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lang w:val="en-US" w:eastAsia="zh-CN"/>
              </w:rPr>
            </w:pPr>
          </w:p>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功能布局</w:t>
            </w:r>
          </w:p>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lang w:val="en-US" w:eastAsia="zh-CN"/>
              </w:rPr>
            </w:pPr>
          </w:p>
        </w:tc>
        <w:tc>
          <w:tcPr>
            <w:tcW w:w="2778"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bidi w:val="0"/>
              <w:snapToGrid/>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病房功能布局合理，注重空间利用和医护动线。</w:t>
            </w:r>
          </w:p>
          <w:p>
            <w:pPr>
              <w:pStyle w:val="22"/>
              <w:keepNext w:val="0"/>
              <w:keepLines w:val="0"/>
              <w:pageBreakBefore w:val="0"/>
              <w:kinsoku/>
              <w:wordWrap/>
              <w:overflowPunct/>
              <w:bidi w:val="0"/>
              <w:snapToGrid/>
              <w:spacing w:after="0"/>
              <w:ind w:left="0" w:leftChars="0" w:firstLine="0" w:firstLineChars="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评分标准：</w:t>
            </w:r>
            <w:r>
              <w:rPr>
                <w:rFonts w:hint="eastAsia" w:ascii="宋体" w:hAnsi="宋体" w:cs="Calibri"/>
                <w:b/>
                <w:bCs/>
                <w:szCs w:val="21"/>
                <w:lang w:val="en-US" w:eastAsia="zh-CN"/>
              </w:rPr>
              <w:t>评分标准：优秀得4-5分，良好得2-3分，差得0-1分。</w:t>
            </w:r>
          </w:p>
        </w:tc>
        <w:tc>
          <w:tcPr>
            <w:tcW w:w="354" w:type="pct"/>
            <w:tcBorders>
              <w:left w:val="nil"/>
              <w:right w:val="single" w:color="auto" w:sz="4" w:space="0"/>
            </w:tcBorders>
            <w:noWrap w:val="0"/>
            <w:vAlign w:val="top"/>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321" w:type="pct"/>
            <w:vMerge w:val="continue"/>
            <w:tcBorders>
              <w:left w:val="single" w:color="auto" w:sz="4" w:space="0"/>
              <w:right w:val="single" w:color="auto" w:sz="8"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547" w:type="pct"/>
            <w:vMerge w:val="continue"/>
            <w:tcBorders>
              <w:left w:val="nil"/>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341" w:type="pct"/>
            <w:vMerge w:val="continue"/>
            <w:tcBorders>
              <w:left w:val="single" w:color="auto" w:sz="8" w:space="0"/>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65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bidi w:val="0"/>
              <w:snapToGrid/>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材料选用</w:t>
            </w:r>
          </w:p>
          <w:p>
            <w:pPr>
              <w:pStyle w:val="8"/>
              <w:keepNext w:val="0"/>
              <w:keepLines w:val="0"/>
              <w:pageBreakBefore w:val="0"/>
              <w:kinsoku/>
              <w:wordWrap/>
              <w:overflowPunct/>
              <w:bidi w:val="0"/>
              <w:snapToGrid/>
              <w:ind w:left="0"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（5分）</w:t>
            </w:r>
          </w:p>
        </w:tc>
        <w:tc>
          <w:tcPr>
            <w:tcW w:w="2778"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bidi w:val="0"/>
              <w:snapToGrid/>
              <w:jc w:val="left"/>
              <w:textAlignment w:val="auto"/>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主要材料选用，注重使用功能、耐用、易维护等特点。</w:t>
            </w:r>
          </w:p>
          <w:p>
            <w:pPr>
              <w:pStyle w:val="8"/>
              <w:keepNext w:val="0"/>
              <w:keepLines w:val="0"/>
              <w:pageBreakBefore w:val="0"/>
              <w:kinsoku/>
              <w:wordWrap/>
              <w:overflowPunct/>
              <w:bidi w:val="0"/>
              <w:snapToGrid/>
              <w:ind w:left="0" w:leftChars="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sz w:val="24"/>
                <w:szCs w:val="24"/>
                <w:lang w:val="en-US" w:eastAsia="zh-CN"/>
              </w:rPr>
              <w:t>评分标准：</w:t>
            </w:r>
            <w:r>
              <w:rPr>
                <w:rFonts w:hint="eastAsia" w:ascii="宋体" w:hAnsi="宋体" w:cs="Calibri"/>
                <w:b/>
                <w:bCs/>
                <w:szCs w:val="21"/>
                <w:lang w:val="en-US" w:eastAsia="zh-CN"/>
              </w:rPr>
              <w:t>评分标准：优秀得4-5分，良好得2-3分，差得0-1分。</w:t>
            </w:r>
          </w:p>
        </w:tc>
        <w:tc>
          <w:tcPr>
            <w:tcW w:w="354" w:type="pct"/>
            <w:tcBorders>
              <w:left w:val="nil"/>
              <w:right w:val="single" w:color="auto" w:sz="4" w:space="0"/>
            </w:tcBorders>
            <w:noWrap w:val="0"/>
            <w:vAlign w:val="top"/>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321" w:type="pct"/>
            <w:vMerge w:val="continue"/>
            <w:tcBorders>
              <w:left w:val="single" w:color="auto" w:sz="4" w:space="0"/>
              <w:right w:val="single" w:color="auto" w:sz="8"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547" w:type="pct"/>
            <w:vMerge w:val="continue"/>
            <w:tcBorders>
              <w:left w:val="nil"/>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341" w:type="pct"/>
            <w:vMerge w:val="continue"/>
            <w:tcBorders>
              <w:left w:val="single" w:color="auto" w:sz="8" w:space="0"/>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1765" w:type="dxa"/>
            <w:tcBorders>
              <w:top w:val="single" w:color="auto" w:sz="4" w:space="0"/>
              <w:left w:val="nil"/>
              <w:bottom w:val="single" w:color="auto" w:sz="4" w:space="0"/>
              <w:right w:val="single" w:color="auto" w:sz="4" w:space="0"/>
            </w:tcBorders>
            <w:noWrap w:val="0"/>
            <w:vAlign w:val="center"/>
          </w:tcPr>
          <w:p>
            <w:pPr>
              <w:pStyle w:val="8"/>
              <w:keepNext w:val="0"/>
              <w:keepLines w:val="0"/>
              <w:pageBreakBefore w:val="0"/>
              <w:kinsoku/>
              <w:wordWrap/>
              <w:overflowPunct/>
              <w:bidi w:val="0"/>
              <w:snapToGrid/>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绿色节能</w:t>
            </w:r>
          </w:p>
          <w:p>
            <w:pPr>
              <w:pStyle w:val="8"/>
              <w:keepNext w:val="0"/>
              <w:keepLines w:val="0"/>
              <w:pageBreakBefore w:val="0"/>
              <w:kinsoku/>
              <w:wordWrap/>
              <w:overflowPunct/>
              <w:bidi w:val="0"/>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（5分）</w:t>
            </w:r>
          </w:p>
        </w:tc>
        <w:tc>
          <w:tcPr>
            <w:tcW w:w="7461" w:type="dxa"/>
            <w:tcBorders>
              <w:top w:val="single" w:color="auto" w:sz="4" w:space="0"/>
              <w:left w:val="nil"/>
              <w:bottom w:val="single" w:color="auto" w:sz="4" w:space="0"/>
              <w:right w:val="single" w:color="auto" w:sz="4" w:space="0"/>
            </w:tcBorders>
            <w:noWrap w:val="0"/>
            <w:vAlign w:val="center"/>
          </w:tcPr>
          <w:p>
            <w:pPr>
              <w:pStyle w:val="8"/>
              <w:keepNext w:val="0"/>
              <w:keepLines w:val="0"/>
              <w:pageBreakBefore w:val="0"/>
              <w:kinsoku/>
              <w:wordWrap/>
              <w:overflowPunct/>
              <w:bidi w:val="0"/>
              <w:snapToGrid/>
              <w:ind w:left="0" w:leftChars="0"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建筑工程绿色节能方案</w:t>
            </w:r>
          </w:p>
          <w:p>
            <w:pPr>
              <w:pStyle w:val="8"/>
              <w:keepNext w:val="0"/>
              <w:keepLines w:val="0"/>
              <w:pageBreakBefore w:val="0"/>
              <w:kinsoku/>
              <w:wordWrap/>
              <w:overflowPunct/>
              <w:bidi w:val="0"/>
              <w:snapToGrid/>
              <w:ind w:left="0" w:leftChars="0" w:firstLine="0" w:firstLineChars="0"/>
              <w:jc w:val="left"/>
              <w:textAlignment w:val="auto"/>
              <w:rPr>
                <w:rFonts w:hint="eastAsia" w:ascii="宋体" w:hAnsi="宋体" w:eastAsia="宋体" w:cs="宋体"/>
                <w:color w:val="auto"/>
                <w:sz w:val="24"/>
                <w:szCs w:val="24"/>
                <w:lang w:val="en-US"/>
              </w:rPr>
            </w:pPr>
            <w:r>
              <w:rPr>
                <w:rFonts w:hint="eastAsia" w:ascii="宋体" w:hAnsi="宋体" w:eastAsia="宋体" w:cs="宋体"/>
                <w:b/>
                <w:bCs/>
                <w:color w:val="auto"/>
                <w:sz w:val="24"/>
                <w:szCs w:val="24"/>
                <w:lang w:val="en-US" w:eastAsia="zh-CN"/>
              </w:rPr>
              <w:t>评分标准：</w:t>
            </w:r>
            <w:r>
              <w:rPr>
                <w:rFonts w:hint="eastAsia" w:ascii="宋体" w:hAnsi="宋体" w:cs="Calibri"/>
                <w:b/>
                <w:bCs/>
                <w:szCs w:val="21"/>
                <w:lang w:val="en-US" w:eastAsia="zh-CN"/>
              </w:rPr>
              <w:t>评分标准：优秀得4-5分，良好得2-3分，差得0-1分。</w:t>
            </w:r>
          </w:p>
        </w:tc>
        <w:tc>
          <w:tcPr>
            <w:tcW w:w="354" w:type="pct"/>
            <w:tcBorders>
              <w:left w:val="nil"/>
              <w:bottom w:val="single" w:color="auto" w:sz="4" w:space="0"/>
              <w:right w:val="single" w:color="auto" w:sz="4" w:space="0"/>
            </w:tcBorders>
            <w:noWrap w:val="0"/>
            <w:vAlign w:val="top"/>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21" w:type="pct"/>
            <w:vMerge w:val="restart"/>
            <w:tcBorders>
              <w:top w:val="single" w:color="auto" w:sz="4" w:space="0"/>
              <w:left w:val="single" w:color="auto" w:sz="4" w:space="0"/>
              <w:right w:val="single" w:color="auto" w:sz="8"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547" w:type="pct"/>
            <w:vMerge w:val="restart"/>
            <w:tcBorders>
              <w:top w:val="single" w:color="auto" w:sz="4" w:space="0"/>
              <w:left w:val="nil"/>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服务质量</w:t>
            </w:r>
          </w:p>
        </w:tc>
        <w:tc>
          <w:tcPr>
            <w:tcW w:w="341" w:type="pct"/>
            <w:vMerge w:val="restart"/>
            <w:tcBorders>
              <w:top w:val="single" w:color="auto" w:sz="4" w:space="0"/>
              <w:left w:val="single" w:color="auto" w:sz="8" w:space="0"/>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657"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设计组织</w:t>
            </w:r>
          </w:p>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cs="宋体"/>
                <w:snapToGrid w:val="0"/>
                <w:color w:val="auto"/>
                <w:kern w:val="0"/>
                <w:sz w:val="24"/>
                <w:szCs w:val="24"/>
                <w:lang w:val="en-US" w:eastAsia="zh-CN"/>
              </w:rPr>
              <w:t>2</w:t>
            </w:r>
            <w:r>
              <w:rPr>
                <w:rFonts w:hint="eastAsia" w:ascii="宋体" w:hAnsi="宋体" w:eastAsia="宋体" w:cs="宋体"/>
                <w:snapToGrid w:val="0"/>
                <w:color w:val="auto"/>
                <w:kern w:val="0"/>
                <w:sz w:val="24"/>
                <w:szCs w:val="24"/>
              </w:rPr>
              <w:t>分）</w:t>
            </w:r>
          </w:p>
        </w:tc>
        <w:tc>
          <w:tcPr>
            <w:tcW w:w="2778" w:type="pct"/>
            <w:tcBorders>
              <w:top w:val="single" w:color="auto" w:sz="4" w:space="0"/>
              <w:left w:val="nil"/>
              <w:right w:val="single" w:color="auto" w:sz="4" w:space="0"/>
            </w:tcBorders>
            <w:noWrap w:val="0"/>
            <w:vAlign w:val="center"/>
          </w:tcPr>
          <w:p>
            <w:pPr>
              <w:keepNext w:val="0"/>
              <w:keepLines w:val="0"/>
              <w:pageBreakBefore w:val="0"/>
              <w:kinsoku/>
              <w:wordWrap/>
              <w:overflowPunct/>
              <w:bidi w:val="0"/>
              <w:snapToGrid/>
              <w:ind w:left="0" w:leftChars="0" w:firstLineChars="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color w:val="auto"/>
                <w:kern w:val="0"/>
                <w:sz w:val="24"/>
                <w:szCs w:val="24"/>
                <w:lang w:val="en-US" w:eastAsia="zh-CN"/>
              </w:rPr>
              <w:t>设计管理方案</w:t>
            </w:r>
            <w:r>
              <w:rPr>
                <w:rFonts w:hint="eastAsia" w:ascii="宋体" w:hAnsi="宋体" w:eastAsia="宋体" w:cs="宋体"/>
                <w:color w:val="auto"/>
                <w:kern w:val="0"/>
                <w:sz w:val="24"/>
                <w:szCs w:val="24"/>
              </w:rPr>
              <w:t>保证设计质量、设计进度、设计效果、优质服务的保障措施</w:t>
            </w:r>
            <w:r>
              <w:rPr>
                <w:rFonts w:hint="eastAsia" w:ascii="宋体" w:hAnsi="宋体" w:eastAsia="宋体" w:cs="宋体"/>
                <w:snapToGrid w:val="0"/>
                <w:color w:val="auto"/>
                <w:kern w:val="0"/>
                <w:sz w:val="24"/>
                <w:szCs w:val="24"/>
              </w:rPr>
              <w:t>。</w:t>
            </w:r>
          </w:p>
          <w:p>
            <w:pPr>
              <w:keepNext w:val="0"/>
              <w:keepLines w:val="0"/>
              <w:pageBreakBefore w:val="0"/>
              <w:kinsoku/>
              <w:wordWrap/>
              <w:overflowPunct/>
              <w:bidi w:val="0"/>
              <w:snapToGrid/>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评分标准：优秀</w:t>
            </w: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分，良得</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分，差得</w:t>
            </w:r>
            <w:r>
              <w:rPr>
                <w:rFonts w:hint="eastAsia" w:ascii="宋体" w:hAnsi="宋体" w:cs="宋体"/>
                <w:b/>
                <w:bCs/>
                <w:color w:val="auto"/>
                <w:sz w:val="24"/>
                <w:szCs w:val="24"/>
                <w:lang w:val="en-US" w:eastAsia="zh-CN"/>
              </w:rPr>
              <w:t>0.5</w:t>
            </w:r>
            <w:r>
              <w:rPr>
                <w:rFonts w:hint="eastAsia" w:ascii="宋体" w:hAnsi="宋体" w:eastAsia="宋体" w:cs="宋体"/>
                <w:b/>
                <w:bCs/>
                <w:color w:val="auto"/>
                <w:sz w:val="24"/>
                <w:szCs w:val="24"/>
                <w:lang w:val="en-US" w:eastAsia="zh-CN"/>
              </w:rPr>
              <w:t>分。</w:t>
            </w:r>
          </w:p>
        </w:tc>
        <w:tc>
          <w:tcPr>
            <w:tcW w:w="354" w:type="pct"/>
            <w:tcBorders>
              <w:top w:val="single" w:color="auto" w:sz="4" w:space="0"/>
              <w:left w:val="nil"/>
              <w:right w:val="single" w:color="auto" w:sz="4" w:space="0"/>
            </w:tcBorders>
            <w:noWrap w:val="0"/>
            <w:vAlign w:val="top"/>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321" w:type="pct"/>
            <w:vMerge w:val="continue"/>
            <w:tcBorders>
              <w:left w:val="single" w:color="auto" w:sz="4" w:space="0"/>
              <w:right w:val="single" w:color="auto" w:sz="8"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547" w:type="pct"/>
            <w:vMerge w:val="continue"/>
            <w:tcBorders>
              <w:left w:val="nil"/>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341" w:type="pct"/>
            <w:vMerge w:val="continue"/>
            <w:tcBorders>
              <w:left w:val="single" w:color="auto" w:sz="8" w:space="0"/>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657"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设计周期</w:t>
            </w:r>
          </w:p>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2</w:t>
            </w:r>
            <w:r>
              <w:rPr>
                <w:rFonts w:hint="eastAsia" w:ascii="宋体" w:hAnsi="宋体" w:eastAsia="宋体" w:cs="宋体"/>
                <w:snapToGrid w:val="0"/>
                <w:color w:val="auto"/>
                <w:kern w:val="0"/>
                <w:sz w:val="24"/>
                <w:szCs w:val="24"/>
              </w:rPr>
              <w:t>分）</w:t>
            </w:r>
          </w:p>
        </w:tc>
        <w:tc>
          <w:tcPr>
            <w:tcW w:w="2778" w:type="pct"/>
            <w:tcBorders>
              <w:left w:val="nil"/>
              <w:right w:val="single" w:color="auto" w:sz="4" w:space="0"/>
            </w:tcBorders>
            <w:noWrap w:val="0"/>
            <w:vAlign w:val="center"/>
          </w:tcPr>
          <w:p>
            <w:pPr>
              <w:pStyle w:val="22"/>
              <w:keepNext w:val="0"/>
              <w:keepLines w:val="0"/>
              <w:pageBreakBefore w:val="0"/>
              <w:kinsoku/>
              <w:wordWrap/>
              <w:overflowPunct/>
              <w:bidi w:val="0"/>
              <w:snapToGrid/>
              <w:spacing w:after="0"/>
              <w:ind w:left="0" w:lef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项目总进度控制计划编制合理</w:t>
            </w:r>
            <w:r>
              <w:rPr>
                <w:rFonts w:hint="eastAsia" w:ascii="宋体" w:hAnsi="宋体" w:eastAsia="宋体" w:cs="宋体"/>
                <w:color w:val="auto"/>
                <w:sz w:val="24"/>
                <w:szCs w:val="24"/>
                <w:lang w:val="en-US" w:eastAsia="zh-CN"/>
              </w:rPr>
              <w:t>可行、</w:t>
            </w:r>
            <w:r>
              <w:rPr>
                <w:rFonts w:hint="eastAsia" w:ascii="宋体" w:hAnsi="宋体" w:eastAsia="宋体" w:cs="宋体"/>
                <w:color w:val="auto"/>
                <w:sz w:val="24"/>
                <w:szCs w:val="24"/>
              </w:rPr>
              <w:t>关键线路清晰、准确、关键节点控制措施得力、可操作性强</w:t>
            </w:r>
            <w:r>
              <w:rPr>
                <w:rFonts w:hint="eastAsia" w:ascii="宋体" w:hAnsi="宋体" w:eastAsia="宋体" w:cs="宋体"/>
                <w:color w:val="auto"/>
                <w:sz w:val="24"/>
                <w:szCs w:val="24"/>
                <w:lang w:eastAsia="zh-CN"/>
              </w:rPr>
              <w:t>。</w:t>
            </w:r>
          </w:p>
          <w:p>
            <w:pPr>
              <w:pStyle w:val="22"/>
              <w:keepNext w:val="0"/>
              <w:keepLines w:val="0"/>
              <w:pageBreakBefore w:val="0"/>
              <w:kinsoku/>
              <w:wordWrap/>
              <w:overflowPunct/>
              <w:bidi w:val="0"/>
              <w:snapToGrid/>
              <w:spacing w:after="0"/>
              <w:ind w:left="0" w:leftChars="0" w:firstLine="0" w:firstLineChars="0"/>
              <w:jc w:val="left"/>
              <w:textAlignment w:val="auto"/>
              <w:rPr>
                <w:rFonts w:hint="eastAsia" w:ascii="宋体" w:hAnsi="宋体" w:eastAsia="宋体" w:cs="宋体"/>
                <w:color w:val="auto"/>
                <w:sz w:val="24"/>
                <w:szCs w:val="24"/>
                <w:lang w:val="en-US"/>
              </w:rPr>
            </w:pPr>
            <w:r>
              <w:rPr>
                <w:rFonts w:hint="eastAsia" w:ascii="宋体" w:hAnsi="宋体" w:eastAsia="宋体" w:cs="宋体"/>
                <w:b/>
                <w:bCs/>
                <w:color w:val="auto"/>
                <w:sz w:val="24"/>
                <w:szCs w:val="24"/>
                <w:lang w:val="en-US" w:eastAsia="zh-CN"/>
              </w:rPr>
              <w:t>评分标准：优秀得2分，良得1分，差得0.5分。</w:t>
            </w:r>
          </w:p>
        </w:tc>
        <w:tc>
          <w:tcPr>
            <w:tcW w:w="354" w:type="pct"/>
            <w:tcBorders>
              <w:left w:val="nil"/>
              <w:right w:val="single" w:color="auto" w:sz="4" w:space="0"/>
            </w:tcBorders>
            <w:noWrap w:val="0"/>
            <w:vAlign w:val="top"/>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21" w:type="pct"/>
            <w:vMerge w:val="continue"/>
            <w:tcBorders>
              <w:left w:val="single" w:color="auto" w:sz="4" w:space="0"/>
              <w:right w:val="single" w:color="auto" w:sz="8"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547" w:type="pct"/>
            <w:vMerge w:val="continue"/>
            <w:tcBorders>
              <w:left w:val="nil"/>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341" w:type="pct"/>
            <w:vMerge w:val="continue"/>
            <w:tcBorders>
              <w:left w:val="single" w:color="auto" w:sz="8" w:space="0"/>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c>
          <w:tcPr>
            <w:tcW w:w="657"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bidi w:val="0"/>
              <w:snapToGrid/>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设计服务</w:t>
            </w:r>
          </w:p>
          <w:p>
            <w:pPr>
              <w:pStyle w:val="8"/>
              <w:keepNext w:val="0"/>
              <w:keepLines w:val="0"/>
              <w:pageBreakBefore w:val="0"/>
              <w:kinsoku/>
              <w:wordWrap/>
              <w:overflowPunct/>
              <w:bidi w:val="0"/>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（1分）</w:t>
            </w:r>
          </w:p>
        </w:tc>
        <w:tc>
          <w:tcPr>
            <w:tcW w:w="2778" w:type="pct"/>
            <w:tcBorders>
              <w:left w:val="nil"/>
              <w:right w:val="single" w:color="auto" w:sz="4" w:space="0"/>
            </w:tcBorders>
            <w:noWrap w:val="0"/>
            <w:vAlign w:val="center"/>
          </w:tcPr>
          <w:p>
            <w:pPr>
              <w:pStyle w:val="22"/>
              <w:keepNext w:val="0"/>
              <w:keepLines w:val="0"/>
              <w:pageBreakBefore w:val="0"/>
              <w:kinsoku/>
              <w:wordWrap/>
              <w:overflowPunct/>
              <w:bidi w:val="0"/>
              <w:snapToGrid/>
              <w:spacing w:after="0"/>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提供投标人设计管理制度。</w:t>
            </w:r>
          </w:p>
          <w:p>
            <w:pPr>
              <w:pStyle w:val="22"/>
              <w:keepNext w:val="0"/>
              <w:keepLines w:val="0"/>
              <w:pageBreakBefore w:val="0"/>
              <w:kinsoku/>
              <w:wordWrap/>
              <w:overflowPunct/>
              <w:bidi w:val="0"/>
              <w:snapToGrid/>
              <w:spacing w:after="0"/>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评分标准：优秀得1分，良得0.5分，差得0.</w:t>
            </w: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5分。</w:t>
            </w:r>
          </w:p>
        </w:tc>
        <w:tc>
          <w:tcPr>
            <w:tcW w:w="354" w:type="pct"/>
            <w:tcBorders>
              <w:left w:val="nil"/>
              <w:right w:val="single" w:color="auto" w:sz="4" w:space="0"/>
            </w:tcBorders>
            <w:noWrap w:val="0"/>
            <w:vAlign w:val="top"/>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68" w:type="pct"/>
            <w:gridSpan w:val="2"/>
            <w:tcBorders>
              <w:left w:val="single" w:color="auto" w:sz="4" w:space="0"/>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总计</w:t>
            </w:r>
          </w:p>
        </w:tc>
        <w:tc>
          <w:tcPr>
            <w:tcW w:w="341" w:type="pct"/>
            <w:tcBorders>
              <w:left w:val="single" w:color="auto" w:sz="8" w:space="0"/>
              <w:right w:val="single" w:color="auto" w:sz="4" w:space="0"/>
            </w:tcBorders>
            <w:noWrap w:val="0"/>
            <w:vAlign w:val="center"/>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60分</w:t>
            </w:r>
          </w:p>
        </w:tc>
        <w:tc>
          <w:tcPr>
            <w:tcW w:w="657" w:type="pct"/>
            <w:tcBorders>
              <w:top w:val="single" w:color="auto" w:sz="4" w:space="0"/>
              <w:left w:val="nil"/>
              <w:bottom w:val="single" w:color="auto" w:sz="4" w:space="0"/>
              <w:right w:val="single" w:color="auto" w:sz="4" w:space="0"/>
            </w:tcBorders>
            <w:noWrap w:val="0"/>
            <w:vAlign w:val="center"/>
          </w:tcPr>
          <w:p>
            <w:pPr>
              <w:pStyle w:val="8"/>
              <w:keepNext w:val="0"/>
              <w:keepLines w:val="0"/>
              <w:pageBreakBefore w:val="0"/>
              <w:kinsoku/>
              <w:wordWrap/>
              <w:overflowPunct/>
              <w:bidi w:val="0"/>
              <w:snapToGrid/>
              <w:ind w:left="0" w:leftChars="0" w:firstLine="0" w:firstLineChars="0"/>
              <w:jc w:val="both"/>
              <w:textAlignment w:val="auto"/>
              <w:rPr>
                <w:rFonts w:hint="eastAsia" w:ascii="宋体" w:hAnsi="宋体" w:eastAsia="宋体" w:cs="宋体"/>
                <w:color w:val="auto"/>
                <w:sz w:val="24"/>
                <w:szCs w:val="24"/>
                <w:lang w:val="en-US" w:eastAsia="zh-CN"/>
              </w:rPr>
            </w:pPr>
          </w:p>
        </w:tc>
        <w:tc>
          <w:tcPr>
            <w:tcW w:w="2778" w:type="pct"/>
            <w:tcBorders>
              <w:left w:val="nil"/>
              <w:right w:val="single" w:color="auto" w:sz="4" w:space="0"/>
            </w:tcBorders>
            <w:noWrap w:val="0"/>
            <w:vAlign w:val="center"/>
          </w:tcPr>
          <w:p>
            <w:pPr>
              <w:pStyle w:val="22"/>
              <w:keepNext w:val="0"/>
              <w:keepLines w:val="0"/>
              <w:pageBreakBefore w:val="0"/>
              <w:kinsoku/>
              <w:wordWrap/>
              <w:overflowPunct/>
              <w:bidi w:val="0"/>
              <w:snapToGrid/>
              <w:spacing w:after="0"/>
              <w:ind w:left="0" w:leftChars="0" w:firstLine="0" w:firstLineChars="0"/>
              <w:jc w:val="both"/>
              <w:textAlignment w:val="auto"/>
              <w:rPr>
                <w:rFonts w:hint="eastAsia" w:ascii="宋体" w:hAnsi="宋体" w:eastAsia="宋体" w:cs="宋体"/>
                <w:b/>
                <w:bCs/>
                <w:color w:val="auto"/>
                <w:sz w:val="24"/>
                <w:szCs w:val="24"/>
                <w:lang w:val="en-US" w:eastAsia="zh-CN"/>
              </w:rPr>
            </w:pPr>
          </w:p>
        </w:tc>
        <w:tc>
          <w:tcPr>
            <w:tcW w:w="354" w:type="pct"/>
            <w:tcBorders>
              <w:left w:val="nil"/>
              <w:right w:val="single" w:color="auto" w:sz="4" w:space="0"/>
            </w:tcBorders>
            <w:noWrap w:val="0"/>
            <w:vAlign w:val="top"/>
          </w:tcPr>
          <w:p>
            <w:pPr>
              <w:keepNext w:val="0"/>
              <w:keepLines w:val="0"/>
              <w:pageBreakBefore w:val="0"/>
              <w:kinsoku/>
              <w:wordWrap/>
              <w:overflowPunct/>
              <w:bidi w:val="0"/>
              <w:snapToGrid/>
              <w:jc w:val="center"/>
              <w:textAlignment w:val="auto"/>
              <w:rPr>
                <w:rFonts w:hint="eastAsia" w:ascii="宋体" w:hAnsi="宋体" w:eastAsia="宋体" w:cs="宋体"/>
                <w:color w:val="auto"/>
                <w:sz w:val="24"/>
                <w:szCs w:val="24"/>
              </w:rPr>
            </w:pPr>
          </w:p>
        </w:tc>
      </w:tr>
    </w:tbl>
    <w:p>
      <w:pPr>
        <w:rPr>
          <w:rFonts w:hint="eastAsia" w:ascii="宋体" w:hAnsi="宋体" w:eastAsia="宋体" w:cs="宋体"/>
          <w:color w:val="auto"/>
          <w:highlight w:val="none"/>
          <w:lang w:val="en-US" w:eastAsia="zh-CN"/>
        </w:rPr>
        <w:sectPr>
          <w:pgSz w:w="15840" w:h="12240" w:orient="landscape"/>
          <w:pgMar w:top="1718" w:right="1502" w:bottom="1718" w:left="1123" w:header="0" w:footer="918" w:gutter="0"/>
          <w:cols w:space="720" w:num="1"/>
          <w:docGrid w:linePitch="286" w:charSpace="0"/>
        </w:sectPr>
      </w:pPr>
    </w:p>
    <w:p>
      <w:pPr>
        <w:rPr>
          <w:rFonts w:hint="eastAsia" w:ascii="宋体" w:hAnsi="宋体" w:eastAsia="宋体" w:cs="宋体"/>
          <w:color w:val="auto"/>
          <w:highlight w:val="none"/>
        </w:rPr>
      </w:pPr>
    </w:p>
    <w:p>
      <w:pP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附件二：资格审查表</w:t>
      </w:r>
    </w:p>
    <w:p>
      <w:pPr>
        <w:pStyle w:val="13"/>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资格审查表</w:t>
      </w:r>
    </w:p>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23"/>
        <w:tblW w:w="90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2"/>
        <w:gridCol w:w="5861"/>
        <w:gridCol w:w="851"/>
        <w:gridCol w:w="851"/>
        <w:gridCol w:w="8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02" w:type="dxa"/>
            <w:vAlign w:val="center"/>
          </w:tcPr>
          <w:p>
            <w:pPr>
              <w:pStyle w:val="13"/>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5861" w:type="dxa"/>
            <w:vAlign w:val="center"/>
          </w:tcPr>
          <w:p>
            <w:pPr>
              <w:pStyle w:val="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投标人名称</w:t>
            </w:r>
          </w:p>
          <w:p>
            <w:pPr>
              <w:pStyle w:val="13"/>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审查项目</w:t>
            </w:r>
          </w:p>
        </w:tc>
        <w:tc>
          <w:tcPr>
            <w:tcW w:w="851" w:type="dxa"/>
            <w:vAlign w:val="center"/>
          </w:tcPr>
          <w:p>
            <w:pPr>
              <w:pStyle w:val="13"/>
              <w:jc w:val="center"/>
              <w:rPr>
                <w:rFonts w:hint="eastAsia" w:ascii="宋体" w:hAnsi="宋体" w:eastAsia="宋体" w:cs="宋体"/>
                <w:b/>
                <w:bCs/>
                <w:color w:val="auto"/>
                <w:sz w:val="24"/>
                <w:szCs w:val="24"/>
                <w:highlight w:val="none"/>
                <w:lang w:eastAsia="zh-CN"/>
              </w:rPr>
            </w:pPr>
          </w:p>
        </w:tc>
        <w:tc>
          <w:tcPr>
            <w:tcW w:w="851" w:type="dxa"/>
            <w:vAlign w:val="center"/>
          </w:tcPr>
          <w:p>
            <w:pPr>
              <w:pStyle w:val="13"/>
              <w:jc w:val="center"/>
              <w:rPr>
                <w:rFonts w:hint="eastAsia" w:ascii="宋体" w:hAnsi="宋体" w:eastAsia="宋体" w:cs="宋体"/>
                <w:b/>
                <w:bCs/>
                <w:color w:val="auto"/>
                <w:sz w:val="24"/>
                <w:szCs w:val="24"/>
                <w:highlight w:val="none"/>
                <w:lang w:eastAsia="zh-CN"/>
              </w:rPr>
            </w:pPr>
          </w:p>
        </w:tc>
        <w:tc>
          <w:tcPr>
            <w:tcW w:w="853" w:type="dxa"/>
            <w:vAlign w:val="center"/>
          </w:tcPr>
          <w:p>
            <w:pPr>
              <w:pStyle w:val="13"/>
              <w:jc w:val="center"/>
              <w:rPr>
                <w:rFonts w:hint="eastAsia" w:ascii="宋体" w:hAnsi="宋体" w:eastAsia="宋体" w:cs="宋体"/>
                <w:b/>
                <w:bCs/>
                <w:color w:val="auto"/>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02" w:type="dxa"/>
            <w:vAlign w:val="center"/>
          </w:tcPr>
          <w:p>
            <w:pPr>
              <w:pStyle w:val="13"/>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5861" w:type="dxa"/>
            <w:vAlign w:val="center"/>
          </w:tcPr>
          <w:p>
            <w:pPr>
              <w:pStyle w:val="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投标人与招标人过去3年内无合同履约纠纷，没有不得参加投标的情形。（以投标人提供的《投标人声明》为评审依据）</w:t>
            </w:r>
          </w:p>
        </w:tc>
        <w:tc>
          <w:tcPr>
            <w:tcW w:w="851" w:type="dxa"/>
            <w:vAlign w:val="center"/>
          </w:tcPr>
          <w:p>
            <w:pPr>
              <w:pStyle w:val="13"/>
              <w:rPr>
                <w:rFonts w:hint="eastAsia" w:ascii="宋体" w:hAnsi="宋体" w:eastAsia="宋体" w:cs="宋体"/>
                <w:color w:val="auto"/>
                <w:sz w:val="24"/>
                <w:szCs w:val="24"/>
                <w:highlight w:val="none"/>
                <w:lang w:eastAsia="zh-CN"/>
              </w:rPr>
            </w:pPr>
          </w:p>
        </w:tc>
        <w:tc>
          <w:tcPr>
            <w:tcW w:w="851" w:type="dxa"/>
            <w:vAlign w:val="center"/>
          </w:tcPr>
          <w:p>
            <w:pPr>
              <w:pStyle w:val="13"/>
              <w:rPr>
                <w:rFonts w:hint="eastAsia" w:ascii="宋体" w:hAnsi="宋体" w:eastAsia="宋体" w:cs="宋体"/>
                <w:color w:val="auto"/>
                <w:sz w:val="24"/>
                <w:szCs w:val="24"/>
                <w:highlight w:val="none"/>
                <w:lang w:eastAsia="zh-CN"/>
              </w:rPr>
            </w:pPr>
          </w:p>
        </w:tc>
        <w:tc>
          <w:tcPr>
            <w:tcW w:w="853" w:type="dxa"/>
            <w:vAlign w:val="center"/>
          </w:tcPr>
          <w:p>
            <w:pPr>
              <w:pStyle w:val="13"/>
              <w:rPr>
                <w:rFonts w:hint="eastAsia" w:ascii="宋体" w:hAnsi="宋体" w:eastAsia="宋体" w:cs="宋体"/>
                <w:color w:val="auto"/>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02" w:type="dxa"/>
            <w:vAlign w:val="center"/>
          </w:tcPr>
          <w:p>
            <w:pPr>
              <w:pStyle w:val="13"/>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5861" w:type="dxa"/>
            <w:vAlign w:val="center"/>
          </w:tcPr>
          <w:p>
            <w:pPr>
              <w:pStyle w:val="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投标人的资质满足招标公告规定。</w:t>
            </w:r>
          </w:p>
        </w:tc>
        <w:tc>
          <w:tcPr>
            <w:tcW w:w="851" w:type="dxa"/>
            <w:vAlign w:val="center"/>
          </w:tcPr>
          <w:p>
            <w:pPr>
              <w:pStyle w:val="13"/>
              <w:rPr>
                <w:rFonts w:hint="eastAsia" w:ascii="宋体" w:hAnsi="宋体" w:eastAsia="宋体" w:cs="宋体"/>
                <w:color w:val="auto"/>
                <w:sz w:val="24"/>
                <w:szCs w:val="24"/>
                <w:highlight w:val="none"/>
                <w:lang w:eastAsia="zh-CN"/>
              </w:rPr>
            </w:pPr>
          </w:p>
        </w:tc>
        <w:tc>
          <w:tcPr>
            <w:tcW w:w="851" w:type="dxa"/>
            <w:vAlign w:val="center"/>
          </w:tcPr>
          <w:p>
            <w:pPr>
              <w:pStyle w:val="13"/>
              <w:rPr>
                <w:rFonts w:hint="eastAsia" w:ascii="宋体" w:hAnsi="宋体" w:eastAsia="宋体" w:cs="宋体"/>
                <w:color w:val="auto"/>
                <w:sz w:val="24"/>
                <w:szCs w:val="24"/>
                <w:highlight w:val="none"/>
                <w:lang w:eastAsia="zh-CN"/>
              </w:rPr>
            </w:pPr>
          </w:p>
        </w:tc>
        <w:tc>
          <w:tcPr>
            <w:tcW w:w="853" w:type="dxa"/>
            <w:vAlign w:val="center"/>
          </w:tcPr>
          <w:p>
            <w:pPr>
              <w:pStyle w:val="13"/>
              <w:rPr>
                <w:rFonts w:hint="eastAsia" w:ascii="宋体" w:hAnsi="宋体" w:eastAsia="宋体" w:cs="宋体"/>
                <w:color w:val="auto"/>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02" w:type="dxa"/>
            <w:vAlign w:val="center"/>
          </w:tcPr>
          <w:p>
            <w:pPr>
              <w:pStyle w:val="13"/>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5861" w:type="dxa"/>
            <w:vAlign w:val="center"/>
          </w:tcPr>
          <w:p>
            <w:pPr>
              <w:pStyle w:val="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外国或澳门、台湾的设计企业申请投标的，已按规定选择一家符合招标公告3.2条规定资质条件的国内企业进行合作设计。香港企业如不单独参加投标，也必须选择一家符合招标公告3.2条规定资质条件的国内企业进行合作设计。（需提供合作设计协议书）。</w:t>
            </w:r>
          </w:p>
        </w:tc>
        <w:tc>
          <w:tcPr>
            <w:tcW w:w="851" w:type="dxa"/>
            <w:vAlign w:val="center"/>
          </w:tcPr>
          <w:p>
            <w:pPr>
              <w:pStyle w:val="13"/>
              <w:rPr>
                <w:rFonts w:hint="eastAsia" w:ascii="宋体" w:hAnsi="宋体" w:eastAsia="宋体" w:cs="宋体"/>
                <w:color w:val="auto"/>
                <w:sz w:val="24"/>
                <w:szCs w:val="24"/>
                <w:highlight w:val="none"/>
                <w:lang w:eastAsia="zh-CN"/>
              </w:rPr>
            </w:pPr>
          </w:p>
        </w:tc>
        <w:tc>
          <w:tcPr>
            <w:tcW w:w="851" w:type="dxa"/>
            <w:vAlign w:val="center"/>
          </w:tcPr>
          <w:p>
            <w:pPr>
              <w:pStyle w:val="13"/>
              <w:rPr>
                <w:rFonts w:hint="eastAsia" w:ascii="宋体" w:hAnsi="宋体" w:eastAsia="宋体" w:cs="宋体"/>
                <w:color w:val="auto"/>
                <w:sz w:val="24"/>
                <w:szCs w:val="24"/>
                <w:highlight w:val="none"/>
                <w:lang w:eastAsia="zh-CN"/>
              </w:rPr>
            </w:pPr>
          </w:p>
        </w:tc>
        <w:tc>
          <w:tcPr>
            <w:tcW w:w="853" w:type="dxa"/>
            <w:vAlign w:val="center"/>
          </w:tcPr>
          <w:p>
            <w:pPr>
              <w:pStyle w:val="13"/>
              <w:rPr>
                <w:rFonts w:hint="eastAsia" w:ascii="宋体" w:hAnsi="宋体" w:eastAsia="宋体" w:cs="宋体"/>
                <w:color w:val="auto"/>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02" w:type="dxa"/>
            <w:vAlign w:val="center"/>
          </w:tcPr>
          <w:p>
            <w:pPr>
              <w:pStyle w:val="13"/>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p>
        </w:tc>
        <w:tc>
          <w:tcPr>
            <w:tcW w:w="5861" w:type="dxa"/>
            <w:vAlign w:val="center"/>
          </w:tcPr>
          <w:p>
            <w:pPr>
              <w:pStyle w:val="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投标人已在广州市住建行业信用管理平台建立企业信用档案，拟担任本招标项目项目负责人须是本企业信用档案中的在册人员，须提供相关上传件打印页。</w:t>
            </w:r>
          </w:p>
        </w:tc>
        <w:tc>
          <w:tcPr>
            <w:tcW w:w="851" w:type="dxa"/>
            <w:vAlign w:val="center"/>
          </w:tcPr>
          <w:p>
            <w:pPr>
              <w:pStyle w:val="13"/>
              <w:rPr>
                <w:rFonts w:hint="eastAsia" w:ascii="宋体" w:hAnsi="宋体" w:eastAsia="宋体" w:cs="宋体"/>
                <w:color w:val="auto"/>
                <w:sz w:val="24"/>
                <w:szCs w:val="24"/>
                <w:highlight w:val="none"/>
                <w:lang w:eastAsia="zh-CN"/>
              </w:rPr>
            </w:pPr>
          </w:p>
        </w:tc>
        <w:tc>
          <w:tcPr>
            <w:tcW w:w="851" w:type="dxa"/>
            <w:vAlign w:val="center"/>
          </w:tcPr>
          <w:p>
            <w:pPr>
              <w:pStyle w:val="13"/>
              <w:rPr>
                <w:rFonts w:hint="eastAsia" w:ascii="宋体" w:hAnsi="宋体" w:eastAsia="宋体" w:cs="宋体"/>
                <w:color w:val="auto"/>
                <w:sz w:val="24"/>
                <w:szCs w:val="24"/>
                <w:highlight w:val="none"/>
                <w:lang w:eastAsia="zh-CN"/>
              </w:rPr>
            </w:pPr>
          </w:p>
        </w:tc>
        <w:tc>
          <w:tcPr>
            <w:tcW w:w="853" w:type="dxa"/>
            <w:vAlign w:val="center"/>
          </w:tcPr>
          <w:p>
            <w:pPr>
              <w:pStyle w:val="13"/>
              <w:rPr>
                <w:rFonts w:hint="eastAsia" w:ascii="宋体" w:hAnsi="宋体" w:eastAsia="宋体" w:cs="宋体"/>
                <w:color w:val="auto"/>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02" w:type="dxa"/>
            <w:vAlign w:val="center"/>
          </w:tcPr>
          <w:p>
            <w:pPr>
              <w:pStyle w:val="13"/>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p>
        </w:tc>
        <w:tc>
          <w:tcPr>
            <w:tcW w:w="5861" w:type="dxa"/>
            <w:vAlign w:val="center"/>
          </w:tcPr>
          <w:p>
            <w:pPr>
              <w:pStyle w:val="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投标人拟派项目负责人资格满足招标公告规定。</w:t>
            </w:r>
          </w:p>
        </w:tc>
        <w:tc>
          <w:tcPr>
            <w:tcW w:w="851" w:type="dxa"/>
            <w:vAlign w:val="center"/>
          </w:tcPr>
          <w:p>
            <w:pPr>
              <w:pStyle w:val="13"/>
              <w:rPr>
                <w:rFonts w:hint="eastAsia" w:ascii="宋体" w:hAnsi="宋体" w:eastAsia="宋体" w:cs="宋体"/>
                <w:color w:val="auto"/>
                <w:sz w:val="24"/>
                <w:szCs w:val="24"/>
                <w:highlight w:val="none"/>
                <w:lang w:eastAsia="zh-CN"/>
              </w:rPr>
            </w:pPr>
          </w:p>
        </w:tc>
        <w:tc>
          <w:tcPr>
            <w:tcW w:w="851" w:type="dxa"/>
            <w:vAlign w:val="center"/>
          </w:tcPr>
          <w:p>
            <w:pPr>
              <w:pStyle w:val="13"/>
              <w:rPr>
                <w:rFonts w:hint="eastAsia" w:ascii="宋体" w:hAnsi="宋体" w:eastAsia="宋体" w:cs="宋体"/>
                <w:color w:val="auto"/>
                <w:sz w:val="24"/>
                <w:szCs w:val="24"/>
                <w:highlight w:val="none"/>
                <w:lang w:eastAsia="zh-CN"/>
              </w:rPr>
            </w:pPr>
          </w:p>
        </w:tc>
        <w:tc>
          <w:tcPr>
            <w:tcW w:w="853" w:type="dxa"/>
            <w:vAlign w:val="center"/>
          </w:tcPr>
          <w:p>
            <w:pPr>
              <w:pStyle w:val="13"/>
              <w:rPr>
                <w:rFonts w:hint="eastAsia" w:ascii="宋体" w:hAnsi="宋体" w:eastAsia="宋体" w:cs="宋体"/>
                <w:color w:val="auto"/>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02" w:type="dxa"/>
            <w:vAlign w:val="center"/>
          </w:tcPr>
          <w:p>
            <w:pPr>
              <w:pStyle w:val="13"/>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p>
        </w:tc>
        <w:tc>
          <w:tcPr>
            <w:tcW w:w="5861" w:type="dxa"/>
            <w:vAlign w:val="center"/>
          </w:tcPr>
          <w:p>
            <w:pPr>
              <w:pStyle w:val="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本项目不接受联合体投标。</w:t>
            </w:r>
          </w:p>
        </w:tc>
        <w:tc>
          <w:tcPr>
            <w:tcW w:w="851" w:type="dxa"/>
            <w:vAlign w:val="center"/>
          </w:tcPr>
          <w:p>
            <w:pPr>
              <w:pStyle w:val="13"/>
              <w:rPr>
                <w:rFonts w:hint="eastAsia" w:ascii="宋体" w:hAnsi="宋体" w:eastAsia="宋体" w:cs="宋体"/>
                <w:color w:val="auto"/>
                <w:sz w:val="24"/>
                <w:szCs w:val="24"/>
                <w:highlight w:val="none"/>
                <w:lang w:eastAsia="zh-CN"/>
              </w:rPr>
            </w:pPr>
          </w:p>
        </w:tc>
        <w:tc>
          <w:tcPr>
            <w:tcW w:w="851" w:type="dxa"/>
            <w:vAlign w:val="center"/>
          </w:tcPr>
          <w:p>
            <w:pPr>
              <w:pStyle w:val="13"/>
              <w:rPr>
                <w:rFonts w:hint="eastAsia" w:ascii="宋体" w:hAnsi="宋体" w:eastAsia="宋体" w:cs="宋体"/>
                <w:color w:val="auto"/>
                <w:sz w:val="24"/>
                <w:szCs w:val="24"/>
                <w:highlight w:val="none"/>
                <w:lang w:eastAsia="zh-CN"/>
              </w:rPr>
            </w:pPr>
          </w:p>
        </w:tc>
        <w:tc>
          <w:tcPr>
            <w:tcW w:w="853" w:type="dxa"/>
            <w:vAlign w:val="center"/>
          </w:tcPr>
          <w:p>
            <w:pPr>
              <w:pStyle w:val="13"/>
              <w:rPr>
                <w:rFonts w:hint="eastAsia" w:ascii="宋体" w:hAnsi="宋体" w:eastAsia="宋体" w:cs="宋体"/>
                <w:color w:val="auto"/>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02" w:type="dxa"/>
            <w:vAlign w:val="center"/>
          </w:tcPr>
          <w:p>
            <w:pPr>
              <w:pStyle w:val="13"/>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861" w:type="dxa"/>
            <w:vAlign w:val="center"/>
          </w:tcPr>
          <w:p>
            <w:pPr>
              <w:pStyle w:val="11"/>
              <w:spacing w:line="360" w:lineRule="auto"/>
              <w:ind w:lef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未被列入拖欠农民工工资失信联合惩戒对象名单（按广州公共资源交易中心交易系统比对结果进行评审 ）</w:t>
            </w:r>
          </w:p>
        </w:tc>
        <w:tc>
          <w:tcPr>
            <w:tcW w:w="851" w:type="dxa"/>
            <w:vAlign w:val="center"/>
          </w:tcPr>
          <w:p>
            <w:pPr>
              <w:pStyle w:val="13"/>
              <w:rPr>
                <w:rFonts w:hint="eastAsia" w:ascii="宋体" w:hAnsi="宋体" w:eastAsia="宋体" w:cs="宋体"/>
                <w:color w:val="auto"/>
                <w:sz w:val="24"/>
                <w:szCs w:val="24"/>
                <w:highlight w:val="none"/>
                <w:lang w:eastAsia="zh-CN"/>
              </w:rPr>
            </w:pPr>
          </w:p>
        </w:tc>
        <w:tc>
          <w:tcPr>
            <w:tcW w:w="851" w:type="dxa"/>
            <w:vAlign w:val="center"/>
          </w:tcPr>
          <w:p>
            <w:pPr>
              <w:pStyle w:val="13"/>
              <w:rPr>
                <w:rFonts w:hint="eastAsia" w:ascii="宋体" w:hAnsi="宋体" w:eastAsia="宋体" w:cs="宋体"/>
                <w:color w:val="auto"/>
                <w:sz w:val="24"/>
                <w:szCs w:val="24"/>
                <w:highlight w:val="none"/>
                <w:lang w:eastAsia="zh-CN"/>
              </w:rPr>
            </w:pPr>
          </w:p>
        </w:tc>
        <w:tc>
          <w:tcPr>
            <w:tcW w:w="853" w:type="dxa"/>
            <w:vAlign w:val="center"/>
          </w:tcPr>
          <w:p>
            <w:pPr>
              <w:pStyle w:val="13"/>
              <w:rPr>
                <w:rFonts w:hint="eastAsia" w:ascii="宋体" w:hAnsi="宋体" w:eastAsia="宋体" w:cs="宋体"/>
                <w:color w:val="auto"/>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02" w:type="dxa"/>
            <w:vAlign w:val="center"/>
          </w:tcPr>
          <w:p>
            <w:pPr>
              <w:pStyle w:val="13"/>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5861" w:type="dxa"/>
            <w:vAlign w:val="center"/>
          </w:tcPr>
          <w:p>
            <w:pPr>
              <w:pStyle w:val="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投标人没有招标文件第二章第1.4.3项规定的任何一种情形（根据《投标人声明》进行评审），投标人须按《投标人声明》规定的格式填写并加盖投标人章）。</w:t>
            </w:r>
          </w:p>
        </w:tc>
        <w:tc>
          <w:tcPr>
            <w:tcW w:w="851" w:type="dxa"/>
            <w:vAlign w:val="center"/>
          </w:tcPr>
          <w:p>
            <w:pPr>
              <w:pStyle w:val="13"/>
              <w:rPr>
                <w:rFonts w:hint="eastAsia" w:ascii="宋体" w:hAnsi="宋体" w:eastAsia="宋体" w:cs="宋体"/>
                <w:color w:val="auto"/>
                <w:sz w:val="24"/>
                <w:szCs w:val="24"/>
                <w:highlight w:val="none"/>
                <w:lang w:eastAsia="zh-CN"/>
              </w:rPr>
            </w:pPr>
          </w:p>
        </w:tc>
        <w:tc>
          <w:tcPr>
            <w:tcW w:w="851" w:type="dxa"/>
            <w:vAlign w:val="center"/>
          </w:tcPr>
          <w:p>
            <w:pPr>
              <w:pStyle w:val="13"/>
              <w:rPr>
                <w:rFonts w:hint="eastAsia" w:ascii="宋体" w:hAnsi="宋体" w:eastAsia="宋体" w:cs="宋体"/>
                <w:color w:val="auto"/>
                <w:sz w:val="24"/>
                <w:szCs w:val="24"/>
                <w:highlight w:val="none"/>
                <w:lang w:eastAsia="zh-CN"/>
              </w:rPr>
            </w:pPr>
          </w:p>
        </w:tc>
        <w:tc>
          <w:tcPr>
            <w:tcW w:w="853" w:type="dxa"/>
            <w:vAlign w:val="center"/>
          </w:tcPr>
          <w:p>
            <w:pPr>
              <w:pStyle w:val="13"/>
              <w:rPr>
                <w:rFonts w:hint="eastAsia" w:ascii="宋体" w:hAnsi="宋体" w:eastAsia="宋体" w:cs="宋体"/>
                <w:color w:val="auto"/>
                <w:sz w:val="24"/>
                <w:szCs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2" w:type="dxa"/>
            <w:vAlign w:val="center"/>
          </w:tcPr>
          <w:p>
            <w:pPr>
              <w:pStyle w:val="13"/>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结论</w:t>
            </w:r>
          </w:p>
        </w:tc>
        <w:tc>
          <w:tcPr>
            <w:tcW w:w="5861" w:type="dxa"/>
            <w:vAlign w:val="center"/>
          </w:tcPr>
          <w:p>
            <w:pPr>
              <w:pStyle w:val="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是否通过并进入下一阶段评审</w:t>
            </w:r>
          </w:p>
        </w:tc>
        <w:tc>
          <w:tcPr>
            <w:tcW w:w="851" w:type="dxa"/>
            <w:vAlign w:val="center"/>
          </w:tcPr>
          <w:p>
            <w:pPr>
              <w:pStyle w:val="13"/>
              <w:jc w:val="center"/>
              <w:rPr>
                <w:rFonts w:hint="eastAsia" w:ascii="宋体" w:hAnsi="宋体" w:eastAsia="宋体" w:cs="宋体"/>
                <w:b/>
                <w:bCs/>
                <w:color w:val="auto"/>
                <w:sz w:val="24"/>
                <w:szCs w:val="24"/>
                <w:highlight w:val="none"/>
                <w:lang w:eastAsia="zh-CN"/>
              </w:rPr>
            </w:pPr>
          </w:p>
        </w:tc>
        <w:tc>
          <w:tcPr>
            <w:tcW w:w="851" w:type="dxa"/>
            <w:vAlign w:val="center"/>
          </w:tcPr>
          <w:p>
            <w:pPr>
              <w:pStyle w:val="13"/>
              <w:jc w:val="center"/>
              <w:rPr>
                <w:rFonts w:hint="eastAsia" w:ascii="宋体" w:hAnsi="宋体" w:eastAsia="宋体" w:cs="宋体"/>
                <w:b/>
                <w:bCs/>
                <w:color w:val="auto"/>
                <w:sz w:val="24"/>
                <w:szCs w:val="24"/>
                <w:highlight w:val="none"/>
                <w:lang w:eastAsia="zh-CN"/>
              </w:rPr>
            </w:pPr>
          </w:p>
        </w:tc>
        <w:tc>
          <w:tcPr>
            <w:tcW w:w="853" w:type="dxa"/>
            <w:vAlign w:val="center"/>
          </w:tcPr>
          <w:p>
            <w:pPr>
              <w:pStyle w:val="13"/>
              <w:jc w:val="center"/>
              <w:rPr>
                <w:rFonts w:hint="eastAsia" w:ascii="宋体" w:hAnsi="宋体" w:eastAsia="宋体" w:cs="宋体"/>
                <w:b/>
                <w:bCs/>
                <w:color w:val="auto"/>
                <w:sz w:val="24"/>
                <w:szCs w:val="24"/>
                <w:highlight w:val="none"/>
                <w:lang w:eastAsia="zh-CN"/>
              </w:rPr>
            </w:pPr>
          </w:p>
        </w:tc>
      </w:tr>
    </w:tbl>
    <w:p>
      <w:pPr>
        <w:pStyle w:val="13"/>
        <w:rPr>
          <w:rFonts w:hint="eastAsia" w:ascii="宋体" w:hAnsi="宋体" w:eastAsia="宋体" w:cs="宋体"/>
          <w:color w:val="auto"/>
          <w:sz w:val="24"/>
          <w:szCs w:val="24"/>
          <w:highlight w:val="none"/>
          <w:lang w:eastAsia="zh-CN"/>
        </w:rPr>
      </w:pPr>
    </w:p>
    <w:p>
      <w:pPr>
        <w:snapToGrid w:val="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备注：1、根据本表的审查项目，填“通过”或“不通过”。对于序号3，非“外国或澳门、台湾的设计企业和香港不单独参加投标的设计企业”，该评审项用“通过”表示。</w:t>
      </w:r>
    </w:p>
    <w:p>
      <w:pPr>
        <w:snapToGrid w:val="0"/>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2、表中出现一个或以上“不通过”，即该投标人的评审“结论”为“不通过”。</w:t>
      </w:r>
    </w:p>
    <w:p>
      <w:pPr>
        <w:snapToGrid w:val="0"/>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3、表中全部评审结果为“通过”，即该投标人的评审“结论”为“通过”。</w:t>
      </w:r>
    </w:p>
    <w:p>
      <w:pPr>
        <w:snapToGrid w:val="0"/>
        <w:ind w:left="0"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评委签名：                     日期</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before="7"/>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p>
    <w:p>
      <w:pPr>
        <w:pStyle w:val="5"/>
        <w:spacing w:line="360" w:lineRule="auto"/>
        <w:ind w:right="44"/>
        <w:rPr>
          <w:rFonts w:hint="eastAsia" w:ascii="宋体" w:hAnsi="宋体" w:eastAsia="宋体" w:cs="宋体"/>
          <w:color w:val="auto"/>
          <w:sz w:val="24"/>
          <w:szCs w:val="24"/>
          <w:highlight w:val="none"/>
        </w:rPr>
      </w:pPr>
      <w:bookmarkStart w:id="17" w:name="_Toc18465"/>
      <w:r>
        <w:rPr>
          <w:rFonts w:hint="eastAsia" w:ascii="宋体" w:hAnsi="宋体" w:eastAsia="宋体" w:cs="宋体"/>
          <w:color w:val="auto"/>
          <w:highlight w:val="none"/>
        </w:rPr>
        <w:t>1. 评标方法</w:t>
      </w:r>
      <w:bookmarkEnd w:id="17"/>
    </w:p>
    <w:p>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本次评标采用综合评估法。评标委员会对满足招标文件实质性要求的投标文件，按照本章第2.2款规定的评分标准进行打分，并按得分由高到低顺序推荐前三名为中标候选人，</w:t>
      </w:r>
      <w:r>
        <w:rPr>
          <w:rFonts w:hint="eastAsia" w:ascii="宋体" w:hAnsi="宋体" w:eastAsia="宋体" w:cs="宋体"/>
          <w:color w:val="auto"/>
          <w:sz w:val="24"/>
          <w:szCs w:val="24"/>
          <w:u w:val="single"/>
        </w:rPr>
        <w:t>综合评分（总得分）相同的，以技术文件（设计方案）得分高的排前；技术文件（设计方案）得分也相同的，以商务文件得分高的排前；若商务文件得分仍相同的，以投标报价较低的排前；如仍存在相同情况，则对具有相同情况的投标人，由评标委员会采用记名投票方式，确定投标人最终名次的排序。</w:t>
      </w:r>
    </w:p>
    <w:p>
      <w:pPr>
        <w:pStyle w:val="5"/>
        <w:spacing w:line="360" w:lineRule="auto"/>
        <w:ind w:right="44"/>
        <w:rPr>
          <w:rFonts w:hint="eastAsia" w:ascii="宋体" w:hAnsi="宋体" w:eastAsia="宋体" w:cs="宋体"/>
          <w:color w:val="auto"/>
          <w:sz w:val="24"/>
          <w:szCs w:val="24"/>
          <w:highlight w:val="none"/>
        </w:rPr>
      </w:pPr>
      <w:bookmarkStart w:id="18" w:name="_Toc8909"/>
      <w:r>
        <w:rPr>
          <w:rFonts w:hint="eastAsia" w:ascii="宋体" w:hAnsi="宋体" w:eastAsia="宋体" w:cs="宋体"/>
          <w:color w:val="auto"/>
          <w:highlight w:val="none"/>
        </w:rPr>
        <w:t>2. 评审标准</w:t>
      </w:r>
      <w:bookmarkEnd w:id="18"/>
    </w:p>
    <w:p>
      <w:pPr>
        <w:pStyle w:val="6"/>
        <w:spacing w:line="360" w:lineRule="auto"/>
        <w:ind w:right="44"/>
        <w:rPr>
          <w:rFonts w:hint="eastAsia" w:ascii="宋体" w:hAnsi="宋体" w:eastAsia="宋体" w:cs="宋体"/>
          <w:color w:val="auto"/>
          <w:highlight w:val="none"/>
        </w:rPr>
      </w:pPr>
      <w:r>
        <w:rPr>
          <w:rFonts w:hint="eastAsia" w:ascii="宋体" w:hAnsi="宋体" w:eastAsia="宋体" w:cs="宋体"/>
          <w:color w:val="auto"/>
          <w:highlight w:val="none"/>
        </w:rPr>
        <w:t>2.1初步评审标准</w:t>
      </w:r>
    </w:p>
    <w:p>
      <w:pPr>
        <w:spacing w:line="360" w:lineRule="auto"/>
        <w:ind w:firstLine="482" w:firstLineChars="200"/>
        <w:jc w:val="left"/>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2.1 初步评审标准</w:t>
      </w:r>
    </w:p>
    <w:p>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2.1.1 商务文件形式评审标准：见评标办法前附表。</w:t>
      </w:r>
    </w:p>
    <w:p>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2.1.2 资格评审标准：见附件二</w:t>
      </w:r>
      <w:r>
        <w:rPr>
          <w:rFonts w:hint="eastAsia" w:ascii="宋体" w:hAnsi="宋体" w:eastAsia="宋体" w:cs="宋体"/>
          <w:color w:val="auto"/>
          <w:sz w:val="24"/>
          <w:szCs w:val="24"/>
          <w:u w:val="single"/>
          <w:lang w:val="en-US" w:eastAsia="zh-CN"/>
        </w:rPr>
        <w:t xml:space="preserve"> 《资格审查表》</w:t>
      </w:r>
      <w:r>
        <w:rPr>
          <w:rFonts w:hint="eastAsia" w:ascii="宋体" w:hAnsi="宋体" w:eastAsia="宋体" w:cs="宋体"/>
          <w:color w:val="auto"/>
          <w:sz w:val="24"/>
          <w:szCs w:val="24"/>
          <w:u w:val="single"/>
        </w:rPr>
        <w:t>。</w:t>
      </w:r>
    </w:p>
    <w:p>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2.1.3 商务文件响应性评审标准：见评标办法前附表。</w:t>
      </w:r>
    </w:p>
    <w:p>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2.1.4 技术文件（设计方案）</w:t>
      </w:r>
      <w:r>
        <w:rPr>
          <w:rFonts w:hint="eastAsia" w:ascii="宋体" w:hAnsi="宋体" w:eastAsia="宋体" w:cs="宋体"/>
          <w:b/>
          <w:color w:val="auto"/>
          <w:sz w:val="24"/>
          <w:szCs w:val="24"/>
          <w:highlight w:val="none"/>
          <w:u w:val="single"/>
        </w:rPr>
        <w:t>（暗标）</w:t>
      </w:r>
      <w:r>
        <w:rPr>
          <w:rFonts w:hint="eastAsia" w:ascii="宋体" w:hAnsi="宋体" w:eastAsia="宋体" w:cs="宋体"/>
          <w:color w:val="auto"/>
          <w:sz w:val="24"/>
          <w:szCs w:val="24"/>
          <w:highlight w:val="none"/>
          <w:u w:val="single"/>
        </w:rPr>
        <w:t>初步评</w:t>
      </w:r>
      <w:r>
        <w:rPr>
          <w:rFonts w:hint="eastAsia" w:ascii="宋体" w:hAnsi="宋体" w:eastAsia="宋体" w:cs="宋体"/>
          <w:color w:val="auto"/>
          <w:sz w:val="24"/>
          <w:szCs w:val="24"/>
          <w:u w:val="single"/>
        </w:rPr>
        <w:t>审标准：见评标办法前附表。</w:t>
      </w:r>
    </w:p>
    <w:p>
      <w:pPr>
        <w:spacing w:line="360" w:lineRule="auto"/>
        <w:ind w:firstLine="482" w:firstLineChars="200"/>
        <w:jc w:val="left"/>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2.2 分值构成与评分标准</w:t>
      </w:r>
    </w:p>
    <w:p>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2.2.1 分值构成</w:t>
      </w:r>
    </w:p>
    <w:p>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（1）商务文件部分：</w:t>
      </w:r>
      <w:r>
        <w:rPr>
          <w:rFonts w:hint="eastAsia" w:ascii="宋体" w:hAnsi="宋体" w:eastAsia="宋体" w:cs="宋体"/>
          <w:color w:val="auto"/>
          <w:sz w:val="24"/>
          <w:szCs w:val="24"/>
          <w:highlight w:val="none"/>
          <w:u w:val="single"/>
        </w:rPr>
        <w:t>详</w:t>
      </w:r>
      <w:r>
        <w:rPr>
          <w:rFonts w:hint="eastAsia" w:ascii="宋体" w:hAnsi="宋体" w:eastAsia="宋体" w:cs="宋体"/>
          <w:color w:val="auto"/>
          <w:sz w:val="24"/>
          <w:szCs w:val="24"/>
          <w:u w:val="single"/>
        </w:rPr>
        <w:t>见附表一：《商务文件综合评分表》；</w:t>
      </w:r>
    </w:p>
    <w:p>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（2）技术文件（设计方案）部分：</w:t>
      </w:r>
      <w:r>
        <w:rPr>
          <w:rFonts w:hint="eastAsia" w:ascii="宋体" w:hAnsi="宋体" w:eastAsia="宋体" w:cs="宋体"/>
          <w:color w:val="auto"/>
          <w:sz w:val="24"/>
          <w:szCs w:val="24"/>
          <w:highlight w:val="none"/>
          <w:u w:val="single"/>
        </w:rPr>
        <w:t>详见附表二：《技术文件综合评分表》</w:t>
      </w:r>
      <w:r>
        <w:rPr>
          <w:rFonts w:hint="eastAsia" w:ascii="宋体" w:hAnsi="宋体" w:eastAsia="宋体" w:cs="宋体"/>
          <w:color w:val="auto"/>
          <w:sz w:val="24"/>
          <w:szCs w:val="24"/>
          <w:u w:val="single"/>
        </w:rPr>
        <w:t>；</w:t>
      </w:r>
    </w:p>
    <w:p>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投标人综合得分=商务部分得分*权重（</w:t>
      </w:r>
      <w:r>
        <w:rPr>
          <w:rFonts w:hint="eastAsia" w:ascii="宋体" w:hAnsi="宋体" w:cs="宋体"/>
          <w:color w:val="auto"/>
          <w:sz w:val="24"/>
          <w:szCs w:val="24"/>
          <w:u w:val="single"/>
          <w:lang w:val="en-US" w:eastAsia="zh-CN"/>
        </w:rPr>
        <w:t>100</w:t>
      </w:r>
      <w:r>
        <w:rPr>
          <w:rFonts w:hint="eastAsia" w:ascii="宋体" w:hAnsi="宋体" w:eastAsia="宋体" w:cs="宋体"/>
          <w:color w:val="auto"/>
          <w:sz w:val="24"/>
          <w:szCs w:val="24"/>
          <w:u w:val="single"/>
        </w:rPr>
        <w:t>%）+技术部分得分*权重（</w:t>
      </w:r>
      <w:r>
        <w:rPr>
          <w:rFonts w:hint="eastAsia" w:ascii="宋体" w:hAnsi="宋体" w:cs="宋体"/>
          <w:color w:val="auto"/>
          <w:sz w:val="24"/>
          <w:szCs w:val="24"/>
          <w:u w:val="single"/>
          <w:lang w:val="en-US" w:eastAsia="zh-CN"/>
        </w:rPr>
        <w:t>100</w:t>
      </w:r>
      <w:r>
        <w:rPr>
          <w:rFonts w:hint="eastAsia" w:ascii="宋体" w:hAnsi="宋体" w:eastAsia="宋体" w:cs="宋体"/>
          <w:color w:val="auto"/>
          <w:sz w:val="24"/>
          <w:szCs w:val="24"/>
          <w:u w:val="single"/>
        </w:rPr>
        <w:t>%）+投标报价得分*权重（</w:t>
      </w:r>
      <w:r>
        <w:rPr>
          <w:rFonts w:hint="eastAsia" w:ascii="宋体" w:hAnsi="宋体" w:cs="宋体"/>
          <w:color w:val="auto"/>
          <w:sz w:val="24"/>
          <w:szCs w:val="24"/>
          <w:u w:val="single"/>
          <w:lang w:val="en-US" w:eastAsia="zh-CN"/>
        </w:rPr>
        <w:t>100</w:t>
      </w:r>
      <w:r>
        <w:rPr>
          <w:rFonts w:hint="eastAsia" w:ascii="宋体" w:hAnsi="宋体" w:eastAsia="宋体" w:cs="宋体"/>
          <w:color w:val="auto"/>
          <w:sz w:val="24"/>
          <w:szCs w:val="24"/>
          <w:u w:val="single"/>
        </w:rPr>
        <w:t>%）</w:t>
      </w:r>
    </w:p>
    <w:p>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2.2.2 评分标准</w:t>
      </w:r>
    </w:p>
    <w:p>
      <w:pPr>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（1）商务文件评分标准：见评标办法前附表；</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（2）技术文件（设计方案）评分标准：见评标办法前附表；</w:t>
      </w:r>
    </w:p>
    <w:p>
      <w:pPr>
        <w:pStyle w:val="5"/>
        <w:spacing w:line="360" w:lineRule="auto"/>
        <w:ind w:right="44"/>
        <w:jc w:val="left"/>
        <w:rPr>
          <w:rFonts w:hint="eastAsia" w:ascii="宋体" w:hAnsi="宋体" w:eastAsia="宋体" w:cs="宋体"/>
          <w:color w:val="auto"/>
          <w:sz w:val="24"/>
          <w:szCs w:val="24"/>
          <w:highlight w:val="none"/>
        </w:rPr>
      </w:pPr>
      <w:bookmarkStart w:id="19" w:name="_Toc1873"/>
      <w:r>
        <w:rPr>
          <w:rFonts w:hint="eastAsia" w:ascii="宋体" w:hAnsi="宋体" w:eastAsia="宋体" w:cs="宋体"/>
          <w:color w:val="auto"/>
          <w:sz w:val="24"/>
          <w:szCs w:val="24"/>
          <w:highlight w:val="none"/>
        </w:rPr>
        <w:t>3. 评标程序</w:t>
      </w:r>
      <w:bookmarkEnd w:id="1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评标活动将按以下步骤进行：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（1）商务文件初步评审（含商务文件形式评审、商务文件响应性评审）及资格评审；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（2）商务文件详细评审；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（3）技术文件（设计方案）初步评审；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（4）技术文件（设计方案）详细评审；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（5）揭晓技术文件（设计方案）评审结果；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（6）汇总投标人总得分；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（7）推荐中标候选人，提交评标报告。</w:t>
      </w:r>
    </w:p>
    <w:p>
      <w:pPr>
        <w:spacing w:line="360" w:lineRule="auto"/>
        <w:ind w:firstLine="424" w:firstLineChars="202"/>
        <w:rPr>
          <w:rFonts w:hint="eastAsia" w:ascii="宋体" w:hAnsi="宋体" w:eastAsia="宋体" w:cs="宋体"/>
          <w:color w:val="auto"/>
        </w:rPr>
      </w:pPr>
    </w:p>
    <w:p>
      <w:pPr>
        <w:pStyle w:val="5"/>
        <w:rPr>
          <w:rFonts w:hint="eastAsia" w:ascii="宋体" w:hAnsi="宋体" w:eastAsia="宋体" w:cs="宋体"/>
          <w:color w:val="auto"/>
        </w:rPr>
      </w:pPr>
      <w:bookmarkStart w:id="20" w:name="_Toc111186791"/>
      <w:bookmarkStart w:id="21" w:name="_Toc140481878"/>
      <w:r>
        <w:rPr>
          <w:rFonts w:hint="eastAsia" w:ascii="宋体" w:hAnsi="宋体" w:eastAsia="宋体" w:cs="宋体"/>
          <w:color w:val="auto"/>
        </w:rPr>
        <w:t xml:space="preserve">3.1 </w:t>
      </w:r>
      <w:bookmarkEnd w:id="20"/>
      <w:r>
        <w:rPr>
          <w:rFonts w:hint="eastAsia" w:ascii="宋体" w:hAnsi="宋体" w:eastAsia="宋体" w:cs="宋体"/>
          <w:color w:val="auto"/>
        </w:rPr>
        <w:t>商务文件形式评审、资格评审、商务文件响应性评审</w:t>
      </w:r>
      <w:bookmarkEnd w:id="21"/>
    </w:p>
    <w:p>
      <w:pPr>
        <w:pStyle w:val="11"/>
        <w:keepNext w:val="0"/>
        <w:keepLines w:val="0"/>
        <w:pageBreakBefore w:val="0"/>
        <w:widowControl w:val="0"/>
        <w:pBdr>
          <w:top w:val="none" w:color="auto" w:sz="0" w:space="0"/>
        </w:pBdr>
        <w:kinsoku w:val="0"/>
        <w:wordWrap/>
        <w:overflowPunct w:val="0"/>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b w:val="0"/>
          <w:color w:val="auto"/>
          <w:spacing w:val="-2"/>
          <w:sz w:val="24"/>
          <w:szCs w:val="24"/>
          <w:u w:val="single"/>
        </w:rPr>
      </w:pPr>
      <w:r>
        <w:rPr>
          <w:rFonts w:hint="eastAsia" w:ascii="宋体" w:hAnsi="宋体" w:eastAsia="宋体" w:cs="宋体"/>
          <w:b w:val="0"/>
          <w:color w:val="auto"/>
          <w:sz w:val="24"/>
          <w:szCs w:val="24"/>
          <w:u w:val="single"/>
        </w:rPr>
        <w:t>3.1.1 评标委员会如认为有必要，可以要求投标人提交第二章“投标人须知”规定的有关证明和证件的原件，以便核验。评标委员会依据本章第2.1款规定的标准依次对投标人进行商务文件形式评审、资格评审、商务文件响应性评审。有一项不符合评审标准的，评标委员会应当否决其投标，未能通过评审的投标人，其投标不再参与后续的评审程序。当通过评审的有效投标人不足3名时为招标失败。如果有否决投标提议，则评标委员会成员共同表决，按照少数服从多数的原则决定是否否决其投标。</w:t>
      </w:r>
      <w:r>
        <w:rPr>
          <w:rFonts w:hint="eastAsia" w:ascii="宋体" w:hAnsi="宋体" w:eastAsia="宋体" w:cs="宋体"/>
          <w:b/>
          <w:bCs/>
          <w:color w:val="auto"/>
          <w:sz w:val="24"/>
          <w:szCs w:val="24"/>
          <w:u w:val="single"/>
        </w:rPr>
        <w:t>不得将文件顺序、明显的文字错误等列为否决投标的情形。评委发现投标文件中含义不明确、对同类问题表述不一致、有明显文字和计算错误的，应当要求投标人作必要的澄清、说明后再判定投标人是否通过评审，不得直接否决投标。</w:t>
      </w:r>
    </w:p>
    <w:p>
      <w:pPr>
        <w:keepNext w:val="0"/>
        <w:keepLines w:val="0"/>
        <w:pageBreakBefore w:val="0"/>
        <w:widowControl w:val="0"/>
        <w:wordWrap/>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3.1.1.1 商务文件形式评审：</w:t>
      </w:r>
    </w:p>
    <w:p>
      <w:pPr>
        <w:keepNext w:val="0"/>
        <w:keepLines w:val="0"/>
        <w:pageBreakBefore w:val="0"/>
        <w:widowControl w:val="0"/>
        <w:wordWrap/>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评标委员会根据评标办法前附表中规定的评审因素和评审标准，对投标人的商务文件进行形式评审。</w:t>
      </w:r>
    </w:p>
    <w:p>
      <w:pPr>
        <w:keepNext w:val="0"/>
        <w:keepLines w:val="0"/>
        <w:pageBreakBefore w:val="0"/>
        <w:widowControl w:val="0"/>
        <w:wordWrap/>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3.1.1.2 资格评审：</w:t>
      </w:r>
    </w:p>
    <w:p>
      <w:pPr>
        <w:keepNext w:val="0"/>
        <w:keepLines w:val="0"/>
        <w:pageBreakBefore w:val="0"/>
        <w:widowControl w:val="0"/>
        <w:wordWrap/>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评标委员会根据评标办法前附表中的规定的评审因素和评审标准，对投标人的资格审查文件进行资格评审。</w:t>
      </w:r>
    </w:p>
    <w:p>
      <w:pPr>
        <w:keepNext w:val="0"/>
        <w:keepLines w:val="0"/>
        <w:pageBreakBefore w:val="0"/>
        <w:widowControl w:val="0"/>
        <w:wordWrap/>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3.1.1.3 商务文件响应性评审：</w:t>
      </w:r>
    </w:p>
    <w:p>
      <w:pPr>
        <w:keepNext w:val="0"/>
        <w:keepLines w:val="0"/>
        <w:pageBreakBefore w:val="0"/>
        <w:widowControl w:val="0"/>
        <w:wordWrap/>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评标委员会根据评标办法前附表中规定的评审因素和评审标准，对投标人的商务文件进行响应性评审。</w:t>
      </w:r>
    </w:p>
    <w:p>
      <w:pPr>
        <w:keepNext w:val="0"/>
        <w:keepLines w:val="0"/>
        <w:pageBreakBefore w:val="0"/>
        <w:widowControl w:val="0"/>
        <w:wordWrap/>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3.1.2 投标人有以下情形之一的，评标委员会应当否决其投标：</w:t>
      </w:r>
    </w:p>
    <w:p>
      <w:pPr>
        <w:keepNext w:val="0"/>
        <w:keepLines w:val="0"/>
        <w:pageBreakBefore w:val="0"/>
        <w:widowControl w:val="0"/>
        <w:wordWrap/>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（1）投标文件没有对招标文件的实质性要求和条件作出响应，或者对招标文件的偏差超出招标文件规定的偏差范围或最高项数；</w:t>
      </w:r>
    </w:p>
    <w:p>
      <w:pPr>
        <w:keepNext w:val="0"/>
        <w:keepLines w:val="0"/>
        <w:pageBreakBefore w:val="0"/>
        <w:widowControl w:val="0"/>
        <w:wordWrap/>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（2）有串通投标、弄虚作假、行贿等违法行为。</w:t>
      </w:r>
    </w:p>
    <w:p>
      <w:pPr>
        <w:keepNext w:val="0"/>
        <w:keepLines w:val="0"/>
        <w:pageBreakBefore w:val="0"/>
        <w:widowControl w:val="0"/>
        <w:wordWrap/>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（3）评标办法规定的其他应当否决其投标的情形。</w:t>
      </w:r>
    </w:p>
    <w:p>
      <w:pPr>
        <w:keepNext w:val="0"/>
        <w:keepLines w:val="0"/>
        <w:pageBreakBefore w:val="0"/>
        <w:widowControl w:val="0"/>
        <w:wordWrap/>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3.1.3 投标报价有算术错误及其他错误的，评标委员会按以下原则要求投标人对投标报价进行修正，并要求投标人书面澄清确认。投标人拒不澄清确认的，投标人拒不接受的，评标委员会应当否决其投标：</w:t>
      </w:r>
    </w:p>
    <w:p>
      <w:pPr>
        <w:keepNext w:val="0"/>
        <w:keepLines w:val="0"/>
        <w:pageBreakBefore w:val="0"/>
        <w:widowControl w:val="0"/>
        <w:wordWrap/>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（1）投标文件中的大写金额与小写金额不一致的，以大写金额为准；</w:t>
      </w:r>
    </w:p>
    <w:p>
      <w:pPr>
        <w:keepNext w:val="0"/>
        <w:keepLines w:val="0"/>
        <w:pageBreakBefore w:val="0"/>
        <w:widowControl w:val="0"/>
        <w:wordWrap/>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Cs w:val="21"/>
          <w:u w:val="single"/>
        </w:rPr>
      </w:pPr>
      <w:r>
        <w:rPr>
          <w:rFonts w:hint="eastAsia" w:ascii="宋体" w:hAnsi="宋体" w:eastAsia="宋体" w:cs="宋体"/>
          <w:color w:val="auto"/>
          <w:sz w:val="24"/>
          <w:szCs w:val="24"/>
          <w:u w:val="single"/>
        </w:rPr>
        <w:t>（2）总价金额与单价金额不一致的，以单价金额为准，但单价金额小数点有明显错误的除外。</w:t>
      </w:r>
    </w:p>
    <w:p>
      <w:pPr>
        <w:pStyle w:val="11"/>
        <w:pBdr>
          <w:top w:val="none" w:color="auto" w:sz="0" w:space="0"/>
        </w:pBdr>
        <w:kinsoku w:val="0"/>
        <w:overflowPunct w:val="0"/>
        <w:spacing w:before="107" w:line="360" w:lineRule="auto"/>
        <w:ind w:right="108" w:firstLine="420" w:firstLineChars="200"/>
        <w:rPr>
          <w:rFonts w:hint="eastAsia" w:ascii="宋体" w:hAnsi="宋体" w:eastAsia="宋体" w:cs="宋体"/>
          <w:color w:val="auto"/>
          <w:szCs w:val="21"/>
        </w:rPr>
      </w:pPr>
    </w:p>
    <w:p>
      <w:pPr>
        <w:pStyle w:val="5"/>
        <w:rPr>
          <w:rFonts w:hint="eastAsia" w:ascii="宋体" w:hAnsi="宋体" w:eastAsia="宋体" w:cs="宋体"/>
          <w:color w:val="auto"/>
        </w:rPr>
      </w:pPr>
      <w:bookmarkStart w:id="22" w:name="_Toc111186792"/>
      <w:bookmarkStart w:id="23" w:name="_Toc140481879"/>
      <w:r>
        <w:rPr>
          <w:rFonts w:hint="eastAsia" w:ascii="宋体" w:hAnsi="宋体" w:eastAsia="宋体" w:cs="宋体"/>
          <w:color w:val="auto"/>
        </w:rPr>
        <w:t>3.2 商务文件详细评审</w:t>
      </w:r>
      <w:bookmarkEnd w:id="22"/>
      <w:bookmarkEnd w:id="23"/>
    </w:p>
    <w:p>
      <w:pPr>
        <w:pStyle w:val="11"/>
        <w:pBdr>
          <w:top w:val="none" w:color="auto" w:sz="0" w:space="0"/>
        </w:pBdr>
        <w:kinsoku w:val="0"/>
        <w:overflowPunct w:val="0"/>
        <w:spacing w:line="360" w:lineRule="auto"/>
        <w:ind w:firstLine="480" w:firstLineChars="200"/>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3.2.1 评标委员会按本章的附件一《商务文件综合评分表》规定的量化因素和分值进行打分，并计算出投标人的商务文件得分,分数出现小数点，保留小数点后二位，第三位小数四舍五入。</w:t>
      </w:r>
    </w:p>
    <w:p>
      <w:pPr>
        <w:pStyle w:val="11"/>
        <w:pBdr>
          <w:top w:val="none" w:color="auto" w:sz="0" w:space="0"/>
        </w:pBdr>
        <w:kinsoku w:val="0"/>
        <w:overflowPunct w:val="0"/>
        <w:spacing w:line="360" w:lineRule="auto"/>
        <w:ind w:firstLine="420" w:firstLineChars="200"/>
        <w:rPr>
          <w:rFonts w:hint="eastAsia" w:ascii="宋体" w:hAnsi="宋体" w:eastAsia="宋体" w:cs="宋体"/>
          <w:b w:val="0"/>
          <w:color w:val="auto"/>
          <w:szCs w:val="21"/>
          <w:u w:val="single"/>
        </w:rPr>
      </w:pPr>
    </w:p>
    <w:p>
      <w:pPr>
        <w:pStyle w:val="5"/>
        <w:rPr>
          <w:rFonts w:hint="eastAsia" w:ascii="宋体" w:hAnsi="宋体" w:eastAsia="宋体" w:cs="宋体"/>
          <w:color w:val="auto"/>
        </w:rPr>
      </w:pPr>
      <w:bookmarkStart w:id="24" w:name="_Toc111186793"/>
      <w:bookmarkStart w:id="25" w:name="_Toc140481880"/>
      <w:r>
        <w:rPr>
          <w:rFonts w:hint="eastAsia" w:ascii="宋体" w:hAnsi="宋体" w:eastAsia="宋体" w:cs="宋体"/>
          <w:color w:val="auto"/>
        </w:rPr>
        <w:t>3.3 技术文件（设计方案）初步评审</w:t>
      </w:r>
      <w:bookmarkEnd w:id="24"/>
      <w:bookmarkEnd w:id="25"/>
    </w:p>
    <w:p>
      <w:pPr>
        <w:pStyle w:val="11"/>
        <w:pBdr>
          <w:top w:val="none" w:color="auto" w:sz="0" w:space="0"/>
        </w:pBdr>
        <w:kinsoku w:val="0"/>
        <w:overflowPunct w:val="0"/>
        <w:spacing w:line="360" w:lineRule="auto"/>
        <w:ind w:firstLine="480" w:firstLineChars="200"/>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3.3.1 评标委员会依据本章第2.1款规定的标准对投标人进行技术文件（设计方案）初步评审。有一项不符合评审标准的，评标委员会应当否决其投标，未能通过评审的投标人，其投标不再参与后续的评审程序。当通过评审的有效投标人不足3名时为招标失败。如果有否决投标提议，则评标委员会成员共同表决，按照少数服从多数的原则决定是否否决其投标。不得将文件顺序、明显的文字错误等列为否决投标的情形。</w:t>
      </w:r>
    </w:p>
    <w:p>
      <w:pPr>
        <w:ind w:firstLine="424" w:firstLineChars="202"/>
        <w:rPr>
          <w:rFonts w:hint="eastAsia" w:ascii="宋体" w:hAnsi="宋体" w:eastAsia="宋体" w:cs="宋体"/>
          <w:color w:val="auto"/>
        </w:rPr>
      </w:pPr>
    </w:p>
    <w:p>
      <w:pPr>
        <w:pStyle w:val="5"/>
        <w:rPr>
          <w:rFonts w:hint="eastAsia" w:ascii="宋体" w:hAnsi="宋体" w:eastAsia="宋体" w:cs="宋体"/>
          <w:color w:val="auto"/>
        </w:rPr>
      </w:pPr>
      <w:bookmarkStart w:id="26" w:name="_Toc140481881"/>
      <w:bookmarkStart w:id="27" w:name="_Toc111186794"/>
      <w:r>
        <w:rPr>
          <w:rFonts w:hint="eastAsia" w:ascii="宋体" w:hAnsi="宋体" w:eastAsia="宋体" w:cs="宋体"/>
          <w:color w:val="auto"/>
        </w:rPr>
        <w:t>3.4 技术文件（设计方案）详细评审</w:t>
      </w:r>
      <w:bookmarkEnd w:id="26"/>
      <w:bookmarkEnd w:id="27"/>
    </w:p>
    <w:p>
      <w:pPr>
        <w:pStyle w:val="11"/>
        <w:pBdr>
          <w:top w:val="none" w:color="auto" w:sz="0" w:space="0"/>
        </w:pBdr>
        <w:kinsoku w:val="0"/>
        <w:overflowPunct w:val="0"/>
        <w:spacing w:line="360" w:lineRule="auto"/>
        <w:ind w:firstLine="480" w:firstLineChars="200"/>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3.4.1 评标委员会按本章的附件二《技术文件综合评分表》规定的量化因素和分值进行打分，并计算出技术文件（设计方案）得分，分数出现小数点，保留小数点后二位，第三位小数四舍五入。</w:t>
      </w:r>
    </w:p>
    <w:p>
      <w:pPr>
        <w:pStyle w:val="11"/>
        <w:pBdr>
          <w:top w:val="none" w:color="auto" w:sz="0" w:space="0"/>
        </w:pBdr>
        <w:kinsoku w:val="0"/>
        <w:overflowPunct w:val="0"/>
        <w:spacing w:line="360" w:lineRule="auto"/>
        <w:ind w:firstLine="480" w:firstLineChars="200"/>
        <w:rPr>
          <w:rFonts w:hint="eastAsia" w:ascii="宋体" w:hAnsi="宋体" w:eastAsia="宋体" w:cs="宋体"/>
          <w:color w:val="auto"/>
          <w:kern w:val="2"/>
          <w:sz w:val="24"/>
          <w:szCs w:val="24"/>
          <w:u w:val="single"/>
          <w:lang w:val="en-US" w:eastAsia="zh-CN" w:bidi="ar-SA"/>
        </w:rPr>
      </w:pPr>
    </w:p>
    <w:p>
      <w:pPr>
        <w:pStyle w:val="5"/>
        <w:rPr>
          <w:rFonts w:hint="eastAsia" w:ascii="宋体" w:hAnsi="宋体" w:eastAsia="宋体" w:cs="宋体"/>
          <w:color w:val="auto"/>
        </w:rPr>
      </w:pPr>
      <w:bookmarkStart w:id="28" w:name="_Toc140481882"/>
      <w:bookmarkStart w:id="29" w:name="_Toc111186795"/>
      <w:r>
        <w:rPr>
          <w:rFonts w:hint="eastAsia" w:ascii="宋体" w:hAnsi="宋体" w:eastAsia="宋体" w:cs="宋体"/>
          <w:color w:val="auto"/>
        </w:rPr>
        <w:t>3.5 揭晓技术文件（设计方案）评审结果</w:t>
      </w:r>
      <w:bookmarkEnd w:id="28"/>
      <w:bookmarkEnd w:id="29"/>
    </w:p>
    <w:p>
      <w:pPr>
        <w:pStyle w:val="11"/>
        <w:pBdr>
          <w:top w:val="none" w:color="auto" w:sz="0" w:space="0"/>
        </w:pBdr>
        <w:kinsoku w:val="0"/>
        <w:overflowPunct w:val="0"/>
        <w:spacing w:line="360" w:lineRule="auto"/>
        <w:ind w:firstLine="480" w:firstLineChars="200"/>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3.5.1 评标委员会按照评标系统操作流程，揭晓各技术文件（设计方案）对应的投标人身份。</w:t>
      </w:r>
    </w:p>
    <w:p>
      <w:pPr>
        <w:pStyle w:val="11"/>
        <w:pBdr>
          <w:top w:val="none" w:color="auto" w:sz="0" w:space="0"/>
        </w:pBdr>
        <w:kinsoku w:val="0"/>
        <w:overflowPunct w:val="0"/>
        <w:spacing w:line="360" w:lineRule="auto"/>
        <w:ind w:firstLine="420" w:firstLineChars="200"/>
        <w:rPr>
          <w:rFonts w:hint="eastAsia" w:ascii="宋体" w:hAnsi="宋体" w:eastAsia="宋体" w:cs="宋体"/>
          <w:b w:val="0"/>
          <w:color w:val="auto"/>
          <w:szCs w:val="21"/>
          <w:u w:val="single"/>
        </w:rPr>
      </w:pPr>
    </w:p>
    <w:p>
      <w:pPr>
        <w:pStyle w:val="5"/>
        <w:rPr>
          <w:rFonts w:hint="eastAsia" w:ascii="宋体" w:hAnsi="宋体" w:eastAsia="宋体" w:cs="宋体"/>
          <w:color w:val="auto"/>
        </w:rPr>
      </w:pPr>
      <w:bookmarkStart w:id="30" w:name="_Toc140481883"/>
      <w:bookmarkStart w:id="31" w:name="_Toc111186796"/>
      <w:r>
        <w:rPr>
          <w:rFonts w:hint="eastAsia" w:ascii="宋体" w:hAnsi="宋体" w:eastAsia="宋体" w:cs="宋体"/>
          <w:color w:val="auto"/>
        </w:rPr>
        <w:t>3.6 汇总投标人总得分</w:t>
      </w:r>
      <w:bookmarkEnd w:id="30"/>
      <w:bookmarkEnd w:id="31"/>
    </w:p>
    <w:p>
      <w:pPr>
        <w:pStyle w:val="11"/>
        <w:pBdr>
          <w:top w:val="none" w:color="auto" w:sz="0" w:space="0"/>
        </w:pBdr>
        <w:kinsoku w:val="0"/>
        <w:overflowPunct w:val="0"/>
        <w:spacing w:line="360" w:lineRule="auto"/>
        <w:ind w:firstLine="480" w:firstLineChars="200"/>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3.6.1 评标委员会按本章第2.2.1款的规定汇总各投入的综合得分（总得分）。</w:t>
      </w:r>
    </w:p>
    <w:p>
      <w:pPr>
        <w:pStyle w:val="13"/>
        <w:ind w:firstLine="444" w:firstLineChars="202"/>
        <w:rPr>
          <w:rFonts w:hint="eastAsia" w:ascii="宋体" w:hAnsi="宋体" w:eastAsia="宋体" w:cs="宋体"/>
          <w:bCs/>
          <w:color w:val="auto"/>
          <w:szCs w:val="21"/>
          <w:u w:val="single"/>
          <w:lang w:val="en-US"/>
        </w:rPr>
      </w:pPr>
    </w:p>
    <w:p>
      <w:pPr>
        <w:pStyle w:val="5"/>
        <w:rPr>
          <w:rFonts w:hint="eastAsia" w:ascii="宋体" w:hAnsi="宋体" w:eastAsia="宋体" w:cs="宋体"/>
          <w:color w:val="auto"/>
        </w:rPr>
      </w:pPr>
      <w:bookmarkStart w:id="32" w:name="_Toc140481884"/>
      <w:bookmarkStart w:id="33" w:name="_Toc111186797"/>
      <w:r>
        <w:rPr>
          <w:rFonts w:hint="eastAsia" w:ascii="宋体" w:hAnsi="宋体" w:eastAsia="宋体" w:cs="宋体"/>
          <w:color w:val="auto"/>
        </w:rPr>
        <w:t>3.7 投标文件的澄清</w:t>
      </w:r>
      <w:bookmarkEnd w:id="32"/>
      <w:bookmarkEnd w:id="33"/>
    </w:p>
    <w:p>
      <w:pPr>
        <w:pStyle w:val="11"/>
        <w:pBdr>
          <w:top w:val="none" w:color="auto" w:sz="0" w:space="0"/>
        </w:pBdr>
        <w:kinsoku w:val="0"/>
        <w:overflowPunct w:val="0"/>
        <w:spacing w:line="360" w:lineRule="auto"/>
        <w:ind w:firstLine="480" w:firstLineChars="200"/>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3.7.1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11"/>
        <w:pBdr>
          <w:top w:val="none" w:color="auto" w:sz="0" w:space="0"/>
        </w:pBdr>
        <w:kinsoku w:val="0"/>
        <w:overflowPunct w:val="0"/>
        <w:spacing w:line="360" w:lineRule="auto"/>
        <w:ind w:firstLine="480" w:firstLineChars="200"/>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3.7.2 澄清、说明或补正不得超出投标文件的范围且不得改变投标文件的实质性内容，并构成投标文件的组成部分。</w:t>
      </w:r>
    </w:p>
    <w:p>
      <w:pPr>
        <w:pStyle w:val="11"/>
        <w:pBdr>
          <w:top w:val="none" w:color="auto" w:sz="0" w:space="0"/>
        </w:pBdr>
        <w:kinsoku w:val="0"/>
        <w:overflowPunct w:val="0"/>
        <w:spacing w:line="360" w:lineRule="auto"/>
        <w:ind w:firstLine="480" w:firstLineChars="200"/>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3.7.3 评标委员会对投标人提交的澄清、说明或补正有疑问的，可以要求投标人进一步澄清、说明或补正，直至满足评标委员会的要求。</w:t>
      </w:r>
    </w:p>
    <w:p>
      <w:pPr>
        <w:pStyle w:val="11"/>
        <w:pBdr>
          <w:top w:val="none" w:color="auto" w:sz="0" w:space="0"/>
        </w:pBdr>
        <w:kinsoku w:val="0"/>
        <w:overflowPunct w:val="0"/>
        <w:spacing w:line="360" w:lineRule="auto"/>
        <w:ind w:firstLine="424" w:firstLineChars="202"/>
        <w:rPr>
          <w:rFonts w:hint="eastAsia" w:ascii="宋体" w:hAnsi="宋体" w:eastAsia="宋体" w:cs="宋体"/>
          <w:color w:val="auto"/>
          <w:szCs w:val="21"/>
          <w:u w:val="single"/>
        </w:rPr>
      </w:pPr>
    </w:p>
    <w:p>
      <w:pPr>
        <w:pStyle w:val="5"/>
        <w:rPr>
          <w:rFonts w:hint="eastAsia" w:ascii="宋体" w:hAnsi="宋体" w:eastAsia="宋体" w:cs="宋体"/>
          <w:color w:val="auto"/>
        </w:rPr>
      </w:pPr>
      <w:bookmarkStart w:id="34" w:name="_Toc111186798"/>
      <w:bookmarkStart w:id="35" w:name="_Toc140481885"/>
      <w:r>
        <w:rPr>
          <w:rFonts w:hint="eastAsia" w:ascii="宋体" w:hAnsi="宋体" w:eastAsia="宋体" w:cs="宋体"/>
          <w:color w:val="auto"/>
        </w:rPr>
        <w:t>3.8 评标结果</w:t>
      </w:r>
      <w:bookmarkEnd w:id="34"/>
      <w:bookmarkEnd w:id="35"/>
    </w:p>
    <w:p>
      <w:pPr>
        <w:pStyle w:val="11"/>
        <w:pBdr>
          <w:top w:val="none" w:color="auto" w:sz="0" w:space="0"/>
        </w:pBdr>
        <w:kinsoku w:val="0"/>
        <w:overflowPunct w:val="0"/>
        <w:spacing w:line="360" w:lineRule="auto"/>
        <w:ind w:firstLine="480" w:firstLineChars="200"/>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3.8.1 除第二章“投标人须知”前附表授权直接确定中标人外，评标委员会按照得分由高到低的顺序推荐中标候选人，并标明排序。</w:t>
      </w:r>
    </w:p>
    <w:p>
      <w:pPr>
        <w:pStyle w:val="11"/>
        <w:pBdr>
          <w:top w:val="none" w:color="auto" w:sz="0" w:space="0"/>
        </w:pBdr>
        <w:kinsoku w:val="0"/>
        <w:overflowPunct w:val="0"/>
        <w:spacing w:line="360" w:lineRule="auto"/>
        <w:ind w:firstLine="480" w:firstLineChars="200"/>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u w:val="single"/>
          <w:lang w:val="en-US" w:eastAsia="zh-CN" w:bidi="ar-SA"/>
        </w:rPr>
        <w:t>3.8.2 评标委员会完成评标后，应当向招标人提交书面评标报告和中标候选人名单。</w:t>
      </w:r>
    </w:p>
    <w:p>
      <w:pPr>
        <w:pStyle w:val="3"/>
        <w:keepNext w:val="0"/>
        <w:keepLines w:val="0"/>
        <w:numPr>
          <w:ilvl w:val="0"/>
          <w:numId w:val="2"/>
        </w:numPr>
        <w:spacing w:before="0" w:after="0" w:line="240" w:lineRule="auto"/>
        <w:ind w:left="3"/>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bookmarkStart w:id="36" w:name="_Toc23905"/>
      <w:r>
        <w:rPr>
          <w:rFonts w:hint="eastAsia" w:ascii="宋体" w:hAnsi="宋体" w:eastAsia="宋体" w:cs="宋体"/>
          <w:color w:val="auto"/>
          <w:highlight w:val="none"/>
        </w:rPr>
        <w:t>合同条款及格式</w:t>
      </w:r>
      <w:bookmarkEnd w:id="36"/>
    </w:p>
    <w:p>
      <w:pPr>
        <w:rPr>
          <w:rFonts w:hint="eastAsia" w:ascii="宋体" w:hAnsi="宋体" w:eastAsia="宋体" w:cs="宋体"/>
          <w:color w:val="auto"/>
          <w:highlight w:val="none"/>
        </w:rPr>
      </w:pPr>
    </w:p>
    <w:p>
      <w:pPr>
        <w:snapToGrid w:val="0"/>
        <w:rPr>
          <w:rFonts w:hint="eastAsia" w:ascii="宋体" w:hAnsi="宋体" w:eastAsia="宋体" w:cs="宋体"/>
          <w:color w:val="auto"/>
          <w:sz w:val="24"/>
          <w:szCs w:val="24"/>
          <w:highlight w:val="none"/>
        </w:rPr>
      </w:pPr>
    </w:p>
    <w:p>
      <w:pPr>
        <w:jc w:val="center"/>
        <w:rPr>
          <w:rFonts w:hint="eastAsia" w:ascii="宋体" w:hAnsi="宋体" w:eastAsia="宋体" w:cs="宋体"/>
          <w:color w:val="auto"/>
          <w:highlight w:val="none"/>
        </w:rPr>
      </w:pPr>
      <w:r>
        <w:rPr>
          <w:rFonts w:hint="eastAsia" w:ascii="宋体" w:hAnsi="宋体" w:cs="宋体"/>
          <w:color w:val="auto"/>
          <w:sz w:val="36"/>
          <w:szCs w:val="36"/>
          <w:highlight w:val="none"/>
          <w:lang w:val="en-US" w:eastAsia="zh-CN"/>
        </w:rPr>
        <w:t>另册</w:t>
      </w:r>
    </w:p>
    <w:p>
      <w:pPr>
        <w:snapToGrid w:val="0"/>
        <w:rPr>
          <w:rFonts w:hint="eastAsia" w:ascii="宋体" w:hAnsi="宋体" w:eastAsia="宋体" w:cs="宋体"/>
          <w:color w:val="auto"/>
          <w:sz w:val="24"/>
          <w:szCs w:val="24"/>
          <w:highlight w:val="none"/>
        </w:rPr>
      </w:pPr>
    </w:p>
    <w:p>
      <w:pPr>
        <w:ind w:firstLine="2520" w:firstLineChars="1200"/>
        <w:rPr>
          <w:rFonts w:hint="eastAsia" w:ascii="宋体" w:hAnsi="宋体" w:eastAsia="宋体" w:cs="宋体"/>
          <w:color w:val="auto"/>
          <w:highlight w:val="none"/>
        </w:rPr>
      </w:pPr>
    </w:p>
    <w:p>
      <w:pPr>
        <w:pStyle w:val="11"/>
        <w:ind w:left="0"/>
        <w:jc w:val="center"/>
        <w:rPr>
          <w:rFonts w:hint="eastAsia" w:ascii="宋体" w:hAnsi="宋体" w:eastAsia="宋体" w:cs="宋体"/>
          <w:color w:val="auto"/>
          <w:sz w:val="32"/>
          <w:szCs w:val="32"/>
          <w:highlight w:val="none"/>
          <w:lang w:eastAsia="zh-CN"/>
        </w:rPr>
      </w:pPr>
    </w:p>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pPr>
        <w:pStyle w:val="3"/>
        <w:spacing w:line="738" w:lineRule="exact"/>
        <w:ind w:right="3"/>
        <w:jc w:val="center"/>
        <w:rPr>
          <w:rFonts w:hint="eastAsia" w:ascii="宋体" w:hAnsi="宋体" w:eastAsia="宋体" w:cs="宋体"/>
          <w:b w:val="0"/>
          <w:bCs w:val="0"/>
          <w:color w:val="auto"/>
          <w:highlight w:val="none"/>
        </w:rPr>
      </w:pPr>
      <w:bookmarkStart w:id="37" w:name="_Toc27852"/>
      <w:r>
        <w:rPr>
          <w:rFonts w:hint="eastAsia" w:ascii="宋体" w:hAnsi="宋体" w:eastAsia="宋体" w:cs="宋体"/>
          <w:color w:val="auto"/>
          <w:highlight w:val="none"/>
        </w:rPr>
        <w:t>第二卷</w:t>
      </w:r>
      <w:bookmarkEnd w:id="37"/>
    </w:p>
    <w:p>
      <w:pPr>
        <w:spacing w:line="738" w:lineRule="exact"/>
        <w:jc w:val="center"/>
        <w:rPr>
          <w:rFonts w:hint="eastAsia" w:ascii="宋体" w:hAnsi="宋体" w:eastAsia="宋体" w:cs="宋体"/>
          <w:color w:val="auto"/>
          <w:highlight w:val="none"/>
        </w:rPr>
        <w:sectPr>
          <w:footerReference r:id="rId8" w:type="default"/>
          <w:pgSz w:w="12240" w:h="15840"/>
          <w:pgMar w:top="1502" w:right="1718" w:bottom="1123" w:left="1718" w:header="0" w:footer="918" w:gutter="0"/>
          <w:cols w:space="720" w:num="1"/>
          <w:docGrid w:linePitch="1" w:charSpace="0"/>
        </w:sectPr>
      </w:pPr>
    </w:p>
    <w:p>
      <w:pPr>
        <w:rPr>
          <w:rFonts w:hint="eastAsia" w:ascii="宋体" w:hAnsi="宋体" w:eastAsia="宋体" w:cs="宋体"/>
          <w:b/>
          <w:bCs/>
          <w:color w:val="auto"/>
          <w:sz w:val="20"/>
          <w:szCs w:val="20"/>
          <w:highlight w:val="none"/>
        </w:rPr>
      </w:pPr>
    </w:p>
    <w:p>
      <w:pPr>
        <w:spacing w:before="3"/>
        <w:rPr>
          <w:rFonts w:hint="eastAsia" w:ascii="宋体" w:hAnsi="宋体" w:eastAsia="宋体" w:cs="宋体"/>
          <w:b/>
          <w:bCs/>
          <w:color w:val="auto"/>
          <w:sz w:val="19"/>
          <w:szCs w:val="19"/>
          <w:highlight w:val="none"/>
        </w:rPr>
      </w:pPr>
    </w:p>
    <w:p>
      <w:pPr>
        <w:pStyle w:val="3"/>
        <w:keepNext w:val="0"/>
        <w:keepLines w:val="0"/>
        <w:numPr>
          <w:ilvl w:val="0"/>
          <w:numId w:val="2"/>
        </w:numPr>
        <w:spacing w:before="0" w:after="0" w:line="240" w:lineRule="auto"/>
        <w:ind w:left="3"/>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设计任务书</w:t>
      </w:r>
    </w:p>
    <w:p>
      <w:pP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pStyle w:val="28"/>
        <w:rPr>
          <w:rFonts w:hint="eastAsia" w:ascii="宋体" w:hAnsi="宋体" w:eastAsia="宋体" w:cs="宋体"/>
          <w:color w:val="auto"/>
          <w:sz w:val="24"/>
          <w:szCs w:val="24"/>
          <w:highlight w:val="none"/>
        </w:rPr>
      </w:pPr>
    </w:p>
    <w:p>
      <w:pPr>
        <w:pStyle w:val="28"/>
        <w:rPr>
          <w:rFonts w:hint="eastAsia" w:ascii="宋体" w:hAnsi="宋体" w:eastAsia="宋体" w:cs="宋体"/>
          <w:color w:val="auto"/>
          <w:sz w:val="24"/>
          <w:szCs w:val="24"/>
          <w:highlight w:val="none"/>
        </w:rPr>
      </w:pPr>
    </w:p>
    <w:p>
      <w:pPr>
        <w:jc w:val="center"/>
        <w:rPr>
          <w:rFonts w:hint="eastAsia" w:ascii="宋体" w:hAnsi="宋体" w:eastAsia="宋体" w:cs="宋体"/>
          <w:color w:val="auto"/>
          <w:sz w:val="36"/>
          <w:szCs w:val="36"/>
          <w:highlight w:val="none"/>
          <w:lang w:val="en-US" w:eastAsia="zh-CN"/>
        </w:rPr>
        <w:sectPr>
          <w:pgSz w:w="12240" w:h="15840"/>
          <w:pgMar w:top="1502" w:right="1718" w:bottom="1123" w:left="1718" w:header="0" w:footer="918" w:gutter="0"/>
          <w:cols w:space="720" w:num="1"/>
          <w:docGrid w:linePitch="299" w:charSpace="0"/>
        </w:sectPr>
      </w:pPr>
      <w:r>
        <w:rPr>
          <w:rFonts w:hint="eastAsia" w:ascii="宋体" w:hAnsi="宋体" w:cs="宋体"/>
          <w:color w:val="auto"/>
          <w:sz w:val="36"/>
          <w:szCs w:val="36"/>
          <w:highlight w:val="none"/>
          <w:lang w:val="en-US" w:eastAsia="zh-CN"/>
        </w:rPr>
        <w:t>另册</w:t>
      </w:r>
    </w:p>
    <w:p>
      <w:pPr>
        <w:spacing w:before="8"/>
        <w:rPr>
          <w:rFonts w:hint="eastAsia" w:ascii="宋体" w:hAnsi="宋体" w:eastAsia="宋体" w:cs="宋体"/>
          <w:color w:val="auto"/>
          <w:sz w:val="26"/>
          <w:szCs w:val="26"/>
          <w:highlight w:val="none"/>
        </w:rPr>
      </w:pPr>
    </w:p>
    <w:p>
      <w:pPr>
        <w:pStyle w:val="3"/>
        <w:spacing w:line="589" w:lineRule="exact"/>
        <w:ind w:right="3"/>
        <w:jc w:val="center"/>
        <w:rPr>
          <w:rFonts w:hint="eastAsia" w:ascii="宋体" w:hAnsi="宋体" w:eastAsia="宋体" w:cs="宋体"/>
          <w:b w:val="0"/>
          <w:bCs w:val="0"/>
          <w:color w:val="auto"/>
          <w:highlight w:val="none"/>
        </w:rPr>
      </w:pPr>
      <w:bookmarkStart w:id="38" w:name="_Toc15330"/>
      <w:r>
        <w:rPr>
          <w:rFonts w:hint="eastAsia" w:ascii="宋体" w:hAnsi="宋体" w:eastAsia="宋体" w:cs="宋体"/>
          <w:color w:val="auto"/>
          <w:highlight w:val="none"/>
        </w:rPr>
        <w:t>第三卷</w:t>
      </w:r>
      <w:bookmarkEnd w:id="38"/>
    </w:p>
    <w:p>
      <w:pPr>
        <w:spacing w:line="589" w:lineRule="exact"/>
        <w:jc w:val="center"/>
        <w:rPr>
          <w:rFonts w:hint="eastAsia" w:ascii="宋体" w:hAnsi="宋体" w:eastAsia="宋体" w:cs="宋体"/>
          <w:color w:val="auto"/>
          <w:highlight w:val="none"/>
        </w:rPr>
        <w:sectPr>
          <w:pgSz w:w="12240" w:h="15840"/>
          <w:pgMar w:top="1502" w:right="1718" w:bottom="1123" w:left="1718" w:header="0" w:footer="918" w:gutter="0"/>
          <w:cols w:space="720" w:num="1"/>
          <w:docGrid w:linePitch="1" w:charSpace="0"/>
        </w:sect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highlight w:val="none"/>
        </w:rPr>
      </w:pPr>
      <w:bookmarkStart w:id="39" w:name="_Toc2738"/>
      <w:r>
        <w:rPr>
          <w:rFonts w:hint="eastAsia" w:ascii="宋体" w:hAnsi="宋体" w:eastAsia="宋体" w:cs="宋体"/>
          <w:color w:val="auto"/>
          <w:highlight w:val="none"/>
        </w:rPr>
        <w:t>第六章  投标文件格式</w:t>
      </w:r>
      <w:bookmarkEnd w:id="39"/>
    </w:p>
    <w:p>
      <w:pPr>
        <w:autoSpaceDE w:val="0"/>
        <w:autoSpaceDN w:val="0"/>
        <w:adjustRightInd w:val="0"/>
        <w:spacing w:line="360" w:lineRule="auto"/>
        <w:ind w:right="-20"/>
        <w:outlineLvl w:val="0"/>
        <w:rPr>
          <w:rFonts w:hint="eastAsia" w:ascii="宋体" w:hAnsi="宋体" w:eastAsia="宋体" w:cs="宋体"/>
          <w:color w:val="auto"/>
          <w:sz w:val="20"/>
          <w:szCs w:val="20"/>
          <w:highlight w:val="none"/>
        </w:rPr>
      </w:pPr>
      <w:bookmarkStart w:id="40" w:name="_Toc22122"/>
      <w:r>
        <w:rPr>
          <w:rFonts w:hint="eastAsia" w:ascii="宋体" w:hAnsi="宋体" w:eastAsia="宋体" w:cs="宋体"/>
          <w:color w:val="auto"/>
          <w:spacing w:val="2"/>
          <w:position w:val="-1"/>
          <w:sz w:val="32"/>
          <w:szCs w:val="32"/>
          <w:highlight w:val="none"/>
        </w:rPr>
        <w:t>格式一：投标书</w:t>
      </w:r>
      <w:bookmarkEnd w:id="40"/>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投标书</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13"/>
        <w:spacing w:line="360" w:lineRule="auto"/>
        <w:rPr>
          <w:rFonts w:hint="eastAsia" w:ascii="宋体" w:hAnsi="宋体" w:eastAsia="宋体" w:cs="宋体"/>
          <w:color w:val="auto"/>
          <w:sz w:val="24"/>
          <w:szCs w:val="24"/>
          <w:highlight w:val="none"/>
          <w:lang w:eastAsia="zh-CN"/>
        </w:rPr>
      </w:pPr>
    </w:p>
    <w:p>
      <w:pPr>
        <w:pStyle w:val="13"/>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（招标人、招标代理机构名称）</w:t>
      </w:r>
    </w:p>
    <w:p>
      <w:pPr>
        <w:spacing w:line="360" w:lineRule="auto"/>
        <w:rPr>
          <w:rFonts w:hint="eastAsia" w:ascii="宋体" w:hAnsi="宋体" w:eastAsia="宋体" w:cs="宋体"/>
          <w:color w:val="auto"/>
          <w:sz w:val="24"/>
          <w:szCs w:val="24"/>
          <w:highlight w:val="none"/>
        </w:rPr>
      </w:pPr>
    </w:p>
    <w:p>
      <w:pPr>
        <w:pStyle w:val="13"/>
        <w:spacing w:line="360" w:lineRule="auto"/>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方（投标人的简称）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以《勘察设计费报价表》的投标总报价，承包本次招标所包含的工作，并承担质量缺陷责任。我方项目负责人为网上投标登记时选择的项目负责人。如我司成为本项目中标候选人，我司同意并授权招标人将我司投标文件商务部分进行公开。</w:t>
      </w:r>
    </w:p>
    <w:p>
      <w:pPr>
        <w:pStyle w:val="13"/>
        <w:spacing w:line="360" w:lineRule="auto"/>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pPr>
        <w:pStyle w:val="13"/>
        <w:spacing w:line="360" w:lineRule="auto"/>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我方认同招标文件规定的评审规则，遵守评标委员会的裁决结果，并且不会采取妨碍项目进展的行为。我方理解你方没有必须接受你方可能收到的最低标或任何投标的义务。</w:t>
      </w:r>
    </w:p>
    <w:p>
      <w:pPr>
        <w:pStyle w:val="13"/>
        <w:spacing w:line="360" w:lineRule="auto"/>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如果我方中标，我方将提供规定的履约担保，将在合同规定的日期开工，并在竣工时间内，按照上述文件完成项目。</w:t>
      </w:r>
    </w:p>
    <w:p>
      <w:pPr>
        <w:pStyle w:val="13"/>
        <w:spacing w:line="360" w:lineRule="auto"/>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除非制订正式合同协议书并生效，本投标书以及你方中标通知书，应构成你我双方间具有约束力的合同。</w:t>
      </w:r>
    </w:p>
    <w:p>
      <w:p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本投标书同时作为法人证明书或法人授权委托书。</w:t>
      </w:r>
    </w:p>
    <w:p>
      <w:pPr>
        <w:spacing w:line="360" w:lineRule="auto"/>
        <w:rPr>
          <w:rFonts w:hint="eastAsia" w:ascii="宋体" w:hAnsi="宋体" w:eastAsia="宋体" w:cs="宋体"/>
          <w:color w:val="auto"/>
          <w:sz w:val="24"/>
          <w:szCs w:val="24"/>
          <w:highlight w:val="none"/>
        </w:rPr>
      </w:pPr>
    </w:p>
    <w:p>
      <w:pPr>
        <w:pStyle w:val="13"/>
        <w:spacing w:line="360" w:lineRule="auto"/>
        <w:ind w:firstLine="40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投标人：（盖章）</w:t>
      </w:r>
      <w:r>
        <w:rPr>
          <w:rFonts w:hint="eastAsia" w:ascii="宋体" w:hAnsi="宋体" w:eastAsia="宋体" w:cs="宋体"/>
          <w:color w:val="auto"/>
          <w:sz w:val="24"/>
          <w:szCs w:val="24"/>
          <w:highlight w:val="none"/>
          <w:u w:val="single"/>
          <w:lang w:eastAsia="zh-CN"/>
        </w:rPr>
        <w:t xml:space="preserve">                                  </w:t>
      </w:r>
    </w:p>
    <w:p>
      <w:pPr>
        <w:pStyle w:val="13"/>
        <w:spacing w:line="360" w:lineRule="auto"/>
        <w:ind w:firstLine="40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法定代表人：（签字或盖章）</w:t>
      </w:r>
      <w:r>
        <w:rPr>
          <w:rFonts w:hint="eastAsia" w:ascii="宋体" w:hAnsi="宋体" w:eastAsia="宋体" w:cs="宋体"/>
          <w:color w:val="auto"/>
          <w:sz w:val="24"/>
          <w:szCs w:val="24"/>
          <w:highlight w:val="none"/>
          <w:u w:val="single"/>
          <w:lang w:eastAsia="zh-CN"/>
        </w:rPr>
        <w:t xml:space="preserve">                        </w:t>
      </w:r>
    </w:p>
    <w:p>
      <w:pPr>
        <w:pStyle w:val="13"/>
        <w:spacing w:line="360" w:lineRule="auto"/>
        <w:ind w:firstLine="40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委托代理人：（签字或盖章）</w:t>
      </w:r>
      <w:r>
        <w:rPr>
          <w:rFonts w:hint="eastAsia" w:ascii="宋体" w:hAnsi="宋体" w:eastAsia="宋体" w:cs="宋体"/>
          <w:color w:val="auto"/>
          <w:sz w:val="24"/>
          <w:szCs w:val="24"/>
          <w:highlight w:val="none"/>
          <w:u w:val="single"/>
          <w:lang w:eastAsia="zh-CN"/>
        </w:rPr>
        <w:t xml:space="preserve">                        </w:t>
      </w:r>
    </w:p>
    <w:p>
      <w:pPr>
        <w:pStyle w:val="13"/>
        <w:spacing w:line="360" w:lineRule="auto"/>
        <w:ind w:firstLine="40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项目负责人：（签字或盖章）</w:t>
      </w:r>
      <w:r>
        <w:rPr>
          <w:rFonts w:hint="eastAsia" w:ascii="宋体" w:hAnsi="宋体" w:eastAsia="宋体" w:cs="宋体"/>
          <w:color w:val="auto"/>
          <w:sz w:val="24"/>
          <w:szCs w:val="24"/>
          <w:highlight w:val="none"/>
          <w:u w:val="single"/>
          <w:lang w:eastAsia="zh-CN"/>
        </w:rPr>
        <w:t xml:space="preserve">                        </w:t>
      </w:r>
    </w:p>
    <w:p>
      <w:pPr>
        <w:pStyle w:val="13"/>
        <w:spacing w:line="360" w:lineRule="auto"/>
        <w:ind w:firstLine="40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4"/>
          <w:highlight w:val="none"/>
          <w:u w:val="single"/>
          <w:lang w:eastAsia="zh-CN"/>
        </w:rPr>
        <w:t xml:space="preserve">                                           </w:t>
      </w:r>
    </w:p>
    <w:p>
      <w:pPr>
        <w:pStyle w:val="13"/>
        <w:spacing w:line="360" w:lineRule="auto"/>
        <w:ind w:firstLine="40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邮政编码：</w:t>
      </w:r>
      <w:r>
        <w:rPr>
          <w:rFonts w:hint="eastAsia" w:ascii="宋体" w:hAnsi="宋体" w:eastAsia="宋体" w:cs="宋体"/>
          <w:color w:val="auto"/>
          <w:sz w:val="24"/>
          <w:szCs w:val="24"/>
          <w:highlight w:val="none"/>
          <w:u w:val="single"/>
          <w:lang w:eastAsia="zh-CN"/>
        </w:rPr>
        <w:t xml:space="preserve">                                       </w:t>
      </w:r>
    </w:p>
    <w:p>
      <w:pPr>
        <w:pStyle w:val="13"/>
        <w:spacing w:line="360" w:lineRule="auto"/>
        <w:ind w:firstLine="40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电话/传真：</w:t>
      </w:r>
      <w:r>
        <w:rPr>
          <w:rFonts w:hint="eastAsia" w:ascii="宋体" w:hAnsi="宋体" w:eastAsia="宋体" w:cs="宋体"/>
          <w:color w:val="auto"/>
          <w:sz w:val="24"/>
          <w:szCs w:val="24"/>
          <w:highlight w:val="none"/>
          <w:u w:val="single"/>
          <w:lang w:eastAsia="zh-CN"/>
        </w:rPr>
        <w:t xml:space="preserve">                                 </w:t>
      </w:r>
    </w:p>
    <w:p>
      <w:pPr>
        <w:pStyle w:val="13"/>
        <w:spacing w:line="360" w:lineRule="auto"/>
        <w:ind w:firstLine="40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eastAsia="宋体" w:cs="宋体"/>
          <w:color w:val="auto"/>
          <w:sz w:val="24"/>
          <w:szCs w:val="24"/>
          <w:highlight w:val="none"/>
          <w:u w:val="single"/>
          <w:lang w:eastAsia="zh-CN"/>
        </w:rPr>
        <w:t xml:space="preserve">                                       </w:t>
      </w:r>
    </w:p>
    <w:p>
      <w:pPr>
        <w:pStyle w:val="13"/>
        <w:spacing w:line="360" w:lineRule="auto"/>
        <w:ind w:firstLine="40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开户银行名称、</w:t>
      </w:r>
      <w:r>
        <w:rPr>
          <w:rFonts w:hint="eastAsia" w:ascii="宋体" w:hAnsi="宋体" w:eastAsia="宋体" w:cs="宋体"/>
          <w:color w:val="auto"/>
          <w:sz w:val="24"/>
          <w:szCs w:val="24"/>
          <w:highlight w:val="none"/>
          <w:lang w:val="en-US" w:eastAsia="zh-CN"/>
        </w:rPr>
        <w:t>账</w:t>
      </w:r>
      <w:r>
        <w:rPr>
          <w:rFonts w:hint="eastAsia" w:ascii="宋体" w:hAnsi="宋体" w:eastAsia="宋体" w:cs="宋体"/>
          <w:color w:val="auto"/>
          <w:sz w:val="24"/>
          <w:szCs w:val="24"/>
          <w:highlight w:val="none"/>
          <w:lang w:eastAsia="zh-CN"/>
        </w:rPr>
        <w:t>号：</w:t>
      </w:r>
      <w:r>
        <w:rPr>
          <w:rFonts w:hint="eastAsia" w:ascii="宋体" w:hAnsi="宋体" w:eastAsia="宋体" w:cs="宋体"/>
          <w:color w:val="auto"/>
          <w:sz w:val="24"/>
          <w:szCs w:val="24"/>
          <w:highlight w:val="none"/>
          <w:u w:val="single"/>
          <w:lang w:eastAsia="zh-CN"/>
        </w:rPr>
        <w:t xml:space="preserve">                             </w:t>
      </w:r>
    </w:p>
    <w:p>
      <w:pPr>
        <w:pStyle w:val="13"/>
        <w:spacing w:line="360" w:lineRule="auto"/>
        <w:ind w:firstLine="40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开户行地址/电话：</w:t>
      </w:r>
      <w:r>
        <w:rPr>
          <w:rFonts w:hint="eastAsia" w:ascii="宋体" w:hAnsi="宋体" w:eastAsia="宋体" w:cs="宋体"/>
          <w:color w:val="auto"/>
          <w:sz w:val="24"/>
          <w:szCs w:val="24"/>
          <w:highlight w:val="none"/>
          <w:u w:val="single"/>
          <w:lang w:eastAsia="zh-CN"/>
        </w:rPr>
        <w:t xml:space="preserve">                                </w:t>
      </w:r>
    </w:p>
    <w:p>
      <w:pPr>
        <w:pStyle w:val="13"/>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日期：       年    月    日</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rPr>
        <w:t>投标书附录</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 xml:space="preserve"> </w:t>
      </w:r>
    </w:p>
    <w:tbl>
      <w:tblPr>
        <w:tblStyle w:val="23"/>
        <w:tblW w:w="8810" w:type="dxa"/>
        <w:jc w:val="center"/>
        <w:tblLayout w:type="fixed"/>
        <w:tblCellMar>
          <w:top w:w="0" w:type="dxa"/>
          <w:left w:w="0" w:type="dxa"/>
          <w:bottom w:w="0" w:type="dxa"/>
          <w:right w:w="0" w:type="dxa"/>
        </w:tblCellMar>
      </w:tblPr>
      <w:tblGrid>
        <w:gridCol w:w="1270"/>
        <w:gridCol w:w="2883"/>
        <w:gridCol w:w="2793"/>
        <w:gridCol w:w="1864"/>
      </w:tblGrid>
      <w:tr>
        <w:tblPrEx>
          <w:tblCellMar>
            <w:top w:w="0" w:type="dxa"/>
            <w:left w:w="0" w:type="dxa"/>
            <w:bottom w:w="0" w:type="dxa"/>
            <w:right w:w="0" w:type="dxa"/>
          </w:tblCellMar>
        </w:tblPrEx>
        <w:trPr>
          <w:trHeight w:val="538" w:hRule="atLeast"/>
          <w:jc w:val="center"/>
        </w:trPr>
        <w:tc>
          <w:tcPr>
            <w:tcW w:w="1270" w:type="dxa"/>
            <w:tcBorders>
              <w:top w:val="single" w:color="000000" w:sz="4" w:space="0"/>
              <w:left w:val="single" w:color="000000" w:sz="4" w:space="0"/>
              <w:bottom w:val="single" w:color="000000" w:sz="4" w:space="0"/>
              <w:right w:val="single" w:color="000000" w:sz="4" w:space="0"/>
            </w:tcBorders>
          </w:tcPr>
          <w:p>
            <w:pPr>
              <w:pStyle w:val="31"/>
              <w:kinsoku w:val="0"/>
              <w:overflowPunct w:val="0"/>
              <w:spacing w:before="92"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83" w:type="dxa"/>
            <w:tcBorders>
              <w:top w:val="single" w:color="000000" w:sz="4" w:space="0"/>
              <w:left w:val="nil"/>
              <w:bottom w:val="single" w:color="000000" w:sz="4" w:space="0"/>
              <w:right w:val="single" w:color="000000" w:sz="4" w:space="0"/>
            </w:tcBorders>
          </w:tcPr>
          <w:p>
            <w:pPr>
              <w:pStyle w:val="31"/>
              <w:kinsoku w:val="0"/>
              <w:overflowPunct w:val="0"/>
              <w:spacing w:before="92" w:line="360" w:lineRule="auto"/>
              <w:ind w:left="6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2793" w:type="dxa"/>
            <w:tcBorders>
              <w:top w:val="single" w:color="000000" w:sz="4" w:space="0"/>
              <w:left w:val="nil"/>
              <w:bottom w:val="single" w:color="000000" w:sz="4" w:space="0"/>
              <w:right w:val="single" w:color="000000" w:sz="4" w:space="0"/>
            </w:tcBorders>
          </w:tcPr>
          <w:p>
            <w:pPr>
              <w:pStyle w:val="31"/>
              <w:kinsoku w:val="0"/>
              <w:overflowPunct w:val="0"/>
              <w:spacing w:before="92" w:line="360" w:lineRule="auto"/>
              <w:ind w:left="7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约定内容</w:t>
            </w:r>
          </w:p>
        </w:tc>
        <w:tc>
          <w:tcPr>
            <w:tcW w:w="1864" w:type="dxa"/>
            <w:tcBorders>
              <w:top w:val="single" w:color="000000" w:sz="4" w:space="0"/>
              <w:left w:val="nil"/>
              <w:bottom w:val="single" w:color="000000" w:sz="4" w:space="0"/>
              <w:right w:val="single" w:color="000000" w:sz="4" w:space="0"/>
            </w:tcBorders>
          </w:tcPr>
          <w:p>
            <w:pPr>
              <w:pStyle w:val="31"/>
              <w:kinsoku w:val="0"/>
              <w:overflowPunct w:val="0"/>
              <w:spacing w:before="92" w:line="360" w:lineRule="auto"/>
              <w:ind w:right="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CellMar>
            <w:top w:w="0" w:type="dxa"/>
            <w:left w:w="0" w:type="dxa"/>
            <w:bottom w:w="0" w:type="dxa"/>
            <w:right w:w="0" w:type="dxa"/>
          </w:tblCellMar>
        </w:tblPrEx>
        <w:trPr>
          <w:trHeight w:val="451"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before="93"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83" w:type="dxa"/>
            <w:tcBorders>
              <w:top w:val="single" w:color="000000" w:sz="4" w:space="0"/>
              <w:left w:val="nil"/>
              <w:bottom w:val="single" w:color="000000" w:sz="4" w:space="0"/>
              <w:right w:val="single" w:color="000000" w:sz="4" w:space="0"/>
            </w:tcBorders>
            <w:vAlign w:val="center"/>
          </w:tcPr>
          <w:p>
            <w:pPr>
              <w:pStyle w:val="31"/>
              <w:kinsoku w:val="0"/>
              <w:overflowPunct w:val="0"/>
              <w:spacing w:before="106" w:line="360" w:lineRule="auto"/>
              <w:ind w:left="54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项目负责人</w:t>
            </w:r>
          </w:p>
        </w:tc>
        <w:tc>
          <w:tcPr>
            <w:tcW w:w="2793" w:type="dxa"/>
            <w:tcBorders>
              <w:top w:val="single" w:color="000000" w:sz="4" w:space="0"/>
              <w:left w:val="nil"/>
              <w:bottom w:val="single" w:color="000000" w:sz="4" w:space="0"/>
              <w:right w:val="single" w:color="000000" w:sz="4" w:space="0"/>
            </w:tcBorders>
            <w:vAlign w:val="center"/>
          </w:tcPr>
          <w:p>
            <w:pPr>
              <w:pStyle w:val="31"/>
              <w:kinsoku w:val="0"/>
              <w:overflowPunct w:val="0"/>
              <w:spacing w:before="94" w:line="360" w:lineRule="auto"/>
              <w:ind w:left="1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864" w:type="dxa"/>
            <w:tcBorders>
              <w:top w:val="single" w:color="000000" w:sz="4" w:space="0"/>
              <w:left w:val="nil"/>
              <w:bottom w:val="single" w:color="000000" w:sz="4" w:space="0"/>
              <w:right w:val="single" w:color="000000" w:sz="4" w:space="0"/>
            </w:tcBorders>
          </w:tcPr>
          <w:p>
            <w:pPr>
              <w:spacing w:line="360" w:lineRule="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90"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before="91"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83" w:type="dxa"/>
            <w:tcBorders>
              <w:top w:val="single" w:color="000000" w:sz="4" w:space="0"/>
              <w:left w:val="nil"/>
              <w:bottom w:val="single" w:color="000000" w:sz="4" w:space="0"/>
              <w:right w:val="single" w:color="000000" w:sz="4" w:space="0"/>
            </w:tcBorders>
            <w:vAlign w:val="center"/>
          </w:tcPr>
          <w:p>
            <w:pPr>
              <w:pStyle w:val="31"/>
              <w:kinsoku w:val="0"/>
              <w:overflowPunct w:val="0"/>
              <w:spacing w:before="106" w:line="360" w:lineRule="auto"/>
              <w:ind w:left="443"/>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 xml:space="preserve"> 投标内容</w:t>
            </w:r>
          </w:p>
        </w:tc>
        <w:tc>
          <w:tcPr>
            <w:tcW w:w="2793" w:type="dxa"/>
            <w:tcBorders>
              <w:top w:val="single" w:color="000000" w:sz="4" w:space="0"/>
              <w:left w:val="nil"/>
              <w:bottom w:val="single" w:color="000000" w:sz="4" w:space="0"/>
              <w:right w:val="single" w:color="000000" w:sz="4" w:space="0"/>
            </w:tcBorders>
            <w:vAlign w:val="center"/>
          </w:tcPr>
          <w:p>
            <w:pPr>
              <w:spacing w:line="360" w:lineRule="auto"/>
              <w:ind w:left="-6" w:leftChars="-3" w:firstLine="183" w:firstLineChars="77"/>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按招标文件要求</w:t>
            </w:r>
          </w:p>
        </w:tc>
        <w:tc>
          <w:tcPr>
            <w:tcW w:w="1864" w:type="dxa"/>
            <w:tcBorders>
              <w:top w:val="single" w:color="000000" w:sz="4" w:space="0"/>
              <w:left w:val="nil"/>
              <w:bottom w:val="single" w:color="000000" w:sz="4" w:space="0"/>
              <w:right w:val="single" w:color="000000" w:sz="4" w:space="0"/>
            </w:tcBorders>
          </w:tcPr>
          <w:p>
            <w:pPr>
              <w:spacing w:line="360" w:lineRule="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1"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before="93"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83" w:type="dxa"/>
            <w:tcBorders>
              <w:top w:val="single" w:color="000000" w:sz="4" w:space="0"/>
              <w:left w:val="nil"/>
              <w:bottom w:val="single" w:color="000000" w:sz="4" w:space="0"/>
              <w:right w:val="single" w:color="000000" w:sz="4" w:space="0"/>
            </w:tcBorders>
            <w:vAlign w:val="center"/>
          </w:tcPr>
          <w:p>
            <w:pPr>
              <w:pStyle w:val="31"/>
              <w:kinsoku w:val="0"/>
              <w:overflowPunct w:val="0"/>
              <w:spacing w:before="106" w:line="360" w:lineRule="auto"/>
              <w:ind w:left="548"/>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设计服务期限</w:t>
            </w:r>
          </w:p>
        </w:tc>
        <w:tc>
          <w:tcPr>
            <w:tcW w:w="2793" w:type="dxa"/>
            <w:tcBorders>
              <w:top w:val="single" w:color="000000" w:sz="4" w:space="0"/>
              <w:left w:val="nil"/>
              <w:bottom w:val="single" w:color="000000" w:sz="4" w:space="0"/>
              <w:right w:val="single" w:color="000000" w:sz="4" w:space="0"/>
            </w:tcBorders>
            <w:vAlign w:val="center"/>
          </w:tcPr>
          <w:p>
            <w:pPr>
              <w:spacing w:line="360" w:lineRule="auto"/>
              <w:ind w:left="-6" w:leftChars="-3" w:firstLine="183" w:firstLineChars="77"/>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按招标文件要求</w:t>
            </w:r>
          </w:p>
        </w:tc>
        <w:tc>
          <w:tcPr>
            <w:tcW w:w="1864" w:type="dxa"/>
            <w:tcBorders>
              <w:top w:val="single" w:color="000000" w:sz="4" w:space="0"/>
              <w:left w:val="nil"/>
              <w:bottom w:val="single" w:color="000000" w:sz="4" w:space="0"/>
              <w:right w:val="single" w:color="000000" w:sz="4" w:space="0"/>
            </w:tcBorders>
          </w:tcPr>
          <w:p>
            <w:pPr>
              <w:spacing w:line="360" w:lineRule="auto"/>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49"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883" w:type="dxa"/>
            <w:tcBorders>
              <w:top w:val="single" w:color="000000" w:sz="4" w:space="0"/>
              <w:left w:val="nil"/>
              <w:bottom w:val="single" w:color="000000" w:sz="4" w:space="0"/>
              <w:right w:val="single" w:color="000000" w:sz="4" w:space="0"/>
            </w:tcBorders>
            <w:vAlign w:val="center"/>
          </w:tcPr>
          <w:p>
            <w:pPr>
              <w:pStyle w:val="31"/>
              <w:kinsoku w:val="0"/>
              <w:overflowPunct w:val="0"/>
              <w:spacing w:before="106" w:line="360" w:lineRule="auto"/>
              <w:ind w:left="548"/>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质量标准</w:t>
            </w:r>
          </w:p>
        </w:tc>
        <w:tc>
          <w:tcPr>
            <w:tcW w:w="2793" w:type="dxa"/>
            <w:tcBorders>
              <w:top w:val="single" w:color="000000" w:sz="4" w:space="0"/>
              <w:left w:val="nil"/>
              <w:bottom w:val="single" w:color="000000" w:sz="4" w:space="0"/>
              <w:right w:val="single" w:color="000000" w:sz="4" w:space="0"/>
            </w:tcBorders>
            <w:vAlign w:val="center"/>
          </w:tcPr>
          <w:p>
            <w:pPr>
              <w:spacing w:line="360" w:lineRule="auto"/>
              <w:ind w:left="-6" w:leftChars="-3" w:firstLine="183" w:firstLineChars="77"/>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按招标文件要求</w:t>
            </w:r>
          </w:p>
        </w:tc>
        <w:tc>
          <w:tcPr>
            <w:tcW w:w="1864" w:type="dxa"/>
            <w:tcBorders>
              <w:top w:val="single" w:color="000000" w:sz="4" w:space="0"/>
              <w:left w:val="nil"/>
              <w:bottom w:val="single" w:color="000000" w:sz="4" w:space="0"/>
              <w:right w:val="single" w:color="000000" w:sz="4" w:space="0"/>
            </w:tcBorders>
          </w:tcPr>
          <w:p>
            <w:pPr>
              <w:spacing w:before="106" w:line="360" w:lineRule="auto"/>
              <w:ind w:left="548"/>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1"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883" w:type="dxa"/>
            <w:tcBorders>
              <w:top w:val="single" w:color="000000" w:sz="4" w:space="0"/>
              <w:left w:val="nil"/>
              <w:bottom w:val="single" w:color="000000" w:sz="4" w:space="0"/>
              <w:right w:val="single" w:color="000000" w:sz="4" w:space="0"/>
            </w:tcBorders>
            <w:vAlign w:val="center"/>
          </w:tcPr>
          <w:p>
            <w:pPr>
              <w:pStyle w:val="31"/>
              <w:kinsoku w:val="0"/>
              <w:overflowPunct w:val="0"/>
              <w:spacing w:before="106" w:line="360" w:lineRule="auto"/>
              <w:ind w:left="548"/>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投标有效期</w:t>
            </w:r>
          </w:p>
        </w:tc>
        <w:tc>
          <w:tcPr>
            <w:tcW w:w="2793" w:type="dxa"/>
            <w:tcBorders>
              <w:top w:val="single" w:color="000000" w:sz="4" w:space="0"/>
              <w:left w:val="nil"/>
              <w:bottom w:val="single" w:color="000000" w:sz="4" w:space="0"/>
              <w:right w:val="single" w:color="000000" w:sz="4" w:space="0"/>
            </w:tcBorders>
            <w:vAlign w:val="center"/>
          </w:tcPr>
          <w:p>
            <w:pPr>
              <w:spacing w:line="360" w:lineRule="auto"/>
              <w:ind w:left="-6" w:leftChars="-3" w:firstLine="183" w:firstLineChars="77"/>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按招标文件要求</w:t>
            </w:r>
          </w:p>
        </w:tc>
        <w:tc>
          <w:tcPr>
            <w:tcW w:w="1864" w:type="dxa"/>
            <w:tcBorders>
              <w:top w:val="single" w:color="000000" w:sz="4" w:space="0"/>
              <w:left w:val="nil"/>
              <w:bottom w:val="single" w:color="000000" w:sz="4" w:space="0"/>
              <w:right w:val="single" w:color="000000" w:sz="4" w:space="0"/>
            </w:tcBorders>
          </w:tcPr>
          <w:p>
            <w:pPr>
              <w:spacing w:line="360" w:lineRule="auto"/>
              <w:rPr>
                <w:rFonts w:hint="eastAsia" w:ascii="宋体" w:hAnsi="宋体" w:eastAsia="宋体" w:cs="宋体"/>
                <w:color w:val="auto"/>
                <w:sz w:val="24"/>
                <w:szCs w:val="24"/>
                <w:highlight w:val="none"/>
              </w:rPr>
            </w:pPr>
          </w:p>
        </w:tc>
      </w:tr>
    </w:tbl>
    <w:p>
      <w:pPr>
        <w:pStyle w:val="11"/>
        <w:pBdr>
          <w:top w:val="single" w:color="auto" w:sz="4" w:space="0"/>
        </w:pBdr>
        <w:kinsoku w:val="0"/>
        <w:overflowPunct w:val="0"/>
        <w:spacing w:before="6" w:line="360" w:lineRule="auto"/>
        <w:rPr>
          <w:rFonts w:hint="eastAsia" w:ascii="宋体" w:hAnsi="宋体" w:eastAsia="宋体" w:cs="宋体"/>
          <w:color w:val="auto"/>
          <w:sz w:val="20"/>
          <w:szCs w:val="20"/>
          <w:highlight w:val="none"/>
        </w:rPr>
      </w:pPr>
    </w:p>
    <w:p>
      <w:pPr>
        <w:pStyle w:val="11"/>
        <w:pBdr>
          <w:top w:val="single" w:color="auto" w:sz="4" w:space="0"/>
        </w:pBdr>
        <w:kinsoku w:val="0"/>
        <w:overflowPunct w:val="0"/>
        <w:spacing w:before="6" w:line="360" w:lineRule="auto"/>
        <w:rPr>
          <w:rFonts w:hint="eastAsia" w:ascii="宋体" w:hAnsi="宋体" w:eastAsia="宋体" w:cs="宋体"/>
          <w:color w:val="auto"/>
          <w:sz w:val="20"/>
          <w:szCs w:val="20"/>
          <w:highlight w:val="none"/>
        </w:rPr>
      </w:pPr>
    </w:p>
    <w:p>
      <w:pPr>
        <w:pStyle w:val="11"/>
        <w:pBdr>
          <w:top w:val="single" w:color="auto" w:sz="4" w:space="0"/>
        </w:pBdr>
        <w:kinsoku w:val="0"/>
        <w:overflowPunct w:val="0"/>
        <w:spacing w:before="6" w:line="360" w:lineRule="auto"/>
        <w:rPr>
          <w:rFonts w:hint="eastAsia"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rPr>
        <w:t>投 标</w:t>
      </w:r>
      <w:r>
        <w:rPr>
          <w:rFonts w:hint="eastAsia" w:ascii="宋体" w:hAnsi="宋体" w:eastAsia="宋体" w:cs="宋体"/>
          <w:color w:val="auto"/>
          <w:spacing w:val="-2"/>
          <w:sz w:val="24"/>
          <w:szCs w:val="24"/>
          <w:highlight w:val="none"/>
        </w:rPr>
        <w:t xml:space="preserve"> 人：</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rPr>
        <w:tab/>
      </w:r>
      <w:r>
        <w:rPr>
          <w:rFonts w:hint="eastAsia" w:ascii="宋体" w:hAnsi="宋体" w:eastAsia="宋体" w:cs="宋体"/>
          <w:color w:val="auto"/>
          <w:spacing w:val="-1"/>
          <w:sz w:val="24"/>
          <w:szCs w:val="24"/>
          <w:highlight w:val="none"/>
        </w:rPr>
        <w:t>（盖单位章）</w:t>
      </w:r>
    </w:p>
    <w:p>
      <w:pPr>
        <w:pStyle w:val="11"/>
        <w:pBdr>
          <w:top w:val="single" w:color="auto" w:sz="4" w:space="0"/>
        </w:pBdr>
        <w:kinsoku w:val="0"/>
        <w:overflowPunct w:val="0"/>
        <w:spacing w:before="6"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法定代表人或其委托代理人：</w:t>
      </w:r>
      <w:r>
        <w:rPr>
          <w:rFonts w:hint="eastAsia" w:ascii="宋体" w:hAnsi="宋体" w:eastAsia="宋体" w:cs="宋体"/>
          <w:bCs/>
          <w:color w:val="auto"/>
          <w:sz w:val="24"/>
          <w:szCs w:val="24"/>
          <w:highlight w:val="none"/>
          <w:u w:val="single"/>
        </w:rPr>
        <w:tab/>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（签字或盖章）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22"/>
        <w:ind w:firstLine="400"/>
        <w:rPr>
          <w:rFonts w:hint="eastAsia" w:ascii="宋体" w:hAnsi="宋体" w:eastAsia="宋体" w:cs="宋体"/>
          <w:color w:val="auto"/>
          <w:highlight w:val="none"/>
          <w:lang w:eastAsia="zh-CN"/>
        </w:rPr>
      </w:pPr>
    </w:p>
    <w:p>
      <w:pPr>
        <w:pStyle w:val="22"/>
        <w:ind w:firstLine="400"/>
        <w:rPr>
          <w:rFonts w:hint="eastAsia" w:ascii="宋体" w:hAnsi="宋体" w:eastAsia="宋体" w:cs="宋体"/>
          <w:color w:val="auto"/>
          <w:highlight w:val="none"/>
          <w:lang w:eastAsia="zh-CN"/>
        </w:rPr>
      </w:pPr>
    </w:p>
    <w:p>
      <w:pPr>
        <w:autoSpaceDE w:val="0"/>
        <w:autoSpaceDN w:val="0"/>
        <w:adjustRightInd w:val="0"/>
        <w:spacing w:line="360" w:lineRule="auto"/>
        <w:ind w:right="-20"/>
        <w:outlineLvl w:val="0"/>
        <w:rPr>
          <w:rFonts w:hint="eastAsia" w:ascii="宋体" w:hAnsi="宋体" w:eastAsia="宋体" w:cs="宋体"/>
          <w:color w:val="auto"/>
          <w:position w:val="-1"/>
          <w:sz w:val="32"/>
          <w:szCs w:val="32"/>
          <w:highlight w:val="none"/>
        </w:rPr>
      </w:pPr>
      <w:r>
        <w:rPr>
          <w:rFonts w:hint="eastAsia" w:ascii="宋体" w:hAnsi="宋体" w:eastAsia="宋体" w:cs="宋体"/>
          <w:color w:val="auto"/>
          <w:highlight w:val="none"/>
        </w:rPr>
        <w:br w:type="page"/>
      </w:r>
      <w:bookmarkStart w:id="41" w:name="_Toc8458"/>
      <w:r>
        <w:rPr>
          <w:rFonts w:hint="eastAsia" w:ascii="宋体" w:hAnsi="宋体" w:eastAsia="宋体" w:cs="宋体"/>
          <w:color w:val="auto"/>
          <w:spacing w:val="2"/>
          <w:position w:val="-1"/>
          <w:sz w:val="32"/>
          <w:szCs w:val="32"/>
          <w:highlight w:val="none"/>
        </w:rPr>
        <w:t>格式二：法定代表人身份证明及授权委托书</w:t>
      </w:r>
      <w:bookmarkEnd w:id="41"/>
    </w:p>
    <w:p>
      <w:pPr>
        <w:spacing w:line="360" w:lineRule="auto"/>
        <w:jc w:val="center"/>
        <w:rPr>
          <w:rFonts w:hint="eastAsia" w:ascii="宋体" w:hAnsi="宋体" w:eastAsia="宋体" w:cs="宋体"/>
          <w:b/>
          <w:color w:val="auto"/>
          <w:kern w:val="1"/>
          <w:sz w:val="28"/>
          <w:highlight w:val="none"/>
        </w:rPr>
      </w:pPr>
      <w:r>
        <w:rPr>
          <w:rFonts w:hint="eastAsia" w:ascii="宋体" w:hAnsi="宋体" w:eastAsia="宋体" w:cs="宋体"/>
          <w:b/>
          <w:color w:val="auto"/>
          <w:kern w:val="1"/>
          <w:sz w:val="28"/>
          <w:highlight w:val="none"/>
        </w:rPr>
        <w:t>法定代表人身份证明书</w:t>
      </w:r>
    </w:p>
    <w:p>
      <w:pPr>
        <w:spacing w:line="360"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lang w:val="en-US" w:eastAsia="zh-CN"/>
        </w:rPr>
        <w:t xml:space="preserve">                                                             </w:t>
      </w:r>
      <w:r>
        <w:rPr>
          <w:rFonts w:hint="eastAsia" w:ascii="宋体" w:hAnsi="宋体" w:eastAsia="宋体" w:cs="宋体"/>
          <w:color w:val="auto"/>
          <w:kern w:val="1"/>
          <w:szCs w:val="21"/>
          <w:highlight w:val="none"/>
        </w:rPr>
        <w:t>（　 ）第　号</w:t>
      </w:r>
    </w:p>
    <w:tbl>
      <w:tblPr>
        <w:tblStyle w:val="23"/>
        <w:tblW w:w="8640" w:type="dxa"/>
        <w:tblInd w:w="0" w:type="dxa"/>
        <w:tblLayout w:type="fixed"/>
        <w:tblCellMar>
          <w:top w:w="0" w:type="dxa"/>
          <w:left w:w="108" w:type="dxa"/>
          <w:bottom w:w="0" w:type="dxa"/>
          <w:right w:w="108" w:type="dxa"/>
        </w:tblCellMar>
      </w:tblPr>
      <w:tblGrid>
        <w:gridCol w:w="8640"/>
      </w:tblGrid>
      <w:tr>
        <w:tblPrEx>
          <w:tblCellMar>
            <w:top w:w="0" w:type="dxa"/>
            <w:left w:w="108" w:type="dxa"/>
            <w:bottom w:w="0" w:type="dxa"/>
            <w:right w:w="108" w:type="dxa"/>
          </w:tblCellMar>
        </w:tblPrEx>
        <w:trPr>
          <w:trHeight w:val="3567" w:hRule="atLeast"/>
        </w:trPr>
        <w:tc>
          <w:tcPr>
            <w:tcW w:w="8640"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kern w:val="1"/>
                <w:sz w:val="24"/>
                <w:szCs w:val="24"/>
                <w:highlight w:val="none"/>
                <w:u w:val="single"/>
              </w:rPr>
            </w:pPr>
          </w:p>
          <w:p>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color w:val="auto"/>
                <w:kern w:val="1"/>
                <w:sz w:val="24"/>
                <w:szCs w:val="24"/>
                <w:highlight w:val="none"/>
                <w:u w:val="single"/>
              </w:rPr>
              <w:t>　　　　</w:t>
            </w:r>
            <w:r>
              <w:rPr>
                <w:rFonts w:hint="eastAsia" w:ascii="宋体" w:hAnsi="宋体" w:eastAsia="宋体" w:cs="宋体"/>
                <w:color w:val="auto"/>
                <w:kern w:val="1"/>
                <w:sz w:val="24"/>
                <w:szCs w:val="24"/>
                <w:highlight w:val="none"/>
              </w:rPr>
              <w:t>现任我单位</w:t>
            </w:r>
            <w:r>
              <w:rPr>
                <w:rFonts w:hint="eastAsia" w:ascii="宋体" w:hAnsi="宋体" w:eastAsia="宋体" w:cs="宋体"/>
                <w:color w:val="auto"/>
                <w:kern w:val="1"/>
                <w:sz w:val="24"/>
                <w:szCs w:val="24"/>
                <w:highlight w:val="none"/>
                <w:u w:val="single"/>
              </w:rPr>
              <w:t>　　　　　</w:t>
            </w:r>
            <w:r>
              <w:rPr>
                <w:rFonts w:hint="eastAsia" w:ascii="宋体" w:hAnsi="宋体" w:eastAsia="宋体" w:cs="宋体"/>
                <w:color w:val="auto"/>
                <w:kern w:val="1"/>
                <w:sz w:val="24"/>
                <w:szCs w:val="24"/>
                <w:highlight w:val="none"/>
              </w:rPr>
              <w:t>职务，为法定代表人（负责人），特此证明。</w:t>
            </w:r>
          </w:p>
          <w:p>
            <w:pPr>
              <w:spacing w:line="360" w:lineRule="auto"/>
              <w:rPr>
                <w:rFonts w:hint="eastAsia" w:ascii="宋体" w:hAnsi="宋体" w:eastAsia="宋体" w:cs="宋体"/>
                <w:color w:val="auto"/>
                <w:kern w:val="1"/>
                <w:sz w:val="24"/>
                <w:szCs w:val="24"/>
                <w:highlight w:val="none"/>
                <w:u w:val="single"/>
              </w:rPr>
            </w:pPr>
            <w:r>
              <w:rPr>
                <w:rFonts w:hint="eastAsia" w:ascii="宋体" w:hAnsi="宋体" w:eastAsia="宋体" w:cs="宋体"/>
                <w:color w:val="auto"/>
                <w:kern w:val="1"/>
                <w:sz w:val="24"/>
                <w:szCs w:val="24"/>
                <w:highlight w:val="none"/>
              </w:rPr>
              <w:t xml:space="preserve">有效期限： </w:t>
            </w:r>
            <w:r>
              <w:rPr>
                <w:rFonts w:hint="eastAsia" w:ascii="宋体" w:hAnsi="宋体" w:eastAsia="宋体" w:cs="宋体"/>
                <w:color w:val="auto"/>
                <w:kern w:val="1"/>
                <w:sz w:val="24"/>
                <w:szCs w:val="24"/>
                <w:highlight w:val="none"/>
                <w:u w:val="single"/>
              </w:rPr>
              <w:t>　　　　　　　　　　</w:t>
            </w:r>
          </w:p>
          <w:p>
            <w:pPr>
              <w:spacing w:line="360" w:lineRule="auto"/>
              <w:rPr>
                <w:rFonts w:hint="eastAsia" w:ascii="宋体" w:hAnsi="宋体" w:eastAsia="宋体" w:cs="宋体"/>
                <w:color w:val="auto"/>
                <w:kern w:val="1"/>
                <w:sz w:val="24"/>
                <w:szCs w:val="24"/>
                <w:highlight w:val="none"/>
                <w:u w:val="single"/>
              </w:rPr>
            </w:pPr>
            <w:r>
              <w:rPr>
                <w:rFonts w:hint="eastAsia" w:ascii="宋体" w:hAnsi="宋体" w:eastAsia="宋体" w:cs="宋体"/>
                <w:color w:val="auto"/>
                <w:kern w:val="1"/>
                <w:sz w:val="24"/>
                <w:szCs w:val="24"/>
                <w:highlight w:val="none"/>
              </w:rPr>
              <w:t>附：法定代表人（负责人）性别：</w:t>
            </w:r>
            <w:r>
              <w:rPr>
                <w:rFonts w:hint="eastAsia" w:ascii="宋体" w:hAnsi="宋体" w:eastAsia="宋体" w:cs="宋体"/>
                <w:color w:val="auto"/>
                <w:kern w:val="1"/>
                <w:sz w:val="24"/>
                <w:szCs w:val="24"/>
                <w:highlight w:val="none"/>
                <w:u w:val="single"/>
              </w:rPr>
              <w:t>　　</w:t>
            </w:r>
            <w:r>
              <w:rPr>
                <w:rFonts w:hint="eastAsia" w:ascii="宋体" w:hAnsi="宋体" w:eastAsia="宋体" w:cs="宋体"/>
                <w:color w:val="auto"/>
                <w:kern w:val="1"/>
                <w:sz w:val="24"/>
                <w:szCs w:val="24"/>
                <w:highlight w:val="none"/>
              </w:rPr>
              <w:t>年龄：</w:t>
            </w:r>
            <w:r>
              <w:rPr>
                <w:rFonts w:hint="eastAsia" w:ascii="宋体" w:hAnsi="宋体" w:eastAsia="宋体" w:cs="宋体"/>
                <w:color w:val="auto"/>
                <w:kern w:val="1"/>
                <w:sz w:val="24"/>
                <w:szCs w:val="24"/>
                <w:highlight w:val="none"/>
                <w:u w:val="single"/>
              </w:rPr>
              <w:t>　　</w:t>
            </w:r>
            <w:r>
              <w:rPr>
                <w:rFonts w:hint="eastAsia" w:ascii="宋体" w:hAnsi="宋体" w:eastAsia="宋体" w:cs="宋体"/>
                <w:color w:val="auto"/>
                <w:kern w:val="1"/>
                <w:sz w:val="24"/>
                <w:szCs w:val="24"/>
                <w:highlight w:val="none"/>
              </w:rPr>
              <w:t>身份证号码：</w:t>
            </w:r>
            <w:r>
              <w:rPr>
                <w:rFonts w:hint="eastAsia" w:ascii="宋体" w:hAnsi="宋体" w:eastAsia="宋体" w:cs="宋体"/>
                <w:color w:val="auto"/>
                <w:kern w:val="1"/>
                <w:sz w:val="24"/>
                <w:szCs w:val="24"/>
                <w:highlight w:val="none"/>
                <w:u w:val="single"/>
              </w:rPr>
              <w:t>　　　　　　　　　　</w:t>
            </w:r>
          </w:p>
          <w:p>
            <w:pPr>
              <w:spacing w:line="360" w:lineRule="auto"/>
              <w:rPr>
                <w:rFonts w:hint="eastAsia" w:ascii="宋体" w:hAnsi="宋体" w:eastAsia="宋体" w:cs="宋体"/>
                <w:color w:val="auto"/>
                <w:kern w:val="1"/>
                <w:sz w:val="24"/>
                <w:szCs w:val="24"/>
                <w:highlight w:val="none"/>
                <w:u w:val="single"/>
              </w:rPr>
            </w:pPr>
            <w:r>
              <w:rPr>
                <w:rFonts w:hint="eastAsia" w:ascii="宋体" w:hAnsi="宋体" w:eastAsia="宋体" w:cs="宋体"/>
                <w:color w:val="auto"/>
                <w:kern w:val="1"/>
                <w:sz w:val="24"/>
                <w:szCs w:val="24"/>
                <w:highlight w:val="none"/>
              </w:rPr>
              <w:t>注册号码：</w:t>
            </w:r>
            <w:r>
              <w:rPr>
                <w:rFonts w:hint="eastAsia" w:ascii="宋体" w:hAnsi="宋体" w:eastAsia="宋体" w:cs="宋体"/>
                <w:color w:val="auto"/>
                <w:kern w:val="1"/>
                <w:sz w:val="24"/>
                <w:szCs w:val="24"/>
                <w:highlight w:val="none"/>
                <w:u w:val="single"/>
              </w:rPr>
              <w:t>　　　　　　　　　　</w:t>
            </w:r>
            <w:r>
              <w:rPr>
                <w:rFonts w:hint="eastAsia" w:ascii="宋体" w:hAnsi="宋体" w:eastAsia="宋体" w:cs="宋体"/>
                <w:color w:val="auto"/>
                <w:kern w:val="1"/>
                <w:sz w:val="24"/>
                <w:szCs w:val="24"/>
                <w:highlight w:val="none"/>
              </w:rPr>
              <w:t>企业类型：</w:t>
            </w:r>
            <w:r>
              <w:rPr>
                <w:rFonts w:hint="eastAsia" w:ascii="宋体" w:hAnsi="宋体" w:eastAsia="宋体" w:cs="宋体"/>
                <w:color w:val="auto"/>
                <w:kern w:val="1"/>
                <w:sz w:val="24"/>
                <w:szCs w:val="24"/>
                <w:highlight w:val="none"/>
                <w:u w:val="single"/>
              </w:rPr>
              <w:t>　　　　　　　　　　</w:t>
            </w:r>
          </w:p>
          <w:p>
            <w:pPr>
              <w:spacing w:line="360" w:lineRule="auto"/>
              <w:rPr>
                <w:rFonts w:hint="eastAsia" w:ascii="宋体" w:hAnsi="宋体" w:eastAsia="宋体" w:cs="宋体"/>
                <w:color w:val="auto"/>
                <w:kern w:val="1"/>
                <w:sz w:val="24"/>
                <w:szCs w:val="24"/>
                <w:highlight w:val="none"/>
                <w:u w:val="single"/>
              </w:rPr>
            </w:pPr>
            <w:r>
              <w:rPr>
                <w:rFonts w:hint="eastAsia" w:ascii="宋体" w:hAnsi="宋体" w:eastAsia="宋体" w:cs="宋体"/>
                <w:color w:val="auto"/>
                <w:kern w:val="1"/>
                <w:sz w:val="24"/>
                <w:szCs w:val="24"/>
                <w:highlight w:val="none"/>
              </w:rPr>
              <w:t>经营范围：</w:t>
            </w:r>
            <w:r>
              <w:rPr>
                <w:rFonts w:hint="eastAsia" w:ascii="宋体" w:hAnsi="宋体" w:eastAsia="宋体" w:cs="宋体"/>
                <w:color w:val="auto"/>
                <w:kern w:val="1"/>
                <w:sz w:val="24"/>
                <w:szCs w:val="24"/>
                <w:highlight w:val="none"/>
                <w:u w:val="single"/>
              </w:rPr>
              <w:t xml:space="preserve">　　　　　　　　　　                                                 </w:t>
            </w:r>
          </w:p>
          <w:p>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u w:val="single"/>
              </w:rPr>
              <w:t>　　　　　　　　　　　　　　　　</w:t>
            </w:r>
            <w:r>
              <w:rPr>
                <w:rFonts w:hint="eastAsia" w:ascii="宋体" w:hAnsi="宋体" w:eastAsia="宋体" w:cs="宋体"/>
                <w:color w:val="auto"/>
                <w:kern w:val="1"/>
                <w:sz w:val="24"/>
                <w:szCs w:val="24"/>
                <w:highlight w:val="none"/>
              </w:rPr>
              <w:t>单位：</w:t>
            </w:r>
            <w:r>
              <w:rPr>
                <w:rFonts w:hint="eastAsia" w:ascii="宋体" w:hAnsi="宋体" w:eastAsia="宋体" w:cs="宋体"/>
                <w:color w:val="auto"/>
                <w:kern w:val="1"/>
                <w:sz w:val="24"/>
                <w:szCs w:val="24"/>
                <w:highlight w:val="none"/>
                <w:u w:val="single"/>
              </w:rPr>
              <w:t>　　　　　　</w:t>
            </w:r>
            <w:r>
              <w:rPr>
                <w:rFonts w:hint="eastAsia" w:ascii="宋体" w:hAnsi="宋体" w:eastAsia="宋体" w:cs="宋体"/>
                <w:color w:val="auto"/>
                <w:kern w:val="1"/>
                <w:sz w:val="24"/>
                <w:szCs w:val="24"/>
                <w:highlight w:val="none"/>
              </w:rPr>
              <w:t>（盖章）</w:t>
            </w:r>
          </w:p>
          <w:p>
            <w:pPr>
              <w:spacing w:line="360" w:lineRule="auto"/>
              <w:rPr>
                <w:rFonts w:hint="eastAsia" w:ascii="宋体" w:hAnsi="宋体" w:eastAsia="宋体" w:cs="宋体"/>
                <w:color w:val="auto"/>
                <w:kern w:val="1"/>
                <w:szCs w:val="21"/>
                <w:highlight w:val="none"/>
                <w:u w:val="single"/>
              </w:rPr>
            </w:pPr>
            <w:r>
              <w:rPr>
                <w:rFonts w:hint="eastAsia" w:ascii="宋体" w:hAnsi="宋体" w:eastAsia="宋体" w:cs="宋体"/>
                <w:color w:val="auto"/>
                <w:kern w:val="1"/>
                <w:sz w:val="24"/>
                <w:szCs w:val="24"/>
                <w:highlight w:val="none"/>
                <w:u w:val="single"/>
              </w:rPr>
              <w:t>　　　　　　　　　　　　　　　　</w:t>
            </w:r>
            <w:r>
              <w:rPr>
                <w:rFonts w:hint="eastAsia" w:ascii="宋体" w:hAnsi="宋体" w:eastAsia="宋体" w:cs="宋体"/>
                <w:color w:val="auto"/>
                <w:kern w:val="1"/>
                <w:sz w:val="24"/>
                <w:szCs w:val="24"/>
                <w:highlight w:val="none"/>
              </w:rPr>
              <w:t>　　　　　    年　月　　日</w:t>
            </w:r>
          </w:p>
        </w:tc>
      </w:tr>
    </w:tbl>
    <w:p>
      <w:pPr>
        <w:spacing w:line="360" w:lineRule="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注：1、法定代表人证明书也可以采用工商行政管理局统一印制的格式。</w:t>
      </w:r>
    </w:p>
    <w:p>
      <w:pPr>
        <w:spacing w:line="360" w:lineRule="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2、附法定代表人身份证扫描件（加盖电子印章）。</w:t>
      </w:r>
    </w:p>
    <w:p>
      <w:pPr>
        <w:pStyle w:val="8"/>
        <w:ind w:firstLine="440"/>
        <w:rPr>
          <w:rFonts w:hint="eastAsia" w:ascii="宋体" w:hAnsi="宋体" w:eastAsia="宋体" w:cs="宋体"/>
          <w:color w:val="auto"/>
          <w:highlight w:val="none"/>
          <w:lang w:eastAsia="zh-CN"/>
        </w:rPr>
      </w:pPr>
    </w:p>
    <w:p>
      <w:pPr>
        <w:spacing w:line="360" w:lineRule="auto"/>
        <w:jc w:val="center"/>
        <w:rPr>
          <w:rFonts w:hint="eastAsia" w:ascii="宋体" w:hAnsi="宋体" w:eastAsia="宋体" w:cs="宋体"/>
          <w:b/>
          <w:color w:val="auto"/>
          <w:kern w:val="1"/>
          <w:sz w:val="24"/>
          <w:highlight w:val="none"/>
        </w:rPr>
      </w:pPr>
      <w:r>
        <w:rPr>
          <w:rFonts w:hint="eastAsia" w:ascii="宋体" w:hAnsi="宋体" w:eastAsia="宋体" w:cs="宋体"/>
          <w:b/>
          <w:color w:val="auto"/>
          <w:kern w:val="1"/>
          <w:sz w:val="24"/>
          <w:highlight w:val="none"/>
        </w:rPr>
        <w:t>法定代表人授权委托书</w:t>
      </w:r>
    </w:p>
    <w:p>
      <w:pPr>
        <w:spacing w:line="360"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lang w:val="en-US" w:eastAsia="zh-CN"/>
        </w:rPr>
        <w:t xml:space="preserve">                                                              </w:t>
      </w:r>
      <w:r>
        <w:rPr>
          <w:rFonts w:hint="eastAsia" w:ascii="宋体" w:hAnsi="宋体" w:eastAsia="宋体" w:cs="宋体"/>
          <w:color w:val="auto"/>
          <w:kern w:val="1"/>
          <w:szCs w:val="21"/>
          <w:highlight w:val="none"/>
        </w:rPr>
        <w:t>（　 ）第　号</w:t>
      </w:r>
    </w:p>
    <w:tbl>
      <w:tblPr>
        <w:tblStyle w:val="23"/>
        <w:tblW w:w="8700" w:type="dxa"/>
        <w:tblInd w:w="0" w:type="dxa"/>
        <w:tblLayout w:type="fixed"/>
        <w:tblCellMar>
          <w:top w:w="0" w:type="dxa"/>
          <w:left w:w="108" w:type="dxa"/>
          <w:bottom w:w="0" w:type="dxa"/>
          <w:right w:w="108" w:type="dxa"/>
        </w:tblCellMar>
      </w:tblPr>
      <w:tblGrid>
        <w:gridCol w:w="8700"/>
      </w:tblGrid>
      <w:tr>
        <w:tblPrEx>
          <w:tblCellMar>
            <w:top w:w="0" w:type="dxa"/>
            <w:left w:w="108" w:type="dxa"/>
            <w:bottom w:w="0" w:type="dxa"/>
            <w:right w:w="108" w:type="dxa"/>
          </w:tblCellMar>
        </w:tblPrEx>
        <w:trPr>
          <w:trHeight w:val="4184" w:hRule="atLeast"/>
        </w:trPr>
        <w:tc>
          <w:tcPr>
            <w:tcW w:w="8700" w:type="dxa"/>
            <w:tcBorders>
              <w:top w:val="single" w:color="000000" w:sz="4" w:space="0"/>
              <w:left w:val="single" w:color="000000" w:sz="4" w:space="0"/>
              <w:bottom w:val="single" w:color="000000" w:sz="4" w:space="0"/>
              <w:right w:val="single" w:color="000000" w:sz="4" w:space="0"/>
            </w:tcBorders>
          </w:tcPr>
          <w:p>
            <w:pPr>
              <w:spacing w:line="360" w:lineRule="auto"/>
              <w:ind w:firstLine="480"/>
              <w:rPr>
                <w:rFonts w:hint="eastAsia" w:ascii="宋体" w:hAnsi="宋体" w:eastAsia="宋体" w:cs="宋体"/>
                <w:color w:val="auto"/>
                <w:kern w:val="1"/>
                <w:sz w:val="24"/>
                <w:szCs w:val="24"/>
                <w:highlight w:val="none"/>
                <w:u w:val="single"/>
              </w:rPr>
            </w:pPr>
            <w:r>
              <w:rPr>
                <w:rFonts w:hint="eastAsia" w:ascii="宋体" w:hAnsi="宋体" w:eastAsia="宋体" w:cs="宋体"/>
                <w:color w:val="auto"/>
                <w:kern w:val="1"/>
                <w:sz w:val="24"/>
                <w:szCs w:val="24"/>
                <w:highlight w:val="none"/>
              </w:rPr>
              <w:t>兹授权</w:t>
            </w:r>
            <w:r>
              <w:rPr>
                <w:rFonts w:hint="eastAsia" w:ascii="宋体" w:hAnsi="宋体" w:eastAsia="宋体" w:cs="宋体"/>
                <w:color w:val="auto"/>
                <w:kern w:val="1"/>
                <w:sz w:val="24"/>
                <w:szCs w:val="24"/>
                <w:highlight w:val="none"/>
                <w:u w:val="single"/>
              </w:rPr>
              <w:t xml:space="preserve">        </w:t>
            </w:r>
            <w:r>
              <w:rPr>
                <w:rFonts w:hint="eastAsia" w:ascii="宋体" w:hAnsi="宋体" w:eastAsia="宋体" w:cs="宋体"/>
                <w:color w:val="auto"/>
                <w:kern w:val="1"/>
                <w:sz w:val="24"/>
                <w:szCs w:val="24"/>
                <w:highlight w:val="none"/>
              </w:rPr>
              <w:t>为我方委托代理人，其权限是：</w:t>
            </w:r>
            <w:r>
              <w:rPr>
                <w:rFonts w:hint="eastAsia" w:ascii="宋体" w:hAnsi="宋体" w:eastAsia="宋体" w:cs="宋体"/>
                <w:color w:val="auto"/>
                <w:kern w:val="1"/>
                <w:sz w:val="24"/>
                <w:szCs w:val="24"/>
                <w:highlight w:val="none"/>
                <w:u w:val="single"/>
              </w:rPr>
              <w:t>　　　　                        　　　　　　</w:t>
            </w:r>
          </w:p>
          <w:p>
            <w:pPr>
              <w:spacing w:line="360" w:lineRule="auto"/>
              <w:rPr>
                <w:rFonts w:hint="eastAsia" w:ascii="宋体" w:hAnsi="宋体" w:eastAsia="宋体" w:cs="宋体"/>
                <w:color w:val="auto"/>
                <w:kern w:val="1"/>
                <w:sz w:val="24"/>
                <w:szCs w:val="24"/>
                <w:highlight w:val="none"/>
                <w:u w:val="single"/>
              </w:rPr>
            </w:pPr>
            <w:r>
              <w:rPr>
                <w:rFonts w:hint="eastAsia" w:ascii="宋体" w:hAnsi="宋体" w:eastAsia="宋体" w:cs="宋体"/>
                <w:color w:val="auto"/>
                <w:kern w:val="1"/>
                <w:sz w:val="24"/>
                <w:szCs w:val="24"/>
                <w:highlight w:val="none"/>
                <w:u w:val="single"/>
              </w:rPr>
              <w:t>　　　　　　　                                                               　　　</w:t>
            </w:r>
          </w:p>
          <w:p>
            <w:pPr>
              <w:spacing w:line="360" w:lineRule="auto"/>
              <w:rPr>
                <w:rFonts w:hint="eastAsia" w:ascii="宋体" w:hAnsi="宋体" w:eastAsia="宋体" w:cs="宋体"/>
                <w:color w:val="auto"/>
                <w:kern w:val="1"/>
                <w:sz w:val="24"/>
                <w:szCs w:val="24"/>
                <w:highlight w:val="none"/>
                <w:u w:val="single"/>
              </w:rPr>
            </w:pPr>
            <w:r>
              <w:rPr>
                <w:rFonts w:hint="eastAsia" w:ascii="宋体" w:hAnsi="宋体" w:eastAsia="宋体" w:cs="宋体"/>
                <w:color w:val="auto"/>
                <w:kern w:val="1"/>
                <w:sz w:val="24"/>
                <w:szCs w:val="24"/>
                <w:highlight w:val="none"/>
              </w:rPr>
              <w:t>有效期限：</w:t>
            </w:r>
            <w:r>
              <w:rPr>
                <w:rFonts w:hint="eastAsia" w:ascii="宋体" w:hAnsi="宋体" w:eastAsia="宋体" w:cs="宋体"/>
                <w:color w:val="auto"/>
                <w:kern w:val="1"/>
                <w:sz w:val="24"/>
                <w:szCs w:val="24"/>
                <w:highlight w:val="none"/>
                <w:u w:val="single"/>
              </w:rPr>
              <w:t>　　　　　　　　　　</w:t>
            </w:r>
          </w:p>
          <w:p>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附：代理人性别：</w:t>
            </w:r>
            <w:r>
              <w:rPr>
                <w:rFonts w:hint="eastAsia" w:ascii="宋体" w:hAnsi="宋体" w:eastAsia="宋体" w:cs="宋体"/>
                <w:color w:val="auto"/>
                <w:kern w:val="1"/>
                <w:sz w:val="24"/>
                <w:szCs w:val="24"/>
                <w:highlight w:val="none"/>
                <w:u w:val="single"/>
              </w:rPr>
              <w:t xml:space="preserve">           </w:t>
            </w:r>
            <w:r>
              <w:rPr>
                <w:rFonts w:hint="eastAsia" w:ascii="宋体" w:hAnsi="宋体" w:eastAsia="宋体" w:cs="宋体"/>
                <w:color w:val="auto"/>
                <w:kern w:val="1"/>
                <w:sz w:val="24"/>
                <w:szCs w:val="24"/>
                <w:highlight w:val="none"/>
              </w:rPr>
              <w:t>年龄：</w:t>
            </w:r>
            <w:r>
              <w:rPr>
                <w:rFonts w:hint="eastAsia" w:ascii="宋体" w:hAnsi="宋体" w:eastAsia="宋体" w:cs="宋体"/>
                <w:color w:val="auto"/>
                <w:kern w:val="1"/>
                <w:sz w:val="24"/>
                <w:szCs w:val="24"/>
                <w:highlight w:val="none"/>
                <w:u w:val="single"/>
              </w:rPr>
              <w:t xml:space="preserve">          </w:t>
            </w:r>
            <w:r>
              <w:rPr>
                <w:rFonts w:hint="eastAsia" w:ascii="宋体" w:hAnsi="宋体" w:eastAsia="宋体" w:cs="宋体"/>
                <w:color w:val="auto"/>
                <w:kern w:val="1"/>
                <w:sz w:val="24"/>
                <w:szCs w:val="24"/>
                <w:highlight w:val="none"/>
              </w:rPr>
              <w:t xml:space="preserve"> 身份证号码：</w:t>
            </w:r>
            <w:r>
              <w:rPr>
                <w:rFonts w:hint="eastAsia" w:ascii="宋体" w:hAnsi="宋体" w:eastAsia="宋体" w:cs="宋体"/>
                <w:color w:val="auto"/>
                <w:kern w:val="1"/>
                <w:sz w:val="24"/>
                <w:szCs w:val="24"/>
                <w:highlight w:val="none"/>
                <w:u w:val="single"/>
              </w:rPr>
              <w:t>　　　　　　　　　　</w:t>
            </w:r>
          </w:p>
          <w:p>
            <w:pPr>
              <w:spacing w:line="360" w:lineRule="auto"/>
              <w:rPr>
                <w:rFonts w:hint="eastAsia" w:ascii="宋体" w:hAnsi="宋体" w:eastAsia="宋体" w:cs="宋体"/>
                <w:color w:val="auto"/>
                <w:kern w:val="1"/>
                <w:sz w:val="24"/>
                <w:szCs w:val="24"/>
                <w:highlight w:val="none"/>
                <w:u w:val="single"/>
              </w:rPr>
            </w:pPr>
            <w:r>
              <w:rPr>
                <w:rFonts w:hint="eastAsia" w:ascii="宋体" w:hAnsi="宋体" w:eastAsia="宋体" w:cs="宋体"/>
                <w:color w:val="auto"/>
                <w:kern w:val="1"/>
                <w:sz w:val="24"/>
                <w:szCs w:val="24"/>
                <w:highlight w:val="none"/>
              </w:rPr>
              <w:t xml:space="preserve">注册号码： </w:t>
            </w:r>
            <w:r>
              <w:rPr>
                <w:rFonts w:hint="eastAsia" w:ascii="宋体" w:hAnsi="宋体" w:eastAsia="宋体" w:cs="宋体"/>
                <w:color w:val="auto"/>
                <w:kern w:val="1"/>
                <w:sz w:val="24"/>
                <w:szCs w:val="24"/>
                <w:highlight w:val="none"/>
                <w:u w:val="single"/>
              </w:rPr>
              <w:t>　　　　　　　　　　</w:t>
            </w:r>
            <w:r>
              <w:rPr>
                <w:rFonts w:hint="eastAsia" w:ascii="宋体" w:hAnsi="宋体" w:eastAsia="宋体" w:cs="宋体"/>
                <w:color w:val="auto"/>
                <w:kern w:val="1"/>
                <w:sz w:val="24"/>
                <w:szCs w:val="24"/>
                <w:highlight w:val="none"/>
              </w:rPr>
              <w:t xml:space="preserve">  企业类型：</w:t>
            </w:r>
            <w:r>
              <w:rPr>
                <w:rFonts w:hint="eastAsia" w:ascii="宋体" w:hAnsi="宋体" w:eastAsia="宋体" w:cs="宋体"/>
                <w:color w:val="auto"/>
                <w:kern w:val="1"/>
                <w:sz w:val="24"/>
                <w:szCs w:val="24"/>
                <w:highlight w:val="none"/>
                <w:u w:val="single"/>
              </w:rPr>
              <w:t>　　　　　　　　　　</w:t>
            </w:r>
          </w:p>
          <w:p>
            <w:pPr>
              <w:spacing w:line="360" w:lineRule="auto"/>
              <w:rPr>
                <w:rFonts w:hint="eastAsia" w:ascii="宋体" w:hAnsi="宋体" w:eastAsia="宋体" w:cs="宋体"/>
                <w:color w:val="auto"/>
                <w:kern w:val="1"/>
                <w:sz w:val="24"/>
                <w:szCs w:val="24"/>
                <w:highlight w:val="none"/>
                <w:u w:val="single"/>
              </w:rPr>
            </w:pPr>
            <w:r>
              <w:rPr>
                <w:rFonts w:hint="eastAsia" w:ascii="宋体" w:hAnsi="宋体" w:eastAsia="宋体" w:cs="宋体"/>
                <w:color w:val="auto"/>
                <w:kern w:val="1"/>
                <w:sz w:val="24"/>
                <w:szCs w:val="24"/>
                <w:highlight w:val="none"/>
              </w:rPr>
              <w:t>经营范围：</w:t>
            </w:r>
            <w:r>
              <w:rPr>
                <w:rFonts w:hint="eastAsia" w:ascii="宋体" w:hAnsi="宋体" w:eastAsia="宋体" w:cs="宋体"/>
                <w:color w:val="auto"/>
                <w:kern w:val="1"/>
                <w:sz w:val="24"/>
                <w:szCs w:val="24"/>
                <w:highlight w:val="none"/>
                <w:u w:val="single"/>
              </w:rPr>
              <w:t>　　　　　　　　                                        　　</w:t>
            </w:r>
          </w:p>
          <w:p>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法定代表人（负责人）：</w:t>
            </w:r>
            <w:r>
              <w:rPr>
                <w:rFonts w:hint="eastAsia" w:ascii="宋体" w:hAnsi="宋体" w:eastAsia="宋体" w:cs="宋体"/>
                <w:color w:val="auto"/>
                <w:kern w:val="1"/>
                <w:sz w:val="24"/>
                <w:szCs w:val="24"/>
                <w:highlight w:val="none"/>
                <w:u w:val="single"/>
              </w:rPr>
              <w:t>　　　　　　　　　　</w:t>
            </w:r>
            <w:r>
              <w:rPr>
                <w:rFonts w:hint="eastAsia" w:ascii="宋体" w:hAnsi="宋体" w:eastAsia="宋体" w:cs="宋体"/>
                <w:color w:val="auto"/>
                <w:kern w:val="1"/>
                <w:sz w:val="24"/>
                <w:szCs w:val="24"/>
                <w:highlight w:val="none"/>
              </w:rPr>
              <w:t>（签名或盖章）</w:t>
            </w:r>
          </w:p>
          <w:p>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授权单位：</w:t>
            </w:r>
            <w:r>
              <w:rPr>
                <w:rFonts w:hint="eastAsia" w:ascii="宋体" w:hAnsi="宋体" w:eastAsia="宋体" w:cs="宋体"/>
                <w:color w:val="auto"/>
                <w:kern w:val="1"/>
                <w:sz w:val="24"/>
                <w:szCs w:val="24"/>
                <w:highlight w:val="none"/>
                <w:u w:val="single"/>
              </w:rPr>
              <w:t>　　　　　　　　　　</w:t>
            </w:r>
            <w:r>
              <w:rPr>
                <w:rFonts w:hint="eastAsia" w:ascii="宋体" w:hAnsi="宋体" w:eastAsia="宋体" w:cs="宋体"/>
                <w:color w:val="auto"/>
                <w:kern w:val="1"/>
                <w:sz w:val="24"/>
                <w:szCs w:val="24"/>
                <w:highlight w:val="none"/>
              </w:rPr>
              <w:t>（盖章）</w:t>
            </w:r>
          </w:p>
          <w:p>
            <w:pPr>
              <w:spacing w:line="360" w:lineRule="auto"/>
              <w:rPr>
                <w:rFonts w:hint="eastAsia" w:ascii="宋体" w:hAnsi="宋体" w:eastAsia="宋体" w:cs="宋体"/>
                <w:color w:val="auto"/>
                <w:kern w:val="1"/>
                <w:szCs w:val="21"/>
                <w:highlight w:val="none"/>
              </w:rPr>
            </w:pPr>
            <w:r>
              <w:rPr>
                <w:rFonts w:hint="eastAsia" w:ascii="宋体" w:hAnsi="宋体" w:eastAsia="宋体" w:cs="宋体"/>
                <w:color w:val="auto"/>
                <w:kern w:val="1"/>
                <w:sz w:val="24"/>
                <w:szCs w:val="24"/>
                <w:highlight w:val="none"/>
              </w:rPr>
              <w:t xml:space="preserve">         年  月   日</w:t>
            </w:r>
          </w:p>
        </w:tc>
      </w:tr>
    </w:tbl>
    <w:p>
      <w:pPr>
        <w:spacing w:line="360" w:lineRule="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注：1、法定代表人授权委托书也可以采用工商行政管理局统一印制的格式。</w:t>
      </w:r>
    </w:p>
    <w:p>
      <w:pPr>
        <w:numPr>
          <w:ilvl w:val="0"/>
          <w:numId w:val="3"/>
        </w:numPr>
        <w:spacing w:line="360" w:lineRule="auto"/>
        <w:ind w:firstLine="48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附委托代理人身份证扫描件（加盖电子印章）。</w:t>
      </w:r>
    </w:p>
    <w:p>
      <w:pPr>
        <w:pStyle w:val="22"/>
        <w:ind w:left="0" w:leftChars="0" w:firstLine="0"/>
        <w:rPr>
          <w:rFonts w:hint="eastAsia" w:ascii="宋体" w:hAnsi="宋体" w:eastAsia="宋体" w:cs="宋体"/>
          <w:color w:val="auto"/>
          <w:highlight w:val="none"/>
          <w:lang w:eastAsia="zh-CN"/>
        </w:rPr>
        <w:sectPr>
          <w:headerReference r:id="rId9" w:type="default"/>
          <w:pgSz w:w="12240" w:h="15840"/>
          <w:pgMar w:top="1502" w:right="1718" w:bottom="1123" w:left="1718" w:header="0" w:footer="918" w:gutter="0"/>
          <w:cols w:space="720" w:num="1"/>
          <w:docGrid w:linePitch="1" w:charSpace="0"/>
        </w:sectPr>
      </w:pPr>
    </w:p>
    <w:p>
      <w:pPr>
        <w:autoSpaceDE w:val="0"/>
        <w:autoSpaceDN w:val="0"/>
        <w:adjustRightInd w:val="0"/>
        <w:spacing w:line="360" w:lineRule="auto"/>
        <w:ind w:right="-20"/>
        <w:outlineLvl w:val="0"/>
        <w:rPr>
          <w:rFonts w:hint="eastAsia" w:ascii="宋体" w:hAnsi="宋体" w:eastAsia="宋体" w:cs="宋体"/>
          <w:color w:val="auto"/>
          <w:spacing w:val="2"/>
          <w:position w:val="-1"/>
          <w:sz w:val="32"/>
          <w:szCs w:val="32"/>
          <w:highlight w:val="none"/>
        </w:rPr>
      </w:pPr>
      <w:bookmarkStart w:id="42" w:name="_Toc17661"/>
      <w:r>
        <w:rPr>
          <w:rFonts w:hint="eastAsia" w:ascii="宋体" w:hAnsi="宋体" w:eastAsia="宋体" w:cs="宋体"/>
          <w:color w:val="auto"/>
          <w:spacing w:val="2"/>
          <w:position w:val="-1"/>
          <w:sz w:val="32"/>
          <w:szCs w:val="32"/>
          <w:highlight w:val="none"/>
        </w:rPr>
        <w:t>格式三：合作设计协议书参考格式（格式仅供参考，适用于合作设计，否则可不提供）</w:t>
      </w:r>
      <w:bookmarkEnd w:id="42"/>
    </w:p>
    <w:p>
      <w:pPr>
        <w:spacing w:line="360" w:lineRule="auto"/>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合作设计协议书</w:t>
      </w:r>
    </w:p>
    <w:p>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13"/>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p>
    <w:p>
      <w:pPr>
        <w:pStyle w:val="13"/>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（招标人）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3"/>
        <w:spacing w:line="360" w:lineRule="auto"/>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按照招标公告的规定，</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shd w:val="clear" w:color="auto" w:fill="FFFFFF"/>
          <w:lang w:eastAsia="zh-CN"/>
        </w:rPr>
        <w:t>外国或澳门、台湾的设计企业</w:t>
      </w:r>
      <w:r>
        <w:rPr>
          <w:rFonts w:hint="eastAsia" w:ascii="宋体" w:hAnsi="宋体" w:eastAsia="宋体" w:cs="宋体"/>
          <w:b/>
          <w:color w:val="auto"/>
          <w:sz w:val="24"/>
          <w:szCs w:val="24"/>
          <w:highlight w:val="none"/>
          <w:u w:val="single"/>
          <w:shd w:val="clear" w:color="auto" w:fill="FFFFFF"/>
          <w:lang w:eastAsia="zh-CN"/>
        </w:rPr>
        <w:t>和香港不单独参加投标的设计企业</w:t>
      </w:r>
      <w:r>
        <w:rPr>
          <w:rFonts w:hint="eastAsia" w:ascii="宋体" w:hAnsi="宋体" w:eastAsia="宋体" w:cs="宋体"/>
          <w:color w:val="auto"/>
          <w:sz w:val="24"/>
          <w:szCs w:val="24"/>
          <w:highlight w:val="none"/>
          <w:lang w:eastAsia="zh-CN"/>
        </w:rPr>
        <w:t>）作为投标人（即“申请人”，下同）</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（符合招标公告第3条资质条件的企业）的合作设计方，参与本项目进行合作设计。若中标，各成员向招标人承担连带责任。合作设计方授权委托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（符合招标公告第3条资质条件的企业）代表所有合作成员参加投标、提交投标文件，以及与招标人签订合同，负责整个合同实施阶段的协调工作。</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3"/>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p>
    <w:p>
      <w:pPr>
        <w:pStyle w:val="13"/>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合作设计方：（盖章）</w:t>
      </w:r>
      <w:r>
        <w:rPr>
          <w:rFonts w:hint="eastAsia" w:ascii="宋体" w:hAnsi="宋体" w:eastAsia="宋体" w:cs="宋体"/>
          <w:color w:val="auto"/>
          <w:sz w:val="24"/>
          <w:szCs w:val="24"/>
          <w:highlight w:val="none"/>
          <w:u w:val="single"/>
          <w:lang w:eastAsia="zh-CN"/>
        </w:rPr>
        <w:t xml:space="preserve">                                         </w:t>
      </w:r>
    </w:p>
    <w:p>
      <w:pPr>
        <w:pStyle w:val="13"/>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代表人：（签字或盖章）</w:t>
      </w:r>
      <w:r>
        <w:rPr>
          <w:rFonts w:hint="eastAsia" w:ascii="宋体" w:hAnsi="宋体" w:eastAsia="宋体" w:cs="宋体"/>
          <w:color w:val="auto"/>
          <w:sz w:val="24"/>
          <w:szCs w:val="24"/>
          <w:highlight w:val="none"/>
          <w:u w:val="single"/>
          <w:lang w:eastAsia="zh-CN"/>
        </w:rPr>
        <w:t xml:space="preserve">                                       </w:t>
      </w:r>
    </w:p>
    <w:p>
      <w:pPr>
        <w:pStyle w:val="13"/>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分工内容：</w:t>
      </w:r>
      <w:r>
        <w:rPr>
          <w:rFonts w:hint="eastAsia" w:ascii="宋体" w:hAnsi="宋体" w:eastAsia="宋体" w:cs="宋体"/>
          <w:color w:val="auto"/>
          <w:sz w:val="24"/>
          <w:szCs w:val="24"/>
          <w:highlight w:val="none"/>
          <w:u w:val="single"/>
          <w:lang w:eastAsia="zh-CN"/>
        </w:rPr>
        <w:t xml:space="preserve">                                                  </w:t>
      </w:r>
    </w:p>
    <w:p>
      <w:pPr>
        <w:pStyle w:val="13"/>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p>
    <w:p>
      <w:pPr>
        <w:pStyle w:val="13"/>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投标人：（盖章）</w:t>
      </w:r>
      <w:r>
        <w:rPr>
          <w:rFonts w:hint="eastAsia" w:ascii="宋体" w:hAnsi="宋体" w:eastAsia="宋体" w:cs="宋体"/>
          <w:color w:val="auto"/>
          <w:sz w:val="24"/>
          <w:szCs w:val="24"/>
          <w:highlight w:val="none"/>
          <w:u w:val="single"/>
          <w:lang w:eastAsia="zh-CN"/>
        </w:rPr>
        <w:t xml:space="preserve">                                             </w:t>
      </w:r>
    </w:p>
    <w:p>
      <w:pPr>
        <w:pStyle w:val="13"/>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法定代表人：（签字或盖章）</w:t>
      </w:r>
      <w:r>
        <w:rPr>
          <w:rFonts w:hint="eastAsia" w:ascii="宋体" w:hAnsi="宋体" w:eastAsia="宋体" w:cs="宋体"/>
          <w:color w:val="auto"/>
          <w:sz w:val="24"/>
          <w:szCs w:val="24"/>
          <w:highlight w:val="none"/>
          <w:u w:val="single"/>
          <w:lang w:eastAsia="zh-CN"/>
        </w:rPr>
        <w:t xml:space="preserve">                                   </w:t>
      </w:r>
    </w:p>
    <w:p>
      <w:pPr>
        <w:pStyle w:val="13"/>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分工内容：</w:t>
      </w:r>
      <w:r>
        <w:rPr>
          <w:rFonts w:hint="eastAsia" w:ascii="宋体" w:hAnsi="宋体" w:eastAsia="宋体" w:cs="宋体"/>
          <w:color w:val="auto"/>
          <w:sz w:val="24"/>
          <w:szCs w:val="24"/>
          <w:highlight w:val="none"/>
          <w:u w:val="single"/>
          <w:lang w:eastAsia="zh-CN"/>
        </w:rPr>
        <w:t xml:space="preserve">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autoSpaceDE w:val="0"/>
        <w:autoSpaceDN w:val="0"/>
        <w:adjustRightInd w:val="0"/>
        <w:spacing w:line="360" w:lineRule="auto"/>
        <w:ind w:right="-20"/>
        <w:outlineLvl w:val="0"/>
        <w:rPr>
          <w:rFonts w:hint="eastAsia" w:ascii="宋体" w:hAnsi="宋体" w:eastAsia="宋体" w:cs="宋体"/>
          <w:color w:val="auto"/>
          <w:spacing w:val="2"/>
          <w:position w:val="-1"/>
          <w:sz w:val="32"/>
          <w:szCs w:val="32"/>
          <w:highlight w:val="none"/>
        </w:rPr>
      </w:pPr>
      <w:r>
        <w:rPr>
          <w:rFonts w:hint="eastAsia" w:ascii="宋体" w:hAnsi="宋体" w:eastAsia="宋体" w:cs="宋体"/>
          <w:color w:val="auto"/>
          <w:highlight w:val="none"/>
        </w:rPr>
        <w:br w:type="page"/>
      </w:r>
      <w:bookmarkStart w:id="43" w:name="_Toc8223"/>
      <w:r>
        <w:rPr>
          <w:rFonts w:hint="eastAsia" w:ascii="宋体" w:hAnsi="宋体" w:eastAsia="宋体" w:cs="宋体"/>
          <w:color w:val="auto"/>
          <w:spacing w:val="2"/>
          <w:position w:val="-1"/>
          <w:sz w:val="32"/>
          <w:szCs w:val="32"/>
          <w:highlight w:val="none"/>
        </w:rPr>
        <w:t>格式四：投标人声明</w:t>
      </w:r>
      <w:bookmarkEnd w:id="43"/>
    </w:p>
    <w:p>
      <w:pPr>
        <w:autoSpaceDE w:val="0"/>
        <w:autoSpaceDN w:val="0"/>
        <w:adjustRightInd w:val="0"/>
        <w:spacing w:line="360" w:lineRule="auto"/>
        <w:jc w:val="center"/>
        <w:rPr>
          <w:rFonts w:hint="eastAsia" w:ascii="宋体" w:hAnsi="宋体" w:eastAsia="宋体" w:cs="宋体"/>
          <w:b/>
          <w:bCs/>
          <w:color w:val="auto"/>
          <w:sz w:val="32"/>
          <w:szCs w:val="32"/>
          <w:highlight w:val="none"/>
        </w:rPr>
      </w:pPr>
    </w:p>
    <w:p>
      <w:pPr>
        <w:autoSpaceDE w:val="0"/>
        <w:autoSpaceDN w:val="0"/>
        <w:adjustRightIn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投标人声明</w:t>
      </w:r>
    </w:p>
    <w:p>
      <w:pPr>
        <w:pStyle w:val="11"/>
        <w:rPr>
          <w:rFonts w:hint="eastAsia" w:ascii="宋体" w:hAnsi="宋体" w:eastAsia="宋体" w:cs="宋体"/>
          <w:color w:val="auto"/>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广州市住房和城乡建设局、本招标项目招标人及招标监管机构：</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本公司就参加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投标工作，作出郑重声明：</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一、本公司保证投标文件及其后提供的一切材料都是真实的。如我司成为本项目中标候选人，我司同意并授权招标人将我司投标文件商务部分文件的人员、业绩、奖项等资料进行公开。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二、本公司保证不与其他单位围标、串标，不出让投标资格，不向招标人或评标委员会成员行贿。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三、本公司不存在招标文件第二章投标人须知第1.4.3项所规定的任何一种情形。没有处于被本地建设行政主管部门取消投标资格的处罚期内。与招标人过去3年内无合同履约纠纷。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四、本公司及其有隶属关系的机构，没有参加本项目招标文件的编写工作；本公司与本次招标的招标代理机构没有隶属关系或其他利害关系；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本公司承诺，中标后严格执行安全生产相关管理规定。我单位已充分了解本项目的投资规模、建设内容、建设标准及相关风险，如中标，我单位保证按照招标文件规定的投资控制要求、质量要求、工期要求完成设计项目。</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六、与本公司单位负责人为同一人或者与本公司存在控股、管理关系的其他单位包括：</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。（注：本条由投标人如实填写，如有，应列出全部满足招标公告资质要求的相关单位的名称；如无，则填写“无”。）</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七、本公司已经对投标时拟投入本项目的管理团队和专业技术人员进行了自查，保证拟投入的所有人员都是本单位正式人员，不存在持证人买卖租借（专业）资格（注册）证书等“挂证”违法违规行为。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本公司违反上述保证，或本声明陈述与事实不符，经查实，本公司愿意接受公开通报，记录不良行为，承担由此带来的法律后果。其中，本声明陈述与事实不符的，属于弄虚作假骗取中标，将依法接受监管部门的处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spacing w:line="360" w:lineRule="auto"/>
        <w:rPr>
          <w:rFonts w:hint="eastAsia" w:ascii="宋体" w:hAnsi="宋体" w:eastAsia="宋体" w:cs="宋体"/>
          <w:color w:val="auto"/>
          <w:sz w:val="24"/>
          <w:szCs w:val="24"/>
        </w:rPr>
      </w:pPr>
    </w:p>
    <w:p>
      <w:pPr>
        <w:kinsoku w:val="0"/>
        <w:overflowPunct w:val="0"/>
        <w:spacing w:line="360" w:lineRule="auto"/>
        <w:ind w:firstLine="2891" w:firstLineChars="1200"/>
        <w:rPr>
          <w:rFonts w:hint="eastAsia" w:ascii="宋体" w:hAnsi="宋体" w:eastAsia="宋体" w:cs="宋体"/>
          <w:b/>
          <w:color w:val="auto"/>
          <w:sz w:val="24"/>
          <w:szCs w:val="24"/>
        </w:rPr>
      </w:pPr>
      <w:r>
        <w:rPr>
          <w:rFonts w:hint="eastAsia" w:ascii="宋体" w:hAnsi="宋体" w:eastAsia="宋体" w:cs="宋体"/>
          <w:b/>
          <w:color w:val="auto"/>
          <w:sz w:val="24"/>
          <w:szCs w:val="24"/>
        </w:rPr>
        <w:t>投标</w:t>
      </w:r>
      <w:r>
        <w:rPr>
          <w:rFonts w:hint="eastAsia" w:ascii="宋体" w:hAnsi="宋体" w:eastAsia="宋体" w:cs="宋体"/>
          <w:b/>
          <w:color w:val="auto"/>
          <w:spacing w:val="-2"/>
          <w:sz w:val="24"/>
          <w:szCs w:val="24"/>
        </w:rPr>
        <w:t>人：</w:t>
      </w:r>
      <w:r>
        <w:rPr>
          <w:rFonts w:hint="eastAsia" w:ascii="宋体" w:hAnsi="宋体" w:eastAsia="宋体" w:cs="宋体"/>
          <w:b/>
          <w:color w:val="auto"/>
          <w:spacing w:val="-2"/>
          <w:sz w:val="24"/>
          <w:szCs w:val="24"/>
          <w:u w:val="single"/>
        </w:rPr>
        <w:t xml:space="preserve">      </w:t>
      </w:r>
      <w:r>
        <w:rPr>
          <w:rFonts w:hint="eastAsia" w:ascii="宋体" w:hAnsi="宋体" w:eastAsia="宋体" w:cs="宋体"/>
          <w:b/>
          <w:color w:val="auto"/>
          <w:spacing w:val="-1"/>
          <w:sz w:val="24"/>
          <w:szCs w:val="24"/>
        </w:rPr>
        <w:t>（盖单位章）</w:t>
      </w:r>
    </w:p>
    <w:p>
      <w:pPr>
        <w:spacing w:line="360" w:lineRule="auto"/>
        <w:ind w:firstLine="2891" w:firstLineChars="1200"/>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法定代表人或其委托代理人：</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（签字或盖章）</w:t>
      </w:r>
    </w:p>
    <w:p>
      <w:pPr>
        <w:pStyle w:val="33"/>
        <w:spacing w:line="400" w:lineRule="exact"/>
        <w:ind w:right="2079" w:firstLine="2168" w:firstLineChars="900"/>
        <w:jc w:val="right"/>
        <w:rPr>
          <w:rFonts w:hint="eastAsia" w:ascii="宋体" w:hAnsi="宋体" w:eastAsia="宋体" w:cs="宋体"/>
          <w:color w:val="auto"/>
          <w:sz w:val="24"/>
          <w:szCs w:val="24"/>
        </w:rPr>
      </w:pP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 xml:space="preserve">月 </w:t>
      </w:r>
      <w:r>
        <w:rPr>
          <w:rFonts w:hint="eastAsia" w:ascii="宋体" w:hAnsi="宋体" w:eastAsia="宋体" w:cs="宋体"/>
          <w:b/>
          <w:color w:val="auto"/>
          <w:sz w:val="24"/>
          <w:szCs w:val="24"/>
          <w:u w:val="single"/>
        </w:rPr>
        <w:tab/>
      </w:r>
      <w:r>
        <w:rPr>
          <w:rFonts w:hint="eastAsia" w:ascii="宋体" w:hAnsi="宋体" w:eastAsia="宋体" w:cs="宋体"/>
          <w:b/>
          <w:color w:val="auto"/>
          <w:sz w:val="24"/>
          <w:szCs w:val="24"/>
        </w:rPr>
        <w:t>日</w:t>
      </w:r>
    </w:p>
    <w:p>
      <w:pPr>
        <w:pStyle w:val="33"/>
        <w:spacing w:line="360" w:lineRule="auto"/>
        <w:ind w:right="2079" w:firstLine="2160" w:firstLineChars="900"/>
        <w:jc w:val="right"/>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color w:val="auto"/>
          <w:highlight w:val="none"/>
        </w:rPr>
      </w:pPr>
    </w:p>
    <w:p>
      <w:pPr>
        <w:autoSpaceDE w:val="0"/>
        <w:autoSpaceDN w:val="0"/>
        <w:adjustRightInd w:val="0"/>
        <w:spacing w:line="360" w:lineRule="auto"/>
        <w:ind w:right="-20"/>
        <w:outlineLvl w:val="0"/>
        <w:rPr>
          <w:rFonts w:hint="eastAsia" w:ascii="宋体" w:hAnsi="宋体" w:eastAsia="宋体" w:cs="宋体"/>
          <w:color w:val="auto"/>
          <w:spacing w:val="2"/>
          <w:position w:val="-1"/>
          <w:sz w:val="32"/>
          <w:szCs w:val="32"/>
          <w:highlight w:val="none"/>
        </w:rPr>
      </w:pPr>
      <w:r>
        <w:rPr>
          <w:rFonts w:hint="eastAsia" w:ascii="宋体" w:hAnsi="宋体" w:eastAsia="宋体" w:cs="宋体"/>
          <w:color w:val="auto"/>
          <w:highlight w:val="none"/>
        </w:rPr>
        <w:br w:type="page"/>
      </w:r>
      <w:bookmarkStart w:id="44" w:name="_Toc633"/>
      <w:r>
        <w:rPr>
          <w:rFonts w:hint="eastAsia" w:ascii="宋体" w:hAnsi="宋体" w:eastAsia="宋体" w:cs="宋体"/>
          <w:color w:val="auto"/>
          <w:spacing w:val="2"/>
          <w:position w:val="-1"/>
          <w:sz w:val="32"/>
          <w:szCs w:val="32"/>
          <w:highlight w:val="none"/>
        </w:rPr>
        <w:t>格式五：</w:t>
      </w:r>
      <w:bookmarkEnd w:id="44"/>
      <w:r>
        <w:rPr>
          <w:rFonts w:hint="eastAsia" w:ascii="宋体" w:hAnsi="宋体" w:eastAsia="宋体" w:cs="宋体"/>
          <w:color w:val="auto"/>
          <w:spacing w:val="2"/>
          <w:position w:val="-1"/>
          <w:sz w:val="32"/>
          <w:szCs w:val="32"/>
          <w:highlight w:val="none"/>
          <w:lang w:val="en-US" w:eastAsia="zh-CN"/>
        </w:rPr>
        <w:t>工程设计费报价表</w:t>
      </w:r>
    </w:p>
    <w:p>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工程设计费报价表</w:t>
      </w:r>
    </w:p>
    <w:tbl>
      <w:tblPr>
        <w:tblStyle w:val="23"/>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7"/>
        <w:gridCol w:w="2005"/>
        <w:gridCol w:w="2359"/>
        <w:gridCol w:w="2604"/>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042" w:type="dxa"/>
            <w:gridSpan w:val="5"/>
            <w:vAlign w:val="center"/>
          </w:tcPr>
          <w:p>
            <w:pPr>
              <w:pStyle w:val="52"/>
              <w:jc w:val="left"/>
              <w:rPr>
                <w:rFonts w:hint="eastAsia" w:ascii="宋体" w:hAnsi="宋体" w:eastAsia="宋体" w:cs="宋体"/>
                <w:b/>
                <w:color w:val="auto"/>
                <w:szCs w:val="21"/>
              </w:rPr>
            </w:pPr>
            <w:r>
              <w:rPr>
                <w:rFonts w:hint="eastAsia" w:ascii="宋体" w:hAnsi="宋体" w:eastAsia="宋体" w:cs="宋体"/>
                <w:b/>
                <w:color w:val="auto"/>
                <w:szCs w:val="21"/>
              </w:rPr>
              <w:t>一、设计费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37" w:type="dxa"/>
            <w:vAlign w:val="center"/>
          </w:tcPr>
          <w:p>
            <w:pPr>
              <w:pStyle w:val="35"/>
              <w:ind w:firstLine="422"/>
              <w:jc w:val="center"/>
              <w:rPr>
                <w:rFonts w:hint="eastAsia" w:ascii="宋体" w:hAnsi="宋体" w:eastAsia="宋体" w:cs="宋体"/>
                <w:b/>
                <w:bCs/>
                <w:color w:val="auto"/>
                <w:u w:val="single"/>
              </w:rPr>
            </w:pPr>
            <w:r>
              <w:rPr>
                <w:rFonts w:hint="eastAsia" w:ascii="宋体" w:hAnsi="宋体" w:eastAsia="宋体" w:cs="宋体"/>
                <w:b/>
                <w:bCs/>
                <w:color w:val="auto"/>
              </w:rPr>
              <w:t>序序号</w:t>
            </w:r>
          </w:p>
        </w:tc>
        <w:tc>
          <w:tcPr>
            <w:tcW w:w="2005" w:type="dxa"/>
            <w:vAlign w:val="center"/>
          </w:tcPr>
          <w:p>
            <w:pPr>
              <w:pStyle w:val="35"/>
              <w:jc w:val="center"/>
              <w:rPr>
                <w:rFonts w:hint="eastAsia" w:ascii="宋体" w:hAnsi="宋体" w:eastAsia="宋体" w:cs="宋体"/>
                <w:b/>
                <w:bCs/>
                <w:color w:val="auto"/>
                <w:u w:val="single"/>
              </w:rPr>
            </w:pPr>
            <w:r>
              <w:rPr>
                <w:rFonts w:hint="eastAsia" w:ascii="宋体" w:hAnsi="宋体" w:eastAsia="宋体" w:cs="宋体"/>
                <w:b/>
                <w:bCs/>
                <w:color w:val="auto"/>
              </w:rPr>
              <w:t>内容</w:t>
            </w:r>
          </w:p>
        </w:tc>
        <w:tc>
          <w:tcPr>
            <w:tcW w:w="2359" w:type="dxa"/>
            <w:vAlign w:val="center"/>
          </w:tcPr>
          <w:p>
            <w:pPr>
              <w:pStyle w:val="35"/>
              <w:jc w:val="center"/>
              <w:rPr>
                <w:rFonts w:hint="eastAsia" w:ascii="宋体" w:hAnsi="宋体" w:eastAsia="宋体" w:cs="宋体"/>
                <w:b/>
                <w:bCs/>
                <w:color w:val="auto"/>
              </w:rPr>
            </w:pPr>
            <w:r>
              <w:rPr>
                <w:rFonts w:hint="eastAsia" w:ascii="宋体" w:hAnsi="宋体" w:eastAsia="宋体" w:cs="宋体"/>
                <w:b/>
                <w:bCs/>
                <w:color w:val="auto"/>
              </w:rPr>
              <w:t>暂定计费额或计量项</w:t>
            </w:r>
          </w:p>
        </w:tc>
        <w:tc>
          <w:tcPr>
            <w:tcW w:w="2604" w:type="dxa"/>
            <w:vAlign w:val="center"/>
          </w:tcPr>
          <w:p>
            <w:pPr>
              <w:pStyle w:val="35"/>
              <w:jc w:val="center"/>
              <w:rPr>
                <w:rFonts w:hint="eastAsia" w:ascii="宋体" w:hAnsi="宋体" w:eastAsia="宋体" w:cs="宋体"/>
                <w:b/>
                <w:bCs/>
                <w:color w:val="auto"/>
              </w:rPr>
            </w:pPr>
            <w:r>
              <w:rPr>
                <w:rFonts w:hint="eastAsia" w:ascii="宋体" w:hAnsi="宋体" w:eastAsia="宋体" w:cs="宋体"/>
                <w:b/>
                <w:color w:val="auto"/>
              </w:rPr>
              <w:t>投标报价</w:t>
            </w:r>
            <w:r>
              <w:rPr>
                <w:rFonts w:hint="eastAsia" w:ascii="宋体" w:hAnsi="宋体" w:eastAsia="宋体" w:cs="宋体"/>
                <w:b/>
                <w:bCs/>
                <w:color w:val="auto"/>
              </w:rPr>
              <w:t>（元）</w:t>
            </w:r>
          </w:p>
        </w:tc>
        <w:tc>
          <w:tcPr>
            <w:tcW w:w="1537" w:type="dxa"/>
            <w:vAlign w:val="center"/>
          </w:tcPr>
          <w:p>
            <w:pPr>
              <w:pStyle w:val="35"/>
              <w:ind w:firstLine="422"/>
              <w:rPr>
                <w:rFonts w:hint="eastAsia" w:ascii="宋体" w:hAnsi="宋体" w:eastAsia="宋体" w:cs="宋体"/>
                <w:b/>
                <w:bCs/>
                <w:color w:val="auto"/>
                <w:u w:val="single"/>
              </w:rPr>
            </w:pPr>
            <w:r>
              <w:rPr>
                <w:rFonts w:hint="eastAsia" w:ascii="宋体" w:hAnsi="宋体" w:eastAsia="宋体" w:cs="宋体"/>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37" w:type="dxa"/>
            <w:vAlign w:val="center"/>
          </w:tcPr>
          <w:p>
            <w:pPr>
              <w:pStyle w:val="35"/>
              <w:jc w:val="center"/>
              <w:rPr>
                <w:rFonts w:hint="eastAsia" w:ascii="宋体" w:hAnsi="宋体" w:eastAsia="宋体" w:cs="宋体"/>
                <w:bCs/>
                <w:color w:val="auto"/>
              </w:rPr>
            </w:pPr>
            <w:r>
              <w:rPr>
                <w:rFonts w:hint="eastAsia" w:ascii="宋体" w:hAnsi="宋体" w:eastAsia="宋体" w:cs="宋体"/>
                <w:bCs/>
                <w:color w:val="auto"/>
              </w:rPr>
              <w:t>1</w:t>
            </w:r>
          </w:p>
        </w:tc>
        <w:tc>
          <w:tcPr>
            <w:tcW w:w="2005" w:type="dxa"/>
            <w:vAlign w:val="center"/>
          </w:tcPr>
          <w:p>
            <w:pPr>
              <w:pStyle w:val="35"/>
              <w:jc w:val="center"/>
              <w:rPr>
                <w:rFonts w:hint="eastAsia" w:ascii="宋体" w:hAnsi="宋体" w:eastAsia="宋体" w:cs="宋体"/>
                <w:color w:val="auto"/>
              </w:rPr>
            </w:pPr>
            <w:r>
              <w:rPr>
                <w:rFonts w:hint="eastAsia" w:ascii="宋体" w:hAnsi="宋体" w:eastAsia="宋体" w:cs="宋体"/>
                <w:color w:val="auto"/>
              </w:rPr>
              <w:t>设计费</w:t>
            </w:r>
          </w:p>
        </w:tc>
        <w:tc>
          <w:tcPr>
            <w:tcW w:w="2359" w:type="dxa"/>
            <w:vAlign w:val="center"/>
          </w:tcPr>
          <w:p>
            <w:pPr>
              <w:pStyle w:val="35"/>
              <w:jc w:val="center"/>
              <w:rPr>
                <w:rFonts w:hint="eastAsia" w:ascii="宋体" w:hAnsi="宋体" w:eastAsia="宋体" w:cs="宋体"/>
                <w:color w:val="auto"/>
              </w:rPr>
            </w:pPr>
          </w:p>
        </w:tc>
        <w:tc>
          <w:tcPr>
            <w:tcW w:w="2604" w:type="dxa"/>
            <w:vAlign w:val="center"/>
          </w:tcPr>
          <w:p>
            <w:pPr>
              <w:pStyle w:val="35"/>
              <w:jc w:val="center"/>
              <w:rPr>
                <w:rFonts w:hint="eastAsia" w:ascii="宋体" w:hAnsi="宋体" w:eastAsia="宋体" w:cs="宋体"/>
                <w:bCs/>
                <w:color w:val="auto"/>
              </w:rPr>
            </w:pPr>
          </w:p>
        </w:tc>
        <w:tc>
          <w:tcPr>
            <w:tcW w:w="1537" w:type="dxa"/>
            <w:vAlign w:val="center"/>
          </w:tcPr>
          <w:p>
            <w:pPr>
              <w:pStyle w:val="35"/>
              <w:adjustRightInd w:val="0"/>
              <w:snapToGrid w:val="0"/>
              <w:ind w:right="42" w:rightChars="2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505" w:type="dxa"/>
            <w:gridSpan w:val="4"/>
            <w:vAlign w:val="center"/>
          </w:tcPr>
          <w:p>
            <w:pPr>
              <w:pStyle w:val="35"/>
              <w:ind w:firstLine="422"/>
              <w:jc w:val="center"/>
              <w:rPr>
                <w:rFonts w:hint="eastAsia" w:ascii="宋体" w:hAnsi="宋体" w:eastAsia="宋体" w:cs="宋体"/>
                <w:b/>
                <w:color w:val="auto"/>
              </w:rPr>
            </w:pPr>
            <w:r>
              <w:rPr>
                <w:rFonts w:hint="eastAsia" w:ascii="宋体" w:hAnsi="宋体" w:eastAsia="宋体" w:cs="宋体"/>
                <w:b/>
                <w:color w:val="auto"/>
              </w:rPr>
              <w:t>大写：</w:t>
            </w:r>
            <w:r>
              <w:rPr>
                <w:rFonts w:hint="eastAsia" w:ascii="宋体" w:hAnsi="宋体" w:eastAsia="宋体" w:cs="宋体"/>
                <w:b/>
                <w:color w:val="auto"/>
                <w:u w:val="single"/>
              </w:rPr>
              <w:t xml:space="preserve">            </w:t>
            </w:r>
          </w:p>
        </w:tc>
        <w:tc>
          <w:tcPr>
            <w:tcW w:w="1537" w:type="dxa"/>
            <w:vAlign w:val="center"/>
          </w:tcPr>
          <w:p>
            <w:pPr>
              <w:pStyle w:val="35"/>
              <w:adjustRightInd w:val="0"/>
              <w:snapToGrid w:val="0"/>
              <w:ind w:left="42" w:leftChars="20" w:right="42" w:rightChars="20"/>
              <w:rPr>
                <w:rFonts w:hint="eastAsia" w:ascii="宋体" w:hAnsi="宋体" w:eastAsia="宋体" w:cs="宋体"/>
                <w:color w:val="auto"/>
              </w:rPr>
            </w:pPr>
          </w:p>
        </w:tc>
      </w:tr>
    </w:tbl>
    <w:p>
      <w:pPr>
        <w:pStyle w:val="28"/>
        <w:ind w:firstLine="0" w:firstLineChars="0"/>
        <w:rPr>
          <w:rFonts w:hint="eastAsia" w:ascii="宋体" w:hAnsi="宋体" w:eastAsia="宋体" w:cs="宋体"/>
          <w:b/>
          <w:color w:val="auto"/>
          <w:highlight w:val="none"/>
        </w:rPr>
      </w:pPr>
    </w:p>
    <w:p>
      <w:pPr>
        <w:spacing w:line="360" w:lineRule="auto"/>
        <w:ind w:firstLine="0" w:firstLineChars="0"/>
        <w:rPr>
          <w:rFonts w:hint="eastAsia" w:ascii="宋体" w:hAnsi="宋体" w:eastAsia="宋体" w:cs="宋体"/>
          <w:dstrike/>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 xml:space="preserve"> </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1、投标人根据《工程设计费报价表》的要求进行报价。投标人报价应不高于最高投标限价。</w:t>
      </w:r>
    </w:p>
    <w:p>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、经算术复核的投标人报价与其投标报价不一致时，按就低不就高原则确定其最终报价。如修正后的投标报价超出相应的最高投标限价，则由评标委员作废标处理。</w:t>
      </w:r>
    </w:p>
    <w:p>
      <w:pPr>
        <w:spacing w:line="360" w:lineRule="auto"/>
        <w:ind w:firstLine="840" w:firstLineChars="3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、按上述修正错误的原则及方法调整或修正投标文件的投标报价，调整后的投标报价对投标人起约束作用。如果投标人不接受修正后的报价，则取消其中标资格。</w:t>
      </w:r>
    </w:p>
    <w:p>
      <w:pPr>
        <w:rPr>
          <w:rFonts w:hint="eastAsia" w:ascii="宋体" w:hAnsi="宋体" w:eastAsia="宋体" w:cs="宋体"/>
          <w:color w:val="auto"/>
          <w:highlight w:val="none"/>
        </w:rPr>
      </w:pPr>
    </w:p>
    <w:p>
      <w:pPr>
        <w:topLinePunct/>
        <w:adjustRightInd w:val="0"/>
        <w:snapToGrid w:val="0"/>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br w:type="page"/>
      </w:r>
    </w:p>
    <w:p>
      <w:pPr>
        <w:rPr>
          <w:rFonts w:hint="eastAsia" w:ascii="宋体" w:hAnsi="宋体" w:eastAsia="宋体" w:cs="宋体"/>
          <w:b/>
          <w:bCs/>
          <w:color w:val="auto"/>
          <w:highlight w:val="none"/>
        </w:rPr>
        <w:sectPr>
          <w:footerReference r:id="rId10" w:type="default"/>
          <w:footerReference r:id="rId11" w:type="even"/>
          <w:pgSz w:w="11906" w:h="16838"/>
          <w:pgMar w:top="1440" w:right="1797" w:bottom="1440" w:left="1797" w:header="851" w:footer="992" w:gutter="0"/>
          <w:cols w:space="720" w:num="1"/>
          <w:rtlGutter w:val="1"/>
          <w:docGrid w:type="lines" w:linePitch="312" w:charSpace="0"/>
        </w:sectPr>
      </w:pPr>
    </w:p>
    <w:p>
      <w:pPr>
        <w:spacing w:line="360" w:lineRule="auto"/>
        <w:rPr>
          <w:rFonts w:hint="eastAsia" w:ascii="宋体" w:hAnsi="宋体" w:eastAsia="宋体" w:cs="宋体"/>
          <w:color w:val="auto"/>
          <w:spacing w:val="2"/>
          <w:position w:val="-1"/>
          <w:sz w:val="32"/>
          <w:szCs w:val="32"/>
          <w:highlight w:val="none"/>
        </w:rPr>
      </w:pPr>
      <w:r>
        <w:rPr>
          <w:rFonts w:hint="eastAsia" w:ascii="宋体" w:hAnsi="宋体" w:eastAsia="宋体" w:cs="宋体"/>
          <w:color w:val="auto"/>
          <w:spacing w:val="2"/>
          <w:position w:val="-1"/>
          <w:sz w:val="32"/>
          <w:szCs w:val="32"/>
          <w:highlight w:val="none"/>
        </w:rPr>
        <w:t>格式六：拟委任的主要人员汇总表及主要人员简历表</w:t>
      </w:r>
    </w:p>
    <w:p>
      <w:pPr>
        <w:spacing w:line="360" w:lineRule="auto"/>
        <w:jc w:val="center"/>
        <w:rPr>
          <w:rFonts w:hint="eastAsia" w:ascii="宋体" w:hAnsi="宋体" w:eastAsia="宋体" w:cs="宋体"/>
          <w:color w:val="auto"/>
          <w:spacing w:val="2"/>
          <w:position w:val="-1"/>
          <w:sz w:val="32"/>
          <w:szCs w:val="32"/>
          <w:highlight w:val="none"/>
        </w:rPr>
      </w:pPr>
    </w:p>
    <w:p>
      <w:pPr>
        <w:spacing w:line="360" w:lineRule="auto"/>
        <w:jc w:val="center"/>
        <w:rPr>
          <w:rFonts w:hint="eastAsia" w:ascii="宋体" w:hAnsi="宋体" w:eastAsia="宋体" w:cs="宋体"/>
          <w:color w:val="auto"/>
          <w:spacing w:val="2"/>
          <w:position w:val="-1"/>
          <w:sz w:val="32"/>
          <w:szCs w:val="32"/>
          <w:highlight w:val="none"/>
        </w:rPr>
      </w:pPr>
      <w:r>
        <w:rPr>
          <w:rFonts w:hint="eastAsia" w:ascii="宋体" w:hAnsi="宋体" w:eastAsia="宋体" w:cs="宋体"/>
          <w:b/>
          <w:bCs/>
          <w:color w:val="auto"/>
          <w:spacing w:val="2"/>
          <w:position w:val="-1"/>
          <w:sz w:val="32"/>
          <w:szCs w:val="32"/>
          <w:highlight w:val="none"/>
        </w:rPr>
        <w:t>拟委任的主要人员汇总表</w:t>
      </w:r>
    </w:p>
    <w:tbl>
      <w:tblPr>
        <w:tblStyle w:val="23"/>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766"/>
        <w:gridCol w:w="658"/>
        <w:gridCol w:w="685"/>
        <w:gridCol w:w="4254"/>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7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人员安排分工</w:t>
            </w:r>
          </w:p>
        </w:tc>
        <w:tc>
          <w:tcPr>
            <w:tcW w:w="766"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658"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493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基本要求</w:t>
            </w:r>
          </w:p>
        </w:tc>
        <w:tc>
          <w:tcPr>
            <w:tcW w:w="866"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已完成类似的项目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color w:val="auto"/>
                <w:sz w:val="24"/>
                <w:szCs w:val="24"/>
                <w:highlight w:val="none"/>
              </w:rPr>
            </w:pPr>
          </w:p>
        </w:tc>
        <w:tc>
          <w:tcPr>
            <w:tcW w:w="766" w:type="dxa"/>
            <w:vMerge w:val="continue"/>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sz w:val="24"/>
                <w:szCs w:val="24"/>
                <w:highlight w:val="none"/>
              </w:rPr>
            </w:pPr>
          </w:p>
        </w:tc>
        <w:tc>
          <w:tcPr>
            <w:tcW w:w="658" w:type="dxa"/>
            <w:vMerge w:val="continue"/>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sz w:val="24"/>
                <w:szCs w:val="24"/>
                <w:highlight w:val="none"/>
              </w:rPr>
            </w:pPr>
          </w:p>
        </w:tc>
        <w:tc>
          <w:tcPr>
            <w:tcW w:w="6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人数</w:t>
            </w:r>
          </w:p>
        </w:tc>
        <w:tc>
          <w:tcPr>
            <w:tcW w:w="425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职务、执业资格、专业职称</w:t>
            </w:r>
          </w:p>
        </w:tc>
        <w:tc>
          <w:tcPr>
            <w:tcW w:w="866" w:type="dxa"/>
            <w:vMerge w:val="continue"/>
            <w:tcBorders>
              <w:top w:val="single" w:color="auto" w:sz="4" w:space="0"/>
              <w:left w:val="nil"/>
              <w:bottom w:val="single" w:color="auto" w:sz="4" w:space="0"/>
              <w:right w:val="single" w:color="auto" w:sz="4" w:space="0"/>
            </w:tcBorders>
            <w:vAlign w:val="center"/>
          </w:tcPr>
          <w:p>
            <w:pPr>
              <w:widowControl/>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76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6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6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425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86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给排水设计负责人</w:t>
            </w:r>
          </w:p>
        </w:tc>
        <w:tc>
          <w:tcPr>
            <w:tcW w:w="76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6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6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425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86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电气设计负责人</w:t>
            </w:r>
          </w:p>
        </w:tc>
        <w:tc>
          <w:tcPr>
            <w:tcW w:w="76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6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6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425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86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暖通</w:t>
            </w:r>
            <w:r>
              <w:rPr>
                <w:rFonts w:hint="eastAsia" w:ascii="宋体" w:hAnsi="宋体" w:eastAsia="宋体" w:cs="宋体"/>
                <w:color w:val="auto"/>
                <w:sz w:val="24"/>
                <w:szCs w:val="24"/>
                <w:highlight w:val="none"/>
              </w:rPr>
              <w:t>设计负责人</w:t>
            </w:r>
          </w:p>
        </w:tc>
        <w:tc>
          <w:tcPr>
            <w:tcW w:w="766"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c>
          <w:tcPr>
            <w:tcW w:w="6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6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425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86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室内装修</w:t>
            </w:r>
            <w:r>
              <w:rPr>
                <w:rFonts w:hint="eastAsia" w:ascii="宋体" w:hAnsi="宋体" w:eastAsia="宋体" w:cs="宋体"/>
                <w:color w:val="auto"/>
                <w:sz w:val="24"/>
                <w:szCs w:val="24"/>
                <w:highlight w:val="none"/>
              </w:rPr>
              <w:t>设计负责人</w:t>
            </w:r>
          </w:p>
        </w:tc>
        <w:tc>
          <w:tcPr>
            <w:tcW w:w="766"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c>
          <w:tcPr>
            <w:tcW w:w="6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6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4254"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86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766"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c>
          <w:tcPr>
            <w:tcW w:w="6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6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425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c>
          <w:tcPr>
            <w:tcW w:w="86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766"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c>
          <w:tcPr>
            <w:tcW w:w="65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685"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4254"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c>
          <w:tcPr>
            <w:tcW w:w="86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备注：1、须按</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要求进行配备；本表除项目负责人外，其他人员均不作为资格审查的条件。并按</w:t>
      </w:r>
      <w:r>
        <w:rPr>
          <w:rFonts w:hint="eastAsia" w:ascii="宋体" w:hAnsi="宋体" w:eastAsia="宋体" w:cs="宋体"/>
          <w:color w:val="auto"/>
          <w:sz w:val="24"/>
          <w:szCs w:val="24"/>
          <w:highlight w:val="none"/>
          <w:lang w:eastAsia="zh-CN"/>
        </w:rPr>
        <w:t>商务文件综合评分表</w:t>
      </w:r>
      <w:r>
        <w:rPr>
          <w:rFonts w:hint="eastAsia" w:ascii="宋体" w:hAnsi="宋体" w:eastAsia="宋体" w:cs="宋体"/>
          <w:color w:val="auto"/>
          <w:sz w:val="24"/>
          <w:szCs w:val="24"/>
          <w:highlight w:val="none"/>
        </w:rPr>
        <w:t>要求提供相关证明文件。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2、上述项目负责人及各专业负责人不能兼任。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3、投入人员必须为投标单位人员（不含投标人的子公司或分公司），须提供投入人员的202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bookmarkStart w:id="47" w:name="_GoBack"/>
      <w:bookmarkEnd w:id="47"/>
      <w:r>
        <w:rPr>
          <w:rFonts w:hint="eastAsia" w:ascii="宋体" w:hAnsi="宋体" w:eastAsia="宋体" w:cs="宋体"/>
          <w:color w:val="auto"/>
          <w:sz w:val="24"/>
          <w:szCs w:val="24"/>
          <w:highlight w:val="none"/>
        </w:rPr>
        <w:t>月社保证明在投标人单位购买社保的证明。</w:t>
      </w:r>
    </w:p>
    <w:p>
      <w:pPr>
        <w:jc w:val="center"/>
        <w:rPr>
          <w:rFonts w:hint="eastAsia" w:ascii="宋体" w:hAnsi="宋体" w:eastAsia="宋体" w:cs="宋体"/>
          <w:color w:val="auto"/>
          <w:sz w:val="32"/>
          <w:szCs w:val="40"/>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pacing w:val="-3"/>
          <w:sz w:val="32"/>
          <w:szCs w:val="40"/>
          <w:highlight w:val="none"/>
        </w:rPr>
        <w:t>主</w:t>
      </w:r>
      <w:r>
        <w:rPr>
          <w:rFonts w:hint="eastAsia" w:ascii="宋体" w:hAnsi="宋体" w:eastAsia="宋体" w:cs="宋体"/>
          <w:color w:val="auto"/>
          <w:sz w:val="32"/>
          <w:szCs w:val="40"/>
          <w:highlight w:val="none"/>
        </w:rPr>
        <w:t>要人</w:t>
      </w:r>
      <w:r>
        <w:rPr>
          <w:rFonts w:hint="eastAsia" w:ascii="宋体" w:hAnsi="宋体" w:eastAsia="宋体" w:cs="宋体"/>
          <w:color w:val="auto"/>
          <w:spacing w:val="-3"/>
          <w:sz w:val="32"/>
          <w:szCs w:val="40"/>
          <w:highlight w:val="none"/>
        </w:rPr>
        <w:t>员简</w:t>
      </w:r>
      <w:r>
        <w:rPr>
          <w:rFonts w:hint="eastAsia" w:ascii="宋体" w:hAnsi="宋体" w:eastAsia="宋体" w:cs="宋体"/>
          <w:color w:val="auto"/>
          <w:sz w:val="32"/>
          <w:szCs w:val="40"/>
          <w:highlight w:val="none"/>
        </w:rPr>
        <w:t>历表</w:t>
      </w:r>
    </w:p>
    <w:p>
      <w:pPr>
        <w:autoSpaceDE w:val="0"/>
        <w:autoSpaceDN w:val="0"/>
        <w:adjustRightInd w:val="0"/>
        <w:spacing w:before="9" w:line="190" w:lineRule="exact"/>
        <w:rPr>
          <w:rFonts w:hint="eastAsia" w:ascii="宋体" w:hAnsi="宋体" w:eastAsia="宋体" w:cs="宋体"/>
          <w:color w:val="auto"/>
          <w:sz w:val="20"/>
          <w:szCs w:val="20"/>
          <w:highlight w:val="none"/>
        </w:rPr>
      </w:pPr>
      <w:r>
        <w:rPr>
          <w:rFonts w:hint="eastAsia" w:ascii="宋体" w:hAnsi="宋体" w:eastAsia="宋体" w:cs="宋体"/>
          <w:color w:val="auto"/>
          <w:sz w:val="19"/>
          <w:szCs w:val="19"/>
          <w:highlight w:val="none"/>
        </w:rPr>
        <w:t xml:space="preserve"> </w:t>
      </w:r>
      <w:r>
        <w:rPr>
          <w:rFonts w:hint="eastAsia" w:ascii="宋体" w:hAnsi="宋体" w:eastAsia="宋体" w:cs="宋体"/>
          <w:color w:val="auto"/>
          <w:sz w:val="20"/>
          <w:szCs w:val="20"/>
          <w:highlight w:val="none"/>
        </w:rPr>
        <w:t xml:space="preserve"> </w:t>
      </w:r>
    </w:p>
    <w:tbl>
      <w:tblPr>
        <w:tblStyle w:val="23"/>
        <w:tblW w:w="9006" w:type="dxa"/>
        <w:jc w:val="center"/>
        <w:tblLayout w:type="fixed"/>
        <w:tblCellMar>
          <w:top w:w="0" w:type="dxa"/>
          <w:left w:w="0" w:type="dxa"/>
          <w:bottom w:w="0" w:type="dxa"/>
          <w:right w:w="0" w:type="dxa"/>
        </w:tblCellMar>
      </w:tblPr>
      <w:tblGrid>
        <w:gridCol w:w="1253"/>
        <w:gridCol w:w="378"/>
        <w:gridCol w:w="729"/>
        <w:gridCol w:w="1010"/>
        <w:gridCol w:w="1128"/>
        <w:gridCol w:w="747"/>
        <w:gridCol w:w="1331"/>
        <w:gridCol w:w="423"/>
        <w:gridCol w:w="2007"/>
      </w:tblGrid>
      <w:tr>
        <w:tblPrEx>
          <w:tblCellMar>
            <w:top w:w="0" w:type="dxa"/>
            <w:left w:w="0" w:type="dxa"/>
            <w:bottom w:w="0" w:type="dxa"/>
            <w:right w:w="0" w:type="dxa"/>
          </w:tblCellMar>
        </w:tblPrEx>
        <w:trPr>
          <w:trHeight w:val="890" w:hRule="atLeast"/>
          <w:jc w:val="center"/>
        </w:trPr>
        <w:tc>
          <w:tcPr>
            <w:tcW w:w="1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9" w:line="260" w:lineRule="exact"/>
              <w:rPr>
                <w:rFonts w:hint="eastAsia" w:ascii="宋体" w:hAnsi="宋体" w:eastAsia="宋体" w:cs="宋体"/>
                <w:color w:val="auto"/>
                <w:sz w:val="24"/>
                <w:szCs w:val="24"/>
                <w:highlight w:val="none"/>
              </w:rPr>
            </w:pPr>
          </w:p>
          <w:p>
            <w:pPr>
              <w:autoSpaceDE w:val="0"/>
              <w:autoSpaceDN w:val="0"/>
              <w:adjustRightInd w:val="0"/>
              <w:ind w:left="273"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名</w:t>
            </w:r>
          </w:p>
        </w:tc>
        <w:tc>
          <w:tcPr>
            <w:tcW w:w="1107" w:type="dxa"/>
            <w:gridSpan w:val="2"/>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1010" w:type="dxa"/>
            <w:tcBorders>
              <w:top w:val="single" w:color="000000" w:sz="4" w:space="0"/>
              <w:left w:val="nil"/>
              <w:bottom w:val="single" w:color="000000" w:sz="4" w:space="0"/>
              <w:right w:val="single" w:color="000000" w:sz="4" w:space="0"/>
            </w:tcBorders>
          </w:tcPr>
          <w:p>
            <w:pPr>
              <w:autoSpaceDE w:val="0"/>
              <w:autoSpaceDN w:val="0"/>
              <w:adjustRightInd w:val="0"/>
              <w:spacing w:before="9" w:line="260" w:lineRule="exact"/>
              <w:rPr>
                <w:rFonts w:hint="eastAsia" w:ascii="宋体" w:hAnsi="宋体" w:eastAsia="宋体" w:cs="宋体"/>
                <w:color w:val="auto"/>
                <w:sz w:val="24"/>
                <w:szCs w:val="24"/>
                <w:highlight w:val="none"/>
              </w:rPr>
            </w:pPr>
          </w:p>
          <w:p>
            <w:pPr>
              <w:autoSpaceDE w:val="0"/>
              <w:autoSpaceDN w:val="0"/>
              <w:adjustRightInd w:val="0"/>
              <w:ind w:left="263"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128" w:type="dxa"/>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2501" w:type="dxa"/>
            <w:gridSpan w:val="3"/>
            <w:tcBorders>
              <w:top w:val="single" w:color="000000" w:sz="4" w:space="0"/>
              <w:left w:val="nil"/>
              <w:bottom w:val="single" w:color="000000" w:sz="4" w:space="0"/>
              <w:right w:val="single" w:color="000000" w:sz="4" w:space="0"/>
            </w:tcBorders>
          </w:tcPr>
          <w:p>
            <w:pPr>
              <w:autoSpaceDE w:val="0"/>
              <w:autoSpaceDN w:val="0"/>
              <w:adjustRightInd w:val="0"/>
              <w:spacing w:before="2" w:line="440" w:lineRule="exact"/>
              <w:ind w:left="652" w:right="50" w:hanging="5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w:t>
            </w:r>
            <w:r>
              <w:rPr>
                <w:rFonts w:hint="eastAsia" w:ascii="宋体" w:hAnsi="宋体" w:eastAsia="宋体" w:cs="宋体"/>
                <w:color w:val="auto"/>
                <w:spacing w:val="-2"/>
                <w:sz w:val="24"/>
                <w:szCs w:val="24"/>
                <w:highlight w:val="none"/>
              </w:rPr>
              <w:t>资</w:t>
            </w:r>
            <w:r>
              <w:rPr>
                <w:rFonts w:hint="eastAsia" w:ascii="宋体" w:hAnsi="宋体" w:eastAsia="宋体" w:cs="宋体"/>
                <w:color w:val="auto"/>
                <w:sz w:val="24"/>
                <w:szCs w:val="24"/>
                <w:highlight w:val="none"/>
              </w:rPr>
              <w:t>格</w:t>
            </w:r>
            <w:r>
              <w:rPr>
                <w:rFonts w:hint="eastAsia" w:ascii="宋体" w:hAnsi="宋体" w:eastAsia="宋体" w:cs="宋体"/>
                <w:color w:val="auto"/>
                <w:spacing w:val="-2"/>
                <w:sz w:val="24"/>
                <w:szCs w:val="24"/>
                <w:highlight w:val="none"/>
              </w:rPr>
              <w:t>证</w:t>
            </w:r>
            <w:r>
              <w:rPr>
                <w:rFonts w:hint="eastAsia" w:ascii="宋体" w:hAnsi="宋体" w:eastAsia="宋体" w:cs="宋体"/>
                <w:color w:val="auto"/>
                <w:sz w:val="24"/>
                <w:szCs w:val="24"/>
                <w:highlight w:val="none"/>
              </w:rPr>
              <w:t>书</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或</w:t>
            </w:r>
            <w:r>
              <w:rPr>
                <w:rFonts w:hint="eastAsia" w:ascii="宋体" w:hAnsi="宋体" w:eastAsia="宋体" w:cs="宋体"/>
                <w:color w:val="auto"/>
                <w:spacing w:val="-2"/>
                <w:sz w:val="24"/>
                <w:szCs w:val="24"/>
                <w:highlight w:val="none"/>
              </w:rPr>
              <w:t>上</w:t>
            </w:r>
            <w:r>
              <w:rPr>
                <w:rFonts w:hint="eastAsia" w:ascii="宋体" w:hAnsi="宋体" w:eastAsia="宋体" w:cs="宋体"/>
                <w:color w:val="auto"/>
                <w:sz w:val="24"/>
                <w:szCs w:val="24"/>
                <w:highlight w:val="none"/>
              </w:rPr>
              <w:t>岗证书</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名称</w:t>
            </w:r>
          </w:p>
        </w:tc>
        <w:tc>
          <w:tcPr>
            <w:tcW w:w="2007" w:type="dxa"/>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r>
      <w:tr>
        <w:trPr>
          <w:trHeight w:val="698" w:hRule="atLeast"/>
          <w:jc w:val="center"/>
        </w:trPr>
        <w:tc>
          <w:tcPr>
            <w:tcW w:w="1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3" w:line="170" w:lineRule="exact"/>
              <w:rPr>
                <w:rFonts w:hint="eastAsia" w:ascii="宋体" w:hAnsi="宋体" w:eastAsia="宋体" w:cs="宋体"/>
                <w:color w:val="auto"/>
                <w:sz w:val="24"/>
                <w:szCs w:val="24"/>
                <w:highlight w:val="none"/>
              </w:rPr>
            </w:pPr>
          </w:p>
          <w:p>
            <w:pPr>
              <w:autoSpaceDE w:val="0"/>
              <w:autoSpaceDN w:val="0"/>
              <w:adjustRightInd w:val="0"/>
              <w:ind w:left="273"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称</w:t>
            </w:r>
          </w:p>
        </w:tc>
        <w:tc>
          <w:tcPr>
            <w:tcW w:w="1107" w:type="dxa"/>
            <w:gridSpan w:val="2"/>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1010" w:type="dxa"/>
            <w:tcBorders>
              <w:top w:val="single" w:color="000000" w:sz="4" w:space="0"/>
              <w:left w:val="nil"/>
              <w:bottom w:val="single" w:color="000000" w:sz="4" w:space="0"/>
              <w:right w:val="single" w:color="000000" w:sz="4" w:space="0"/>
            </w:tcBorders>
          </w:tcPr>
          <w:p>
            <w:pPr>
              <w:autoSpaceDE w:val="0"/>
              <w:autoSpaceDN w:val="0"/>
              <w:adjustRightInd w:val="0"/>
              <w:spacing w:before="3" w:line="170" w:lineRule="exact"/>
              <w:rPr>
                <w:rFonts w:hint="eastAsia" w:ascii="宋体" w:hAnsi="宋体" w:eastAsia="宋体" w:cs="宋体"/>
                <w:color w:val="auto"/>
                <w:sz w:val="24"/>
                <w:szCs w:val="24"/>
                <w:highlight w:val="none"/>
              </w:rPr>
            </w:pPr>
          </w:p>
          <w:p>
            <w:pPr>
              <w:autoSpaceDE w:val="0"/>
              <w:autoSpaceDN w:val="0"/>
              <w:adjustRightInd w:val="0"/>
              <w:ind w:left="263"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128" w:type="dxa"/>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2501" w:type="dxa"/>
            <w:gridSpan w:val="3"/>
            <w:tcBorders>
              <w:top w:val="single" w:color="000000" w:sz="4" w:space="0"/>
              <w:left w:val="nil"/>
              <w:bottom w:val="single" w:color="000000" w:sz="4" w:space="0"/>
              <w:right w:val="single" w:color="000000" w:sz="4" w:space="0"/>
            </w:tcBorders>
          </w:tcPr>
          <w:p>
            <w:pPr>
              <w:autoSpaceDE w:val="0"/>
              <w:autoSpaceDN w:val="0"/>
              <w:adjustRightInd w:val="0"/>
              <w:spacing w:before="3" w:line="170" w:lineRule="exact"/>
              <w:rPr>
                <w:rFonts w:hint="eastAsia" w:ascii="宋体" w:hAnsi="宋体" w:eastAsia="宋体" w:cs="宋体"/>
                <w:color w:val="auto"/>
                <w:sz w:val="24"/>
                <w:szCs w:val="24"/>
                <w:highlight w:val="none"/>
              </w:rPr>
            </w:pPr>
          </w:p>
          <w:p>
            <w:pPr>
              <w:autoSpaceDE w:val="0"/>
              <w:autoSpaceDN w:val="0"/>
              <w:adjustRightInd w:val="0"/>
              <w:ind w:left="443"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w:t>
            </w:r>
            <w:r>
              <w:rPr>
                <w:rFonts w:hint="eastAsia" w:ascii="宋体" w:hAnsi="宋体" w:eastAsia="宋体" w:cs="宋体"/>
                <w:color w:val="auto"/>
                <w:spacing w:val="-2"/>
                <w:sz w:val="24"/>
                <w:szCs w:val="24"/>
                <w:highlight w:val="none"/>
              </w:rPr>
              <w:t>本</w:t>
            </w:r>
            <w:r>
              <w:rPr>
                <w:rFonts w:hint="eastAsia" w:ascii="宋体" w:hAnsi="宋体" w:eastAsia="宋体" w:cs="宋体"/>
                <w:color w:val="auto"/>
                <w:sz w:val="24"/>
                <w:szCs w:val="24"/>
                <w:highlight w:val="none"/>
              </w:rPr>
              <w:t>项</w:t>
            </w:r>
            <w:r>
              <w:rPr>
                <w:rFonts w:hint="eastAsia" w:ascii="宋体" w:hAnsi="宋体" w:eastAsia="宋体" w:cs="宋体"/>
                <w:color w:val="auto"/>
                <w:spacing w:val="-2"/>
                <w:sz w:val="24"/>
                <w:szCs w:val="24"/>
                <w:highlight w:val="none"/>
              </w:rPr>
              <w:t>目</w:t>
            </w:r>
            <w:r>
              <w:rPr>
                <w:rFonts w:hint="eastAsia" w:ascii="宋体" w:hAnsi="宋体" w:eastAsia="宋体" w:cs="宋体"/>
                <w:color w:val="auto"/>
                <w:sz w:val="24"/>
                <w:szCs w:val="24"/>
                <w:highlight w:val="none"/>
              </w:rPr>
              <w:t>任职</w:t>
            </w:r>
          </w:p>
        </w:tc>
        <w:tc>
          <w:tcPr>
            <w:tcW w:w="2007" w:type="dxa"/>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701" w:hRule="atLeast"/>
          <w:jc w:val="center"/>
        </w:trPr>
        <w:tc>
          <w:tcPr>
            <w:tcW w:w="1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6" w:line="170" w:lineRule="exact"/>
              <w:rPr>
                <w:rFonts w:hint="eastAsia" w:ascii="宋体" w:hAnsi="宋体" w:eastAsia="宋体" w:cs="宋体"/>
                <w:color w:val="auto"/>
                <w:sz w:val="24"/>
                <w:szCs w:val="24"/>
                <w:highlight w:val="none"/>
              </w:rPr>
            </w:pPr>
          </w:p>
          <w:p>
            <w:pPr>
              <w:autoSpaceDE w:val="0"/>
              <w:autoSpaceDN w:val="0"/>
              <w:adjustRightInd w:val="0"/>
              <w:ind w:left="167"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w:t>
            </w:r>
            <w:r>
              <w:rPr>
                <w:rFonts w:hint="eastAsia" w:ascii="宋体" w:hAnsi="宋体" w:eastAsia="宋体" w:cs="宋体"/>
                <w:color w:val="auto"/>
                <w:spacing w:val="-2"/>
                <w:sz w:val="24"/>
                <w:szCs w:val="24"/>
                <w:highlight w:val="none"/>
              </w:rPr>
              <w:t>年</w:t>
            </w:r>
            <w:r>
              <w:rPr>
                <w:rFonts w:hint="eastAsia" w:ascii="宋体" w:hAnsi="宋体" w:eastAsia="宋体" w:cs="宋体"/>
                <w:color w:val="auto"/>
                <w:sz w:val="24"/>
                <w:szCs w:val="24"/>
                <w:highlight w:val="none"/>
              </w:rPr>
              <w:t>限</w:t>
            </w:r>
          </w:p>
        </w:tc>
        <w:tc>
          <w:tcPr>
            <w:tcW w:w="3245" w:type="dxa"/>
            <w:gridSpan w:val="4"/>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2501" w:type="dxa"/>
            <w:gridSpan w:val="3"/>
            <w:tcBorders>
              <w:top w:val="single" w:color="000000" w:sz="4" w:space="0"/>
              <w:left w:val="nil"/>
              <w:bottom w:val="single" w:color="000000" w:sz="4" w:space="0"/>
              <w:right w:val="single" w:color="000000" w:sz="4" w:space="0"/>
            </w:tcBorders>
          </w:tcPr>
          <w:p>
            <w:pPr>
              <w:autoSpaceDE w:val="0"/>
              <w:autoSpaceDN w:val="0"/>
              <w:adjustRightInd w:val="0"/>
              <w:spacing w:before="6" w:line="170" w:lineRule="exact"/>
              <w:rPr>
                <w:rFonts w:hint="eastAsia" w:ascii="宋体" w:hAnsi="宋体" w:eastAsia="宋体" w:cs="宋体"/>
                <w:color w:val="auto"/>
                <w:sz w:val="24"/>
                <w:szCs w:val="24"/>
                <w:highlight w:val="none"/>
              </w:rPr>
            </w:pPr>
          </w:p>
          <w:p>
            <w:pPr>
              <w:autoSpaceDE w:val="0"/>
              <w:autoSpaceDN w:val="0"/>
              <w:adjustRightInd w:val="0"/>
              <w:ind w:left="337"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w:t>
            </w:r>
            <w:r>
              <w:rPr>
                <w:rFonts w:hint="eastAsia" w:ascii="宋体" w:hAnsi="宋体" w:eastAsia="宋体" w:cs="宋体"/>
                <w:color w:val="auto"/>
                <w:spacing w:val="-2"/>
                <w:sz w:val="24"/>
                <w:szCs w:val="24"/>
                <w:highlight w:val="none"/>
              </w:rPr>
              <w:t>设</w:t>
            </w:r>
            <w:r>
              <w:rPr>
                <w:rFonts w:hint="eastAsia" w:ascii="宋体" w:hAnsi="宋体" w:eastAsia="宋体" w:cs="宋体"/>
                <w:color w:val="auto"/>
                <w:sz w:val="24"/>
                <w:szCs w:val="24"/>
                <w:highlight w:val="none"/>
              </w:rPr>
              <w:t>计</w:t>
            </w:r>
            <w:r>
              <w:rPr>
                <w:rFonts w:hint="eastAsia" w:ascii="宋体" w:hAnsi="宋体" w:eastAsia="宋体" w:cs="宋体"/>
                <w:color w:val="auto"/>
                <w:spacing w:val="-2"/>
                <w:sz w:val="24"/>
                <w:szCs w:val="24"/>
                <w:highlight w:val="none"/>
              </w:rPr>
              <w:t>工</w:t>
            </w:r>
            <w:r>
              <w:rPr>
                <w:rFonts w:hint="eastAsia" w:ascii="宋体" w:hAnsi="宋体" w:eastAsia="宋体" w:cs="宋体"/>
                <w:color w:val="auto"/>
                <w:sz w:val="24"/>
                <w:szCs w:val="24"/>
                <w:highlight w:val="none"/>
              </w:rPr>
              <w:t>作</w:t>
            </w:r>
            <w:r>
              <w:rPr>
                <w:rFonts w:hint="eastAsia" w:ascii="宋体" w:hAnsi="宋体" w:eastAsia="宋体" w:cs="宋体"/>
                <w:color w:val="auto"/>
                <w:spacing w:val="-2"/>
                <w:sz w:val="24"/>
                <w:szCs w:val="24"/>
                <w:highlight w:val="none"/>
              </w:rPr>
              <w:t>年</w:t>
            </w:r>
            <w:r>
              <w:rPr>
                <w:rFonts w:hint="eastAsia" w:ascii="宋体" w:hAnsi="宋体" w:eastAsia="宋体" w:cs="宋体"/>
                <w:color w:val="auto"/>
                <w:sz w:val="24"/>
                <w:szCs w:val="24"/>
                <w:highlight w:val="none"/>
              </w:rPr>
              <w:t>限</w:t>
            </w:r>
          </w:p>
        </w:tc>
        <w:tc>
          <w:tcPr>
            <w:tcW w:w="2007" w:type="dxa"/>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r>
      <w:tr>
        <w:trPr>
          <w:trHeight w:val="710" w:hRule="atLeast"/>
          <w:jc w:val="center"/>
        </w:trPr>
        <w:tc>
          <w:tcPr>
            <w:tcW w:w="1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8" w:line="170" w:lineRule="exact"/>
              <w:rPr>
                <w:rFonts w:hint="eastAsia" w:ascii="宋体" w:hAnsi="宋体" w:eastAsia="宋体" w:cs="宋体"/>
                <w:color w:val="auto"/>
                <w:sz w:val="24"/>
                <w:szCs w:val="24"/>
                <w:highlight w:val="none"/>
              </w:rPr>
            </w:pPr>
          </w:p>
          <w:p>
            <w:pPr>
              <w:autoSpaceDE w:val="0"/>
              <w:autoSpaceDN w:val="0"/>
              <w:adjustRightInd w:val="0"/>
              <w:ind w:left="167"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w:t>
            </w:r>
            <w:r>
              <w:rPr>
                <w:rFonts w:hint="eastAsia" w:ascii="宋体" w:hAnsi="宋体" w:eastAsia="宋体" w:cs="宋体"/>
                <w:color w:val="auto"/>
                <w:spacing w:val="-2"/>
                <w:sz w:val="24"/>
                <w:szCs w:val="24"/>
                <w:highlight w:val="none"/>
              </w:rPr>
              <w:t>学</w:t>
            </w:r>
            <w:r>
              <w:rPr>
                <w:rFonts w:hint="eastAsia" w:ascii="宋体" w:hAnsi="宋体" w:eastAsia="宋体" w:cs="宋体"/>
                <w:color w:val="auto"/>
                <w:sz w:val="24"/>
                <w:szCs w:val="24"/>
                <w:highlight w:val="none"/>
              </w:rPr>
              <w:t>校</w:t>
            </w:r>
          </w:p>
        </w:tc>
        <w:tc>
          <w:tcPr>
            <w:tcW w:w="7753" w:type="dxa"/>
            <w:gridSpan w:val="8"/>
            <w:tcBorders>
              <w:top w:val="single" w:color="000000" w:sz="4" w:space="0"/>
              <w:left w:val="nil"/>
              <w:bottom w:val="single" w:color="000000" w:sz="4" w:space="0"/>
              <w:right w:val="single" w:color="000000" w:sz="4" w:space="0"/>
            </w:tcBorders>
          </w:tcPr>
          <w:p>
            <w:pPr>
              <w:autoSpaceDE w:val="0"/>
              <w:autoSpaceDN w:val="0"/>
              <w:adjustRightInd w:val="0"/>
              <w:spacing w:before="8" w:line="170" w:lineRule="exact"/>
              <w:rPr>
                <w:rFonts w:hint="eastAsia" w:ascii="宋体" w:hAnsi="宋体" w:eastAsia="宋体" w:cs="宋体"/>
                <w:color w:val="auto"/>
                <w:sz w:val="24"/>
                <w:szCs w:val="24"/>
                <w:highlight w:val="none"/>
              </w:rPr>
            </w:pPr>
          </w:p>
          <w:p>
            <w:pPr>
              <w:autoSpaceDE w:val="0"/>
              <w:autoSpaceDN w:val="0"/>
              <w:adjustRightInd w:val="0"/>
              <w:ind w:left="1257"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年毕</w:t>
            </w:r>
            <w:r>
              <w:rPr>
                <w:rFonts w:hint="eastAsia" w:ascii="宋体" w:hAnsi="宋体" w:eastAsia="宋体" w:cs="宋体"/>
                <w:color w:val="auto"/>
                <w:spacing w:val="-2"/>
                <w:sz w:val="24"/>
                <w:szCs w:val="24"/>
                <w:highlight w:val="none"/>
              </w:rPr>
              <w:t>业</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rPr>
              <w:tab/>
            </w:r>
            <w:r>
              <w:rPr>
                <w:rFonts w:hint="eastAsia" w:ascii="宋体" w:hAnsi="宋体" w:eastAsia="宋体" w:cs="宋体"/>
                <w:color w:val="auto"/>
                <w:spacing w:val="-2"/>
                <w:sz w:val="24"/>
                <w:szCs w:val="24"/>
                <w:highlight w:val="none"/>
              </w:rPr>
              <w:t>学</w:t>
            </w:r>
            <w:r>
              <w:rPr>
                <w:rFonts w:hint="eastAsia" w:ascii="宋体" w:hAnsi="宋体" w:eastAsia="宋体" w:cs="宋体"/>
                <w:color w:val="auto"/>
                <w:sz w:val="24"/>
                <w:szCs w:val="24"/>
                <w:highlight w:val="none"/>
              </w:rPr>
              <w:t>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专业</w:t>
            </w:r>
          </w:p>
        </w:tc>
      </w:tr>
      <w:tr>
        <w:trPr>
          <w:trHeight w:val="694" w:hRule="atLeast"/>
          <w:jc w:val="center"/>
        </w:trPr>
        <w:tc>
          <w:tcPr>
            <w:tcW w:w="9006" w:type="dxa"/>
            <w:gridSpan w:val="9"/>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 w:line="170" w:lineRule="exact"/>
              <w:rPr>
                <w:rFonts w:hint="eastAsia" w:ascii="宋体" w:hAnsi="宋体" w:eastAsia="宋体" w:cs="宋体"/>
                <w:color w:val="auto"/>
                <w:sz w:val="24"/>
                <w:szCs w:val="24"/>
                <w:highlight w:val="none"/>
              </w:rPr>
            </w:pPr>
          </w:p>
          <w:p>
            <w:pPr>
              <w:autoSpaceDE w:val="0"/>
              <w:autoSpaceDN w:val="0"/>
              <w:adjustRightInd w:val="0"/>
              <w:ind w:left="102"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r>
              <w:rPr>
                <w:rFonts w:hint="eastAsia" w:ascii="宋体" w:hAnsi="宋体" w:eastAsia="宋体" w:cs="宋体"/>
                <w:color w:val="auto"/>
                <w:spacing w:val="-2"/>
                <w:sz w:val="24"/>
                <w:szCs w:val="24"/>
                <w:highlight w:val="none"/>
              </w:rPr>
              <w:t>工</w:t>
            </w:r>
            <w:r>
              <w:rPr>
                <w:rFonts w:hint="eastAsia" w:ascii="宋体" w:hAnsi="宋体" w:eastAsia="宋体" w:cs="宋体"/>
                <w:color w:val="auto"/>
                <w:sz w:val="24"/>
                <w:szCs w:val="24"/>
                <w:highlight w:val="none"/>
              </w:rPr>
              <w:t>作</w:t>
            </w:r>
            <w:r>
              <w:rPr>
                <w:rFonts w:hint="eastAsia" w:ascii="宋体" w:hAnsi="宋体" w:eastAsia="宋体" w:cs="宋体"/>
                <w:color w:val="auto"/>
                <w:spacing w:val="-2"/>
                <w:sz w:val="24"/>
                <w:szCs w:val="24"/>
                <w:highlight w:val="none"/>
              </w:rPr>
              <w:t>经</w:t>
            </w:r>
            <w:r>
              <w:rPr>
                <w:rFonts w:hint="eastAsia" w:ascii="宋体" w:hAnsi="宋体" w:eastAsia="宋体" w:cs="宋体"/>
                <w:color w:val="auto"/>
                <w:sz w:val="24"/>
                <w:szCs w:val="24"/>
                <w:highlight w:val="none"/>
              </w:rPr>
              <w:t>历</w:t>
            </w:r>
          </w:p>
        </w:tc>
      </w:tr>
      <w:tr>
        <w:tblPrEx>
          <w:tblCellMar>
            <w:top w:w="0" w:type="dxa"/>
            <w:left w:w="0" w:type="dxa"/>
            <w:bottom w:w="0" w:type="dxa"/>
            <w:right w:w="0" w:type="dxa"/>
          </w:tblCellMar>
        </w:tblPrEx>
        <w:trPr>
          <w:trHeight w:val="718" w:hRule="atLeast"/>
          <w:jc w:val="center"/>
        </w:trPr>
        <w:tc>
          <w:tcPr>
            <w:tcW w:w="163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3" w:line="180" w:lineRule="exact"/>
              <w:rPr>
                <w:rFonts w:hint="eastAsia" w:ascii="宋体" w:hAnsi="宋体" w:eastAsia="宋体" w:cs="宋体"/>
                <w:color w:val="auto"/>
                <w:sz w:val="24"/>
                <w:szCs w:val="24"/>
                <w:highlight w:val="none"/>
              </w:rPr>
            </w:pPr>
          </w:p>
          <w:p>
            <w:pPr>
              <w:autoSpaceDE w:val="0"/>
              <w:autoSpaceDN w:val="0"/>
              <w:adjustRightInd w:val="0"/>
              <w:ind w:left="450"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间</w:t>
            </w:r>
          </w:p>
        </w:tc>
        <w:tc>
          <w:tcPr>
            <w:tcW w:w="3614" w:type="dxa"/>
            <w:gridSpan w:val="4"/>
            <w:tcBorders>
              <w:top w:val="single" w:color="000000" w:sz="4" w:space="0"/>
              <w:left w:val="nil"/>
              <w:bottom w:val="single" w:color="000000" w:sz="4" w:space="0"/>
              <w:right w:val="single" w:color="000000" w:sz="4" w:space="0"/>
            </w:tcBorders>
          </w:tcPr>
          <w:p>
            <w:pPr>
              <w:autoSpaceDE w:val="0"/>
              <w:autoSpaceDN w:val="0"/>
              <w:adjustRightInd w:val="0"/>
              <w:spacing w:before="3" w:line="180" w:lineRule="exact"/>
              <w:rPr>
                <w:rFonts w:hint="eastAsia" w:ascii="宋体" w:hAnsi="宋体" w:eastAsia="宋体" w:cs="宋体"/>
                <w:color w:val="auto"/>
                <w:sz w:val="24"/>
                <w:szCs w:val="24"/>
                <w:highlight w:val="none"/>
              </w:rPr>
            </w:pPr>
          </w:p>
          <w:p>
            <w:pPr>
              <w:autoSpaceDE w:val="0"/>
              <w:autoSpaceDN w:val="0"/>
              <w:adjustRightInd w:val="0"/>
              <w:ind w:left="864"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w:t>
            </w:r>
            <w:r>
              <w:rPr>
                <w:rFonts w:hint="eastAsia" w:ascii="宋体" w:hAnsi="宋体" w:eastAsia="宋体" w:cs="宋体"/>
                <w:color w:val="auto"/>
                <w:spacing w:val="-2"/>
                <w:sz w:val="24"/>
                <w:szCs w:val="24"/>
                <w:highlight w:val="none"/>
              </w:rPr>
              <w:t>过</w:t>
            </w:r>
            <w:r>
              <w:rPr>
                <w:rFonts w:hint="eastAsia" w:ascii="宋体" w:hAnsi="宋体" w:eastAsia="宋体" w:cs="宋体"/>
                <w:color w:val="auto"/>
                <w:sz w:val="24"/>
                <w:szCs w:val="24"/>
                <w:highlight w:val="none"/>
              </w:rPr>
              <w:t>的</w:t>
            </w:r>
            <w:r>
              <w:rPr>
                <w:rFonts w:hint="eastAsia" w:ascii="宋体" w:hAnsi="宋体" w:eastAsia="宋体" w:cs="宋体"/>
                <w:color w:val="auto"/>
                <w:spacing w:val="-2"/>
                <w:sz w:val="24"/>
                <w:szCs w:val="24"/>
                <w:highlight w:val="none"/>
              </w:rPr>
              <w:t>类</w:t>
            </w:r>
            <w:r>
              <w:rPr>
                <w:rFonts w:hint="eastAsia" w:ascii="宋体" w:hAnsi="宋体" w:eastAsia="宋体" w:cs="宋体"/>
                <w:color w:val="auto"/>
                <w:sz w:val="24"/>
                <w:szCs w:val="24"/>
                <w:highlight w:val="none"/>
              </w:rPr>
              <w:t>似</w:t>
            </w:r>
            <w:r>
              <w:rPr>
                <w:rFonts w:hint="eastAsia" w:ascii="宋体" w:hAnsi="宋体" w:eastAsia="宋体" w:cs="宋体"/>
                <w:color w:val="auto"/>
                <w:spacing w:val="-2"/>
                <w:sz w:val="24"/>
                <w:szCs w:val="24"/>
                <w:highlight w:val="none"/>
              </w:rPr>
              <w:t>项</w:t>
            </w:r>
            <w:r>
              <w:rPr>
                <w:rFonts w:hint="eastAsia" w:ascii="宋体" w:hAnsi="宋体" w:eastAsia="宋体" w:cs="宋体"/>
                <w:color w:val="auto"/>
                <w:sz w:val="24"/>
                <w:szCs w:val="24"/>
                <w:highlight w:val="none"/>
              </w:rPr>
              <w:t>目</w:t>
            </w:r>
          </w:p>
        </w:tc>
        <w:tc>
          <w:tcPr>
            <w:tcW w:w="1331" w:type="dxa"/>
            <w:tcBorders>
              <w:top w:val="single" w:color="000000" w:sz="4" w:space="0"/>
              <w:left w:val="nil"/>
              <w:bottom w:val="single" w:color="000000" w:sz="4" w:space="0"/>
              <w:right w:val="single" w:color="000000" w:sz="4" w:space="0"/>
            </w:tcBorders>
          </w:tcPr>
          <w:p>
            <w:pPr>
              <w:autoSpaceDE w:val="0"/>
              <w:autoSpaceDN w:val="0"/>
              <w:adjustRightInd w:val="0"/>
              <w:spacing w:before="3" w:line="180" w:lineRule="exact"/>
              <w:rPr>
                <w:rFonts w:hint="eastAsia" w:ascii="宋体" w:hAnsi="宋体" w:eastAsia="宋体" w:cs="宋体"/>
                <w:color w:val="auto"/>
                <w:sz w:val="24"/>
                <w:szCs w:val="24"/>
                <w:highlight w:val="none"/>
              </w:rPr>
            </w:pPr>
          </w:p>
          <w:p>
            <w:pPr>
              <w:autoSpaceDE w:val="0"/>
              <w:autoSpaceDN w:val="0"/>
              <w:adjustRightInd w:val="0"/>
              <w:ind w:left="203"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w:t>
            </w:r>
            <w:r>
              <w:rPr>
                <w:rFonts w:hint="eastAsia" w:ascii="宋体" w:hAnsi="宋体" w:eastAsia="宋体" w:cs="宋体"/>
                <w:color w:val="auto"/>
                <w:spacing w:val="-2"/>
                <w:sz w:val="24"/>
                <w:szCs w:val="24"/>
                <w:highlight w:val="none"/>
              </w:rPr>
              <w:t>职</w:t>
            </w:r>
            <w:r>
              <w:rPr>
                <w:rFonts w:hint="eastAsia" w:ascii="宋体" w:hAnsi="宋体" w:eastAsia="宋体" w:cs="宋体"/>
                <w:color w:val="auto"/>
                <w:sz w:val="24"/>
                <w:szCs w:val="24"/>
                <w:highlight w:val="none"/>
              </w:rPr>
              <w:t>务</w:t>
            </w:r>
          </w:p>
        </w:tc>
        <w:tc>
          <w:tcPr>
            <w:tcW w:w="2430" w:type="dxa"/>
            <w:gridSpan w:val="2"/>
            <w:tcBorders>
              <w:top w:val="single" w:color="000000" w:sz="4" w:space="0"/>
              <w:left w:val="nil"/>
              <w:bottom w:val="single" w:color="000000" w:sz="4" w:space="0"/>
              <w:right w:val="single" w:color="000000" w:sz="4" w:space="0"/>
            </w:tcBorders>
          </w:tcPr>
          <w:p>
            <w:pPr>
              <w:autoSpaceDE w:val="0"/>
              <w:autoSpaceDN w:val="0"/>
              <w:adjustRightInd w:val="0"/>
              <w:spacing w:before="3" w:line="180" w:lineRule="exact"/>
              <w:rPr>
                <w:rFonts w:hint="eastAsia" w:ascii="宋体" w:hAnsi="宋体" w:eastAsia="宋体" w:cs="宋体"/>
                <w:color w:val="auto"/>
                <w:sz w:val="24"/>
                <w:szCs w:val="24"/>
                <w:highlight w:val="none"/>
              </w:rPr>
            </w:pPr>
          </w:p>
          <w:p>
            <w:pPr>
              <w:autoSpaceDE w:val="0"/>
              <w:autoSpaceDN w:val="0"/>
              <w:adjustRightInd w:val="0"/>
              <w:ind w:left="301"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w:t>
            </w:r>
            <w:r>
              <w:rPr>
                <w:rFonts w:hint="eastAsia" w:ascii="宋体" w:hAnsi="宋体" w:eastAsia="宋体" w:cs="宋体"/>
                <w:color w:val="auto"/>
                <w:spacing w:val="-2"/>
                <w:sz w:val="24"/>
                <w:szCs w:val="24"/>
                <w:highlight w:val="none"/>
              </w:rPr>
              <w:t>人</w:t>
            </w:r>
            <w:r>
              <w:rPr>
                <w:rFonts w:hint="eastAsia" w:ascii="宋体" w:hAnsi="宋体" w:eastAsia="宋体" w:cs="宋体"/>
                <w:color w:val="auto"/>
                <w:sz w:val="24"/>
                <w:szCs w:val="24"/>
                <w:highlight w:val="none"/>
              </w:rPr>
              <w:t>及</w:t>
            </w:r>
            <w:r>
              <w:rPr>
                <w:rFonts w:hint="eastAsia" w:ascii="宋体" w:hAnsi="宋体" w:eastAsia="宋体" w:cs="宋体"/>
                <w:color w:val="auto"/>
                <w:spacing w:val="-2"/>
                <w:sz w:val="24"/>
                <w:szCs w:val="24"/>
                <w:highlight w:val="none"/>
              </w:rPr>
              <w:t>联</w:t>
            </w:r>
            <w:r>
              <w:rPr>
                <w:rFonts w:hint="eastAsia" w:ascii="宋体" w:hAnsi="宋体" w:eastAsia="宋体" w:cs="宋体"/>
                <w:color w:val="auto"/>
                <w:sz w:val="24"/>
                <w:szCs w:val="24"/>
                <w:highlight w:val="none"/>
              </w:rPr>
              <w:t>系</w:t>
            </w:r>
            <w:r>
              <w:rPr>
                <w:rFonts w:hint="eastAsia" w:ascii="宋体" w:hAnsi="宋体" w:eastAsia="宋体" w:cs="宋体"/>
                <w:color w:val="auto"/>
                <w:spacing w:val="-2"/>
                <w:sz w:val="24"/>
                <w:szCs w:val="24"/>
                <w:highlight w:val="none"/>
              </w:rPr>
              <w:t>电</w:t>
            </w:r>
            <w:r>
              <w:rPr>
                <w:rFonts w:hint="eastAsia" w:ascii="宋体" w:hAnsi="宋体" w:eastAsia="宋体" w:cs="宋体"/>
                <w:color w:val="auto"/>
                <w:sz w:val="24"/>
                <w:szCs w:val="24"/>
                <w:highlight w:val="none"/>
              </w:rPr>
              <w:t>话</w:t>
            </w:r>
          </w:p>
        </w:tc>
      </w:tr>
      <w:tr>
        <w:tblPrEx>
          <w:tblCellMar>
            <w:top w:w="0" w:type="dxa"/>
            <w:left w:w="0" w:type="dxa"/>
            <w:bottom w:w="0" w:type="dxa"/>
            <w:right w:w="0" w:type="dxa"/>
          </w:tblCellMar>
        </w:tblPrEx>
        <w:trPr>
          <w:trHeight w:val="701" w:hRule="atLeast"/>
          <w:jc w:val="center"/>
        </w:trPr>
        <w:tc>
          <w:tcPr>
            <w:tcW w:w="163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3614" w:type="dxa"/>
            <w:gridSpan w:val="4"/>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1331" w:type="dxa"/>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2430" w:type="dxa"/>
            <w:gridSpan w:val="2"/>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698" w:hRule="atLeast"/>
          <w:jc w:val="center"/>
        </w:trPr>
        <w:tc>
          <w:tcPr>
            <w:tcW w:w="163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3614" w:type="dxa"/>
            <w:gridSpan w:val="4"/>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1331" w:type="dxa"/>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2430" w:type="dxa"/>
            <w:gridSpan w:val="2"/>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r>
      <w:tr>
        <w:trPr>
          <w:trHeight w:val="701" w:hRule="atLeast"/>
          <w:jc w:val="center"/>
        </w:trPr>
        <w:tc>
          <w:tcPr>
            <w:tcW w:w="163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3614" w:type="dxa"/>
            <w:gridSpan w:val="4"/>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1331" w:type="dxa"/>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2430" w:type="dxa"/>
            <w:gridSpan w:val="2"/>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r>
      <w:tr>
        <w:trPr>
          <w:trHeight w:val="701" w:hRule="atLeast"/>
          <w:jc w:val="center"/>
        </w:trPr>
        <w:tc>
          <w:tcPr>
            <w:tcW w:w="163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3614" w:type="dxa"/>
            <w:gridSpan w:val="4"/>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1331" w:type="dxa"/>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2430" w:type="dxa"/>
            <w:gridSpan w:val="2"/>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699" w:hRule="atLeast"/>
          <w:jc w:val="center"/>
        </w:trPr>
        <w:tc>
          <w:tcPr>
            <w:tcW w:w="163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3614" w:type="dxa"/>
            <w:gridSpan w:val="4"/>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1331" w:type="dxa"/>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2430" w:type="dxa"/>
            <w:gridSpan w:val="2"/>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r>
      <w:tr>
        <w:trPr>
          <w:trHeight w:val="701" w:hRule="atLeast"/>
          <w:jc w:val="center"/>
        </w:trPr>
        <w:tc>
          <w:tcPr>
            <w:tcW w:w="163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3614" w:type="dxa"/>
            <w:gridSpan w:val="4"/>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1331" w:type="dxa"/>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2430" w:type="dxa"/>
            <w:gridSpan w:val="2"/>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701" w:hRule="atLeast"/>
          <w:jc w:val="center"/>
        </w:trPr>
        <w:tc>
          <w:tcPr>
            <w:tcW w:w="163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3614" w:type="dxa"/>
            <w:gridSpan w:val="4"/>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1331" w:type="dxa"/>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c>
          <w:tcPr>
            <w:tcW w:w="2430" w:type="dxa"/>
            <w:gridSpan w:val="2"/>
            <w:tcBorders>
              <w:top w:val="single" w:color="000000" w:sz="4" w:space="0"/>
              <w:left w:val="nil"/>
              <w:bottom w:val="single" w:color="000000" w:sz="4" w:space="0"/>
              <w:right w:val="single" w:color="000000" w:sz="4" w:space="0"/>
            </w:tcBorders>
          </w:tcPr>
          <w:p>
            <w:pPr>
              <w:autoSpaceDE w:val="0"/>
              <w:autoSpaceDN w:val="0"/>
              <w:adjustRightInd w:val="0"/>
              <w:rPr>
                <w:rFonts w:hint="eastAsia" w:ascii="宋体" w:hAnsi="宋体" w:eastAsia="宋体" w:cs="宋体"/>
                <w:color w:val="auto"/>
                <w:sz w:val="24"/>
                <w:szCs w:val="24"/>
                <w:highlight w:val="none"/>
              </w:rPr>
            </w:pPr>
          </w:p>
        </w:tc>
      </w:tr>
    </w:tbl>
    <w:p>
      <w:pPr>
        <w:autoSpaceDE w:val="0"/>
        <w:autoSpaceDN w:val="0"/>
        <w:adjustRightInd w:val="0"/>
        <w:spacing w:line="110" w:lineRule="exact"/>
        <w:rPr>
          <w:rFonts w:hint="eastAsia" w:ascii="宋体" w:hAnsi="宋体" w:eastAsia="宋体" w:cs="宋体"/>
          <w:color w:val="auto"/>
          <w:sz w:val="11"/>
          <w:szCs w:val="11"/>
          <w:highlight w:val="none"/>
        </w:rPr>
      </w:pPr>
      <w:r>
        <w:rPr>
          <w:rFonts w:hint="eastAsia" w:ascii="宋体" w:hAnsi="宋体" w:eastAsia="宋体" w:cs="宋体"/>
          <w:color w:val="auto"/>
          <w:sz w:val="11"/>
          <w:szCs w:val="11"/>
          <w:highlight w:val="none"/>
        </w:rPr>
        <w:t xml:space="preserve"> </w:t>
      </w:r>
    </w:p>
    <w:p>
      <w:pPr>
        <w:autoSpaceDE w:val="0"/>
        <w:autoSpaceDN w:val="0"/>
        <w:adjustRightInd w:val="0"/>
        <w:spacing w:line="296" w:lineRule="exact"/>
        <w:ind w:left="100" w:righ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pacing w:val="-2"/>
          <w:sz w:val="24"/>
          <w:szCs w:val="24"/>
          <w:highlight w:val="none"/>
        </w:rPr>
        <w:t>投</w:t>
      </w:r>
      <w:r>
        <w:rPr>
          <w:rFonts w:hint="eastAsia" w:ascii="宋体" w:hAnsi="宋体" w:eastAsia="宋体" w:cs="宋体"/>
          <w:color w:val="auto"/>
          <w:sz w:val="24"/>
          <w:szCs w:val="24"/>
          <w:highlight w:val="none"/>
        </w:rPr>
        <w:t>标</w:t>
      </w:r>
      <w:r>
        <w:rPr>
          <w:rFonts w:hint="eastAsia" w:ascii="宋体" w:hAnsi="宋体" w:eastAsia="宋体" w:cs="宋体"/>
          <w:color w:val="auto"/>
          <w:spacing w:val="-2"/>
          <w:sz w:val="24"/>
          <w:szCs w:val="24"/>
          <w:highlight w:val="none"/>
        </w:rPr>
        <w:t>人</w:t>
      </w:r>
      <w:r>
        <w:rPr>
          <w:rFonts w:hint="eastAsia" w:ascii="宋体" w:hAnsi="宋体" w:eastAsia="宋体" w:cs="宋体"/>
          <w:color w:val="auto"/>
          <w:sz w:val="24"/>
          <w:szCs w:val="24"/>
          <w:highlight w:val="none"/>
        </w:rPr>
        <w:t>应</w:t>
      </w:r>
      <w:r>
        <w:rPr>
          <w:rFonts w:hint="eastAsia" w:ascii="宋体" w:hAnsi="宋体" w:eastAsia="宋体" w:cs="宋体"/>
          <w:color w:val="auto"/>
          <w:spacing w:val="-2"/>
          <w:sz w:val="24"/>
          <w:szCs w:val="24"/>
          <w:highlight w:val="none"/>
        </w:rPr>
        <w:t>根</w:t>
      </w:r>
      <w:r>
        <w:rPr>
          <w:rFonts w:hint="eastAsia" w:ascii="宋体" w:hAnsi="宋体" w:eastAsia="宋体" w:cs="宋体"/>
          <w:color w:val="auto"/>
          <w:sz w:val="24"/>
          <w:szCs w:val="24"/>
          <w:highlight w:val="none"/>
        </w:rPr>
        <w:t>据</w:t>
      </w:r>
      <w:r>
        <w:rPr>
          <w:rFonts w:hint="eastAsia" w:ascii="宋体" w:hAnsi="宋体" w:eastAsia="宋体" w:cs="宋体"/>
          <w:color w:val="auto"/>
          <w:spacing w:val="-2"/>
          <w:sz w:val="24"/>
          <w:szCs w:val="24"/>
          <w:highlight w:val="none"/>
        </w:rPr>
        <w:t>投</w:t>
      </w:r>
      <w:r>
        <w:rPr>
          <w:rFonts w:hint="eastAsia" w:ascii="宋体" w:hAnsi="宋体" w:eastAsia="宋体" w:cs="宋体"/>
          <w:color w:val="auto"/>
          <w:sz w:val="24"/>
          <w:szCs w:val="24"/>
          <w:highlight w:val="none"/>
        </w:rPr>
        <w:t>标</w:t>
      </w:r>
      <w:r>
        <w:rPr>
          <w:rFonts w:hint="eastAsia" w:ascii="宋体" w:hAnsi="宋体" w:eastAsia="宋体" w:cs="宋体"/>
          <w:color w:val="auto"/>
          <w:spacing w:val="-2"/>
          <w:sz w:val="24"/>
          <w:szCs w:val="24"/>
          <w:highlight w:val="none"/>
        </w:rPr>
        <w:t>人</w:t>
      </w:r>
      <w:r>
        <w:rPr>
          <w:rFonts w:hint="eastAsia" w:ascii="宋体" w:hAnsi="宋体" w:eastAsia="宋体" w:cs="宋体"/>
          <w:color w:val="auto"/>
          <w:sz w:val="24"/>
          <w:szCs w:val="24"/>
          <w:highlight w:val="none"/>
        </w:rPr>
        <w:t>须</w:t>
      </w:r>
      <w:r>
        <w:rPr>
          <w:rFonts w:hint="eastAsia" w:ascii="宋体" w:hAnsi="宋体" w:eastAsia="宋体" w:cs="宋体"/>
          <w:color w:val="auto"/>
          <w:spacing w:val="-2"/>
          <w:sz w:val="24"/>
          <w:szCs w:val="24"/>
          <w:highlight w:val="none"/>
        </w:rPr>
        <w:t>知</w:t>
      </w:r>
      <w:r>
        <w:rPr>
          <w:rFonts w:hint="eastAsia" w:ascii="宋体" w:hAnsi="宋体" w:eastAsia="宋体" w:cs="宋体"/>
          <w:color w:val="auto"/>
          <w:sz w:val="24"/>
          <w:szCs w:val="24"/>
          <w:highlight w:val="none"/>
        </w:rPr>
        <w:t>的</w:t>
      </w:r>
      <w:r>
        <w:rPr>
          <w:rFonts w:hint="eastAsia" w:ascii="宋体" w:hAnsi="宋体" w:eastAsia="宋体" w:cs="宋体"/>
          <w:color w:val="auto"/>
          <w:spacing w:val="-2"/>
          <w:sz w:val="24"/>
          <w:szCs w:val="24"/>
          <w:highlight w:val="none"/>
        </w:rPr>
        <w:t>要</w:t>
      </w:r>
      <w:r>
        <w:rPr>
          <w:rFonts w:hint="eastAsia" w:ascii="宋体" w:hAnsi="宋体" w:eastAsia="宋体" w:cs="宋体"/>
          <w:color w:val="auto"/>
          <w:sz w:val="24"/>
          <w:szCs w:val="24"/>
          <w:highlight w:val="none"/>
        </w:rPr>
        <w:t>求</w:t>
      </w:r>
      <w:r>
        <w:rPr>
          <w:rFonts w:hint="eastAsia" w:ascii="宋体" w:hAnsi="宋体" w:eastAsia="宋体" w:cs="宋体"/>
          <w:color w:val="auto"/>
          <w:spacing w:val="-2"/>
          <w:sz w:val="24"/>
          <w:szCs w:val="24"/>
          <w:highlight w:val="none"/>
        </w:rPr>
        <w:t>在本</w:t>
      </w:r>
      <w:r>
        <w:rPr>
          <w:rFonts w:hint="eastAsia" w:ascii="宋体" w:hAnsi="宋体" w:eastAsia="宋体" w:cs="宋体"/>
          <w:color w:val="auto"/>
          <w:sz w:val="24"/>
          <w:szCs w:val="24"/>
          <w:highlight w:val="none"/>
        </w:rPr>
        <w:t>表后</w:t>
      </w:r>
      <w:r>
        <w:rPr>
          <w:rFonts w:hint="eastAsia" w:ascii="宋体" w:hAnsi="宋体" w:eastAsia="宋体" w:cs="宋体"/>
          <w:color w:val="auto"/>
          <w:spacing w:val="-2"/>
          <w:sz w:val="24"/>
          <w:szCs w:val="24"/>
          <w:highlight w:val="none"/>
        </w:rPr>
        <w:t>附</w:t>
      </w:r>
      <w:r>
        <w:rPr>
          <w:rFonts w:hint="eastAsia" w:ascii="宋体" w:hAnsi="宋体" w:eastAsia="宋体" w:cs="宋体"/>
          <w:color w:val="auto"/>
          <w:sz w:val="24"/>
          <w:szCs w:val="24"/>
          <w:highlight w:val="none"/>
        </w:rPr>
        <w:t>相</w:t>
      </w:r>
      <w:r>
        <w:rPr>
          <w:rFonts w:hint="eastAsia" w:ascii="宋体" w:hAnsi="宋体" w:eastAsia="宋体" w:cs="宋体"/>
          <w:color w:val="auto"/>
          <w:spacing w:val="-2"/>
          <w:sz w:val="24"/>
          <w:szCs w:val="24"/>
          <w:highlight w:val="none"/>
        </w:rPr>
        <w:t>关</w:t>
      </w:r>
      <w:r>
        <w:rPr>
          <w:rFonts w:hint="eastAsia" w:ascii="宋体" w:hAnsi="宋体" w:eastAsia="宋体" w:cs="宋体"/>
          <w:color w:val="auto"/>
          <w:sz w:val="24"/>
          <w:szCs w:val="24"/>
          <w:highlight w:val="none"/>
        </w:rPr>
        <w:t>证</w:t>
      </w:r>
      <w:r>
        <w:rPr>
          <w:rFonts w:hint="eastAsia" w:ascii="宋体" w:hAnsi="宋体" w:eastAsia="宋体" w:cs="宋体"/>
          <w:color w:val="auto"/>
          <w:spacing w:val="-2"/>
          <w:sz w:val="24"/>
          <w:szCs w:val="24"/>
          <w:highlight w:val="none"/>
        </w:rPr>
        <w:t>明</w:t>
      </w:r>
      <w:r>
        <w:rPr>
          <w:rFonts w:hint="eastAsia" w:ascii="宋体" w:hAnsi="宋体" w:eastAsia="宋体" w:cs="宋体"/>
          <w:color w:val="auto"/>
          <w:sz w:val="24"/>
          <w:szCs w:val="24"/>
          <w:highlight w:val="none"/>
        </w:rPr>
        <w:t>材</w:t>
      </w:r>
      <w:r>
        <w:rPr>
          <w:rFonts w:hint="eastAsia" w:ascii="宋体" w:hAnsi="宋体" w:eastAsia="宋体" w:cs="宋体"/>
          <w:color w:val="auto"/>
          <w:spacing w:val="-2"/>
          <w:sz w:val="24"/>
          <w:szCs w:val="24"/>
          <w:highlight w:val="none"/>
        </w:rPr>
        <w:t>料扫描件</w:t>
      </w:r>
      <w:r>
        <w:rPr>
          <w:rFonts w:hint="eastAsia" w:ascii="宋体" w:hAnsi="宋体" w:eastAsia="宋体" w:cs="宋体"/>
          <w:color w:val="auto"/>
          <w:sz w:val="24"/>
          <w:szCs w:val="24"/>
          <w:highlight w:val="none"/>
        </w:rPr>
        <w:t>。</w:t>
      </w:r>
    </w:p>
    <w:p>
      <w:pPr>
        <w:autoSpaceDE w:val="0"/>
        <w:autoSpaceDN w:val="0"/>
        <w:adjustRightInd w:val="0"/>
        <w:spacing w:line="466" w:lineRule="exact"/>
        <w:ind w:right="-20"/>
        <w:outlineLvl w:val="0"/>
        <w:rPr>
          <w:rFonts w:hint="eastAsia" w:ascii="宋体" w:hAnsi="宋体" w:eastAsia="宋体" w:cs="宋体"/>
          <w:color w:val="auto"/>
          <w:spacing w:val="2"/>
          <w:position w:val="-1"/>
          <w:sz w:val="32"/>
          <w:szCs w:val="32"/>
          <w:highlight w:val="none"/>
        </w:rPr>
      </w:pPr>
      <w:r>
        <w:rPr>
          <w:rFonts w:hint="eastAsia" w:ascii="宋体" w:hAnsi="宋体" w:eastAsia="宋体" w:cs="宋体"/>
          <w:color w:val="auto"/>
          <w:highlight w:val="none"/>
        </w:rPr>
        <w:br w:type="page"/>
      </w:r>
      <w:bookmarkStart w:id="45" w:name="_Toc10594"/>
      <w:r>
        <w:rPr>
          <w:rFonts w:hint="eastAsia" w:ascii="宋体" w:hAnsi="宋体" w:eastAsia="宋体" w:cs="宋体"/>
          <w:color w:val="auto"/>
          <w:spacing w:val="2"/>
          <w:position w:val="-1"/>
          <w:sz w:val="32"/>
          <w:szCs w:val="32"/>
          <w:highlight w:val="none"/>
        </w:rPr>
        <w:t>格式七：企业类似工程业绩</w:t>
      </w:r>
      <w:bookmarkEnd w:id="45"/>
    </w:p>
    <w:p>
      <w:pPr>
        <w:jc w:val="center"/>
        <w:rPr>
          <w:rFonts w:hint="eastAsia" w:ascii="宋体" w:hAnsi="宋体" w:eastAsia="宋体" w:cs="宋体"/>
          <w:color w:val="auto"/>
          <w:spacing w:val="2"/>
          <w:position w:val="-1"/>
          <w:sz w:val="32"/>
          <w:szCs w:val="32"/>
          <w:highlight w:val="none"/>
        </w:rPr>
      </w:pPr>
    </w:p>
    <w:p>
      <w:pPr>
        <w:jc w:val="center"/>
        <w:rPr>
          <w:rFonts w:hint="eastAsia" w:ascii="宋体" w:hAnsi="宋体" w:eastAsia="宋体" w:cs="宋体"/>
          <w:color w:val="auto"/>
          <w:spacing w:val="2"/>
          <w:position w:val="-1"/>
          <w:sz w:val="32"/>
          <w:szCs w:val="32"/>
          <w:highlight w:val="none"/>
        </w:rPr>
      </w:pPr>
      <w:r>
        <w:rPr>
          <w:rFonts w:hint="eastAsia" w:ascii="宋体" w:hAnsi="宋体" w:eastAsia="宋体" w:cs="宋体"/>
          <w:color w:val="auto"/>
          <w:spacing w:val="2"/>
          <w:position w:val="-1"/>
          <w:sz w:val="32"/>
          <w:szCs w:val="32"/>
          <w:highlight w:val="none"/>
        </w:rPr>
        <w:t>企业类似工程业绩</w:t>
      </w:r>
    </w:p>
    <w:p>
      <w:pPr>
        <w:jc w:val="center"/>
        <w:rPr>
          <w:rFonts w:hint="eastAsia" w:ascii="宋体" w:hAnsi="宋体" w:eastAsia="宋体" w:cs="宋体"/>
          <w:color w:val="auto"/>
          <w:spacing w:val="2"/>
          <w:position w:val="-1"/>
          <w:sz w:val="32"/>
          <w:szCs w:val="32"/>
          <w:highlight w:val="none"/>
        </w:rPr>
      </w:pPr>
      <w:r>
        <w:rPr>
          <w:rFonts w:hint="eastAsia" w:ascii="宋体" w:hAnsi="宋体" w:eastAsia="宋体" w:cs="宋体"/>
          <w:color w:val="auto"/>
          <w:spacing w:val="2"/>
          <w:position w:val="-1"/>
          <w:sz w:val="32"/>
          <w:szCs w:val="32"/>
          <w:highlight w:val="none"/>
        </w:rPr>
        <w:t xml:space="preserve"> </w:t>
      </w:r>
    </w:p>
    <w:tbl>
      <w:tblPr>
        <w:tblStyle w:val="2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6"/>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合同签订时间</w:t>
            </w: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业主单位</w:t>
            </w: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完成情况</w:t>
            </w: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c>
          <w:tcPr>
            <w:tcW w:w="170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p>
        </w:tc>
      </w:tr>
    </w:tbl>
    <w:p>
      <w:pPr>
        <w:autoSpaceDE w:val="0"/>
        <w:autoSpaceDN w:val="0"/>
        <w:adjustRightInd w:val="0"/>
        <w:spacing w:line="466" w:lineRule="exact"/>
        <w:ind w:right="-20"/>
        <w:outlineLvl w:val="0"/>
        <w:rPr>
          <w:rFonts w:hint="eastAsia" w:ascii="宋体" w:hAnsi="宋体" w:eastAsia="宋体" w:cs="宋体"/>
          <w:color w:val="auto"/>
          <w:spacing w:val="2"/>
          <w:position w:val="-1"/>
          <w:sz w:val="32"/>
          <w:szCs w:val="32"/>
          <w:highlight w:val="none"/>
        </w:rPr>
      </w:pPr>
      <w:r>
        <w:rPr>
          <w:rFonts w:hint="eastAsia" w:ascii="宋体" w:hAnsi="宋体" w:eastAsia="宋体" w:cs="宋体"/>
          <w:color w:val="auto"/>
          <w:highlight w:val="none"/>
          <w:u w:val="single"/>
        </w:rPr>
        <w:br w:type="page"/>
      </w:r>
      <w:bookmarkStart w:id="46" w:name="_Toc10880"/>
      <w:r>
        <w:rPr>
          <w:rFonts w:hint="eastAsia" w:ascii="宋体" w:hAnsi="宋体" w:eastAsia="宋体" w:cs="宋体"/>
          <w:color w:val="auto"/>
          <w:spacing w:val="2"/>
          <w:position w:val="-1"/>
          <w:sz w:val="32"/>
          <w:szCs w:val="32"/>
          <w:highlight w:val="none"/>
        </w:rPr>
        <w:t>格式八：其他资料</w:t>
      </w:r>
      <w:bookmarkEnd w:id="46"/>
    </w:p>
    <w:p>
      <w:pPr>
        <w:pStyle w:val="36"/>
        <w:ind w:left="1480" w:hanging="640"/>
        <w:rPr>
          <w:rFonts w:hint="eastAsia" w:ascii="宋体" w:hAnsi="宋体" w:eastAsia="宋体" w:cs="宋体"/>
          <w:color w:val="auto"/>
          <w:sz w:val="32"/>
          <w:szCs w:val="32"/>
          <w:highlight w:val="none"/>
          <w:lang w:eastAsia="zh-CN"/>
        </w:rPr>
      </w:pPr>
    </w:p>
    <w:p>
      <w:pPr>
        <w:pStyle w:val="36"/>
        <w:ind w:left="1480" w:hanging="1480"/>
        <w:jc w:val="left"/>
        <w:rPr>
          <w:rFonts w:hint="eastAsia" w:ascii="宋体" w:hAnsi="宋体" w:eastAsia="宋体" w:cs="宋体"/>
          <w:color w:val="auto"/>
          <w:sz w:val="24"/>
          <w:szCs w:val="24"/>
          <w:highlight w:val="none"/>
          <w:lang w:eastAsia="zh-CN"/>
        </w:rPr>
      </w:pPr>
      <w:r>
        <w:rPr>
          <w:rFonts w:hint="eastAsia" w:ascii="宋体" w:hAnsi="宋体" w:eastAsia="宋体" w:cs="宋体"/>
          <w:b w:val="0"/>
          <w:color w:val="auto"/>
          <w:spacing w:val="0"/>
          <w:kern w:val="2"/>
          <w:sz w:val="24"/>
          <w:szCs w:val="24"/>
          <w:highlight w:val="none"/>
          <w:lang w:eastAsia="zh-CN"/>
        </w:rPr>
        <w:t>其他资料（投标人认为需要提供的其他资料，自行编辑提供）</w:t>
      </w:r>
      <w:r>
        <w:rPr>
          <w:rFonts w:hint="eastAsia" w:ascii="宋体" w:hAnsi="宋体" w:eastAsia="宋体" w:cs="宋体"/>
          <w:color w:val="auto"/>
          <w:spacing w:val="2"/>
          <w:position w:val="-1"/>
          <w:sz w:val="24"/>
          <w:szCs w:val="24"/>
          <w:highlight w:val="none"/>
          <w:lang w:eastAsia="zh-CN"/>
        </w:rPr>
        <w:t xml:space="preserve"> </w:t>
      </w:r>
    </w:p>
    <w:sectPr>
      <w:headerReference r:id="rId12" w:type="default"/>
      <w:footerReference r:id="rId13" w:type="default"/>
      <w:pgSz w:w="11906" w:h="16838" w:orient="landscape"/>
      <w:pgMar w:top="1440" w:right="1576" w:bottom="1440" w:left="1463"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842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15"/>
                            <w:jc w:val="center"/>
                            <w:rPr>
                              <w:rFonts w:hint="eastAsia"/>
                            </w:rPr>
                          </w:pPr>
                          <w:r>
                            <w:rPr>
                              <w:rFonts w:hint="eastAsia"/>
                            </w:rPr>
                            <w:fldChar w:fldCharType="begin"/>
                          </w:r>
                          <w:r>
                            <w:instrText xml:space="preserve"> PAGE   \* MERGEFORMAT </w:instrText>
                          </w:r>
                          <w:r>
                            <w:rPr>
                              <w:rFonts w:hint="eastAsia"/>
                            </w:rPr>
                            <w:fldChar w:fldCharType="separate"/>
                          </w:r>
                          <w:r>
                            <w:rPr>
                              <w:rFonts w:hint="eastAsia"/>
                              <w:lang w:val="zh-CN"/>
                            </w:rPr>
                            <w:t>2</w:t>
                          </w:r>
                          <w:r>
                            <w:rPr>
                              <w:rFonts w:hint="eastAsia"/>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3360;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CzuLQvNgIAAGAEAAAOAAAAAAAAAAEAIAAAACABAABkcnMvZTJvRG9jLnht&#10;bFBLBQYAAAAABgAGAFkBAADIBQAAAAA=&#10;">
              <v:fill on="f" focussize="0,0"/>
              <v:stroke on="f" weight="0.5pt"/>
              <v:imagedata o:title=""/>
              <o:lock v:ext="edit" aspectratio="f"/>
              <v:textbox inset="0mm,0mm,0mm,0mm" style="mso-fit-shape-to-text:t;">
                <w:txbxContent>
                  <w:p>
                    <w:pPr>
                      <w:pStyle w:val="15"/>
                      <w:jc w:val="center"/>
                      <w:rPr>
                        <w:rFonts w:hint="eastAsia"/>
                      </w:rPr>
                    </w:pPr>
                    <w:r>
                      <w:rPr>
                        <w:rFonts w:hint="eastAsia"/>
                      </w:rPr>
                      <w:fldChar w:fldCharType="begin"/>
                    </w:r>
                    <w:r>
                      <w:instrText xml:space="preserve"> PAGE   \* MERGEFORMAT </w:instrText>
                    </w:r>
                    <w:r>
                      <w:rPr>
                        <w:rFonts w:hint="eastAsia"/>
                      </w:rPr>
                      <w:fldChar w:fldCharType="separate"/>
                    </w:r>
                    <w:r>
                      <w:rPr>
                        <w:rFonts w:hint="eastAsia"/>
                        <w:lang w:val="zh-CN"/>
                      </w:rPr>
                      <w:t>2</w:t>
                    </w:r>
                    <w:r>
                      <w:rPr>
                        <w:rFonts w:hint="eastAsia"/>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hint="eastAsia"/>
        <w:sz w:val="20"/>
        <w:szCs w:val="20"/>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1460" cy="1924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1460" cy="192405"/>
                      </a:xfrm>
                      <a:prstGeom prst="rect">
                        <a:avLst/>
                      </a:prstGeom>
                      <a:noFill/>
                      <a:ln>
                        <a:noFill/>
                      </a:ln>
                      <a:effectLst/>
                    </wps:spPr>
                    <wps:txbx>
                      <w:txbxContent>
                        <w:p>
                          <w:pPr>
                            <w:spacing w:line="203" w:lineRule="exact"/>
                            <w:ind w:left="40"/>
                            <w:rPr>
                              <w:rFonts w:hint="eastAsia" w:cs="Calibri"/>
                              <w:sz w:val="18"/>
                              <w:szCs w:val="18"/>
                            </w:rPr>
                          </w:pPr>
                          <w:r>
                            <w:rPr>
                              <w:sz w:val="18"/>
                              <w:szCs w:val="18"/>
                            </w:rPr>
                            <w:fldChar w:fldCharType="begin"/>
                          </w:r>
                          <w:r>
                            <w:rPr>
                              <w:w w:val="99"/>
                              <w:sz w:val="18"/>
                              <w:szCs w:val="18"/>
                            </w:rPr>
                            <w:instrText xml:space="preserve"> PAGE </w:instrText>
                          </w:r>
                          <w:r>
                            <w:rPr>
                              <w:sz w:val="18"/>
                              <w:szCs w:val="18"/>
                            </w:rPr>
                            <w:fldChar w:fldCharType="separate"/>
                          </w:r>
                          <w:r>
                            <w:rPr>
                              <w:rFonts w:hint="eastAsia"/>
                              <w:w w:val="99"/>
                              <w:sz w:val="18"/>
                              <w:szCs w:val="18"/>
                            </w:rPr>
                            <w:t>28</w:t>
                          </w:r>
                          <w:r>
                            <w:rPr>
                              <w:sz w:val="18"/>
                              <w:szCs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5.15pt;width:19.8pt;mso-position-horizontal:center;mso-position-horizontal-relative:margin;z-index:251659264;mso-width-relative:page;mso-height-relative:page;" filled="f" stroked="f" coordsize="21600,21600" o:gfxdata="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CBH70wAAAAMBAAAPAAAAAAAAAAEAIAAAACIAAABkcnMvZG93bnJldi54bWxQSwECFAAU&#10;AAAACACHTuJAF4GXOL0BAAB/AwAADgAAAAAAAAABACAAAAAiAQAAZHJzL2Uyb0RvYy54bWxQSwUG&#10;AAAAAAYABgBZAQAAUQUAAAAA&#10;">
              <v:fill on="f" focussize="0,0"/>
              <v:stroke on="f"/>
              <v:imagedata o:title=""/>
              <o:lock v:ext="edit" aspectratio="f"/>
              <v:textbox inset="0mm,0mm,0mm,0mm">
                <w:txbxContent>
                  <w:p>
                    <w:pPr>
                      <w:spacing w:line="203" w:lineRule="exact"/>
                      <w:ind w:left="40"/>
                      <w:rPr>
                        <w:rFonts w:hint="eastAsia" w:cs="Calibri"/>
                        <w:sz w:val="18"/>
                        <w:szCs w:val="18"/>
                      </w:rPr>
                    </w:pPr>
                    <w:r>
                      <w:rPr>
                        <w:sz w:val="18"/>
                        <w:szCs w:val="18"/>
                      </w:rPr>
                      <w:fldChar w:fldCharType="begin"/>
                    </w:r>
                    <w:r>
                      <w:rPr>
                        <w:w w:val="99"/>
                        <w:sz w:val="18"/>
                        <w:szCs w:val="18"/>
                      </w:rPr>
                      <w:instrText xml:space="preserve"> PAGE </w:instrText>
                    </w:r>
                    <w:r>
                      <w:rPr>
                        <w:sz w:val="18"/>
                        <w:szCs w:val="18"/>
                      </w:rPr>
                      <w:fldChar w:fldCharType="separate"/>
                    </w:r>
                    <w:r>
                      <w:rPr>
                        <w:rFonts w:hint="eastAsia"/>
                        <w:w w:val="99"/>
                        <w:sz w:val="18"/>
                        <w:szCs w:val="18"/>
                      </w:rPr>
                      <w:t>28</w:t>
                    </w:r>
                    <w:r>
                      <w:rPr>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hint="eastAsia"/>
        <w:sz w:val="20"/>
        <w:szCs w:val="20"/>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a:effectLst/>
                    </wps:spPr>
                    <wps:txbx>
                      <w:txbxContent>
                        <w:p>
                          <w:pPr>
                            <w:pStyle w:val="15"/>
                            <w:rPr>
                              <w:rFonts w:hint="eastAsia"/>
                            </w:rPr>
                          </w:pPr>
                          <w:r>
                            <w:fldChar w:fldCharType="begin"/>
                          </w:r>
                          <w:r>
                            <w:instrText xml:space="preserve"> PAGE  \* MERGEFORMAT </w:instrText>
                          </w:r>
                          <w:r>
                            <w:fldChar w:fldCharType="separate"/>
                          </w:r>
                          <w:r>
                            <w:rPr>
                              <w:rFonts w:hint="eastAsia"/>
                            </w:rPr>
                            <w:t>30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GLpYU0AAAAAMBAAAPAAAAAAAAAAEAIAAAACIAAABkcnMvZG93bnJl&#10;di54bWxQSwECFAAUAAAACACHTuJAvoCywswBAACZAwAADgAAAAAAAAABACAAAAAfAQAAZHJzL2Uy&#10;b0RvYy54bWxQSwUGAAAAAAYABgBZAQAAXQUAAAAA&#10;">
              <v:fill on="f" focussize="0,0"/>
              <v:stroke on="f"/>
              <v:imagedata o:title=""/>
              <o:lock v:ext="edit" aspectratio="f"/>
              <v:textbox inset="0mm,0mm,0mm,0mm" style="mso-fit-shape-to-text:t;">
                <w:txbxContent>
                  <w:p>
                    <w:pPr>
                      <w:pStyle w:val="15"/>
                      <w:rPr>
                        <w:rFonts w:hint="eastAsia"/>
                      </w:rPr>
                    </w:pPr>
                    <w:r>
                      <w:fldChar w:fldCharType="begin"/>
                    </w:r>
                    <w:r>
                      <w:instrText xml:space="preserve"> PAGE  \* MERGEFORMAT </w:instrText>
                    </w:r>
                    <w:r>
                      <w:fldChar w:fldCharType="separate"/>
                    </w:r>
                    <w:r>
                      <w:rPr>
                        <w:rFonts w:hint="eastAsia"/>
                      </w:rP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pPr>
                            <w:pStyle w:val="15"/>
                            <w:jc w:val="center"/>
                            <w:rPr>
                              <w:rFonts w:hint="eastAsia"/>
                            </w:rPr>
                          </w:pPr>
                          <w:r>
                            <w:rPr>
                              <w:rFonts w:hint="eastAsia"/>
                            </w:rPr>
                            <w:fldChar w:fldCharType="begin"/>
                          </w:r>
                          <w:r>
                            <w:instrText xml:space="preserve">PAGE   \* MERGEFORMAT</w:instrText>
                          </w:r>
                          <w:r>
                            <w:rPr>
                              <w:rFonts w:hint="eastAsia"/>
                            </w:rPr>
                            <w:fldChar w:fldCharType="separate"/>
                          </w:r>
                          <w:r>
                            <w:rPr>
                              <w:rFonts w:hint="eastAsia"/>
                              <w:lang w:val="zh-CN"/>
                            </w:rPr>
                            <w:t>51</w:t>
                          </w:r>
                          <w:r>
                            <w:rPr>
                              <w:rFonts w:hint="eastAsia"/>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JucXxU3AgAAYQQAAA4AAAAAAAAAAQAgAAAAIQEAAGRycy9lMm9Eb2Mu&#10;eG1sUEsFBgAAAAAGAAYAWQEAAMoFAAAAAA==&#10;">
              <v:fill on="f" focussize="0,0"/>
              <v:stroke on="f" weight="0.5pt"/>
              <v:imagedata o:title=""/>
              <o:lock v:ext="edit" aspectratio="f"/>
              <v:textbox inset="0mm,0mm,0mm,0mm" style="mso-fit-shape-to-text:t;">
                <w:txbxContent>
                  <w:p>
                    <w:pPr>
                      <w:pStyle w:val="15"/>
                      <w:jc w:val="center"/>
                      <w:rPr>
                        <w:rFonts w:hint="eastAsia"/>
                      </w:rPr>
                    </w:pPr>
                    <w:r>
                      <w:rPr>
                        <w:rFonts w:hint="eastAsia"/>
                      </w:rPr>
                      <w:fldChar w:fldCharType="begin"/>
                    </w:r>
                    <w:r>
                      <w:instrText xml:space="preserve">PAGE   \* MERGEFORMAT</w:instrText>
                    </w:r>
                    <w:r>
                      <w:rPr>
                        <w:rFonts w:hint="eastAsia"/>
                      </w:rPr>
                      <w:fldChar w:fldCharType="separate"/>
                    </w:r>
                    <w:r>
                      <w:rPr>
                        <w:rFonts w:hint="eastAsia"/>
                        <w:lang w:val="zh-CN"/>
                      </w:rPr>
                      <w:t>51</w:t>
                    </w:r>
                    <w:r>
                      <w:rPr>
                        <w:rFonts w:hint="eastAsia"/>
                        <w:lang w:val="zh-CN"/>
                      </w:rPr>
                      <w:fldChar w:fldCharType="end"/>
                    </w:r>
                  </w:p>
                </w:txbxContent>
              </v:textbox>
            </v:shape>
          </w:pict>
        </mc:Fallback>
      </mc:AlternateContent>
    </w:r>
  </w:p>
  <w:p>
    <w:pPr>
      <w:spacing w:line="14" w:lineRule="auto"/>
      <w:rPr>
        <w:rFonts w:hint="eastAsia"/>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6439598"/>
    </w:sdtPr>
    <w:sdtContent>
      <w:p>
        <w:pPr>
          <w:pStyle w:val="15"/>
          <w:jc w:val="center"/>
        </w:pPr>
        <w:r>
          <w:fldChar w:fldCharType="begin"/>
        </w:r>
        <w:r>
          <w:instrText xml:space="preserve">PAGE   \* MERGEFORMAT</w:instrText>
        </w:r>
        <w:r>
          <w:fldChar w:fldCharType="separate"/>
        </w:r>
        <w:r>
          <w:rPr>
            <w:lang w:val="zh-CN"/>
          </w:rPr>
          <w:t>49</w:t>
        </w:r>
        <w:r>
          <w:fldChar w:fldCharType="end"/>
        </w:r>
      </w:p>
    </w:sdtContent>
  </w:sdt>
  <w:p>
    <w:pPr>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03200" cy="1625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03200" cy="162560"/>
                      </a:xfrm>
                      <a:prstGeom prst="rect">
                        <a:avLst/>
                      </a:prstGeom>
                      <a:noFill/>
                      <a:ln w="9525">
                        <a:noFill/>
                      </a:ln>
                      <a:effectLst/>
                    </wps:spPr>
                    <wps:txbx>
                      <w:txbxContent>
                        <w:p>
                          <w:pPr>
                            <w:jc w:val="center"/>
                            <w:rPr>
                              <w:rFonts w:hint="eastAsia"/>
                            </w:rPr>
                          </w:pPr>
                          <w:r>
                            <w:fldChar w:fldCharType="begin"/>
                          </w:r>
                          <w:r>
                            <w:instrText xml:space="preserve"> PAGE  \* MERGEFORMAT </w:instrText>
                          </w:r>
                          <w:r>
                            <w:fldChar w:fldCharType="separate"/>
                          </w:r>
                          <w:r>
                            <w:rPr>
                              <w:rFonts w:hint="eastAsia"/>
                            </w:rPr>
                            <w:t>56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8pt;width:16pt;mso-position-horizontal:center;mso-position-horizontal-relative:margin;mso-wrap-style:none;z-index:251662336;mso-width-relative:page;mso-height-relative:page;" filled="f" stroked="f" coordsize="21600,21600" o:gfxdata="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8OURPRAAAAAwEAAA8AAAAAAAAAAQAg&#10;AAAAIgAAAGRycy9kb3ducmV2LnhtbFBLAQIUABQAAAAIAIdO4kCTzqMx3AEAAK4DAAAOAAAAAAAA&#10;AAEAIAAAACABAABkcnMvZTJvRG9jLnhtbFBLBQYAAAAABgAGAFkBAABuBQAAAAA=&#10;">
              <v:fill on="f" focussize="0,0"/>
              <v:stroke on="f"/>
              <v:imagedata o:title=""/>
              <o:lock v:ext="edit" aspectratio="f"/>
              <v:textbox inset="0mm,0mm,0mm,0mm" style="mso-fit-shape-to-text:t;">
                <w:txbxContent>
                  <w:p>
                    <w:pPr>
                      <w:jc w:val="center"/>
                      <w:rPr>
                        <w:rFonts w:hint="eastAsia"/>
                      </w:rPr>
                    </w:pPr>
                    <w:r>
                      <w:fldChar w:fldCharType="begin"/>
                    </w:r>
                    <w:r>
                      <w:instrText xml:space="preserve"> PAGE  \* MERGEFORMAT </w:instrText>
                    </w:r>
                    <w:r>
                      <w:fldChar w:fldCharType="separate"/>
                    </w:r>
                    <w:r>
                      <w:rPr>
                        <w:rFonts w:hint="eastAsia"/>
                      </w:rP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Align="top"/>
      <w:rPr>
        <w:rStyle w:val="26"/>
      </w:rPr>
    </w:pPr>
    <w:r>
      <w:fldChar w:fldCharType="begin"/>
    </w:r>
    <w:r>
      <w:rPr>
        <w:rStyle w:val="26"/>
      </w:rPr>
      <w:instrText xml:space="preserve">PAGE  </w:instrText>
    </w:r>
    <w:r>
      <w:fldChar w:fldCharType="separate"/>
    </w:r>
    <w:r>
      <w:rPr>
        <w:rStyle w:val="26"/>
      </w:rPr>
      <w:t>21</w:t>
    </w:r>
    <w:r>
      <w:fldChar w:fldCharType="end"/>
    </w:r>
  </w:p>
  <w:p>
    <w:pPr>
      <w:pStyle w:val="15"/>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9525">
                        <a:noFill/>
                      </a:ln>
                      <a:effectLst/>
                    </wps:spPr>
                    <wps:txbx>
                      <w:txbxContent>
                        <w:p>
                          <w:pPr>
                            <w:pStyle w:val="15"/>
                            <w:rPr>
                              <w:rFonts w:hint="eastAsia"/>
                            </w:rPr>
                          </w:pPr>
                          <w:r>
                            <w:fldChar w:fldCharType="begin"/>
                          </w:r>
                          <w:r>
                            <w:rPr>
                              <w:rStyle w:val="26"/>
                            </w:rPr>
                            <w:instrText xml:space="preserve">PAGE  </w:instrText>
                          </w:r>
                          <w:r>
                            <w:fldChar w:fldCharType="separate"/>
                          </w:r>
                          <w:r>
                            <w:rPr>
                              <w:rStyle w:val="26"/>
                            </w:rPr>
                            <w:t>61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JXQ5c8AAAADAQAADwAAAAAAAAABACAA&#10;AAAiAAAAZHJzL2Rvd25yZXYueG1sUEsBAhQAFAAAAAgAh07iQAVoA+rdAQAArgMAAA4AAAAAAAAA&#10;AQAgAAAAHgEAAGRycy9lMm9Eb2MueG1sUEsFBgAAAAAGAAYAWQEAAG0FAAAAAA==&#10;">
              <v:fill on="f" focussize="0,0"/>
              <v:stroke on="f"/>
              <v:imagedata o:title=""/>
              <o:lock v:ext="edit" aspectratio="f"/>
              <v:textbox inset="0mm,0mm,0mm,0mm" style="mso-fit-shape-to-text:t;">
                <w:txbxContent>
                  <w:p>
                    <w:pPr>
                      <w:pStyle w:val="15"/>
                      <w:rPr>
                        <w:rFonts w:hint="eastAsia"/>
                      </w:rPr>
                    </w:pPr>
                    <w:r>
                      <w:fldChar w:fldCharType="begin"/>
                    </w:r>
                    <w:r>
                      <w:rPr>
                        <w:rStyle w:val="26"/>
                      </w:rPr>
                      <w:instrText xml:space="preserve">PAGE  </w:instrText>
                    </w:r>
                    <w:r>
                      <w:fldChar w:fldCharType="separate"/>
                    </w:r>
                    <w:r>
                      <w:rPr>
                        <w:rStyle w:val="26"/>
                      </w:rP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4"/>
      <w:numFmt w:val="chineseCounting"/>
      <w:suff w:val="space"/>
      <w:lvlText w:val="第%1章"/>
      <w:lvlJc w:val="left"/>
      <w:rPr>
        <w:rFonts w:hint="eastAsia"/>
      </w:rPr>
    </w:lvl>
  </w:abstractNum>
  <w:abstractNum w:abstractNumId="1">
    <w:nsid w:val="00000006"/>
    <w:multiLevelType w:val="singleLevel"/>
    <w:tmpl w:val="00000006"/>
    <w:lvl w:ilvl="0" w:tentative="0">
      <w:start w:val="2"/>
      <w:numFmt w:val="decimal"/>
      <w:suff w:val="nothing"/>
      <w:lvlText w:val="%1、"/>
      <w:lvlJc w:val="left"/>
    </w:lvl>
  </w:abstractNum>
  <w:abstractNum w:abstractNumId="2">
    <w:nsid w:val="64D466D3"/>
    <w:multiLevelType w:val="singleLevel"/>
    <w:tmpl w:val="64D466D3"/>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OTY4MzlmNmJkY2MxOTMyNzlhZGI3NThjY2M0NDIifQ=="/>
  </w:docVars>
  <w:rsids>
    <w:rsidRoot w:val="306C596C"/>
    <w:rsid w:val="00060CBB"/>
    <w:rsid w:val="0007668E"/>
    <w:rsid w:val="000C4F4E"/>
    <w:rsid w:val="000F460F"/>
    <w:rsid w:val="001505F1"/>
    <w:rsid w:val="00156F77"/>
    <w:rsid w:val="001C4368"/>
    <w:rsid w:val="001C6629"/>
    <w:rsid w:val="00215101"/>
    <w:rsid w:val="002B2E09"/>
    <w:rsid w:val="002F50AB"/>
    <w:rsid w:val="00354D87"/>
    <w:rsid w:val="003802C2"/>
    <w:rsid w:val="0038250E"/>
    <w:rsid w:val="00446327"/>
    <w:rsid w:val="00481283"/>
    <w:rsid w:val="004F1788"/>
    <w:rsid w:val="00514B7B"/>
    <w:rsid w:val="006170F5"/>
    <w:rsid w:val="006221FC"/>
    <w:rsid w:val="0063469B"/>
    <w:rsid w:val="006957B3"/>
    <w:rsid w:val="00720CB4"/>
    <w:rsid w:val="00745AFE"/>
    <w:rsid w:val="00754D58"/>
    <w:rsid w:val="00761727"/>
    <w:rsid w:val="00781548"/>
    <w:rsid w:val="00812436"/>
    <w:rsid w:val="00822ED6"/>
    <w:rsid w:val="00842263"/>
    <w:rsid w:val="008637F2"/>
    <w:rsid w:val="008C22E5"/>
    <w:rsid w:val="008D4E6D"/>
    <w:rsid w:val="008F14BC"/>
    <w:rsid w:val="0091086D"/>
    <w:rsid w:val="009A0E38"/>
    <w:rsid w:val="009B289D"/>
    <w:rsid w:val="00A0383F"/>
    <w:rsid w:val="00A07865"/>
    <w:rsid w:val="00A273E3"/>
    <w:rsid w:val="00A9628D"/>
    <w:rsid w:val="00AB2772"/>
    <w:rsid w:val="00AF1760"/>
    <w:rsid w:val="00B137E7"/>
    <w:rsid w:val="00BC1A94"/>
    <w:rsid w:val="00C60500"/>
    <w:rsid w:val="00C71457"/>
    <w:rsid w:val="00C84121"/>
    <w:rsid w:val="00CF0138"/>
    <w:rsid w:val="00D125BA"/>
    <w:rsid w:val="00D1461B"/>
    <w:rsid w:val="00D3421B"/>
    <w:rsid w:val="00D80297"/>
    <w:rsid w:val="00D839ED"/>
    <w:rsid w:val="00D969E0"/>
    <w:rsid w:val="00DB15E4"/>
    <w:rsid w:val="00DB7C5E"/>
    <w:rsid w:val="00DF3163"/>
    <w:rsid w:val="00E02757"/>
    <w:rsid w:val="00E67A1F"/>
    <w:rsid w:val="00E81625"/>
    <w:rsid w:val="00EC57B8"/>
    <w:rsid w:val="00FA00A3"/>
    <w:rsid w:val="00FD4419"/>
    <w:rsid w:val="01D46E0C"/>
    <w:rsid w:val="01EC21FC"/>
    <w:rsid w:val="01EE2A00"/>
    <w:rsid w:val="02C32BE2"/>
    <w:rsid w:val="0345255C"/>
    <w:rsid w:val="03784CD2"/>
    <w:rsid w:val="03A33585"/>
    <w:rsid w:val="042A3BFD"/>
    <w:rsid w:val="044B6AC6"/>
    <w:rsid w:val="04565274"/>
    <w:rsid w:val="04BC223F"/>
    <w:rsid w:val="04CF5BF3"/>
    <w:rsid w:val="05192B51"/>
    <w:rsid w:val="0594771B"/>
    <w:rsid w:val="05A52CD4"/>
    <w:rsid w:val="05F95183"/>
    <w:rsid w:val="06442863"/>
    <w:rsid w:val="06BF3E57"/>
    <w:rsid w:val="06C245A4"/>
    <w:rsid w:val="072A4985"/>
    <w:rsid w:val="072B16E6"/>
    <w:rsid w:val="077D4798"/>
    <w:rsid w:val="09297778"/>
    <w:rsid w:val="09440D62"/>
    <w:rsid w:val="09533051"/>
    <w:rsid w:val="097430E9"/>
    <w:rsid w:val="09AB4631"/>
    <w:rsid w:val="09E638FF"/>
    <w:rsid w:val="09E775D9"/>
    <w:rsid w:val="0A73514E"/>
    <w:rsid w:val="0A8524F0"/>
    <w:rsid w:val="0A88409D"/>
    <w:rsid w:val="0B710713"/>
    <w:rsid w:val="0BE1433A"/>
    <w:rsid w:val="0BEB3B8B"/>
    <w:rsid w:val="0C253212"/>
    <w:rsid w:val="0D2D0AAF"/>
    <w:rsid w:val="0D863022"/>
    <w:rsid w:val="0DD24ABD"/>
    <w:rsid w:val="0E4F5ED2"/>
    <w:rsid w:val="0E546759"/>
    <w:rsid w:val="0E55659D"/>
    <w:rsid w:val="0EED2B2A"/>
    <w:rsid w:val="0F5559AE"/>
    <w:rsid w:val="10296F7B"/>
    <w:rsid w:val="10521825"/>
    <w:rsid w:val="107B59E5"/>
    <w:rsid w:val="10D3292D"/>
    <w:rsid w:val="10DB3A76"/>
    <w:rsid w:val="10DE709A"/>
    <w:rsid w:val="11CC17D1"/>
    <w:rsid w:val="11F73725"/>
    <w:rsid w:val="12254ADD"/>
    <w:rsid w:val="12D94136"/>
    <w:rsid w:val="13B46F53"/>
    <w:rsid w:val="13B737D9"/>
    <w:rsid w:val="13F51392"/>
    <w:rsid w:val="150A2EC7"/>
    <w:rsid w:val="15246C4F"/>
    <w:rsid w:val="15896A2E"/>
    <w:rsid w:val="16326B7C"/>
    <w:rsid w:val="16653097"/>
    <w:rsid w:val="16B4526D"/>
    <w:rsid w:val="16D403D5"/>
    <w:rsid w:val="172821FC"/>
    <w:rsid w:val="17981ECF"/>
    <w:rsid w:val="179F1736"/>
    <w:rsid w:val="18954CE4"/>
    <w:rsid w:val="18B708FC"/>
    <w:rsid w:val="19044D17"/>
    <w:rsid w:val="19B1359D"/>
    <w:rsid w:val="19C14898"/>
    <w:rsid w:val="1A0F5487"/>
    <w:rsid w:val="1A894023"/>
    <w:rsid w:val="1AC9700C"/>
    <w:rsid w:val="1ACA69F3"/>
    <w:rsid w:val="1ADA1832"/>
    <w:rsid w:val="1AEE7100"/>
    <w:rsid w:val="1B1D0E97"/>
    <w:rsid w:val="1B416BA3"/>
    <w:rsid w:val="1B490450"/>
    <w:rsid w:val="1BCB5AF7"/>
    <w:rsid w:val="1BE04D21"/>
    <w:rsid w:val="1BF34341"/>
    <w:rsid w:val="1C3F1195"/>
    <w:rsid w:val="1CF55E97"/>
    <w:rsid w:val="1D263CB5"/>
    <w:rsid w:val="1D9877C5"/>
    <w:rsid w:val="1DAF6046"/>
    <w:rsid w:val="1DB53FE9"/>
    <w:rsid w:val="1DB66424"/>
    <w:rsid w:val="1DCA7323"/>
    <w:rsid w:val="1DF4211F"/>
    <w:rsid w:val="1E266DAB"/>
    <w:rsid w:val="1E8031C2"/>
    <w:rsid w:val="1EB27947"/>
    <w:rsid w:val="1EF56535"/>
    <w:rsid w:val="1EFA3B02"/>
    <w:rsid w:val="1FB445B1"/>
    <w:rsid w:val="1FBFDEBB"/>
    <w:rsid w:val="1FFBB0D4"/>
    <w:rsid w:val="20434DDB"/>
    <w:rsid w:val="205C7FDB"/>
    <w:rsid w:val="205F718C"/>
    <w:rsid w:val="20A43146"/>
    <w:rsid w:val="20AE4CDA"/>
    <w:rsid w:val="219A0DBB"/>
    <w:rsid w:val="21C116D4"/>
    <w:rsid w:val="21D324BC"/>
    <w:rsid w:val="21E309B4"/>
    <w:rsid w:val="226A2E83"/>
    <w:rsid w:val="22A734B5"/>
    <w:rsid w:val="22D60519"/>
    <w:rsid w:val="22E86F17"/>
    <w:rsid w:val="23866623"/>
    <w:rsid w:val="23963804"/>
    <w:rsid w:val="23CE1AED"/>
    <w:rsid w:val="241A2687"/>
    <w:rsid w:val="24AE20C7"/>
    <w:rsid w:val="24DB3B14"/>
    <w:rsid w:val="255B6AB3"/>
    <w:rsid w:val="25CB4815"/>
    <w:rsid w:val="26FE348F"/>
    <w:rsid w:val="273910CE"/>
    <w:rsid w:val="273A5650"/>
    <w:rsid w:val="274B551B"/>
    <w:rsid w:val="27702CEA"/>
    <w:rsid w:val="27901B69"/>
    <w:rsid w:val="27A67CAB"/>
    <w:rsid w:val="28842A17"/>
    <w:rsid w:val="28A05C4F"/>
    <w:rsid w:val="28AB4FC2"/>
    <w:rsid w:val="28FB65E3"/>
    <w:rsid w:val="29064F88"/>
    <w:rsid w:val="291676CA"/>
    <w:rsid w:val="29694DD0"/>
    <w:rsid w:val="29D05CC2"/>
    <w:rsid w:val="29DE5E96"/>
    <w:rsid w:val="29EE3FE9"/>
    <w:rsid w:val="29F00C41"/>
    <w:rsid w:val="29FBE91D"/>
    <w:rsid w:val="2A691C72"/>
    <w:rsid w:val="2A783C63"/>
    <w:rsid w:val="2A7F4FF2"/>
    <w:rsid w:val="2A9C2048"/>
    <w:rsid w:val="2AD215C5"/>
    <w:rsid w:val="2B153DE5"/>
    <w:rsid w:val="2B5537CF"/>
    <w:rsid w:val="2B762CA5"/>
    <w:rsid w:val="2BE80388"/>
    <w:rsid w:val="2BF9387B"/>
    <w:rsid w:val="2C160D9E"/>
    <w:rsid w:val="2CC80691"/>
    <w:rsid w:val="2CD822AF"/>
    <w:rsid w:val="2D2105E2"/>
    <w:rsid w:val="2D7F82BE"/>
    <w:rsid w:val="2D83602E"/>
    <w:rsid w:val="2D842638"/>
    <w:rsid w:val="2DC55411"/>
    <w:rsid w:val="2DEA30CA"/>
    <w:rsid w:val="2E2550F0"/>
    <w:rsid w:val="2E2D5B99"/>
    <w:rsid w:val="2E5C3AD3"/>
    <w:rsid w:val="2E91292D"/>
    <w:rsid w:val="2EA02B73"/>
    <w:rsid w:val="2EB358AB"/>
    <w:rsid w:val="2EEE7421"/>
    <w:rsid w:val="2EF74A31"/>
    <w:rsid w:val="2F040682"/>
    <w:rsid w:val="2F563EB7"/>
    <w:rsid w:val="2F5D738B"/>
    <w:rsid w:val="2F87581D"/>
    <w:rsid w:val="2F994DA8"/>
    <w:rsid w:val="2FB7522E"/>
    <w:rsid w:val="2FC43113"/>
    <w:rsid w:val="2FD60037"/>
    <w:rsid w:val="2FE40D9D"/>
    <w:rsid w:val="2FEFDD9A"/>
    <w:rsid w:val="30253B15"/>
    <w:rsid w:val="30673A76"/>
    <w:rsid w:val="306C596C"/>
    <w:rsid w:val="30CE0A81"/>
    <w:rsid w:val="30DD2A72"/>
    <w:rsid w:val="30F9308E"/>
    <w:rsid w:val="312E12C1"/>
    <w:rsid w:val="31DF9196"/>
    <w:rsid w:val="3246441B"/>
    <w:rsid w:val="32C62A25"/>
    <w:rsid w:val="33943FC3"/>
    <w:rsid w:val="33B056C5"/>
    <w:rsid w:val="33F7CDD9"/>
    <w:rsid w:val="340824FC"/>
    <w:rsid w:val="340F585B"/>
    <w:rsid w:val="34BE1B65"/>
    <w:rsid w:val="34F07A9E"/>
    <w:rsid w:val="35637B01"/>
    <w:rsid w:val="357FD621"/>
    <w:rsid w:val="35842377"/>
    <w:rsid w:val="35DA7FDD"/>
    <w:rsid w:val="35EC6B2E"/>
    <w:rsid w:val="3774084F"/>
    <w:rsid w:val="37776685"/>
    <w:rsid w:val="377A7510"/>
    <w:rsid w:val="379B7687"/>
    <w:rsid w:val="37C82811"/>
    <w:rsid w:val="37CDAA3F"/>
    <w:rsid w:val="38126CE8"/>
    <w:rsid w:val="38547ABE"/>
    <w:rsid w:val="38E117E9"/>
    <w:rsid w:val="39CD20B5"/>
    <w:rsid w:val="39FF0568"/>
    <w:rsid w:val="3A137505"/>
    <w:rsid w:val="3A6E1FD0"/>
    <w:rsid w:val="3AF13413"/>
    <w:rsid w:val="3B7364AD"/>
    <w:rsid w:val="3B7D8A8E"/>
    <w:rsid w:val="3BBF95BF"/>
    <w:rsid w:val="3BC2CB3E"/>
    <w:rsid w:val="3BCDDF2B"/>
    <w:rsid w:val="3BDD8E27"/>
    <w:rsid w:val="3BEFB477"/>
    <w:rsid w:val="3BFCC122"/>
    <w:rsid w:val="3C895E16"/>
    <w:rsid w:val="3D0D125D"/>
    <w:rsid w:val="3D346110"/>
    <w:rsid w:val="3D5829AD"/>
    <w:rsid w:val="3DCD61DE"/>
    <w:rsid w:val="3DCFEBA0"/>
    <w:rsid w:val="3DEED53F"/>
    <w:rsid w:val="3E655589"/>
    <w:rsid w:val="3E6B3DB3"/>
    <w:rsid w:val="3F2F39F5"/>
    <w:rsid w:val="3F5C3B86"/>
    <w:rsid w:val="3F6DBE76"/>
    <w:rsid w:val="3F9A69F6"/>
    <w:rsid w:val="3FBFA784"/>
    <w:rsid w:val="3FDF1BCB"/>
    <w:rsid w:val="3FEF0F1B"/>
    <w:rsid w:val="400F0DAA"/>
    <w:rsid w:val="409376BD"/>
    <w:rsid w:val="40A3016D"/>
    <w:rsid w:val="40D600DE"/>
    <w:rsid w:val="412A16C5"/>
    <w:rsid w:val="4168282C"/>
    <w:rsid w:val="418A65B6"/>
    <w:rsid w:val="420936C7"/>
    <w:rsid w:val="42166604"/>
    <w:rsid w:val="423B1FC9"/>
    <w:rsid w:val="42C84624"/>
    <w:rsid w:val="42CC6918"/>
    <w:rsid w:val="434102C7"/>
    <w:rsid w:val="43C7775D"/>
    <w:rsid w:val="43FDCCCD"/>
    <w:rsid w:val="44115CD3"/>
    <w:rsid w:val="4413082D"/>
    <w:rsid w:val="44502BE1"/>
    <w:rsid w:val="44947FE9"/>
    <w:rsid w:val="44A44A1E"/>
    <w:rsid w:val="44DC184D"/>
    <w:rsid w:val="451900C5"/>
    <w:rsid w:val="457FAB85"/>
    <w:rsid w:val="45982C0B"/>
    <w:rsid w:val="45CF0B5E"/>
    <w:rsid w:val="46321952"/>
    <w:rsid w:val="4632572D"/>
    <w:rsid w:val="464D702E"/>
    <w:rsid w:val="46AF0597"/>
    <w:rsid w:val="46D52DAC"/>
    <w:rsid w:val="46DD116C"/>
    <w:rsid w:val="46F10BCE"/>
    <w:rsid w:val="47024C47"/>
    <w:rsid w:val="47137C2E"/>
    <w:rsid w:val="474D4056"/>
    <w:rsid w:val="47E03218"/>
    <w:rsid w:val="48FE68D4"/>
    <w:rsid w:val="49611347"/>
    <w:rsid w:val="496B542E"/>
    <w:rsid w:val="49997A26"/>
    <w:rsid w:val="49CB417A"/>
    <w:rsid w:val="4A0D3F70"/>
    <w:rsid w:val="4A523885"/>
    <w:rsid w:val="4A633B90"/>
    <w:rsid w:val="4A8E7C48"/>
    <w:rsid w:val="4AA63B57"/>
    <w:rsid w:val="4ABC3319"/>
    <w:rsid w:val="4AC44C82"/>
    <w:rsid w:val="4AD056CA"/>
    <w:rsid w:val="4B621509"/>
    <w:rsid w:val="4B83273C"/>
    <w:rsid w:val="4BCE32AF"/>
    <w:rsid w:val="4BFC24EE"/>
    <w:rsid w:val="4C036742"/>
    <w:rsid w:val="4C2D59F5"/>
    <w:rsid w:val="4C3A3254"/>
    <w:rsid w:val="4CAD5597"/>
    <w:rsid w:val="4D40640F"/>
    <w:rsid w:val="4E0A166E"/>
    <w:rsid w:val="4E375A60"/>
    <w:rsid w:val="4E7010C2"/>
    <w:rsid w:val="4F1A5983"/>
    <w:rsid w:val="4F577F5D"/>
    <w:rsid w:val="4F63746B"/>
    <w:rsid w:val="4FBF1CCB"/>
    <w:rsid w:val="50281B04"/>
    <w:rsid w:val="50401301"/>
    <w:rsid w:val="51406792"/>
    <w:rsid w:val="5205452B"/>
    <w:rsid w:val="52347AC7"/>
    <w:rsid w:val="527BE7C1"/>
    <w:rsid w:val="52887CA3"/>
    <w:rsid w:val="52B5075F"/>
    <w:rsid w:val="52DD4D4B"/>
    <w:rsid w:val="52DE64AA"/>
    <w:rsid w:val="53320607"/>
    <w:rsid w:val="53C366F5"/>
    <w:rsid w:val="547D1CF3"/>
    <w:rsid w:val="54BB1AB9"/>
    <w:rsid w:val="54FE60EC"/>
    <w:rsid w:val="5564310D"/>
    <w:rsid w:val="56467B54"/>
    <w:rsid w:val="56772A12"/>
    <w:rsid w:val="5699C08E"/>
    <w:rsid w:val="57436137"/>
    <w:rsid w:val="57D83E10"/>
    <w:rsid w:val="57E26A3C"/>
    <w:rsid w:val="58061212"/>
    <w:rsid w:val="583551EC"/>
    <w:rsid w:val="587D0467"/>
    <w:rsid w:val="58C93758"/>
    <w:rsid w:val="58F55213"/>
    <w:rsid w:val="59FB7CE4"/>
    <w:rsid w:val="5A0936C9"/>
    <w:rsid w:val="5AAC1680"/>
    <w:rsid w:val="5AFB147D"/>
    <w:rsid w:val="5B935D45"/>
    <w:rsid w:val="5BE750FB"/>
    <w:rsid w:val="5BE937A9"/>
    <w:rsid w:val="5BF97EEB"/>
    <w:rsid w:val="5BFB056B"/>
    <w:rsid w:val="5C71172B"/>
    <w:rsid w:val="5CF74B71"/>
    <w:rsid w:val="5CFF599B"/>
    <w:rsid w:val="5D114B6D"/>
    <w:rsid w:val="5D2E7FEA"/>
    <w:rsid w:val="5D6677C8"/>
    <w:rsid w:val="5DAF6FFC"/>
    <w:rsid w:val="5DC463E8"/>
    <w:rsid w:val="5DCBD1A3"/>
    <w:rsid w:val="5DDCC763"/>
    <w:rsid w:val="5DFA1BAD"/>
    <w:rsid w:val="5E7945D1"/>
    <w:rsid w:val="5EBBDA3B"/>
    <w:rsid w:val="5EBF99F2"/>
    <w:rsid w:val="5ECA1037"/>
    <w:rsid w:val="5ECE1AC8"/>
    <w:rsid w:val="5EF7F9A3"/>
    <w:rsid w:val="5F0C2E9D"/>
    <w:rsid w:val="5F534315"/>
    <w:rsid w:val="5F5D4907"/>
    <w:rsid w:val="5F767659"/>
    <w:rsid w:val="5F79947B"/>
    <w:rsid w:val="5F881C77"/>
    <w:rsid w:val="5F8F4A1D"/>
    <w:rsid w:val="5FD82CD8"/>
    <w:rsid w:val="5FDB678C"/>
    <w:rsid w:val="5FF30816"/>
    <w:rsid w:val="5FF724D1"/>
    <w:rsid w:val="5FFFB7BB"/>
    <w:rsid w:val="60D755B4"/>
    <w:rsid w:val="61065398"/>
    <w:rsid w:val="6150641C"/>
    <w:rsid w:val="626C55D4"/>
    <w:rsid w:val="627DB4CE"/>
    <w:rsid w:val="628A2C52"/>
    <w:rsid w:val="630252AB"/>
    <w:rsid w:val="63C316F1"/>
    <w:rsid w:val="63DD4B9D"/>
    <w:rsid w:val="64794284"/>
    <w:rsid w:val="65B71508"/>
    <w:rsid w:val="66242B36"/>
    <w:rsid w:val="6631496F"/>
    <w:rsid w:val="669D416B"/>
    <w:rsid w:val="66B27314"/>
    <w:rsid w:val="66E7E820"/>
    <w:rsid w:val="66FE1944"/>
    <w:rsid w:val="670C7734"/>
    <w:rsid w:val="67213BD0"/>
    <w:rsid w:val="672B7C3A"/>
    <w:rsid w:val="67EA8FC4"/>
    <w:rsid w:val="67FC6E5B"/>
    <w:rsid w:val="681611C1"/>
    <w:rsid w:val="68DA33C0"/>
    <w:rsid w:val="69401815"/>
    <w:rsid w:val="697F4C5D"/>
    <w:rsid w:val="69802529"/>
    <w:rsid w:val="69936136"/>
    <w:rsid w:val="69D63A27"/>
    <w:rsid w:val="6A1853A5"/>
    <w:rsid w:val="6A6C7790"/>
    <w:rsid w:val="6A766A2A"/>
    <w:rsid w:val="6A7C062B"/>
    <w:rsid w:val="6AD43701"/>
    <w:rsid w:val="6AD65040"/>
    <w:rsid w:val="6B054AC4"/>
    <w:rsid w:val="6B321631"/>
    <w:rsid w:val="6BBC7AD3"/>
    <w:rsid w:val="6BBE3BB9"/>
    <w:rsid w:val="6BF07522"/>
    <w:rsid w:val="6BFA3EFD"/>
    <w:rsid w:val="6C16102B"/>
    <w:rsid w:val="6CEF0BC0"/>
    <w:rsid w:val="6D375388"/>
    <w:rsid w:val="6DD05881"/>
    <w:rsid w:val="6DDF38BE"/>
    <w:rsid w:val="6DE35BC5"/>
    <w:rsid w:val="6E201C15"/>
    <w:rsid w:val="6E2E5CC7"/>
    <w:rsid w:val="6EC922AC"/>
    <w:rsid w:val="6EFBA4B5"/>
    <w:rsid w:val="6F094457"/>
    <w:rsid w:val="6F5F069C"/>
    <w:rsid w:val="6F6BD809"/>
    <w:rsid w:val="6F79E4D5"/>
    <w:rsid w:val="6F8166E3"/>
    <w:rsid w:val="6FBD6E48"/>
    <w:rsid w:val="6FD387F5"/>
    <w:rsid w:val="6FF70DA5"/>
    <w:rsid w:val="6FF9E3F7"/>
    <w:rsid w:val="6FFC6E01"/>
    <w:rsid w:val="70476B6F"/>
    <w:rsid w:val="70A00DEB"/>
    <w:rsid w:val="71290DE0"/>
    <w:rsid w:val="7138344C"/>
    <w:rsid w:val="714675FF"/>
    <w:rsid w:val="71B763EC"/>
    <w:rsid w:val="71B842EB"/>
    <w:rsid w:val="71B8501F"/>
    <w:rsid w:val="71CA46F7"/>
    <w:rsid w:val="71F15DA2"/>
    <w:rsid w:val="71F633B8"/>
    <w:rsid w:val="72003A30"/>
    <w:rsid w:val="720477EC"/>
    <w:rsid w:val="72BA32B7"/>
    <w:rsid w:val="72D7584D"/>
    <w:rsid w:val="7347681E"/>
    <w:rsid w:val="73FE51F1"/>
    <w:rsid w:val="74147B26"/>
    <w:rsid w:val="74363F40"/>
    <w:rsid w:val="74D3353D"/>
    <w:rsid w:val="74DFEDDB"/>
    <w:rsid w:val="74F75852"/>
    <w:rsid w:val="751F2C26"/>
    <w:rsid w:val="7540027A"/>
    <w:rsid w:val="75554CBF"/>
    <w:rsid w:val="757A60AE"/>
    <w:rsid w:val="75C7B409"/>
    <w:rsid w:val="75F776FF"/>
    <w:rsid w:val="760B5B91"/>
    <w:rsid w:val="76165DD7"/>
    <w:rsid w:val="761B163F"/>
    <w:rsid w:val="76307981"/>
    <w:rsid w:val="765FE110"/>
    <w:rsid w:val="76738307"/>
    <w:rsid w:val="76B26A4C"/>
    <w:rsid w:val="76BF81E7"/>
    <w:rsid w:val="76D33C87"/>
    <w:rsid w:val="76EF7C4F"/>
    <w:rsid w:val="76F612E1"/>
    <w:rsid w:val="77066E9E"/>
    <w:rsid w:val="771E7BDB"/>
    <w:rsid w:val="775070C7"/>
    <w:rsid w:val="777C72EA"/>
    <w:rsid w:val="77A7A922"/>
    <w:rsid w:val="77BB5D69"/>
    <w:rsid w:val="77BFDCE0"/>
    <w:rsid w:val="77D0645A"/>
    <w:rsid w:val="77F241BB"/>
    <w:rsid w:val="77FED1F4"/>
    <w:rsid w:val="780A1111"/>
    <w:rsid w:val="7842695A"/>
    <w:rsid w:val="78670B6C"/>
    <w:rsid w:val="78DE0F22"/>
    <w:rsid w:val="791C09FD"/>
    <w:rsid w:val="794E7636"/>
    <w:rsid w:val="79D8118A"/>
    <w:rsid w:val="79DF979B"/>
    <w:rsid w:val="79F8D30C"/>
    <w:rsid w:val="7A010B4C"/>
    <w:rsid w:val="7A4B11A7"/>
    <w:rsid w:val="7A52438E"/>
    <w:rsid w:val="7A6B23B1"/>
    <w:rsid w:val="7A8F7EE9"/>
    <w:rsid w:val="7A942C9B"/>
    <w:rsid w:val="7ACC0C59"/>
    <w:rsid w:val="7AE159E2"/>
    <w:rsid w:val="7AF56260"/>
    <w:rsid w:val="7B161D05"/>
    <w:rsid w:val="7B5DBDCC"/>
    <w:rsid w:val="7B740C3A"/>
    <w:rsid w:val="7BC60D40"/>
    <w:rsid w:val="7BE78202"/>
    <w:rsid w:val="7BEB7DE7"/>
    <w:rsid w:val="7BEFEDB5"/>
    <w:rsid w:val="7BF7AF14"/>
    <w:rsid w:val="7BFBAAF7"/>
    <w:rsid w:val="7C5AC382"/>
    <w:rsid w:val="7C7226DD"/>
    <w:rsid w:val="7CB73744"/>
    <w:rsid w:val="7D1C2F5A"/>
    <w:rsid w:val="7D2EC913"/>
    <w:rsid w:val="7D3D4B9F"/>
    <w:rsid w:val="7D615A4C"/>
    <w:rsid w:val="7D7817D1"/>
    <w:rsid w:val="7D985324"/>
    <w:rsid w:val="7D9B4AAA"/>
    <w:rsid w:val="7D9F1E12"/>
    <w:rsid w:val="7DBE2B67"/>
    <w:rsid w:val="7DBFE9A7"/>
    <w:rsid w:val="7DC91981"/>
    <w:rsid w:val="7DDF3419"/>
    <w:rsid w:val="7DE20EAD"/>
    <w:rsid w:val="7DF7D7D9"/>
    <w:rsid w:val="7DFA62F5"/>
    <w:rsid w:val="7E0C2872"/>
    <w:rsid w:val="7E2F40B5"/>
    <w:rsid w:val="7E4F7C4B"/>
    <w:rsid w:val="7E7705FB"/>
    <w:rsid w:val="7E8D3103"/>
    <w:rsid w:val="7E9F012B"/>
    <w:rsid w:val="7F01514B"/>
    <w:rsid w:val="7F0B1D3A"/>
    <w:rsid w:val="7F0B77D5"/>
    <w:rsid w:val="7F371261"/>
    <w:rsid w:val="7F3C56EF"/>
    <w:rsid w:val="7F5027ED"/>
    <w:rsid w:val="7F56E101"/>
    <w:rsid w:val="7F6215D0"/>
    <w:rsid w:val="7F877B54"/>
    <w:rsid w:val="7F8B4F76"/>
    <w:rsid w:val="7FBA6BE8"/>
    <w:rsid w:val="7FBD9987"/>
    <w:rsid w:val="7FD1547C"/>
    <w:rsid w:val="7FEF5EAD"/>
    <w:rsid w:val="7FF355DD"/>
    <w:rsid w:val="7FFA97E7"/>
    <w:rsid w:val="7FFE4955"/>
    <w:rsid w:val="7FFEE93B"/>
    <w:rsid w:val="7FFFF744"/>
    <w:rsid w:val="93FBFABC"/>
    <w:rsid w:val="9EBFA9D5"/>
    <w:rsid w:val="9FBD5B74"/>
    <w:rsid w:val="9FF9CA1C"/>
    <w:rsid w:val="9FFD795E"/>
    <w:rsid w:val="A5D7E9AA"/>
    <w:rsid w:val="ABA52219"/>
    <w:rsid w:val="B69EAE76"/>
    <w:rsid w:val="B7BF875D"/>
    <w:rsid w:val="B7FF99D1"/>
    <w:rsid w:val="B8F23F13"/>
    <w:rsid w:val="B8FAA8BF"/>
    <w:rsid w:val="BA3F3D27"/>
    <w:rsid w:val="BAFF3A51"/>
    <w:rsid w:val="BBD15181"/>
    <w:rsid w:val="BCB9979F"/>
    <w:rsid w:val="BCBD8045"/>
    <w:rsid w:val="BCE571EB"/>
    <w:rsid w:val="BCE7D312"/>
    <w:rsid w:val="BD1F951F"/>
    <w:rsid w:val="BD7F3ED8"/>
    <w:rsid w:val="BE3F7F23"/>
    <w:rsid w:val="BEAF9A14"/>
    <w:rsid w:val="BEBB2025"/>
    <w:rsid w:val="BED3B64E"/>
    <w:rsid w:val="BF6B400B"/>
    <w:rsid w:val="BFD606B3"/>
    <w:rsid w:val="BFDB292F"/>
    <w:rsid w:val="CAD14074"/>
    <w:rsid w:val="CFFAEE3C"/>
    <w:rsid w:val="D1BF9246"/>
    <w:rsid w:val="D6DF6CEB"/>
    <w:rsid w:val="D7FE3485"/>
    <w:rsid w:val="D9AB9AC7"/>
    <w:rsid w:val="DA9D26DC"/>
    <w:rsid w:val="DBBF80B7"/>
    <w:rsid w:val="DBF7E423"/>
    <w:rsid w:val="DDAF0EB6"/>
    <w:rsid w:val="DDEBAA9A"/>
    <w:rsid w:val="DEDF4E60"/>
    <w:rsid w:val="DF72F30D"/>
    <w:rsid w:val="DFB5B5B9"/>
    <w:rsid w:val="DFB89E0F"/>
    <w:rsid w:val="DFE785CC"/>
    <w:rsid w:val="DFFCFD33"/>
    <w:rsid w:val="E177F42C"/>
    <w:rsid w:val="E31FAF03"/>
    <w:rsid w:val="E6FFE84F"/>
    <w:rsid w:val="EBD684BF"/>
    <w:rsid w:val="EBFC90B0"/>
    <w:rsid w:val="EE5FED78"/>
    <w:rsid w:val="EF6F7439"/>
    <w:rsid w:val="EF9F27FE"/>
    <w:rsid w:val="EFAF602A"/>
    <w:rsid w:val="EFD80F7B"/>
    <w:rsid w:val="EFFB7626"/>
    <w:rsid w:val="F3E7F6A3"/>
    <w:rsid w:val="F4B7C154"/>
    <w:rsid w:val="F4F1EB9B"/>
    <w:rsid w:val="F5FFB9CC"/>
    <w:rsid w:val="F6EB5005"/>
    <w:rsid w:val="F6EF6BF2"/>
    <w:rsid w:val="F7DF57B0"/>
    <w:rsid w:val="F7DFCA97"/>
    <w:rsid w:val="F7EEB62F"/>
    <w:rsid w:val="F7FA9C21"/>
    <w:rsid w:val="F9DC4EEE"/>
    <w:rsid w:val="FB592750"/>
    <w:rsid w:val="FBD5FEFD"/>
    <w:rsid w:val="FBEF4952"/>
    <w:rsid w:val="FBF5898F"/>
    <w:rsid w:val="FBFB53C9"/>
    <w:rsid w:val="FBFFE01B"/>
    <w:rsid w:val="FD477A9E"/>
    <w:rsid w:val="FDAF101F"/>
    <w:rsid w:val="FDF66E8D"/>
    <w:rsid w:val="FDFEAA3A"/>
    <w:rsid w:val="FE730819"/>
    <w:rsid w:val="FEE62957"/>
    <w:rsid w:val="FEFF43FC"/>
    <w:rsid w:val="FF514B96"/>
    <w:rsid w:val="FF5FD494"/>
    <w:rsid w:val="FF9A0A6A"/>
    <w:rsid w:val="FF9E9F67"/>
    <w:rsid w:val="FFAE1217"/>
    <w:rsid w:val="FFCFFE96"/>
    <w:rsid w:val="FFF699DF"/>
    <w:rsid w:val="FFF6B781"/>
    <w:rsid w:val="FFFBA0EA"/>
    <w:rsid w:val="FFFCC9C6"/>
    <w:rsid w:val="FFFDF562"/>
    <w:rsid w:val="FFFF14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2"/>
    <w:qFormat/>
    <w:uiPriority w:val="9"/>
    <w:pPr>
      <w:ind w:left="3"/>
      <w:jc w:val="left"/>
      <w:outlineLvl w:val="1"/>
    </w:pPr>
    <w:rPr>
      <w:rFonts w:ascii="宋体" w:hAnsi="宋体"/>
      <w:kern w:val="0"/>
      <w:sz w:val="44"/>
      <w:szCs w:val="44"/>
      <w:lang w:eastAsia="en-US"/>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样式 宋体 行距: 1.5 倍行距"/>
    <w:basedOn w:val="1"/>
    <w:qFormat/>
    <w:uiPriority w:val="99"/>
    <w:pPr>
      <w:jc w:val="center"/>
    </w:pPr>
    <w:rPr>
      <w:b/>
      <w:bCs/>
    </w:rPr>
  </w:style>
  <w:style w:type="paragraph" w:styleId="8">
    <w:name w:val="Normal Indent"/>
    <w:basedOn w:val="1"/>
    <w:next w:val="1"/>
    <w:qFormat/>
    <w:uiPriority w:val="99"/>
    <w:pPr>
      <w:ind w:firstLine="420" w:firstLineChars="200"/>
      <w:jc w:val="left"/>
    </w:pPr>
    <w:rPr>
      <w:rFonts w:ascii="Times New Roman" w:hAnsi="Times New Roman" w:eastAsia="Calibri"/>
      <w:kern w:val="0"/>
      <w:sz w:val="22"/>
      <w:lang w:eastAsia="en-US"/>
    </w:rPr>
  </w:style>
  <w:style w:type="paragraph" w:styleId="9">
    <w:name w:val="annotation text"/>
    <w:basedOn w:val="1"/>
    <w:qFormat/>
    <w:uiPriority w:val="0"/>
    <w:pPr>
      <w:jc w:val="left"/>
    </w:pPr>
  </w:style>
  <w:style w:type="paragraph" w:styleId="10">
    <w:name w:val="Body Text 3"/>
    <w:basedOn w:val="1"/>
    <w:qFormat/>
    <w:uiPriority w:val="0"/>
    <w:pPr>
      <w:spacing w:after="120"/>
    </w:pPr>
    <w:rPr>
      <w:sz w:val="16"/>
      <w:szCs w:val="16"/>
    </w:rPr>
  </w:style>
  <w:style w:type="paragraph" w:styleId="11">
    <w:name w:val="Body Text"/>
    <w:basedOn w:val="1"/>
    <w:next w:val="1"/>
    <w:link w:val="38"/>
    <w:qFormat/>
    <w:uiPriority w:val="0"/>
    <w:pPr>
      <w:ind w:left="100"/>
      <w:jc w:val="left"/>
    </w:pPr>
    <w:rPr>
      <w:rFonts w:ascii="宋体" w:hAnsi="宋体"/>
      <w:kern w:val="0"/>
      <w:szCs w:val="21"/>
      <w:lang w:eastAsia="en-US"/>
    </w:rPr>
  </w:style>
  <w:style w:type="paragraph" w:styleId="12">
    <w:name w:val="Body Text Indent"/>
    <w:basedOn w:val="1"/>
    <w:link w:val="46"/>
    <w:qFormat/>
    <w:uiPriority w:val="0"/>
    <w:pPr>
      <w:spacing w:after="120"/>
      <w:ind w:left="420" w:leftChars="200"/>
      <w:jc w:val="left"/>
    </w:pPr>
    <w:rPr>
      <w:rFonts w:ascii="宋体" w:hAnsi="宋体"/>
      <w:kern w:val="0"/>
      <w:sz w:val="22"/>
      <w:lang w:eastAsia="en-US"/>
    </w:rPr>
  </w:style>
  <w:style w:type="paragraph" w:styleId="13">
    <w:name w:val="Plain Text"/>
    <w:basedOn w:val="1"/>
    <w:link w:val="44"/>
    <w:qFormat/>
    <w:uiPriority w:val="0"/>
    <w:pPr>
      <w:jc w:val="left"/>
    </w:pPr>
    <w:rPr>
      <w:rFonts w:ascii="宋体" w:hAnsi="Courier New" w:eastAsia="Calibri"/>
      <w:kern w:val="0"/>
      <w:sz w:val="22"/>
      <w:szCs w:val="20"/>
      <w:lang w:eastAsia="en-US"/>
    </w:rPr>
  </w:style>
  <w:style w:type="paragraph" w:styleId="14">
    <w:name w:val="Balloon Text"/>
    <w:basedOn w:val="1"/>
    <w:link w:val="48"/>
    <w:qFormat/>
    <w:uiPriority w:val="0"/>
    <w:rPr>
      <w:sz w:val="18"/>
      <w:szCs w:val="18"/>
    </w:rPr>
  </w:style>
  <w:style w:type="paragraph" w:styleId="15">
    <w:name w:val="footer"/>
    <w:basedOn w:val="1"/>
    <w:link w:val="41"/>
    <w:unhideWhenUsed/>
    <w:qFormat/>
    <w:uiPriority w:val="0"/>
    <w:pPr>
      <w:tabs>
        <w:tab w:val="center" w:pos="4153"/>
        <w:tab w:val="right" w:pos="8306"/>
      </w:tabs>
      <w:snapToGrid w:val="0"/>
      <w:jc w:val="left"/>
    </w:pPr>
    <w:rPr>
      <w:kern w:val="0"/>
      <w:sz w:val="18"/>
      <w:szCs w:val="18"/>
    </w:rPr>
  </w:style>
  <w:style w:type="paragraph" w:styleId="16">
    <w:name w:val="envelope return"/>
    <w:basedOn w:val="1"/>
    <w:qFormat/>
    <w:uiPriority w:val="0"/>
    <w:pPr>
      <w:snapToGrid w:val="0"/>
    </w:pPr>
    <w:rPr>
      <w:rFonts w:ascii="Arial" w:hAnsi="Arial"/>
      <w:szCs w:val="24"/>
    </w:rPr>
  </w:style>
  <w:style w:type="paragraph" w:styleId="17">
    <w:name w:val="header"/>
    <w:basedOn w:val="1"/>
    <w:link w:val="40"/>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jc w:val="left"/>
    </w:pPr>
    <w:rPr>
      <w:rFonts w:ascii="宋体" w:hAnsi="宋体"/>
      <w:kern w:val="0"/>
      <w:szCs w:val="21"/>
      <w:lang w:eastAsia="en-US"/>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link w:val="39"/>
    <w:qFormat/>
    <w:uiPriority w:val="0"/>
    <w:pPr>
      <w:spacing w:before="240" w:after="60"/>
      <w:jc w:val="center"/>
      <w:outlineLvl w:val="0"/>
    </w:pPr>
    <w:rPr>
      <w:rFonts w:ascii="Cambria" w:hAnsi="Cambria"/>
      <w:b/>
      <w:bCs/>
      <w:kern w:val="0"/>
      <w:sz w:val="32"/>
      <w:szCs w:val="32"/>
      <w:lang w:eastAsia="en-US"/>
    </w:rPr>
  </w:style>
  <w:style w:type="paragraph" w:styleId="21">
    <w:name w:val="Body Text First Indent"/>
    <w:basedOn w:val="1"/>
    <w:qFormat/>
    <w:uiPriority w:val="0"/>
    <w:pPr>
      <w:ind w:firstLine="420" w:firstLineChars="100"/>
    </w:pPr>
    <w:rPr>
      <w:rFonts w:ascii="Calibri" w:hAnsi="Calibri"/>
    </w:rPr>
  </w:style>
  <w:style w:type="paragraph" w:styleId="22">
    <w:name w:val="Body Text First Indent 2"/>
    <w:basedOn w:val="12"/>
    <w:link w:val="47"/>
    <w:qFormat/>
    <w:uiPriority w:val="0"/>
    <w:pPr>
      <w:ind w:firstLine="420"/>
    </w:pPr>
    <w:rPr>
      <w:rFonts w:ascii="Times New Roman" w:hAnsi="Calibri"/>
      <w:szCs w:val="24"/>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0"/>
    <w:rPr>
      <w:rFonts w:ascii="Times New Roman" w:hAnsi="Times New Roman" w:eastAsia="宋体" w:cs="Times New Roman"/>
    </w:rPr>
  </w:style>
  <w:style w:type="character" w:styleId="27">
    <w:name w:val="Hyperlink"/>
    <w:qFormat/>
    <w:uiPriority w:val="99"/>
    <w:rPr>
      <w:color w:val="0000FF"/>
      <w:u w:val="single"/>
    </w:rPr>
  </w:style>
  <w:style w:type="paragraph" w:customStyle="1" w:styleId="28">
    <w:name w:val="正文缩进1"/>
    <w:basedOn w:val="29"/>
    <w:qFormat/>
    <w:uiPriority w:val="0"/>
    <w:pPr>
      <w:spacing w:line="360" w:lineRule="auto"/>
      <w:ind w:firstLine="200" w:firstLineChars="200"/>
    </w:pPr>
    <w:rPr>
      <w:rFonts w:hint="default" w:ascii="Times New Roman"/>
      <w:sz w:val="24"/>
    </w:rPr>
  </w:style>
  <w:style w:type="paragraph" w:customStyle="1" w:styleId="29">
    <w:name w:val="正文1"/>
    <w:next w:val="30"/>
    <w:qFormat/>
    <w:uiPriority w:val="0"/>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30">
    <w:name w:val="普通正文"/>
    <w:basedOn w:val="29"/>
    <w:qFormat/>
    <w:uiPriority w:val="0"/>
    <w:pPr>
      <w:ind w:firstLine="200" w:firstLineChars="200"/>
    </w:pPr>
    <w:rPr>
      <w:kern w:val="2"/>
    </w:rPr>
  </w:style>
  <w:style w:type="paragraph" w:customStyle="1" w:styleId="31">
    <w:name w:val="Table Paragraph"/>
    <w:basedOn w:val="1"/>
    <w:qFormat/>
    <w:uiPriority w:val="0"/>
    <w:pPr>
      <w:jc w:val="left"/>
    </w:pPr>
    <w:rPr>
      <w:rFonts w:ascii="Times New Roman" w:hAnsi="Times New Roman" w:eastAsia="Calibri"/>
      <w:kern w:val="0"/>
      <w:sz w:val="22"/>
      <w:lang w:eastAsia="en-US"/>
    </w:rPr>
  </w:style>
  <w:style w:type="paragraph" w:styleId="32">
    <w:name w:val="List Paragraph"/>
    <w:basedOn w:val="1"/>
    <w:qFormat/>
    <w:uiPriority w:val="34"/>
    <w:pPr>
      <w:jc w:val="left"/>
    </w:pPr>
    <w:rPr>
      <w:rFonts w:ascii="Times New Roman" w:hAnsi="Times New Roman" w:eastAsia="Calibri"/>
      <w:kern w:val="0"/>
      <w:sz w:val="22"/>
      <w:lang w:eastAsia="en-US"/>
    </w:rPr>
  </w:style>
  <w:style w:type="paragraph" w:customStyle="1" w:styleId="3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4">
    <w:name w:val="发文落款"/>
    <w:basedOn w:val="33"/>
    <w:qFormat/>
    <w:uiPriority w:val="0"/>
    <w:pPr>
      <w:ind w:left="4094" w:right="607" w:firstLine="0"/>
      <w:jc w:val="center"/>
    </w:pPr>
    <w:rPr>
      <w:rFonts w:ascii="Calibri" w:hAnsi="Calibri" w:eastAsia="宋体"/>
    </w:rPr>
  </w:style>
  <w:style w:type="paragraph" w:customStyle="1" w:styleId="35">
    <w:name w:val="文二"/>
    <w:basedOn w:val="1"/>
    <w:qFormat/>
    <w:uiPriority w:val="0"/>
    <w:pPr>
      <w:jc w:val="left"/>
    </w:pPr>
    <w:rPr>
      <w:rFonts w:ascii="宋体" w:hAnsi="宋体"/>
      <w:szCs w:val="21"/>
    </w:rPr>
  </w:style>
  <w:style w:type="paragraph" w:customStyle="1" w:styleId="36">
    <w:name w:val="正题"/>
    <w:basedOn w:val="37"/>
    <w:next w:val="37"/>
    <w:qFormat/>
    <w:uiPriority w:val="0"/>
    <w:pPr>
      <w:ind w:firstLine="0" w:firstLineChars="0"/>
      <w:jc w:val="center"/>
    </w:pPr>
    <w:rPr>
      <w:rFonts w:ascii="等线" w:hAnsi="等线" w:eastAsia="黑体"/>
      <w:b/>
      <w:sz w:val="36"/>
      <w:szCs w:val="36"/>
    </w:rPr>
  </w:style>
  <w:style w:type="paragraph" w:customStyle="1" w:styleId="37">
    <w:name w:val="文一"/>
    <w:basedOn w:val="1"/>
    <w:qFormat/>
    <w:uiPriority w:val="0"/>
    <w:pPr>
      <w:topLinePunct/>
      <w:adjustRightInd w:val="0"/>
      <w:snapToGrid w:val="0"/>
      <w:spacing w:line="360" w:lineRule="auto"/>
      <w:ind w:firstLine="200" w:firstLineChars="200"/>
      <w:jc w:val="left"/>
    </w:pPr>
    <w:rPr>
      <w:rFonts w:ascii="Times New Roman" w:hAnsi="Times New Roman" w:eastAsia="Calibri"/>
      <w:spacing w:val="4"/>
      <w:kern w:val="0"/>
      <w:sz w:val="24"/>
      <w:lang w:eastAsia="en-US"/>
    </w:rPr>
  </w:style>
  <w:style w:type="character" w:customStyle="1" w:styleId="38">
    <w:name w:val="正文文本 Char"/>
    <w:basedOn w:val="25"/>
    <w:link w:val="11"/>
    <w:qFormat/>
    <w:uiPriority w:val="0"/>
    <w:rPr>
      <w:rFonts w:ascii="宋体" w:hAnsi="宋体" w:eastAsia="宋体" w:cs="Times New Roman"/>
      <w:sz w:val="21"/>
      <w:szCs w:val="21"/>
      <w:lang w:eastAsia="en-US"/>
    </w:rPr>
  </w:style>
  <w:style w:type="character" w:customStyle="1" w:styleId="39">
    <w:name w:val="标题 Char"/>
    <w:basedOn w:val="25"/>
    <w:link w:val="20"/>
    <w:qFormat/>
    <w:uiPriority w:val="0"/>
    <w:rPr>
      <w:rFonts w:ascii="Cambria" w:hAnsi="Cambria" w:eastAsia="宋体" w:cs="Times New Roman"/>
      <w:b/>
      <w:bCs/>
      <w:sz w:val="32"/>
      <w:szCs w:val="32"/>
      <w:lang w:eastAsia="en-US"/>
    </w:rPr>
  </w:style>
  <w:style w:type="character" w:customStyle="1" w:styleId="40">
    <w:name w:val="页眉 Char"/>
    <w:basedOn w:val="25"/>
    <w:link w:val="17"/>
    <w:qFormat/>
    <w:uiPriority w:val="0"/>
    <w:rPr>
      <w:rFonts w:ascii="Calibri" w:hAnsi="Calibri" w:eastAsia="宋体" w:cs="Times New Roman"/>
      <w:sz w:val="18"/>
      <w:szCs w:val="18"/>
    </w:rPr>
  </w:style>
  <w:style w:type="character" w:customStyle="1" w:styleId="41">
    <w:name w:val="页脚 Char"/>
    <w:basedOn w:val="25"/>
    <w:link w:val="15"/>
    <w:qFormat/>
    <w:uiPriority w:val="0"/>
    <w:rPr>
      <w:rFonts w:ascii="Calibri" w:hAnsi="Calibri" w:eastAsia="宋体" w:cs="Times New Roman"/>
      <w:sz w:val="18"/>
      <w:szCs w:val="18"/>
    </w:rPr>
  </w:style>
  <w:style w:type="character" w:customStyle="1" w:styleId="42">
    <w:name w:val="标题 2 Char"/>
    <w:basedOn w:val="25"/>
    <w:link w:val="4"/>
    <w:qFormat/>
    <w:uiPriority w:val="0"/>
    <w:rPr>
      <w:rFonts w:ascii="Cambria" w:hAnsi="Cambria" w:eastAsia="宋体" w:cs="Times New Roman"/>
      <w:b/>
      <w:kern w:val="2"/>
      <w:sz w:val="32"/>
      <w:szCs w:val="32"/>
    </w:rPr>
  </w:style>
  <w:style w:type="paragraph" w:customStyle="1" w:styleId="43">
    <w:name w:val="msolistparagraph"/>
    <w:basedOn w:val="1"/>
    <w:qFormat/>
    <w:uiPriority w:val="0"/>
    <w:pPr>
      <w:jc w:val="left"/>
    </w:pPr>
    <w:rPr>
      <w:rFonts w:ascii="Times New Roman" w:hAnsi="Times New Roman" w:eastAsia="Calibri"/>
      <w:kern w:val="0"/>
      <w:sz w:val="22"/>
    </w:rPr>
  </w:style>
  <w:style w:type="character" w:customStyle="1" w:styleId="44">
    <w:name w:val="纯文本 Char"/>
    <w:basedOn w:val="25"/>
    <w:link w:val="13"/>
    <w:qFormat/>
    <w:uiPriority w:val="0"/>
    <w:rPr>
      <w:rFonts w:hint="eastAsia" w:ascii="宋体" w:hAnsi="Courier New" w:eastAsia="宋体" w:cs="Courier New"/>
      <w:kern w:val="2"/>
      <w:sz w:val="21"/>
      <w:szCs w:val="21"/>
    </w:rPr>
  </w:style>
  <w:style w:type="paragraph" w:customStyle="1" w:styleId="45">
    <w:name w:val="msolistparagraph1"/>
    <w:basedOn w:val="1"/>
    <w:qFormat/>
    <w:uiPriority w:val="0"/>
    <w:pPr>
      <w:jc w:val="left"/>
    </w:pPr>
    <w:rPr>
      <w:rFonts w:ascii="Times New Roman" w:hAnsi="Times New Roman" w:eastAsia="Calibri"/>
      <w:kern w:val="0"/>
      <w:sz w:val="22"/>
    </w:rPr>
  </w:style>
  <w:style w:type="character" w:customStyle="1" w:styleId="46">
    <w:name w:val="正文文本缩进 Char"/>
    <w:basedOn w:val="25"/>
    <w:link w:val="12"/>
    <w:qFormat/>
    <w:uiPriority w:val="0"/>
    <w:rPr>
      <w:rFonts w:hint="default" w:ascii="Calibri" w:hAnsi="Calibri" w:eastAsia="宋体" w:cs="Times New Roman"/>
      <w:kern w:val="2"/>
      <w:sz w:val="21"/>
      <w:szCs w:val="22"/>
    </w:rPr>
  </w:style>
  <w:style w:type="character" w:customStyle="1" w:styleId="47">
    <w:name w:val="正文首行缩进 2 Char"/>
    <w:basedOn w:val="46"/>
    <w:link w:val="22"/>
    <w:qFormat/>
    <w:uiPriority w:val="0"/>
    <w:rPr>
      <w:rFonts w:hint="default" w:ascii="Calibri" w:hAnsi="Calibri" w:eastAsia="宋体" w:cs="Times New Roman"/>
      <w:kern w:val="2"/>
      <w:sz w:val="21"/>
      <w:szCs w:val="22"/>
    </w:rPr>
  </w:style>
  <w:style w:type="character" w:customStyle="1" w:styleId="48">
    <w:name w:val="批注框文本 Char"/>
    <w:basedOn w:val="25"/>
    <w:link w:val="14"/>
    <w:qFormat/>
    <w:uiPriority w:val="0"/>
    <w:rPr>
      <w:rFonts w:ascii="Calibri" w:hAnsi="Calibri"/>
      <w:kern w:val="2"/>
      <w:sz w:val="18"/>
      <w:szCs w:val="18"/>
    </w:rPr>
  </w:style>
  <w:style w:type="character" w:customStyle="1" w:styleId="49">
    <w:name w:val="样式 正文文本 + Times New Roman Char"/>
    <w:link w:val="50"/>
    <w:qFormat/>
    <w:uiPriority w:val="0"/>
    <w:rPr>
      <w:rFonts w:ascii="宋体" w:hAnsi="宋体"/>
      <w:kern w:val="0"/>
      <w:sz w:val="20"/>
      <w:szCs w:val="20"/>
    </w:rPr>
  </w:style>
  <w:style w:type="paragraph" w:customStyle="1" w:styleId="50">
    <w:name w:val="样式 正文文本 + Times New Roman"/>
    <w:basedOn w:val="11"/>
    <w:link w:val="49"/>
    <w:qFormat/>
    <w:uiPriority w:val="0"/>
    <w:pPr>
      <w:autoSpaceDE w:val="0"/>
      <w:autoSpaceDN w:val="0"/>
      <w:spacing w:line="360" w:lineRule="auto"/>
      <w:ind w:firstLine="200" w:firstLineChars="200"/>
    </w:pPr>
    <w:rPr>
      <w:rFonts w:ascii="宋体" w:hAnsi="宋体"/>
      <w:kern w:val="0"/>
      <w:sz w:val="20"/>
      <w:szCs w:val="20"/>
    </w:rPr>
  </w:style>
  <w:style w:type="paragraph" w:customStyle="1" w:styleId="51">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52">
    <w:name w:val="正文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26531</Words>
  <Characters>27902</Characters>
  <Lines>203</Lines>
  <Paragraphs>57</Paragraphs>
  <TotalTime>0</TotalTime>
  <ScaleCrop>false</ScaleCrop>
  <LinksUpToDate>false</LinksUpToDate>
  <CharactersWithSpaces>29665</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2023-08-30T12:00:00Z</dcterms:created>
  <dc:creator>Y.sisi</dc:creator>
  <cp:lastModifiedBy>Johnson</cp:lastModifiedBy>
  <cp:lastPrinted>2024-08-27T06:42:00Z</cp:lastPrinted>
  <dcterms:modified xsi:type="dcterms:W3CDTF">2024-09-19T11:09:43Z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6333A37150CA4DF3A5DCED11CD708D82</vt:lpwstr>
  </property>
</Properties>
</file>