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val="0"/>
          <w:color w:val="auto"/>
          <w:kern w:val="0"/>
          <w:sz w:val="21"/>
          <w:szCs w:val="21"/>
          <w:highlight w:val="none"/>
          <w:u w:val="single"/>
          <w:lang w:val="en-US" w:eastAsia="zh-CN"/>
        </w:rPr>
      </w:pPr>
      <w:bookmarkStart w:id="0" w:name="_Toc8445"/>
      <w:r>
        <w:rPr>
          <w:rFonts w:hint="eastAsia" w:ascii="宋体" w:hAnsi="宋体" w:eastAsia="宋体" w:cs="宋体"/>
          <w:b/>
          <w:bCs/>
          <w:snapToGrid w:val="0"/>
          <w:color w:val="auto"/>
          <w:kern w:val="0"/>
          <w:sz w:val="21"/>
          <w:szCs w:val="21"/>
          <w:highlight w:val="none"/>
          <w:u w:val="single"/>
          <w:lang w:val="en-US" w:eastAsia="zh-CN"/>
        </w:rPr>
        <w:t>附件A-项目信息清单（标的</w:t>
      </w:r>
      <w:r>
        <w:rPr>
          <w:rFonts w:hint="eastAsia" w:hAnsi="宋体" w:cs="宋体"/>
          <w:b/>
          <w:bCs/>
          <w:snapToGrid w:val="0"/>
          <w:color w:val="auto"/>
          <w:kern w:val="0"/>
          <w:sz w:val="21"/>
          <w:szCs w:val="21"/>
          <w:highlight w:val="none"/>
          <w:u w:val="single"/>
          <w:lang w:val="en-US" w:eastAsia="zh-CN"/>
        </w:rPr>
        <w:t>5</w:t>
      </w:r>
      <w:r>
        <w:rPr>
          <w:rFonts w:hint="eastAsia" w:ascii="宋体" w:hAnsi="宋体" w:eastAsia="宋体" w:cs="宋体"/>
          <w:b/>
          <w:bCs/>
          <w:snapToGrid w:val="0"/>
          <w:color w:val="auto"/>
          <w:kern w:val="0"/>
          <w:sz w:val="21"/>
          <w:szCs w:val="21"/>
          <w:highlight w:val="none"/>
          <w:u w:val="single"/>
          <w:lang w:val="en-US" w:eastAsia="zh-CN"/>
        </w:rPr>
        <w:t>标段2）</w:t>
      </w:r>
    </w:p>
    <w:p>
      <w:pPr>
        <w:pStyle w:val="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val="0"/>
          <w:color w:val="auto"/>
          <w:spacing w:val="0"/>
          <w:kern w:val="0"/>
          <w:sz w:val="21"/>
          <w:szCs w:val="21"/>
          <w:highlight w:val="none"/>
          <w:u w:val="none"/>
          <w:lang w:val="en-US" w:eastAsia="zh-CN"/>
        </w:rPr>
      </w:pPr>
      <w:r>
        <w:rPr>
          <w:rFonts w:hint="eastAsia" w:ascii="宋体" w:hAnsi="宋体" w:eastAsia="宋体" w:cs="宋体"/>
          <w:b/>
          <w:bCs/>
          <w:snapToGrid w:val="0"/>
          <w:color w:val="auto"/>
          <w:spacing w:val="0"/>
          <w:kern w:val="0"/>
          <w:sz w:val="21"/>
          <w:szCs w:val="21"/>
          <w:highlight w:val="none"/>
          <w:u w:val="none"/>
          <w:lang w:val="en-US" w:eastAsia="zh-CN"/>
        </w:rPr>
        <w:t>标的名称：</w:t>
      </w:r>
      <w:r>
        <w:rPr>
          <w:rFonts w:hint="eastAsia" w:ascii="宋体" w:hAnsi="宋体" w:eastAsia="宋体" w:cs="宋体"/>
          <w:b/>
          <w:bCs/>
          <w:snapToGrid w:val="0"/>
          <w:color w:val="auto"/>
          <w:spacing w:val="0"/>
          <w:kern w:val="0"/>
          <w:sz w:val="21"/>
          <w:szCs w:val="21"/>
          <w:highlight w:val="none"/>
          <w:u w:val="single"/>
          <w:lang w:val="en-US" w:eastAsia="zh-CN"/>
        </w:rPr>
        <w:t>韶关仁化董金甲乙线路增容工程等4项工程施工</w:t>
      </w:r>
    </w:p>
    <w:p>
      <w:pPr>
        <w:pStyle w:val="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val="0"/>
          <w:color w:val="auto"/>
          <w:spacing w:val="0"/>
          <w:kern w:val="0"/>
          <w:sz w:val="21"/>
          <w:szCs w:val="21"/>
          <w:highlight w:val="none"/>
          <w:u w:val="single"/>
          <w:lang w:val="en-US" w:eastAsia="zh-CN"/>
        </w:rPr>
      </w:pPr>
      <w:r>
        <w:rPr>
          <w:rFonts w:hint="eastAsia" w:ascii="宋体" w:hAnsi="宋体" w:eastAsia="宋体" w:cs="宋体"/>
          <w:b/>
          <w:bCs/>
          <w:snapToGrid w:val="0"/>
          <w:color w:val="auto"/>
          <w:spacing w:val="0"/>
          <w:kern w:val="0"/>
          <w:sz w:val="21"/>
          <w:szCs w:val="21"/>
          <w:highlight w:val="none"/>
          <w:u w:val="none"/>
          <w:lang w:val="en-US" w:eastAsia="zh-CN"/>
        </w:rPr>
        <w:t>标段名称：</w:t>
      </w:r>
      <w:r>
        <w:rPr>
          <w:rFonts w:hint="eastAsia" w:hAnsi="宋体" w:cs="宋体"/>
          <w:b/>
          <w:bCs/>
          <w:snapToGrid w:val="0"/>
          <w:color w:val="auto"/>
          <w:spacing w:val="0"/>
          <w:kern w:val="0"/>
          <w:sz w:val="21"/>
          <w:szCs w:val="21"/>
          <w:highlight w:val="none"/>
          <w:u w:val="single"/>
          <w:lang w:val="en-US" w:eastAsia="zh-CN"/>
        </w:rPr>
        <w:t>韶关新丰35千伏科罗台区新建工程等2项工程施工</w:t>
      </w:r>
    </w:p>
    <w:p>
      <w:pPr>
        <w:pStyle w:val="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val="0"/>
          <w:color w:val="auto"/>
          <w:kern w:val="0"/>
          <w:sz w:val="21"/>
          <w:szCs w:val="21"/>
          <w:highlight w:val="none"/>
          <w:u w:val="none"/>
          <w:lang w:val="en-US" w:eastAsia="zh-CN"/>
        </w:rPr>
      </w:pPr>
    </w:p>
    <w:p>
      <w:pPr>
        <w:pStyle w:val="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val="0"/>
          <w:color w:val="auto"/>
          <w:kern w:val="0"/>
          <w:sz w:val="21"/>
          <w:szCs w:val="21"/>
          <w:highlight w:val="none"/>
          <w:u w:val="none"/>
          <w:lang w:val="en-US" w:eastAsia="zh-CN"/>
        </w:rPr>
      </w:pPr>
      <w:r>
        <w:rPr>
          <w:rFonts w:hint="eastAsia" w:ascii="宋体" w:hAnsi="宋体" w:eastAsia="宋体" w:cs="宋体"/>
          <w:b/>
          <w:bCs/>
          <w:snapToGrid w:val="0"/>
          <w:color w:val="auto"/>
          <w:kern w:val="0"/>
          <w:sz w:val="21"/>
          <w:szCs w:val="21"/>
          <w:highlight w:val="none"/>
          <w:u w:val="none"/>
          <w:lang w:val="en-US" w:eastAsia="zh-CN"/>
        </w:rPr>
        <w:t>项目信息表</w:t>
      </w:r>
    </w:p>
    <w:tbl>
      <w:tblPr>
        <w:tblStyle w:val="12"/>
        <w:tblW w:w="526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473"/>
        <w:gridCol w:w="3365"/>
        <w:gridCol w:w="3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i w:val="0"/>
                <w:iCs w:val="0"/>
                <w:snapToGrid w:val="0"/>
                <w:color w:val="auto"/>
                <w:kern w:val="0"/>
                <w:sz w:val="21"/>
                <w:szCs w:val="21"/>
                <w:highlight w:val="none"/>
                <w:u w:val="none"/>
                <w:vertAlign w:val="baseline"/>
                <w:lang w:val="en-US" w:eastAsia="zh-CN"/>
              </w:rPr>
            </w:pPr>
            <w:r>
              <w:rPr>
                <w:rFonts w:hint="eastAsia" w:ascii="宋体" w:hAnsi="宋体" w:eastAsia="宋体" w:cs="宋体"/>
                <w:b/>
                <w:bCs/>
                <w:i w:val="0"/>
                <w:iCs w:val="0"/>
                <w:snapToGrid w:val="0"/>
                <w:color w:val="auto"/>
                <w:kern w:val="0"/>
                <w:sz w:val="21"/>
                <w:szCs w:val="21"/>
                <w:highlight w:val="none"/>
                <w:u w:val="none"/>
                <w:vertAlign w:val="baseline"/>
                <w:lang w:val="en-US" w:eastAsia="zh-CN"/>
              </w:rPr>
              <w:t>序号</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b/>
                <w:bCs/>
                <w:i w:val="0"/>
                <w:iCs w:val="0"/>
                <w:snapToGrid w:val="0"/>
                <w:color w:val="auto"/>
                <w:kern w:val="0"/>
                <w:sz w:val="21"/>
                <w:szCs w:val="21"/>
                <w:highlight w:val="none"/>
                <w:u w:val="none"/>
                <w:vertAlign w:val="baseline"/>
                <w:lang w:val="en-US" w:eastAsia="zh-CN"/>
              </w:rPr>
            </w:pPr>
            <w:r>
              <w:rPr>
                <w:rFonts w:hint="eastAsia" w:ascii="宋体" w:hAnsi="宋体" w:eastAsia="宋体" w:cs="宋体"/>
                <w:b/>
                <w:bCs/>
                <w:i w:val="0"/>
                <w:iCs w:val="0"/>
                <w:snapToGrid w:val="0"/>
                <w:color w:val="auto"/>
                <w:kern w:val="0"/>
                <w:sz w:val="21"/>
                <w:szCs w:val="21"/>
                <w:highlight w:val="none"/>
                <w:u w:val="none"/>
                <w:vertAlign w:val="baseline"/>
                <w:lang w:val="en-US" w:eastAsia="zh-CN"/>
              </w:rPr>
              <w:t>条款名称</w:t>
            </w:r>
          </w:p>
        </w:tc>
        <w:tc>
          <w:tcPr>
            <w:tcW w:w="1875"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b/>
                <w:bCs/>
                <w:i w:val="0"/>
                <w:iCs w:val="0"/>
                <w:snapToGrid w:val="0"/>
                <w:color w:val="auto"/>
                <w:kern w:val="0"/>
                <w:sz w:val="21"/>
                <w:szCs w:val="21"/>
                <w:highlight w:val="none"/>
                <w:u w:val="none"/>
                <w:vertAlign w:val="baseline"/>
                <w:lang w:val="en-US" w:eastAsia="zh-CN"/>
              </w:rPr>
            </w:pPr>
            <w:r>
              <w:rPr>
                <w:rFonts w:hint="eastAsia" w:ascii="宋体" w:hAnsi="宋体" w:eastAsia="宋体" w:cs="宋体"/>
                <w:b/>
                <w:bCs/>
                <w:i w:val="0"/>
                <w:iCs w:val="0"/>
                <w:snapToGrid w:val="0"/>
                <w:color w:val="auto"/>
                <w:kern w:val="0"/>
                <w:sz w:val="21"/>
                <w:szCs w:val="21"/>
                <w:highlight w:val="none"/>
                <w:u w:val="none"/>
                <w:vertAlign w:val="baseline"/>
                <w:lang w:val="en-US" w:eastAsia="zh-CN"/>
              </w:rPr>
              <w:t>内容（</w:t>
            </w:r>
            <w:bookmarkStart w:id="5" w:name="_GoBack"/>
            <w:bookmarkEnd w:id="5"/>
            <w:r>
              <w:rPr>
                <w:rFonts w:hint="eastAsia" w:hAnsi="宋体" w:cs="宋体"/>
                <w:b/>
                <w:bCs/>
                <w:i w:val="0"/>
                <w:iCs w:val="0"/>
                <w:color w:val="auto"/>
                <w:kern w:val="0"/>
                <w:sz w:val="21"/>
                <w:szCs w:val="21"/>
                <w:highlight w:val="none"/>
                <w:u w:val="none"/>
                <w:lang w:val="en-US" w:eastAsia="zh-CN" w:bidi="ar"/>
              </w:rPr>
              <w:t>韶关新丰35千伏科罗台区新建工程</w:t>
            </w:r>
            <w:r>
              <w:rPr>
                <w:rFonts w:hint="eastAsia" w:ascii="宋体" w:hAnsi="宋体" w:eastAsia="宋体" w:cs="宋体"/>
                <w:b/>
                <w:bCs/>
                <w:i w:val="0"/>
                <w:iCs w:val="0"/>
                <w:snapToGrid w:val="0"/>
                <w:color w:val="auto"/>
                <w:kern w:val="0"/>
                <w:sz w:val="21"/>
                <w:szCs w:val="21"/>
                <w:highlight w:val="none"/>
                <w:u w:val="none"/>
                <w:vertAlign w:val="baseline"/>
                <w:lang w:val="en-US" w:eastAsia="zh-CN"/>
              </w:rPr>
              <w:t>）</w:t>
            </w:r>
          </w:p>
        </w:tc>
        <w:tc>
          <w:tcPr>
            <w:tcW w:w="1933"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b/>
                <w:bCs/>
                <w:i w:val="0"/>
                <w:iCs w:val="0"/>
                <w:snapToGrid w:val="0"/>
                <w:color w:val="auto"/>
                <w:kern w:val="0"/>
                <w:sz w:val="21"/>
                <w:szCs w:val="21"/>
                <w:highlight w:val="none"/>
                <w:u w:val="none"/>
                <w:vertAlign w:val="baseline"/>
                <w:lang w:val="en-US" w:eastAsia="zh-CN"/>
              </w:rPr>
            </w:pPr>
            <w:r>
              <w:rPr>
                <w:rFonts w:hint="eastAsia" w:ascii="宋体" w:hAnsi="宋体" w:eastAsia="宋体" w:cs="宋体"/>
                <w:b/>
                <w:bCs/>
                <w:i w:val="0"/>
                <w:iCs w:val="0"/>
                <w:snapToGrid w:val="0"/>
                <w:color w:val="auto"/>
                <w:kern w:val="0"/>
                <w:sz w:val="21"/>
                <w:szCs w:val="21"/>
                <w:highlight w:val="none"/>
                <w:u w:val="none"/>
                <w:vertAlign w:val="baseline"/>
                <w:lang w:val="en-US" w:eastAsia="zh-CN"/>
              </w:rPr>
              <w:t>内容（</w:t>
            </w:r>
            <w:r>
              <w:rPr>
                <w:rFonts w:hint="eastAsia" w:ascii="宋体" w:hAnsi="宋体" w:eastAsia="宋体" w:cs="宋体"/>
                <w:b/>
                <w:bCs/>
                <w:i w:val="0"/>
                <w:iCs w:val="0"/>
                <w:color w:val="auto"/>
                <w:kern w:val="0"/>
                <w:sz w:val="21"/>
                <w:szCs w:val="21"/>
                <w:highlight w:val="none"/>
                <w:u w:val="none"/>
                <w:lang w:val="en-US" w:eastAsia="zh-CN" w:bidi="ar"/>
              </w:rPr>
              <w:t>韶关新丰35千伏科罗台区线路工程</w:t>
            </w:r>
            <w:r>
              <w:rPr>
                <w:rFonts w:hint="eastAsia" w:ascii="宋体" w:hAnsi="宋体" w:eastAsia="宋体" w:cs="宋体"/>
                <w:b/>
                <w:bCs/>
                <w:i w:val="0"/>
                <w:iCs w:val="0"/>
                <w:snapToGrid w:val="0"/>
                <w:color w:val="auto"/>
                <w:kern w:val="0"/>
                <w:sz w:val="21"/>
                <w:szCs w:val="21"/>
                <w:highlight w:val="none"/>
                <w:u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1</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i w:val="0"/>
                <w:iCs w:val="0"/>
                <w:color w:val="auto"/>
                <w:sz w:val="21"/>
                <w:szCs w:val="21"/>
                <w:highlight w:val="none"/>
                <w:u w:val="none"/>
                <w:vertAlign w:val="baseline"/>
                <w:lang w:val="en-US" w:eastAsia="zh-CN"/>
              </w:rPr>
              <w:t>可研批复文号</w:t>
            </w:r>
          </w:p>
        </w:tc>
        <w:tc>
          <w:tcPr>
            <w:tcW w:w="3365"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韶供电计〔2022〕96号</w:t>
            </w:r>
          </w:p>
        </w:tc>
        <w:tc>
          <w:tcPr>
            <w:tcW w:w="3469"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韶供电计〔2023〕10号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2</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项目核准备案文号</w:t>
            </w:r>
          </w:p>
        </w:tc>
        <w:tc>
          <w:tcPr>
            <w:tcW w:w="3365"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w:t>
            </w:r>
          </w:p>
        </w:tc>
        <w:tc>
          <w:tcPr>
            <w:tcW w:w="3469"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韶发改核准〔2023〕25号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bidi="ar-SA"/>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3</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color w:val="auto"/>
                <w:sz w:val="21"/>
                <w:szCs w:val="21"/>
                <w:highlight w:val="none"/>
                <w:u w:val="none"/>
                <w:vertAlign w:val="baseline"/>
                <w:lang w:val="en-US" w:eastAsia="zh-CN"/>
              </w:rPr>
            </w:pPr>
            <w:r>
              <w:rPr>
                <w:rFonts w:hint="eastAsia" w:ascii="宋体" w:hAnsi="宋体" w:eastAsia="宋体" w:cs="宋体"/>
                <w:b w:val="0"/>
                <w:bCs w:val="0"/>
                <w:i w:val="0"/>
                <w:iCs w:val="0"/>
                <w:color w:val="auto"/>
                <w:sz w:val="21"/>
                <w:szCs w:val="21"/>
                <w:highlight w:val="none"/>
                <w:u w:val="none"/>
                <w:vertAlign w:val="baseline"/>
                <w:lang w:val="en-US" w:eastAsia="zh-CN"/>
              </w:rPr>
              <w:t>资金落实（投资计划）</w:t>
            </w:r>
          </w:p>
        </w:tc>
        <w:tc>
          <w:tcPr>
            <w:tcW w:w="3365"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韶供电计〔2024〕16号</w:t>
            </w:r>
          </w:p>
        </w:tc>
        <w:tc>
          <w:tcPr>
            <w:tcW w:w="3469"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韶供电计〔2024〕16号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bidi="ar-SA"/>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4</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240" w:lineRule="exac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初设批复文号</w:t>
            </w:r>
          </w:p>
        </w:tc>
        <w:tc>
          <w:tcPr>
            <w:tcW w:w="3365"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w:t>
            </w:r>
          </w:p>
        </w:tc>
        <w:tc>
          <w:tcPr>
            <w:tcW w:w="3469"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韶供电建〔2024〕16号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bidi="ar-SA"/>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5</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240" w:lineRule="exact"/>
              <w:jc w:val="center"/>
              <w:textAlignment w:val="auto"/>
              <w:rPr>
                <w:rFonts w:hint="eastAsia" w:ascii="宋体" w:hAnsi="宋体" w:eastAsia="宋体" w:cs="宋体"/>
                <w:b w:val="0"/>
                <w:bCs w:val="0"/>
                <w:i w:val="0"/>
                <w:iCs w:val="0"/>
                <w:color w:val="auto"/>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初设批复总投资</w:t>
            </w:r>
          </w:p>
        </w:tc>
        <w:tc>
          <w:tcPr>
            <w:tcW w:w="3365"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i w:val="0"/>
                <w:iCs w:val="0"/>
                <w:color w:val="auto"/>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w:t>
            </w:r>
          </w:p>
        </w:tc>
        <w:tc>
          <w:tcPr>
            <w:tcW w:w="3469"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i w:val="0"/>
                <w:iCs w:val="0"/>
                <w:color w:val="auto"/>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110.02万元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bidi="ar-SA"/>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6</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color w:val="auto"/>
                <w:sz w:val="21"/>
                <w:szCs w:val="21"/>
                <w:highlight w:val="none"/>
                <w:u w:val="none"/>
                <w:vertAlign w:val="baseline"/>
                <w:lang w:val="en-US" w:eastAsia="zh-CN"/>
              </w:rPr>
            </w:pPr>
            <w:r>
              <w:rPr>
                <w:rFonts w:hint="eastAsia" w:ascii="宋体" w:hAnsi="宋体" w:eastAsia="宋体" w:cs="宋体"/>
                <w:b w:val="0"/>
                <w:bCs w:val="0"/>
                <w:i w:val="0"/>
                <w:iCs w:val="0"/>
                <w:color w:val="auto"/>
                <w:sz w:val="21"/>
                <w:szCs w:val="21"/>
                <w:highlight w:val="none"/>
                <w:u w:val="none"/>
                <w:vertAlign w:val="baseline"/>
                <w:lang w:val="en-US" w:eastAsia="zh-CN"/>
              </w:rPr>
              <w:t>施工图设计批复文号</w:t>
            </w:r>
          </w:p>
        </w:tc>
        <w:tc>
          <w:tcPr>
            <w:tcW w:w="3365"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基建部20030019</w:t>
            </w:r>
          </w:p>
        </w:tc>
        <w:tc>
          <w:tcPr>
            <w:tcW w:w="3469"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i w:val="0"/>
                <w:iCs w:val="0"/>
                <w:color w:val="auto"/>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 xml:space="preserve">韶供电建〔2024〕23号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bidi="ar-SA"/>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7</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color w:val="auto"/>
                <w:sz w:val="21"/>
                <w:szCs w:val="21"/>
                <w:highlight w:val="none"/>
                <w:u w:val="none"/>
                <w:vertAlign w:val="baseline"/>
                <w:lang w:val="en-US" w:eastAsia="zh-CN"/>
              </w:rPr>
            </w:pPr>
            <w:r>
              <w:rPr>
                <w:rFonts w:hint="eastAsia" w:ascii="宋体" w:hAnsi="宋体" w:eastAsia="宋体" w:cs="宋体"/>
                <w:b w:val="0"/>
                <w:bCs w:val="0"/>
                <w:i w:val="0"/>
                <w:iCs w:val="0"/>
                <w:color w:val="auto"/>
                <w:sz w:val="21"/>
                <w:szCs w:val="21"/>
                <w:highlight w:val="none"/>
                <w:u w:val="none"/>
                <w:vertAlign w:val="baseline"/>
                <w:lang w:val="en-US" w:eastAsia="zh-CN"/>
              </w:rPr>
              <w:t>招标类型</w:t>
            </w:r>
          </w:p>
        </w:tc>
        <w:tc>
          <w:tcPr>
            <w:tcW w:w="3365"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施设招标</w:t>
            </w:r>
          </w:p>
        </w:tc>
        <w:tc>
          <w:tcPr>
            <w:tcW w:w="3469"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施设招标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bidi="ar-SA"/>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8</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color w:val="auto"/>
                <w:sz w:val="21"/>
                <w:szCs w:val="21"/>
                <w:highlight w:val="none"/>
                <w:u w:val="none"/>
                <w:vertAlign w:val="baseline"/>
                <w:lang w:val="en-US" w:eastAsia="zh-CN"/>
              </w:rPr>
            </w:pPr>
            <w:r>
              <w:rPr>
                <w:rFonts w:hint="eastAsia" w:ascii="宋体" w:hAnsi="宋体" w:eastAsia="宋体" w:cs="宋体"/>
                <w:b w:val="0"/>
                <w:bCs w:val="0"/>
                <w:i w:val="0"/>
                <w:iCs w:val="0"/>
                <w:color w:val="auto"/>
                <w:sz w:val="21"/>
                <w:szCs w:val="21"/>
                <w:highlight w:val="none"/>
                <w:u w:val="none"/>
                <w:vertAlign w:val="baseline"/>
                <w:lang w:val="en-US" w:eastAsia="zh-CN"/>
              </w:rPr>
              <w:t>项目建设单位</w:t>
            </w:r>
          </w:p>
        </w:tc>
        <w:tc>
          <w:tcPr>
            <w:tcW w:w="3365"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韶关供电局</w:t>
            </w:r>
          </w:p>
        </w:tc>
        <w:tc>
          <w:tcPr>
            <w:tcW w:w="3469"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i w:val="0"/>
                <w:iCs w:val="0"/>
                <w:color w:val="auto"/>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韶关供电局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bidi="ar-SA"/>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9</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color w:val="auto"/>
                <w:sz w:val="21"/>
                <w:szCs w:val="21"/>
                <w:highlight w:val="none"/>
                <w:u w:val="none"/>
                <w:vertAlign w:val="baseline"/>
                <w:lang w:val="en-US" w:eastAsia="zh-CN"/>
              </w:rPr>
            </w:pPr>
            <w:r>
              <w:rPr>
                <w:rFonts w:hint="eastAsia" w:ascii="宋体" w:hAnsi="宋体" w:eastAsia="宋体" w:cs="宋体"/>
                <w:b w:val="0"/>
                <w:bCs w:val="0"/>
                <w:i w:val="0"/>
                <w:iCs w:val="0"/>
                <w:color w:val="auto"/>
                <w:sz w:val="21"/>
                <w:szCs w:val="21"/>
                <w:highlight w:val="none"/>
                <w:u w:val="none"/>
                <w:vertAlign w:val="baseline"/>
                <w:lang w:val="en-US" w:eastAsia="zh-CN"/>
              </w:rPr>
              <w:t>项目建设地点</w:t>
            </w:r>
          </w:p>
        </w:tc>
        <w:tc>
          <w:tcPr>
            <w:tcW w:w="3365"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韶关市</w:t>
            </w:r>
          </w:p>
        </w:tc>
        <w:tc>
          <w:tcPr>
            <w:tcW w:w="3469"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i w:val="0"/>
                <w:iCs w:val="0"/>
                <w:color w:val="auto"/>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bidi="ar-SA"/>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10</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color w:val="auto"/>
                <w:sz w:val="21"/>
                <w:szCs w:val="21"/>
                <w:highlight w:val="none"/>
                <w:u w:val="none"/>
                <w:vertAlign w:val="baseline"/>
                <w:lang w:val="en-US" w:eastAsia="zh-CN"/>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工期</w:t>
            </w:r>
          </w:p>
        </w:tc>
        <w:tc>
          <w:tcPr>
            <w:tcW w:w="3365"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00" w:lineRule="atLeast"/>
              <w:jc w:val="left"/>
              <w:textAlignment w:val="auto"/>
              <w:rPr>
                <w:rFonts w:hint="eastAsia" w:ascii="宋体" w:hAnsi="宋体" w:eastAsia="宋体" w:cs="宋体"/>
                <w:b w:val="0"/>
                <w:b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计划工期：90日历天</w:t>
            </w:r>
          </w:p>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00" w:lineRule="atLeast"/>
              <w:jc w:val="left"/>
              <w:textAlignment w:val="auto"/>
              <w:rPr>
                <w:rFonts w:hint="eastAsia" w:ascii="宋体" w:hAnsi="宋体" w:eastAsia="宋体" w:cs="宋体"/>
                <w:b w:val="0"/>
                <w:b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计划开工日期：2024年9月20日</w:t>
            </w:r>
          </w:p>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00" w:lineRule="atLeast"/>
              <w:jc w:val="left"/>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计划竣工日期：2024年12月19日</w:t>
            </w:r>
          </w:p>
        </w:tc>
        <w:tc>
          <w:tcPr>
            <w:tcW w:w="3469" w:type="dxa"/>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00" w:lineRule="atLeast"/>
              <w:jc w:val="left"/>
              <w:textAlignment w:val="auto"/>
              <w:rPr>
                <w:rFonts w:hint="eastAsia" w:ascii="宋体" w:hAnsi="宋体" w:eastAsia="宋体" w:cs="宋体"/>
                <w:b w:val="0"/>
                <w:b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计划工期：90日历天</w:t>
            </w:r>
          </w:p>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00" w:lineRule="atLeast"/>
              <w:jc w:val="left"/>
              <w:textAlignment w:val="auto"/>
              <w:rPr>
                <w:rFonts w:hint="eastAsia" w:ascii="宋体" w:hAnsi="宋体" w:eastAsia="宋体" w:cs="宋体"/>
                <w:b w:val="0"/>
                <w:b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计划开工日期：2024年9月20日</w:t>
            </w:r>
          </w:p>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00" w:lineRule="atLeast"/>
              <w:jc w:val="left"/>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计划竣工日期：2024年12月19日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bidi="ar-SA"/>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11</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color w:val="auto"/>
                <w:sz w:val="21"/>
                <w:szCs w:val="21"/>
                <w:highlight w:val="none"/>
                <w:u w:val="none"/>
                <w:vertAlign w:val="baseline"/>
                <w:lang w:val="en-US" w:eastAsia="zh-CN"/>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项目可研单位</w:t>
            </w:r>
          </w:p>
        </w:tc>
        <w:tc>
          <w:tcPr>
            <w:tcW w:w="3365"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240" w:lineRule="atLeas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韶关市擎能设计有限公司</w:t>
            </w:r>
          </w:p>
        </w:tc>
        <w:tc>
          <w:tcPr>
            <w:tcW w:w="3469"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240" w:lineRule="atLeas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韶关市擎能设计有限公司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bidi="ar-SA"/>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12</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color w:val="auto"/>
                <w:sz w:val="21"/>
                <w:szCs w:val="21"/>
                <w:highlight w:val="none"/>
                <w:u w:val="none"/>
                <w:vertAlign w:val="baseline"/>
                <w:lang w:val="en-US" w:eastAsia="zh-CN"/>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项目勘察设计单位</w:t>
            </w:r>
          </w:p>
        </w:tc>
        <w:tc>
          <w:tcPr>
            <w:tcW w:w="3365"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240" w:lineRule="atLeas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韶关市擎能设计有限公司</w:t>
            </w:r>
          </w:p>
        </w:tc>
        <w:tc>
          <w:tcPr>
            <w:tcW w:w="3469"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240" w:lineRule="atLeas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韶关市擎能设计有限公司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9"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13</w:t>
            </w:r>
          </w:p>
        </w:tc>
        <w:tc>
          <w:tcPr>
            <w:tcW w:w="821" w:type="pct"/>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i w:val="0"/>
                <w:iCs w:val="0"/>
                <w:color w:val="auto"/>
                <w:sz w:val="21"/>
                <w:szCs w:val="21"/>
                <w:highlight w:val="none"/>
                <w:u w:val="none"/>
                <w:vertAlign w:val="baseline"/>
                <w:lang w:val="en-US" w:eastAsia="zh-CN"/>
              </w:rPr>
            </w:pPr>
            <w:r>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t>项目监理单位</w:t>
            </w:r>
          </w:p>
        </w:tc>
        <w:tc>
          <w:tcPr>
            <w:tcW w:w="3365"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cs="宋体"/>
                <w:b w:val="0"/>
                <w:bCs w:val="0"/>
                <w:snapToGrid w:val="0"/>
                <w:color w:val="auto"/>
                <w:kern w:val="0"/>
                <w:sz w:val="21"/>
                <w:szCs w:val="21"/>
                <w:highlight w:val="none"/>
                <w:u w:val="none"/>
                <w:vertAlign w:val="baseline"/>
                <w:lang w:val="en-US" w:eastAsia="zh-CN"/>
              </w:rPr>
              <w:t>待定</w:t>
            </w:r>
          </w:p>
        </w:tc>
        <w:tc>
          <w:tcPr>
            <w:tcW w:w="3469"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i w:val="0"/>
                <w:iCs w:val="0"/>
                <w:snapToGrid w:val="0"/>
                <w:color w:val="auto"/>
                <w:kern w:val="0"/>
                <w:sz w:val="21"/>
                <w:szCs w:val="21"/>
                <w:highlight w:val="none"/>
                <w:u w:val="none"/>
                <w:vertAlign w:val="baseline"/>
                <w:lang w:val="en-US" w:eastAsia="zh-CN"/>
              </w:rPr>
            </w:pPr>
            <w:r>
              <w:rPr>
                <w:rFonts w:hint="eastAsia" w:ascii="宋体" w:hAnsi="宋体" w:cs="宋体"/>
                <w:b w:val="0"/>
                <w:bCs w:val="0"/>
                <w:snapToGrid w:val="0"/>
                <w:color w:val="auto"/>
                <w:kern w:val="0"/>
                <w:sz w:val="21"/>
                <w:szCs w:val="21"/>
                <w:highlight w:val="none"/>
                <w:u w:val="none"/>
                <w:vertAlign w:val="baseline"/>
                <w:lang w:val="en-US" w:eastAsia="zh-CN"/>
              </w:rPr>
              <w:t>待定</w:t>
            </w:r>
          </w:p>
        </w:tc>
      </w:tr>
    </w:tbl>
    <w:p>
      <w:pPr>
        <w:pStyle w:val="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val="0"/>
          <w:color w:val="auto"/>
          <w:kern w:val="0"/>
          <w:sz w:val="21"/>
          <w:szCs w:val="21"/>
          <w:highlight w:val="none"/>
          <w:u w:val="none"/>
          <w:lang w:val="en-US" w:eastAsia="zh-CN"/>
        </w:rPr>
      </w:pPr>
    </w:p>
    <w:p>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pPr>
        <w:pStyle w:val="9"/>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（一）项目概况</w:t>
      </w:r>
      <w:r>
        <w:rPr>
          <w:rFonts w:hint="eastAsia" w:ascii="宋体" w:hAnsi="宋体" w:eastAsia="宋体" w:cs="宋体"/>
          <w:color w:val="auto"/>
          <w:sz w:val="21"/>
          <w:szCs w:val="21"/>
          <w:highlight w:val="none"/>
          <w:lang w:val="en-US" w:eastAsia="zh-CN"/>
        </w:rPr>
        <w:t>：</w:t>
      </w:r>
      <w:bookmarkEnd w:id="0"/>
      <w:bookmarkStart w:id="1" w:name="_Toc28718"/>
      <w:bookmarkStart w:id="2" w:name="_Toc13498"/>
      <w:bookmarkStart w:id="3" w:name="_Toc4755"/>
    </w:p>
    <w:bookmarkEnd w:id="1"/>
    <w:bookmarkEnd w:id="2"/>
    <w:bookmarkEnd w:id="3"/>
    <w:p>
      <w:pPr>
        <w:pStyle w:val="9"/>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w:t>
      </w:r>
      <w:r>
        <w:rPr>
          <w:rFonts w:hint="eastAsia" w:ascii="宋体" w:hAnsi="宋体" w:eastAsia="宋体" w:cs="宋体"/>
          <w:b/>
          <w:bCs w:val="0"/>
          <w:color w:val="auto"/>
          <w:sz w:val="21"/>
          <w:szCs w:val="21"/>
          <w:highlight w:val="none"/>
          <w:lang w:val="en-US" w:eastAsia="zh-CN"/>
        </w:rPr>
        <w:t>韶关新丰35千伏科罗台区新建工程</w:t>
      </w:r>
      <w:r>
        <w:rPr>
          <w:rFonts w:hint="eastAsia" w:ascii="宋体" w:hAnsi="宋体" w:eastAsia="宋体" w:cs="宋体"/>
          <w:b/>
          <w:color w:val="auto"/>
          <w:sz w:val="21"/>
          <w:szCs w:val="21"/>
          <w:highlight w:val="none"/>
        </w:rPr>
        <w:t>施工</w:t>
      </w:r>
    </w:p>
    <w:p>
      <w:pPr>
        <w:pStyle w:val="9"/>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firstLine="422"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
          <w:bCs w:val="0"/>
          <w:color w:val="auto"/>
          <w:sz w:val="21"/>
          <w:szCs w:val="21"/>
          <w:highlight w:val="none"/>
          <w:lang w:val="en-US" w:eastAsia="zh-CN"/>
        </w:rPr>
        <w:t>※变电部分:</w:t>
      </w:r>
    </w:p>
    <w:p>
      <w:pPr>
        <w:pStyle w:val="10"/>
        <w:keepNext w:val="0"/>
        <w:keepLines w:val="0"/>
        <w:pageBreakBefore w:val="0"/>
        <w:widowControl w:val="0"/>
        <w:kinsoku/>
        <w:wordWrap/>
        <w:overflowPunct/>
        <w:topLinePunct w:val="0"/>
        <w:bidi w:val="0"/>
        <w:spacing w:after="0" w:line="560" w:lineRule="exact"/>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1.韶关新丰35千伏科罗台区新建工程：新建主变压器 1×5000KVA、35kV出线1回、10kV出线3回，本次新建无无功补偿。新建主变基础及油坑1座，新建相应的设备基础及辅助设施。</w:t>
      </w:r>
    </w:p>
    <w:p>
      <w:pPr>
        <w:pStyle w:val="10"/>
        <w:keepNext w:val="0"/>
        <w:keepLines w:val="0"/>
        <w:pageBreakBefore w:val="0"/>
        <w:widowControl w:val="0"/>
        <w:kinsoku/>
        <w:wordWrap/>
        <w:overflowPunct/>
        <w:topLinePunct w:val="0"/>
        <w:autoSpaceDE/>
        <w:autoSpaceDN/>
        <w:bidi w:val="0"/>
        <w:spacing w:after="0" w:line="560" w:lineRule="exact"/>
        <w:ind w:firstLine="562"/>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w:t>
      </w:r>
      <w:r>
        <w:rPr>
          <w:rFonts w:hint="eastAsia" w:ascii="宋体" w:hAnsi="宋体" w:eastAsia="宋体" w:cs="宋体"/>
          <w:b/>
          <w:bCs/>
          <w:color w:val="auto"/>
          <w:sz w:val="21"/>
          <w:szCs w:val="21"/>
          <w:highlight w:val="none"/>
        </w:rPr>
        <w:t>韶关新丰35千伏科罗台区线路工程施工</w:t>
      </w:r>
    </w:p>
    <w:p>
      <w:pPr>
        <w:pStyle w:val="9"/>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※架空线路部分</w:t>
      </w:r>
    </w:p>
    <w:p>
      <w:pPr>
        <w:pStyle w:val="9"/>
        <w:keepNext w:val="0"/>
        <w:keepLines w:val="0"/>
        <w:pageBreakBefore w:val="0"/>
        <w:widowControl w:val="0"/>
        <w:kinsoku/>
        <w:wordWrap/>
        <w:overflowPunct/>
        <w:topLinePunct w:val="0"/>
        <w:bidi w:val="0"/>
        <w:spacing w:line="560" w:lineRule="exact"/>
        <w:ind w:firstLine="420" w:firstLineChars="200"/>
        <w:jc w:val="left"/>
        <w:textAlignment w:val="auto"/>
        <w:outlineLvl w:val="9"/>
        <w:rPr>
          <w:rFonts w:hint="eastAsia" w:ascii="宋体" w:hAnsi="宋体" w:eastAsia="宋体" w:cs="宋体"/>
          <w:b w:val="0"/>
          <w:bCs/>
          <w:color w:val="auto"/>
          <w:kern w:val="0"/>
          <w:sz w:val="21"/>
          <w:szCs w:val="21"/>
          <w:highlight w:val="none"/>
          <w:lang w:val="en-US" w:eastAsia="zh-CN" w:bidi="ar-SA"/>
        </w:rPr>
      </w:pPr>
      <w:r>
        <w:rPr>
          <w:rFonts w:hint="eastAsia" w:ascii="宋体" w:hAnsi="宋体" w:eastAsia="宋体" w:cs="宋体"/>
          <w:b w:val="0"/>
          <w:bCs/>
          <w:color w:val="auto"/>
          <w:kern w:val="0"/>
          <w:sz w:val="21"/>
          <w:szCs w:val="21"/>
          <w:highlight w:val="none"/>
          <w:lang w:val="en-US" w:eastAsia="zh-CN" w:bidi="ar-SA"/>
        </w:rPr>
        <w:t>1.韶关新丰35千伏科罗台区线路工程：本工程新建35kV架空线路总长0.075km。新立铁塔3基，其中，双回耐张塔1基，单回耐张塔2基。新建线路导线型号采用JL/LB20A-150/25型铝包钢芯铝绞线，地线采用2根JLB20A-50型铝包钢绞线。新建线路按5mm覆冰、23.5m/s基本风速设计。本工程全线安装杆号牌3块、相序牌4套、禁攀牌3套、防鸟盒3套，更换大马线杆号牌46套。利用原导线调整原35kV大马线#39-#41号段导线（JL/G1A-150/25）及光缆(OPGW-24/48-2)弧垂，路径长约0.77km。本工程新建排水沟50m。</w:t>
      </w:r>
    </w:p>
    <w:p>
      <w:pPr>
        <w:pStyle w:val="9"/>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textAlignment w:val="auto"/>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u w:val="single"/>
        </w:rPr>
        <w:t>注：具体建设规模以施工图纸为准。</w:t>
      </w:r>
    </w:p>
    <w:p>
      <w:pPr>
        <w:pStyle w:val="9"/>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textAlignment w:val="auto"/>
        <w:rPr>
          <w:rFonts w:hint="eastAsia" w:ascii="宋体" w:hAnsi="宋体" w:eastAsia="宋体" w:cs="宋体"/>
          <w:b/>
          <w:color w:val="auto"/>
          <w:sz w:val="21"/>
          <w:szCs w:val="21"/>
          <w:highlight w:val="none"/>
          <w:u w:val="single"/>
        </w:rPr>
      </w:pPr>
    </w:p>
    <w:p>
      <w:pPr>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b/>
          <w:bCs/>
          <w:color w:val="auto"/>
          <w:sz w:val="21"/>
          <w:szCs w:val="21"/>
          <w:highlight w:val="none"/>
          <w:lang w:val="en-US" w:eastAsia="zh-CN"/>
        </w:rPr>
      </w:pPr>
    </w:p>
    <w:p>
      <w:pPr>
        <w:keepNext w:val="0"/>
        <w:keepLines w:val="0"/>
        <w:pageBreakBefore w:val="0"/>
        <w:widowControl w:val="0"/>
        <w:kinsoku/>
        <w:wordWrap/>
        <w:overflowPunct/>
        <w:topLinePunct w:val="0"/>
        <w:bidi w:val="0"/>
        <w:spacing w:line="56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（二）采购范围：</w:t>
      </w:r>
    </w:p>
    <w:p>
      <w:pPr>
        <w:pStyle w:val="9"/>
        <w:keepNext w:val="0"/>
        <w:keepLines w:val="0"/>
        <w:pageBreakBefore w:val="0"/>
        <w:widowControl w:val="0"/>
        <w:shd w:val="clear" w:color="auto" w:fill="auto"/>
        <w:kinsoku/>
        <w:wordWrap/>
        <w:overflowPunct/>
        <w:topLinePunct w:val="0"/>
        <w:autoSpaceDE/>
        <w:autoSpaceDN/>
        <w:bidi w:val="0"/>
        <w:adjustRightInd/>
        <w:snapToGrid/>
        <w:spacing w:line="520" w:lineRule="exact"/>
        <w:jc w:val="left"/>
        <w:textAlignment w:val="auto"/>
        <w:outlineLvl w:val="0"/>
        <w:rPr>
          <w:rFonts w:hint="eastAsia" w:ascii="宋体" w:hAnsi="宋体" w:eastAsia="宋体" w:cs="宋体"/>
          <w:snapToGrid w:val="0"/>
          <w:color w:val="auto"/>
          <w:kern w:val="0"/>
          <w:sz w:val="21"/>
          <w:szCs w:val="21"/>
          <w:highlight w:val="none"/>
          <w:u w:val="single"/>
        </w:rPr>
      </w:pPr>
      <w:bookmarkStart w:id="4" w:name="施工招标范围综合"/>
      <w:r>
        <w:rPr>
          <w:rFonts w:hint="eastAsia" w:ascii="宋体" w:hAnsi="宋体" w:eastAsia="宋体" w:cs="宋体"/>
          <w:b/>
          <w:bCs/>
          <w:snapToGrid w:val="0"/>
          <w:color w:val="auto"/>
          <w:kern w:val="0"/>
          <w:sz w:val="21"/>
          <w:szCs w:val="21"/>
          <w:highlight w:val="none"/>
          <w:u w:val="single"/>
        </w:rPr>
        <w:t>包括施工图范围内的建筑、安装及调试工程。施工图范围内的下列工作内容，无□及</w:t>
      </w:r>
      <w:r>
        <w:rPr>
          <w:rFonts w:hint="eastAsia" w:ascii="宋体" w:hAnsi="宋体" w:eastAsia="宋体" w:cs="宋体"/>
          <w:b/>
          <w:bCs/>
          <w:snapToGrid w:val="0"/>
          <w:color w:val="auto"/>
          <w:kern w:val="0"/>
          <w:sz w:val="21"/>
          <w:szCs w:val="21"/>
          <w:highlight w:val="none"/>
          <w:u w:val="single"/>
        </w:rPr>
        <w:fldChar w:fldCharType="begin"/>
      </w:r>
      <w:r>
        <w:rPr>
          <w:rFonts w:hint="eastAsia" w:ascii="宋体" w:hAnsi="宋体" w:eastAsia="宋体" w:cs="宋体"/>
          <w:b/>
          <w:bCs/>
          <w:snapToGrid w:val="0"/>
          <w:color w:val="auto"/>
          <w:kern w:val="0"/>
          <w:sz w:val="21"/>
          <w:szCs w:val="21"/>
          <w:highlight w:val="none"/>
          <w:u w:val="single"/>
        </w:rPr>
        <w:instrText xml:space="preserve"> EQ \o\ac(</w:instrText>
      </w:r>
      <w:r>
        <w:rPr>
          <w:rFonts w:hint="eastAsia" w:ascii="宋体" w:hAnsi="宋体" w:eastAsia="宋体" w:cs="宋体"/>
          <w:b/>
          <w:bCs/>
          <w:snapToGrid w:val="0"/>
          <w:color w:val="auto"/>
          <w:kern w:val="0"/>
          <w:position w:val="-4"/>
          <w:sz w:val="31"/>
          <w:szCs w:val="21"/>
          <w:highlight w:val="none"/>
          <w:u w:val="single"/>
        </w:rPr>
        <w:instrText xml:space="preserve">□</w:instrText>
      </w:r>
      <w:r>
        <w:rPr>
          <w:rFonts w:hint="eastAsia" w:ascii="宋体" w:hAnsi="宋体" w:eastAsia="宋体" w:cs="宋体"/>
          <w:b/>
          <w:bCs/>
          <w:snapToGrid w:val="0"/>
          <w:color w:val="auto"/>
          <w:kern w:val="0"/>
          <w:position w:val="0"/>
          <w:sz w:val="21"/>
          <w:szCs w:val="21"/>
          <w:highlight w:val="none"/>
          <w:u w:val="single"/>
        </w:rPr>
        <w:instrText xml:space="preserve">,√)</w:instrText>
      </w:r>
      <w:r>
        <w:rPr>
          <w:rFonts w:hint="eastAsia" w:ascii="宋体" w:hAnsi="宋体" w:eastAsia="宋体" w:cs="宋体"/>
          <w:b/>
          <w:bCs/>
          <w:snapToGrid w:val="0"/>
          <w:color w:val="auto"/>
          <w:kern w:val="0"/>
          <w:sz w:val="21"/>
          <w:szCs w:val="21"/>
          <w:highlight w:val="none"/>
          <w:u w:val="single"/>
        </w:rPr>
        <w:fldChar w:fldCharType="end"/>
      </w:r>
      <w:r>
        <w:rPr>
          <w:rFonts w:hint="eastAsia" w:ascii="宋体" w:hAnsi="宋体" w:eastAsia="宋体" w:cs="宋体"/>
          <w:b/>
          <w:bCs/>
          <w:snapToGrid w:val="0"/>
          <w:color w:val="auto"/>
          <w:kern w:val="0"/>
          <w:sz w:val="21"/>
          <w:szCs w:val="21"/>
          <w:highlight w:val="none"/>
          <w:u w:val="single"/>
        </w:rPr>
        <w:t>的为本次报价范围；□未打√的，不在本次报价范围内</w:t>
      </w:r>
      <w:bookmarkEnd w:id="4"/>
      <w:r>
        <w:rPr>
          <w:rFonts w:hint="eastAsia" w:ascii="宋体" w:hAnsi="宋体" w:eastAsia="宋体" w:cs="宋体"/>
          <w:b/>
          <w:bCs/>
          <w:snapToGrid w:val="0"/>
          <w:color w:val="auto"/>
          <w:kern w:val="0"/>
          <w:sz w:val="21"/>
          <w:szCs w:val="21"/>
          <w:highlight w:val="none"/>
          <w:u w:val="single"/>
        </w:rPr>
        <w:t>，特殊情况在“其他”中说明。</w:t>
      </w:r>
    </w:p>
    <w:p>
      <w:pPr>
        <w:pStyle w:val="9"/>
        <w:keepNext w:val="0"/>
        <w:keepLines w:val="0"/>
        <w:pageBreakBefore w:val="0"/>
        <w:widowControl w:val="0"/>
        <w:kinsoku/>
        <w:wordWrap/>
        <w:overflowPunct/>
        <w:topLinePunct w:val="0"/>
        <w:autoSpaceDE/>
        <w:autoSpaceDN/>
        <w:bidi w:val="0"/>
        <w:adjustRightInd w:val="0"/>
        <w:snapToGrid w:val="0"/>
        <w:spacing w:line="52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w:t>
      </w:r>
      <w:r>
        <w:rPr>
          <w:rFonts w:hint="eastAsia" w:ascii="宋体" w:hAnsi="宋体" w:eastAsia="宋体" w:cs="宋体"/>
          <w:b/>
          <w:bCs w:val="0"/>
          <w:color w:val="auto"/>
          <w:sz w:val="21"/>
          <w:szCs w:val="21"/>
          <w:highlight w:val="none"/>
          <w:lang w:val="en-US" w:eastAsia="zh-CN"/>
        </w:rPr>
        <w:t>韶关新丰35千伏科罗台区新建工程</w:t>
      </w:r>
      <w:r>
        <w:rPr>
          <w:rFonts w:hint="eastAsia" w:ascii="宋体" w:hAnsi="宋体" w:eastAsia="宋体" w:cs="宋体"/>
          <w:b/>
          <w:color w:val="auto"/>
          <w:sz w:val="21"/>
          <w:szCs w:val="21"/>
          <w:highlight w:val="none"/>
        </w:rPr>
        <w:t>施工</w:t>
      </w:r>
    </w:p>
    <w:p>
      <w:pPr>
        <w:pStyle w:val="9"/>
        <w:keepNext w:val="0"/>
        <w:keepLines w:val="0"/>
        <w:pageBreakBefore w:val="0"/>
        <w:widowControl w:val="0"/>
        <w:kinsoku/>
        <w:wordWrap/>
        <w:overflowPunct/>
        <w:topLinePunct w:val="0"/>
        <w:autoSpaceDE/>
        <w:autoSpaceDN/>
        <w:bidi w:val="0"/>
        <w:adjustRightInd w:val="0"/>
        <w:snapToGrid w:val="0"/>
        <w:spacing w:line="52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※变电部分</w:t>
      </w:r>
    </w:p>
    <w:p>
      <w:pPr>
        <w:keepNext w:val="0"/>
        <w:keepLines w:val="0"/>
        <w:pageBreakBefore w:val="0"/>
        <w:widowControl w:val="0"/>
        <w:kinsoku/>
        <w:wordWrap/>
        <w:overflowPunct/>
        <w:topLinePunct w:val="0"/>
        <w:autoSpaceDE w:val="0"/>
        <w:autoSpaceDN w:val="0"/>
        <w:bidi w:val="0"/>
        <w:adjustRightInd w:val="0"/>
        <w:spacing w:line="520" w:lineRule="exact"/>
        <w:ind w:firstLine="420" w:firstLineChars="200"/>
        <w:jc w:val="left"/>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变电建筑</w:t>
      </w:r>
      <w:r>
        <w:rPr>
          <w:rFonts w:hint="eastAsia" w:ascii="宋体" w:hAnsi="宋体" w:eastAsia="宋体" w:cs="宋体"/>
          <w:b w:val="0"/>
          <w:bCs w:val="0"/>
          <w:color w:val="auto"/>
          <w:sz w:val="21"/>
          <w:szCs w:val="21"/>
          <w:highlight w:val="none"/>
          <w:lang w:eastAsia="zh-CN"/>
        </w:rPr>
        <w:t>工程</w:t>
      </w:r>
      <w:r>
        <w:rPr>
          <w:rFonts w:hint="eastAsia" w:ascii="宋体" w:hAnsi="宋体" w:eastAsia="宋体" w:cs="宋体"/>
          <w:b w:val="0"/>
          <w:bCs w:val="0"/>
          <w:color w:val="auto"/>
          <w:sz w:val="21"/>
          <w:szCs w:val="21"/>
          <w:highlight w:val="none"/>
        </w:rPr>
        <w:t>：</w:t>
      </w:r>
    </w:p>
    <w:p>
      <w:pPr>
        <w:keepNext w:val="0"/>
        <w:keepLines w:val="0"/>
        <w:pageBreakBefore w:val="0"/>
        <w:widowControl w:val="0"/>
        <w:numPr>
          <w:ilvl w:val="0"/>
          <w:numId w:val="0"/>
        </w:numPr>
        <w:kinsoku/>
        <w:wordWrap/>
        <w:overflowPunct/>
        <w:topLinePunct w:val="0"/>
        <w:autoSpaceDE w:val="0"/>
        <w:autoSpaceDN w:val="0"/>
        <w:bidi w:val="0"/>
        <w:adjustRightInd w:val="0"/>
        <w:spacing w:line="520" w:lineRule="exact"/>
        <w:ind w:firstLine="420" w:firstLineChars="200"/>
        <w:jc w:val="left"/>
        <w:textAlignment w:val="auto"/>
        <w:outlineLvl w:val="9"/>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（一）主要生产工程：</w:t>
      </w:r>
      <w:r>
        <w:rPr>
          <w:rFonts w:hint="eastAsia" w:ascii="宋体" w:hAnsi="宋体" w:eastAsia="宋体" w:cs="宋体"/>
          <w:b w:val="0"/>
          <w:bCs w:val="0"/>
          <w:color w:val="auto"/>
          <w:sz w:val="21"/>
          <w:szCs w:val="21"/>
          <w:highlight w:val="none"/>
        </w:rPr>
        <w:t>主要生产建筑</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配电装置建筑</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供水系统</w:t>
      </w:r>
      <w:r>
        <w:rPr>
          <w:rFonts w:hint="eastAsia" w:ascii="宋体" w:hAnsi="宋体" w:eastAsia="宋体" w:cs="宋体"/>
          <w:b w:val="0"/>
          <w:bCs w:val="0"/>
          <w:color w:val="auto"/>
          <w:sz w:val="21"/>
          <w:szCs w:val="21"/>
          <w:highlight w:val="none"/>
          <w:lang w:eastAsia="zh-CN"/>
        </w:rPr>
        <w:t>，消防系统；</w:t>
      </w:r>
    </w:p>
    <w:p>
      <w:pPr>
        <w:keepNext w:val="0"/>
        <w:keepLines w:val="0"/>
        <w:pageBreakBefore w:val="0"/>
        <w:widowControl w:val="0"/>
        <w:numPr>
          <w:ilvl w:val="0"/>
          <w:numId w:val="0"/>
        </w:numPr>
        <w:kinsoku/>
        <w:wordWrap/>
        <w:overflowPunct/>
        <w:topLinePunct w:val="0"/>
        <w:autoSpaceDE w:val="0"/>
        <w:autoSpaceDN w:val="0"/>
        <w:bidi w:val="0"/>
        <w:adjustRightInd w:val="0"/>
        <w:spacing w:line="520" w:lineRule="exact"/>
        <w:ind w:firstLine="420" w:firstLineChars="200"/>
        <w:jc w:val="left"/>
        <w:textAlignment w:val="auto"/>
        <w:outlineLvl w:val="9"/>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（二）辅助生产工程：辅助生产建筑，站区性建筑，特殊构筑物，全站沉降观测点，站区绿化；</w:t>
      </w:r>
    </w:p>
    <w:p>
      <w:pPr>
        <w:keepNext w:val="0"/>
        <w:keepLines w:val="0"/>
        <w:pageBreakBefore w:val="0"/>
        <w:widowControl w:val="0"/>
        <w:numPr>
          <w:ilvl w:val="0"/>
          <w:numId w:val="0"/>
        </w:numPr>
        <w:kinsoku/>
        <w:wordWrap/>
        <w:overflowPunct/>
        <w:topLinePunct w:val="0"/>
        <w:autoSpaceDE w:val="0"/>
        <w:autoSpaceDN w:val="0"/>
        <w:bidi w:val="0"/>
        <w:adjustRightInd w:val="0"/>
        <w:spacing w:line="520" w:lineRule="exact"/>
        <w:ind w:firstLine="420" w:firstLineChars="200"/>
        <w:jc w:val="left"/>
        <w:textAlignment w:val="auto"/>
        <w:outlineLvl w:val="9"/>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（三）与站址有关的单项工程</w:t>
      </w:r>
      <w:r>
        <w:rPr>
          <w:rFonts w:hint="eastAsia" w:ascii="宋体" w:hAnsi="宋体" w:eastAsia="宋体" w:cs="宋体"/>
          <w:b w:val="0"/>
          <w:bCs w:val="0"/>
          <w:color w:val="auto"/>
          <w:sz w:val="21"/>
          <w:szCs w:val="21"/>
          <w:highlight w:val="none"/>
          <w:lang w:val="en-US" w:eastAsia="zh-CN"/>
        </w:rPr>
        <w:t>：</w:t>
      </w:r>
    </w:p>
    <w:p>
      <w:pPr>
        <w:keepNext w:val="0"/>
        <w:keepLines w:val="0"/>
        <w:pageBreakBefore w:val="0"/>
        <w:widowControl w:val="0"/>
        <w:kinsoku/>
        <w:wordWrap/>
        <w:overflowPunct/>
        <w:topLinePunct w:val="0"/>
        <w:autoSpaceDE w:val="0"/>
        <w:autoSpaceDN w:val="0"/>
        <w:bidi w:val="0"/>
        <w:adjustRightInd w:val="0"/>
        <w:spacing w:line="520" w:lineRule="exact"/>
        <w:ind w:firstLine="630" w:firstLineChars="300"/>
        <w:jc w:val="left"/>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□地基处理</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站外道路（</w:t>
      </w:r>
      <w:r>
        <w:rPr>
          <w:rFonts w:hint="eastAsia" w:ascii="宋体" w:hAnsi="宋体" w:eastAsia="宋体" w:cs="宋体"/>
          <w:b w:val="0"/>
          <w:bCs w:val="0"/>
          <w:color w:val="auto"/>
          <w:sz w:val="21"/>
          <w:szCs w:val="21"/>
          <w:highlight w:val="none"/>
          <w:lang w:eastAsia="zh-CN"/>
        </w:rPr>
        <w:t>其中</w:t>
      </w:r>
      <w:r>
        <w:rPr>
          <w:rFonts w:hint="eastAsia" w:ascii="宋体" w:hAnsi="宋体" w:eastAsia="宋体" w:cs="宋体"/>
          <w:b w:val="0"/>
          <w:bCs w:val="0"/>
          <w:color w:val="auto"/>
          <w:sz w:val="21"/>
          <w:szCs w:val="21"/>
          <w:highlight w:val="none"/>
        </w:rPr>
        <w:t>□桥涵），□站外水源，</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站外排水，□</w:t>
      </w:r>
      <w:r>
        <w:rPr>
          <w:rFonts w:hint="eastAsia" w:ascii="宋体" w:hAnsi="宋体" w:eastAsia="宋体" w:cs="宋体"/>
          <w:b w:val="0"/>
          <w:bCs w:val="0"/>
          <w:color w:val="auto"/>
          <w:sz w:val="21"/>
          <w:szCs w:val="21"/>
          <w:highlight w:val="none"/>
          <w:lang w:eastAsia="zh-CN"/>
        </w:rPr>
        <w:t>站外蒸发池</w:t>
      </w:r>
      <w:r>
        <w:rPr>
          <w:rFonts w:hint="eastAsia" w:ascii="宋体" w:hAnsi="宋体" w:eastAsia="宋体" w:cs="宋体"/>
          <w:b w:val="0"/>
          <w:bCs w:val="0"/>
          <w:color w:val="auto"/>
          <w:sz w:val="21"/>
          <w:szCs w:val="21"/>
          <w:highlight w:val="none"/>
        </w:rPr>
        <w:t>，□施工降水，</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临时施工电源，□临时施工水源，□临时施工道路，□临时</w:t>
      </w:r>
      <w:r>
        <w:rPr>
          <w:rFonts w:hint="eastAsia" w:ascii="宋体" w:hAnsi="宋体" w:eastAsia="宋体" w:cs="宋体"/>
          <w:b w:val="0"/>
          <w:bCs w:val="0"/>
          <w:color w:val="auto"/>
          <w:sz w:val="21"/>
          <w:szCs w:val="21"/>
          <w:highlight w:val="none"/>
          <w:lang w:eastAsia="zh-CN"/>
        </w:rPr>
        <w:t>施工</w:t>
      </w:r>
      <w:r>
        <w:rPr>
          <w:rFonts w:hint="eastAsia" w:ascii="宋体" w:hAnsi="宋体" w:eastAsia="宋体" w:cs="宋体"/>
          <w:b w:val="0"/>
          <w:bCs w:val="0"/>
          <w:color w:val="auto"/>
          <w:sz w:val="21"/>
          <w:szCs w:val="21"/>
          <w:highlight w:val="none"/>
        </w:rPr>
        <w:t>通信线路，□临时施工防护工程</w:t>
      </w:r>
      <w:r>
        <w:rPr>
          <w:rFonts w:hint="eastAsia" w:ascii="宋体" w:hAnsi="宋体" w:eastAsia="宋体" w:cs="宋体"/>
          <w:b w:val="0"/>
          <w:bCs w:val="0"/>
          <w:color w:val="auto"/>
          <w:sz w:val="21"/>
          <w:szCs w:val="21"/>
          <w:highlight w:val="none"/>
          <w:lang w:eastAsia="zh-CN"/>
        </w:rPr>
        <w:t>；</w:t>
      </w:r>
    </w:p>
    <w:p>
      <w:pPr>
        <w:keepNext w:val="0"/>
        <w:keepLines w:val="0"/>
        <w:pageBreakBefore w:val="0"/>
        <w:widowControl w:val="0"/>
        <w:kinsoku/>
        <w:wordWrap/>
        <w:overflowPunct/>
        <w:topLinePunct w:val="0"/>
        <w:autoSpaceDE w:val="0"/>
        <w:autoSpaceDN w:val="0"/>
        <w:bidi w:val="0"/>
        <w:adjustRightInd w:val="0"/>
        <w:spacing w:line="520" w:lineRule="exact"/>
        <w:ind w:firstLine="420"/>
        <w:jc w:val="left"/>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（四）</w:t>
      </w:r>
      <w:r>
        <w:rPr>
          <w:rFonts w:hint="eastAsia" w:ascii="宋体" w:hAnsi="宋体" w:eastAsia="宋体" w:cs="宋体"/>
          <w:b w:val="0"/>
          <w:bCs w:val="0"/>
          <w:color w:val="auto"/>
          <w:sz w:val="21"/>
          <w:szCs w:val="21"/>
          <w:highlight w:val="none"/>
        </w:rPr>
        <w:t>其他</w:t>
      </w:r>
      <w:r>
        <w:rPr>
          <w:rFonts w:hint="eastAsia" w:ascii="宋体" w:hAnsi="宋体" w:eastAsia="宋体" w:cs="宋体"/>
          <w:b w:val="0"/>
          <w:bCs w:val="0"/>
          <w:color w:val="auto"/>
          <w:sz w:val="21"/>
          <w:szCs w:val="21"/>
          <w:highlight w:val="none"/>
          <w:lang w:eastAsia="zh-CN"/>
        </w:rPr>
        <w:t>费用工程</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none"/>
          <w:lang w:eastAsia="zh-CN"/>
        </w:rPr>
        <w:t>☑</w:t>
      </w:r>
      <w:r>
        <w:rPr>
          <w:rFonts w:hint="eastAsia" w:ascii="宋体" w:hAnsi="宋体" w:eastAsia="宋体" w:cs="宋体"/>
          <w:b w:val="0"/>
          <w:bCs w:val="0"/>
          <w:color w:val="auto"/>
          <w:sz w:val="21"/>
          <w:szCs w:val="21"/>
          <w:highlight w:val="none"/>
          <w:u w:val="none"/>
        </w:rPr>
        <w:t>白蚁防治</w:t>
      </w:r>
      <w:r>
        <w:rPr>
          <w:rFonts w:hint="eastAsia" w:ascii="宋体" w:hAnsi="宋体" w:eastAsia="宋体" w:cs="宋体"/>
          <w:b w:val="0"/>
          <w:bCs w:val="0"/>
          <w:color w:val="auto"/>
          <w:sz w:val="21"/>
          <w:szCs w:val="21"/>
          <w:highlight w:val="none"/>
          <w:u w:val="none"/>
          <w:lang w:eastAsia="zh-CN"/>
        </w:rPr>
        <w:t>，</w:t>
      </w:r>
      <w:r>
        <w:rPr>
          <w:rFonts w:hint="eastAsia" w:ascii="宋体" w:hAnsi="宋体" w:eastAsia="宋体" w:cs="宋体"/>
          <w:b w:val="0"/>
          <w:bCs w:val="0"/>
          <w:color w:val="auto"/>
          <w:sz w:val="21"/>
          <w:szCs w:val="21"/>
          <w:highlight w:val="none"/>
          <w:u w:val="none"/>
        </w:rPr>
        <w:t>□</w:t>
      </w:r>
      <w:r>
        <w:rPr>
          <w:rFonts w:hint="eastAsia" w:ascii="宋体" w:hAnsi="宋体" w:eastAsia="宋体" w:cs="宋体"/>
          <w:b w:val="0"/>
          <w:bCs w:val="0"/>
          <w:color w:val="auto"/>
          <w:sz w:val="21"/>
          <w:szCs w:val="21"/>
          <w:highlight w:val="none"/>
          <w:u w:val="none"/>
          <w:lang w:eastAsia="zh-CN"/>
        </w:rPr>
        <w:t>拆除工程</w:t>
      </w:r>
      <w:r>
        <w:rPr>
          <w:rFonts w:hint="eastAsia" w:ascii="宋体" w:hAnsi="宋体" w:eastAsia="宋体" w:cs="宋体"/>
          <w:b w:val="0"/>
          <w:bCs w:val="0"/>
          <w:color w:val="auto"/>
          <w:sz w:val="21"/>
          <w:szCs w:val="21"/>
          <w:highlight w:val="none"/>
          <w:u w:val="none"/>
          <w:lang w:val="en-US" w:eastAsia="zh-CN"/>
        </w:rPr>
        <w:t>；</w:t>
      </w:r>
    </w:p>
    <w:p>
      <w:pPr>
        <w:keepNext w:val="0"/>
        <w:keepLines w:val="0"/>
        <w:pageBreakBefore w:val="0"/>
        <w:widowControl w:val="0"/>
        <w:kinsoku/>
        <w:wordWrap/>
        <w:overflowPunct/>
        <w:topLinePunct w:val="0"/>
        <w:autoSpaceDE w:val="0"/>
        <w:autoSpaceDN w:val="0"/>
        <w:bidi w:val="0"/>
        <w:adjustRightInd w:val="0"/>
        <w:spacing w:line="520" w:lineRule="exact"/>
        <w:ind w:firstLine="420"/>
        <w:jc w:val="left"/>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（五）</w:t>
      </w:r>
      <w:r>
        <w:rPr>
          <w:rFonts w:hint="eastAsia" w:ascii="宋体" w:hAnsi="宋体" w:eastAsia="宋体" w:cs="宋体"/>
          <w:b w:val="0"/>
          <w:bCs w:val="0"/>
          <w:color w:val="auto"/>
          <w:sz w:val="21"/>
          <w:szCs w:val="21"/>
          <w:highlight w:val="none"/>
        </w:rPr>
        <w:t>其他：</w:t>
      </w:r>
      <w:r>
        <w:rPr>
          <w:rFonts w:hint="eastAsia" w:ascii="宋体" w:hAnsi="宋体" w:eastAsia="宋体" w:cs="宋体"/>
          <w:b w:val="0"/>
          <w:bCs w:val="0"/>
          <w:color w:val="auto"/>
          <w:sz w:val="21"/>
          <w:szCs w:val="21"/>
          <w:highlight w:val="none"/>
          <w:u w:val="single"/>
          <w:lang w:val="en-US" w:eastAsia="zh-CN"/>
        </w:rPr>
        <w:t xml:space="preserve">     /    。</w:t>
      </w:r>
    </w:p>
    <w:p>
      <w:pPr>
        <w:keepNext w:val="0"/>
        <w:keepLines w:val="0"/>
        <w:pageBreakBefore w:val="0"/>
        <w:widowControl w:val="0"/>
        <w:kinsoku/>
        <w:wordWrap/>
        <w:overflowPunct/>
        <w:topLinePunct w:val="0"/>
        <w:autoSpaceDE w:val="0"/>
        <w:autoSpaceDN w:val="0"/>
        <w:bidi w:val="0"/>
        <w:adjustRightInd w:val="0"/>
        <w:spacing w:line="520" w:lineRule="exact"/>
        <w:ind w:firstLine="420"/>
        <w:jc w:val="left"/>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变电安装</w:t>
      </w:r>
      <w:r>
        <w:rPr>
          <w:rFonts w:hint="eastAsia" w:ascii="宋体" w:hAnsi="宋体" w:eastAsia="宋体" w:cs="宋体"/>
          <w:b w:val="0"/>
          <w:bCs w:val="0"/>
          <w:color w:val="auto"/>
          <w:sz w:val="21"/>
          <w:szCs w:val="21"/>
          <w:highlight w:val="none"/>
          <w:lang w:eastAsia="zh-CN"/>
        </w:rPr>
        <w:t>工程</w:t>
      </w:r>
      <w:r>
        <w:rPr>
          <w:rFonts w:hint="eastAsia" w:ascii="宋体" w:hAnsi="宋体" w:eastAsia="宋体" w:cs="宋体"/>
          <w:b w:val="0"/>
          <w:bCs w:val="0"/>
          <w:color w:val="auto"/>
          <w:sz w:val="21"/>
          <w:szCs w:val="21"/>
          <w:highlight w:val="none"/>
        </w:rPr>
        <w:t>：</w:t>
      </w:r>
    </w:p>
    <w:p>
      <w:pPr>
        <w:keepNext w:val="0"/>
        <w:keepLines w:val="0"/>
        <w:pageBreakBefore w:val="0"/>
        <w:widowControl w:val="0"/>
        <w:numPr>
          <w:ilvl w:val="0"/>
          <w:numId w:val="1"/>
        </w:numPr>
        <w:kinsoku/>
        <w:wordWrap/>
        <w:overflowPunct/>
        <w:topLinePunct w:val="0"/>
        <w:bidi w:val="0"/>
        <w:spacing w:line="520" w:lineRule="exact"/>
        <w:ind w:firstLine="420" w:firstLineChars="200"/>
        <w:jc w:val="left"/>
        <w:textAlignment w:val="auto"/>
        <w:outlineLvl w:val="9"/>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sz w:val="21"/>
          <w:szCs w:val="21"/>
          <w:highlight w:val="none"/>
          <w:lang w:eastAsia="zh-CN"/>
        </w:rPr>
        <w:t>主要生产工程：</w:t>
      </w:r>
      <w:r>
        <w:rPr>
          <w:rFonts w:hint="eastAsia" w:ascii="宋体" w:hAnsi="宋体" w:eastAsia="宋体" w:cs="宋体"/>
          <w:b w:val="0"/>
          <w:bCs w:val="0"/>
          <w:color w:val="auto"/>
          <w:sz w:val="21"/>
          <w:szCs w:val="21"/>
          <w:highlight w:val="none"/>
        </w:rPr>
        <w:t>主变压器系统，配电装置，无功补偿，控制及直流系统，站用电系统，电缆及接地，远动系统（含总调、中调、地调调度端的扩容），计费系统，全站调试（其中特殊调试以合同附件十二特殊调试项目为准）；</w:t>
      </w:r>
    </w:p>
    <w:p>
      <w:pPr>
        <w:keepNext w:val="0"/>
        <w:keepLines w:val="0"/>
        <w:pageBreakBefore w:val="0"/>
        <w:widowControl w:val="0"/>
        <w:kinsoku/>
        <w:wordWrap/>
        <w:overflowPunct/>
        <w:topLinePunct w:val="0"/>
        <w:autoSpaceDE w:val="0"/>
        <w:autoSpaceDN w:val="0"/>
        <w:bidi w:val="0"/>
        <w:adjustRightInd w:val="0"/>
        <w:spacing w:line="520" w:lineRule="exact"/>
        <w:ind w:firstLine="420"/>
        <w:jc w:val="left"/>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二</w:t>
      </w:r>
      <w:r>
        <w:rPr>
          <w:rFonts w:hint="eastAsia" w:ascii="宋体" w:hAnsi="宋体" w:eastAsia="宋体" w:cs="宋体"/>
          <w:b w:val="0"/>
          <w:bCs w:val="0"/>
          <w:color w:val="auto"/>
          <w:sz w:val="21"/>
          <w:szCs w:val="21"/>
          <w:highlight w:val="none"/>
          <w:lang w:eastAsia="zh-CN"/>
        </w:rPr>
        <w:t>）辅助生产工程：检修及修配设备；</w:t>
      </w:r>
    </w:p>
    <w:p>
      <w:pPr>
        <w:keepNext w:val="0"/>
        <w:keepLines w:val="0"/>
        <w:pageBreakBefore w:val="0"/>
        <w:widowControl w:val="0"/>
        <w:kinsoku/>
        <w:wordWrap/>
        <w:overflowPunct/>
        <w:topLinePunct w:val="0"/>
        <w:autoSpaceDE w:val="0"/>
        <w:autoSpaceDN w:val="0"/>
        <w:bidi w:val="0"/>
        <w:adjustRightInd w:val="0"/>
        <w:spacing w:line="520" w:lineRule="exact"/>
        <w:ind w:firstLine="420"/>
        <w:jc w:val="left"/>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（三）与站址有关的单项工程</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rPr>
        <w:t>□站外电源，□站外通信</w:t>
      </w:r>
      <w:r>
        <w:rPr>
          <w:rFonts w:hint="eastAsia" w:ascii="宋体" w:hAnsi="宋体" w:eastAsia="宋体" w:cs="宋体"/>
          <w:b w:val="0"/>
          <w:bCs w:val="0"/>
          <w:color w:val="auto"/>
          <w:sz w:val="21"/>
          <w:szCs w:val="21"/>
          <w:highlight w:val="none"/>
          <w:lang w:eastAsia="zh-CN"/>
        </w:rPr>
        <w:t>；</w:t>
      </w:r>
    </w:p>
    <w:p>
      <w:pPr>
        <w:keepNext w:val="0"/>
        <w:keepLines w:val="0"/>
        <w:pageBreakBefore w:val="0"/>
        <w:widowControl w:val="0"/>
        <w:kinsoku/>
        <w:wordWrap/>
        <w:overflowPunct/>
        <w:topLinePunct w:val="0"/>
        <w:autoSpaceDE w:val="0"/>
        <w:autoSpaceDN w:val="0"/>
        <w:bidi w:val="0"/>
        <w:adjustRightInd w:val="0"/>
        <w:spacing w:line="520" w:lineRule="exact"/>
        <w:ind w:firstLine="42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（四）</w:t>
      </w:r>
      <w:r>
        <w:rPr>
          <w:rFonts w:hint="eastAsia" w:ascii="宋体" w:hAnsi="宋体" w:eastAsia="宋体" w:cs="宋体"/>
          <w:b w:val="0"/>
          <w:bCs w:val="0"/>
          <w:color w:val="auto"/>
          <w:sz w:val="21"/>
          <w:szCs w:val="21"/>
          <w:highlight w:val="none"/>
        </w:rPr>
        <w:t>其他</w:t>
      </w:r>
      <w:r>
        <w:rPr>
          <w:rFonts w:hint="eastAsia" w:ascii="宋体" w:hAnsi="宋体" w:eastAsia="宋体" w:cs="宋体"/>
          <w:b w:val="0"/>
          <w:bCs w:val="0"/>
          <w:color w:val="auto"/>
          <w:sz w:val="21"/>
          <w:szCs w:val="21"/>
          <w:highlight w:val="none"/>
          <w:lang w:eastAsia="zh-CN"/>
        </w:rPr>
        <w:t>费用工程</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none"/>
          <w:lang w:eastAsia="zh-CN"/>
        </w:rPr>
        <w:t>☑标志牌</w:t>
      </w:r>
      <w:r>
        <w:rPr>
          <w:rFonts w:hint="eastAsia" w:ascii="宋体" w:hAnsi="宋体" w:eastAsia="宋体" w:cs="宋体"/>
          <w:b w:val="0"/>
          <w:bCs w:val="0"/>
          <w:color w:val="auto"/>
          <w:sz w:val="21"/>
          <w:szCs w:val="21"/>
          <w:highlight w:val="none"/>
          <w:u w:val="none"/>
        </w:rPr>
        <w:t>安</w:t>
      </w:r>
      <w:r>
        <w:rPr>
          <w:rFonts w:hint="eastAsia" w:ascii="宋体" w:hAnsi="宋体" w:eastAsia="宋体" w:cs="宋体"/>
          <w:b w:val="0"/>
          <w:bCs w:val="0"/>
          <w:color w:val="auto"/>
          <w:sz w:val="21"/>
          <w:szCs w:val="21"/>
          <w:highlight w:val="none"/>
          <w:u w:val="none"/>
          <w:lang w:eastAsia="zh-CN"/>
        </w:rPr>
        <w:t>装，</w:t>
      </w:r>
      <w:r>
        <w:rPr>
          <w:rFonts w:hint="eastAsia" w:ascii="宋体" w:hAnsi="宋体" w:eastAsia="宋体" w:cs="宋体"/>
          <w:b w:val="0"/>
          <w:bCs w:val="0"/>
          <w:color w:val="auto"/>
          <w:sz w:val="21"/>
          <w:szCs w:val="21"/>
          <w:highlight w:val="none"/>
          <w:u w:val="none"/>
        </w:rPr>
        <w:t>□</w:t>
      </w:r>
      <w:r>
        <w:rPr>
          <w:rFonts w:hint="eastAsia" w:ascii="宋体" w:hAnsi="宋体" w:eastAsia="宋体" w:cs="宋体"/>
          <w:b w:val="0"/>
          <w:bCs w:val="0"/>
          <w:color w:val="auto"/>
          <w:sz w:val="21"/>
          <w:szCs w:val="21"/>
          <w:highlight w:val="none"/>
          <w:u w:val="none"/>
          <w:lang w:eastAsia="zh-CN"/>
        </w:rPr>
        <w:t>拆除工程；</w:t>
      </w:r>
    </w:p>
    <w:p>
      <w:pPr>
        <w:keepNext w:val="0"/>
        <w:keepLines w:val="0"/>
        <w:pageBreakBefore w:val="0"/>
        <w:widowControl w:val="0"/>
        <w:kinsoku/>
        <w:wordWrap/>
        <w:overflowPunct/>
        <w:topLinePunct w:val="0"/>
        <w:autoSpaceDE w:val="0"/>
        <w:autoSpaceDN w:val="0"/>
        <w:bidi w:val="0"/>
        <w:adjustRightInd w:val="0"/>
        <w:spacing w:line="520" w:lineRule="exact"/>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val="0"/>
          <w:bCs w:val="0"/>
          <w:color w:val="auto"/>
          <w:sz w:val="21"/>
          <w:szCs w:val="21"/>
          <w:highlight w:val="none"/>
          <w:lang w:eastAsia="zh-CN"/>
        </w:rPr>
        <w:t>（五）</w:t>
      </w:r>
      <w:r>
        <w:rPr>
          <w:rFonts w:hint="eastAsia" w:ascii="宋体" w:hAnsi="宋体" w:eastAsia="宋体" w:cs="宋体"/>
          <w:b w:val="0"/>
          <w:bCs w:val="0"/>
          <w:color w:val="auto"/>
          <w:sz w:val="21"/>
          <w:szCs w:val="21"/>
          <w:highlight w:val="none"/>
        </w:rPr>
        <w:t>其他：</w:t>
      </w:r>
      <w:r>
        <w:rPr>
          <w:rFonts w:hint="eastAsia" w:ascii="宋体" w:hAnsi="宋体" w:eastAsia="宋体" w:cs="宋体"/>
          <w:b w:val="0"/>
          <w:bCs w:val="0"/>
          <w:color w:val="auto"/>
          <w:sz w:val="21"/>
          <w:szCs w:val="21"/>
          <w:highlight w:val="none"/>
          <w:u w:val="single"/>
          <w:lang w:val="en-US" w:eastAsia="zh-CN"/>
        </w:rPr>
        <w:t xml:space="preserve">     /    </w:t>
      </w:r>
      <w:r>
        <w:rPr>
          <w:rFonts w:hint="eastAsia" w:ascii="宋体" w:hAnsi="宋体" w:eastAsia="宋体" w:cs="宋体"/>
          <w:color w:val="auto"/>
          <w:sz w:val="21"/>
          <w:szCs w:val="21"/>
          <w:highlight w:val="none"/>
          <w:u w:val="single"/>
          <w:lang w:val="en-US" w:eastAsia="zh-CN"/>
        </w:rPr>
        <w:t>。</w:t>
      </w:r>
    </w:p>
    <w:p>
      <w:pPr>
        <w:pStyle w:val="10"/>
        <w:keepNext w:val="0"/>
        <w:keepLines w:val="0"/>
        <w:pageBreakBefore w:val="0"/>
        <w:widowControl w:val="0"/>
        <w:kinsoku/>
        <w:wordWrap/>
        <w:overflowPunct/>
        <w:topLinePunct w:val="0"/>
        <w:autoSpaceDE/>
        <w:autoSpaceDN/>
        <w:bidi w:val="0"/>
        <w:spacing w:after="0" w:line="520" w:lineRule="exact"/>
        <w:ind w:firstLine="562"/>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b/>
          <w:bCs/>
          <w:color w:val="auto"/>
          <w:kern w:val="2"/>
          <w:sz w:val="21"/>
          <w:szCs w:val="21"/>
          <w:highlight w:val="none"/>
        </w:rPr>
        <w:t>(2)</w:t>
      </w:r>
      <w:r>
        <w:rPr>
          <w:rFonts w:hint="eastAsia" w:ascii="宋体" w:hAnsi="宋体" w:eastAsia="宋体" w:cs="宋体"/>
          <w:b/>
          <w:bCs/>
          <w:color w:val="auto"/>
          <w:sz w:val="21"/>
          <w:szCs w:val="21"/>
          <w:highlight w:val="none"/>
        </w:rPr>
        <w:t>韶关新丰35千伏科罗台区线路工程施</w:t>
      </w:r>
      <w:r>
        <w:rPr>
          <w:rFonts w:hint="eastAsia" w:ascii="宋体" w:hAnsi="宋体" w:eastAsia="宋体" w:cs="宋体"/>
          <w:b/>
          <w:bCs/>
          <w:color w:val="auto"/>
          <w:sz w:val="21"/>
          <w:szCs w:val="21"/>
          <w:highlight w:val="none"/>
          <w:lang w:val="en-US" w:eastAsia="zh-CN"/>
        </w:rPr>
        <w:t>工</w:t>
      </w:r>
    </w:p>
    <w:p>
      <w:pPr>
        <w:pStyle w:val="9"/>
        <w:keepNext w:val="0"/>
        <w:keepLines w:val="0"/>
        <w:pageBreakBefore w:val="0"/>
        <w:widowControl w:val="0"/>
        <w:kinsoku/>
        <w:wordWrap/>
        <w:overflowPunct/>
        <w:topLinePunct w:val="0"/>
        <w:autoSpaceDE/>
        <w:autoSpaceDN/>
        <w:bidi w:val="0"/>
        <w:adjustRightInd w:val="0"/>
        <w:snapToGrid w:val="0"/>
        <w:spacing w:line="52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※架空线路部分</w:t>
      </w:r>
    </w:p>
    <w:p>
      <w:pPr>
        <w:keepNext w:val="0"/>
        <w:keepLines w:val="0"/>
        <w:pageBreakBefore w:val="0"/>
        <w:widowControl w:val="0"/>
        <w:numPr>
          <w:ilvl w:val="0"/>
          <w:numId w:val="0"/>
        </w:numPr>
        <w:kinsoku/>
        <w:wordWrap/>
        <w:overflowPunct/>
        <w:topLinePunct w:val="0"/>
        <w:autoSpaceDE w:val="0"/>
        <w:autoSpaceDN w:val="0"/>
        <w:bidi w:val="0"/>
        <w:adjustRightInd w:val="0"/>
        <w:spacing w:line="520" w:lineRule="exact"/>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（一）基础工程：基础工程材料工地运输，土石方工程，基础砌筑，基础防腐，基础防护，地基处理；</w:t>
      </w:r>
    </w:p>
    <w:p>
      <w:pPr>
        <w:keepNext w:val="0"/>
        <w:keepLines w:val="0"/>
        <w:pageBreakBefore w:val="0"/>
        <w:widowControl w:val="0"/>
        <w:numPr>
          <w:ilvl w:val="0"/>
          <w:numId w:val="0"/>
        </w:numPr>
        <w:kinsoku/>
        <w:wordWrap/>
        <w:overflowPunct/>
        <w:topLinePunct w:val="0"/>
        <w:autoSpaceDE w:val="0"/>
        <w:autoSpaceDN w:val="0"/>
        <w:bidi w:val="0"/>
        <w:adjustRightInd w:val="0"/>
        <w:spacing w:line="520" w:lineRule="exact"/>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（二）杆塔工程：杆塔工程材料工地运输，杆塔组立；</w:t>
      </w:r>
    </w:p>
    <w:p>
      <w:pPr>
        <w:keepNext w:val="0"/>
        <w:keepLines w:val="0"/>
        <w:pageBreakBefore w:val="0"/>
        <w:widowControl w:val="0"/>
        <w:kinsoku/>
        <w:wordWrap/>
        <w:overflowPunct/>
        <w:topLinePunct w:val="0"/>
        <w:autoSpaceDE w:val="0"/>
        <w:autoSpaceDN w:val="0"/>
        <w:bidi w:val="0"/>
        <w:adjustRightInd w:val="0"/>
        <w:spacing w:line="520" w:lineRule="exact"/>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（三）接地工程：接地工程材料工地运输，接地土石方，接地安装；</w:t>
      </w:r>
    </w:p>
    <w:p>
      <w:pPr>
        <w:pStyle w:val="9"/>
        <w:keepNext w:val="0"/>
        <w:keepLines w:val="0"/>
        <w:pageBreakBefore w:val="0"/>
        <w:widowControl w:val="0"/>
        <w:kinsoku/>
        <w:wordWrap/>
        <w:overflowPunct/>
        <w:topLinePunct w:val="0"/>
        <w:bidi w:val="0"/>
        <w:spacing w:line="520" w:lineRule="exact"/>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eastAsia="zh-CN"/>
        </w:rPr>
        <w:t>（四）</w:t>
      </w:r>
      <w:r>
        <w:rPr>
          <w:rFonts w:hint="eastAsia" w:ascii="宋体" w:hAnsi="宋体" w:eastAsia="宋体" w:cs="宋体"/>
          <w:color w:val="auto"/>
          <w:kern w:val="2"/>
          <w:sz w:val="21"/>
          <w:szCs w:val="21"/>
          <w:highlight w:val="none"/>
          <w:lang w:val="en-US" w:eastAsia="zh-CN" w:bidi="ar-SA"/>
        </w:rPr>
        <w:t>架线工程：架线工程材料工地运输，导地线架设（不含OPGW接续与测量），导地线跨越架设（其中□带电跨越10千伏及以下电力线路、□带电跨越35千伏及以上电力线路、□跨越铁路、□高速公路、□一、二级公路、□河流），其他架线工程；</w:t>
      </w:r>
    </w:p>
    <w:p>
      <w:pPr>
        <w:keepNext w:val="0"/>
        <w:keepLines w:val="0"/>
        <w:pageBreakBefore w:val="0"/>
        <w:widowControl w:val="0"/>
        <w:kinsoku/>
        <w:wordWrap/>
        <w:overflowPunct/>
        <w:topLinePunct w:val="0"/>
        <w:autoSpaceDE w:val="0"/>
        <w:autoSpaceDN w:val="0"/>
        <w:bidi w:val="0"/>
        <w:adjustRightInd w:val="0"/>
        <w:spacing w:line="520" w:lineRule="exact"/>
        <w:ind w:firstLine="42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eastAsia="zh-CN"/>
        </w:rPr>
        <w:t>（五）</w:t>
      </w:r>
      <w:r>
        <w:rPr>
          <w:rFonts w:hint="eastAsia" w:ascii="宋体" w:hAnsi="宋体" w:eastAsia="宋体" w:cs="宋体"/>
          <w:color w:val="auto"/>
          <w:kern w:val="2"/>
          <w:sz w:val="21"/>
          <w:szCs w:val="21"/>
          <w:highlight w:val="none"/>
          <w:lang w:val="en-US" w:eastAsia="zh-CN" w:bidi="ar-SA"/>
        </w:rPr>
        <w:t>附件安装工程：附件安装工程材料工地运输，绝缘子串及金具安装；</w:t>
      </w:r>
    </w:p>
    <w:p>
      <w:pPr>
        <w:keepNext w:val="0"/>
        <w:keepLines w:val="0"/>
        <w:pageBreakBefore w:val="0"/>
        <w:widowControl w:val="0"/>
        <w:kinsoku/>
        <w:wordWrap/>
        <w:overflowPunct/>
        <w:topLinePunct w:val="0"/>
        <w:autoSpaceDE w:val="0"/>
        <w:autoSpaceDN w:val="0"/>
        <w:bidi w:val="0"/>
        <w:adjustRightInd w:val="0"/>
        <w:spacing w:line="520" w:lineRule="exact"/>
        <w:ind w:firstLine="42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pacing w:val="0"/>
          <w:kern w:val="2"/>
          <w:sz w:val="21"/>
          <w:szCs w:val="21"/>
          <w:highlight w:val="none"/>
          <w:lang w:val="en-US" w:eastAsia="zh-CN" w:bidi="ar-SA"/>
        </w:rPr>
        <w:t>（六）</w:t>
      </w:r>
      <w:r>
        <w:rPr>
          <w:rFonts w:hint="eastAsia" w:ascii="宋体" w:hAnsi="宋体" w:eastAsia="宋体" w:cs="宋体"/>
          <w:color w:val="auto"/>
          <w:kern w:val="2"/>
          <w:sz w:val="21"/>
          <w:szCs w:val="21"/>
          <w:highlight w:val="none"/>
          <w:lang w:val="en-US" w:eastAsia="zh-CN" w:bidi="ar-SA"/>
        </w:rPr>
        <w:t>辅助工程：护坡、挡土墙及排洪沟，杆塔上装的各类辅助生产装置（其中：☑标志牌安装，□防坠地装置，☑防鸟刺装置），☑输、送电线路试运；</w:t>
      </w:r>
    </w:p>
    <w:p>
      <w:pPr>
        <w:keepNext w:val="0"/>
        <w:keepLines w:val="0"/>
        <w:pageBreakBefore w:val="0"/>
        <w:widowControl w:val="0"/>
        <w:kinsoku/>
        <w:wordWrap/>
        <w:overflowPunct/>
        <w:topLinePunct w:val="0"/>
        <w:autoSpaceDE w:val="0"/>
        <w:autoSpaceDN w:val="0"/>
        <w:bidi w:val="0"/>
        <w:adjustRightInd w:val="0"/>
        <w:spacing w:line="520" w:lineRule="exact"/>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0"/>
          <w:kern w:val="2"/>
          <w:sz w:val="21"/>
          <w:szCs w:val="21"/>
          <w:highlight w:val="none"/>
          <w:lang w:val="en-US" w:eastAsia="zh-CN" w:bidi="ar-SA"/>
        </w:rPr>
        <w:t>（七）其他：□拆除工程，☑施工临时占用地补偿（含牵引场地租用费），☑施工临时占用地（含牵引场地）青苗赔偿，☑临时施工道路的青苗赔偿，☑塔基占地及其青苗赔偿，☑架线青苗赔偿，□接地线铺设的青苗赔偿，☑塔基绿化恢复，☑临时施工道路修筑费（单价/总价均报），输电线路跨越补偿费（□</w:t>
      </w:r>
      <w:r>
        <w:rPr>
          <w:rFonts w:hint="eastAsia" w:ascii="宋体" w:hAnsi="宋体" w:eastAsia="宋体" w:cs="宋体"/>
          <w:color w:val="auto"/>
          <w:sz w:val="21"/>
          <w:szCs w:val="21"/>
          <w:highlight w:val="none"/>
          <w:lang w:val="en-US" w:eastAsia="zh-CN"/>
        </w:rPr>
        <w:t>跨越铁路补偿费、□跨越高速公路补偿费、□跨越一、二级公路补偿费、□跨越通航河流补偿费）；</w:t>
      </w:r>
    </w:p>
    <w:p>
      <w:pPr>
        <w:keepNext w:val="0"/>
        <w:keepLines w:val="0"/>
        <w:pageBreakBefore w:val="0"/>
        <w:widowControl w:val="0"/>
        <w:kinsoku/>
        <w:wordWrap/>
        <w:overflowPunct/>
        <w:topLinePunct w:val="0"/>
        <w:autoSpaceDE w:val="0"/>
        <w:autoSpaceDN w:val="0"/>
        <w:bidi w:val="0"/>
        <w:adjustRightInd w:val="0"/>
        <w:spacing w:line="520" w:lineRule="exact"/>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（八）其他：</w:t>
      </w:r>
      <w:r>
        <w:rPr>
          <w:rFonts w:hint="eastAsia" w:ascii="宋体" w:hAnsi="宋体" w:eastAsia="宋体" w:cs="宋体"/>
          <w:color w:val="auto"/>
          <w:sz w:val="21"/>
          <w:szCs w:val="21"/>
          <w:highlight w:val="none"/>
          <w:u w:val="single"/>
          <w:lang w:val="en-US" w:eastAsia="zh-CN"/>
        </w:rPr>
        <w:t>☑临时施工道路修筑费按3000元/km总价包干。</w:t>
      </w:r>
      <w:r>
        <w:rPr>
          <w:rFonts w:hint="eastAsia" w:ascii="宋体" w:hAnsi="宋体" w:eastAsia="宋体" w:cs="宋体"/>
          <w:color w:val="auto"/>
          <w:sz w:val="21"/>
          <w:szCs w:val="21"/>
          <w:highlight w:val="none"/>
          <w:lang w:val="en-US" w:eastAsia="zh-CN"/>
        </w:rPr>
        <w:t xml:space="preserve"> </w:t>
      </w:r>
    </w:p>
    <w:p>
      <w:pPr>
        <w:pStyle w:val="9"/>
        <w:keepNext w:val="0"/>
        <w:keepLines w:val="0"/>
        <w:pageBreakBefore w:val="0"/>
        <w:widowControl w:val="0"/>
        <w:kinsoku/>
        <w:wordWrap/>
        <w:overflowPunct/>
        <w:topLinePunct w:val="0"/>
        <w:autoSpaceDE/>
        <w:autoSpaceDN/>
        <w:bidi w:val="0"/>
        <w:adjustRightInd w:val="0"/>
        <w:snapToGrid w:val="0"/>
        <w:spacing w:line="52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u w:val="single"/>
          <w:lang w:val="en-US" w:eastAsia="zh-CN"/>
        </w:rPr>
        <w:t>☑工程建设场地征用及清理由中标单位负责办理，包含：塔基永久占地及青赔、架线青苗赔偿、送电线路通道林木砍伐赔偿、施工临时占用地（含牵引场地）青苗赔偿，临时施工道路的青苗赔偿、接地线铺设的青苗赔偿和构、建构筑物拆迁补偿等，赔偿费用不计入投标报价，按项目实际发生的费用（经发包人确认）结算。工程建设场地征用及清理相关协调费用（不含政府工作经费）由投标人自行测定计入施工投标报价，中标单位与政府签订的合同需经建设单位确认。具体工程建设场地征用及清理相关要求和进度款支付事项另签订协议确定。</w:t>
      </w:r>
    </w:p>
    <w:p>
      <w:pPr>
        <w:keepNext w:val="0"/>
        <w:keepLines w:val="0"/>
        <w:pageBreakBefore w:val="0"/>
        <w:widowControl w:val="0"/>
        <w:kinsoku/>
        <w:wordWrap/>
        <w:overflowPunct/>
        <w:topLinePunct w:val="0"/>
        <w:bidi w:val="0"/>
        <w:spacing w:line="520" w:lineRule="exact"/>
        <w:ind w:leftChars="0"/>
        <w:textAlignment w:val="auto"/>
        <w:rPr>
          <w:rFonts w:hint="eastAsia" w:ascii="宋体" w:hAnsi="宋体" w:eastAsia="宋体" w:cs="宋体"/>
          <w:b/>
          <w:bCs/>
          <w:i w:val="0"/>
          <w:color w:val="auto"/>
          <w:kern w:val="2"/>
          <w:sz w:val="21"/>
          <w:szCs w:val="21"/>
          <w:highlight w:val="none"/>
          <w:lang w:val="en-US" w:eastAsia="zh-CN" w:bidi="ar-SA"/>
        </w:rPr>
      </w:pPr>
      <w:r>
        <w:rPr>
          <w:rFonts w:hint="eastAsia" w:ascii="宋体" w:hAnsi="宋体" w:eastAsia="宋体" w:cs="宋体"/>
          <w:b/>
          <w:color w:val="auto"/>
          <w:sz w:val="21"/>
          <w:szCs w:val="21"/>
          <w:highlight w:val="none"/>
          <w:lang w:val="en-US" w:eastAsia="zh-CN"/>
        </w:rPr>
        <w:t>注：</w:t>
      </w:r>
      <w:r>
        <w:rPr>
          <w:rFonts w:hint="eastAsia" w:ascii="宋体" w:hAnsi="宋体" w:eastAsia="宋体" w:cs="宋体"/>
          <w:b/>
          <w:color w:val="auto"/>
          <w:sz w:val="21"/>
          <w:szCs w:val="21"/>
          <w:highlight w:val="none"/>
          <w:lang w:eastAsia="zh-CN"/>
        </w:rPr>
        <w:t>特殊调试</w:t>
      </w:r>
      <w:r>
        <w:rPr>
          <w:rFonts w:hint="eastAsia" w:ascii="宋体" w:hAnsi="宋体" w:eastAsia="宋体" w:cs="宋体"/>
          <w:b/>
          <w:color w:val="auto"/>
          <w:sz w:val="21"/>
          <w:szCs w:val="21"/>
          <w:highlight w:val="none"/>
        </w:rPr>
        <w:t>以合同附件特殊调试项目为准</w:t>
      </w:r>
      <w:r>
        <w:rPr>
          <w:rFonts w:hint="eastAsia" w:ascii="宋体" w:hAnsi="宋体" w:eastAsia="宋体" w:cs="宋体"/>
          <w:b/>
          <w:color w:val="auto"/>
          <w:sz w:val="21"/>
          <w:szCs w:val="21"/>
          <w:highlight w:val="none"/>
          <w:lang w:eastAsia="zh-CN"/>
        </w:rPr>
        <w:t>；</w:t>
      </w:r>
      <w:r>
        <w:rPr>
          <w:rFonts w:hint="eastAsia" w:ascii="宋体" w:hAnsi="宋体" w:eastAsia="宋体" w:cs="宋体"/>
          <w:b/>
          <w:bCs/>
          <w:i w:val="0"/>
          <w:color w:val="auto"/>
          <w:kern w:val="2"/>
          <w:sz w:val="21"/>
          <w:szCs w:val="21"/>
          <w:highlight w:val="none"/>
          <w:lang w:val="en-US" w:eastAsia="zh-CN" w:bidi="ar-SA"/>
        </w:rPr>
        <w:br w:type="page"/>
      </w:r>
    </w:p>
    <w:p>
      <w:pPr>
        <w:pStyle w:val="3"/>
        <w:keepNext w:val="0"/>
        <w:keepLines w:val="0"/>
        <w:pageBreakBefore w:val="0"/>
        <w:widowControl w:val="0"/>
        <w:numPr>
          <w:ilvl w:val="0"/>
          <w:numId w:val="2"/>
        </w:numPr>
        <w:kinsoku/>
        <w:wordWrap/>
        <w:overflowPunct/>
        <w:topLinePunct w:val="0"/>
        <w:bidi w:val="0"/>
        <w:spacing w:beforeLines="0" w:afterLines="0" w:line="560" w:lineRule="exact"/>
        <w:ind w:leftChars="0"/>
        <w:textAlignment w:val="auto"/>
        <w:rPr>
          <w:rFonts w:hint="eastAsia" w:ascii="宋体" w:hAnsi="宋体" w:eastAsia="宋体" w:cs="宋体"/>
          <w:b/>
          <w:bCs/>
          <w:i w:val="0"/>
          <w:color w:val="auto"/>
          <w:kern w:val="2"/>
          <w:sz w:val="21"/>
          <w:szCs w:val="21"/>
          <w:highlight w:val="none"/>
          <w:lang w:val="en-US" w:eastAsia="zh-CN" w:bidi="ar-SA"/>
        </w:rPr>
      </w:pPr>
      <w:r>
        <w:rPr>
          <w:rFonts w:hint="eastAsia" w:ascii="宋体" w:hAnsi="宋体" w:eastAsia="宋体" w:cs="宋体"/>
          <w:b/>
          <w:bCs/>
          <w:i w:val="0"/>
          <w:color w:val="auto"/>
          <w:kern w:val="2"/>
          <w:sz w:val="21"/>
          <w:szCs w:val="21"/>
          <w:highlight w:val="none"/>
          <w:lang w:val="en-US" w:eastAsia="zh-CN" w:bidi="ar-SA"/>
        </w:rPr>
        <w:t>承包方式：</w:t>
      </w:r>
    </w:p>
    <w:p>
      <w:pPr>
        <w:pStyle w:val="9"/>
        <w:keepNext w:val="0"/>
        <w:keepLines w:val="0"/>
        <w:pageBreakBefore w:val="0"/>
        <w:widowControl w:val="0"/>
        <w:numPr>
          <w:ilvl w:val="0"/>
          <w:numId w:val="0"/>
        </w:numPr>
        <w:kinsoku/>
        <w:wordWrap/>
        <w:overflowPunct/>
        <w:topLinePunct w:val="0"/>
        <w:autoSpaceDE/>
        <w:autoSpaceDN/>
        <w:bidi w:val="0"/>
        <w:spacing w:line="560" w:lineRule="exact"/>
        <w:textAlignment w:val="auto"/>
        <w:rPr>
          <w:rFonts w:hint="eastAsia" w:ascii="宋体" w:hAnsi="宋体" w:eastAsia="宋体" w:cs="宋体"/>
          <w:b/>
          <w:bCs/>
          <w:snapToGrid w:val="0"/>
          <w:color w:val="auto"/>
          <w:kern w:val="0"/>
          <w:sz w:val="21"/>
          <w:szCs w:val="21"/>
          <w:highlight w:val="none"/>
          <w:u w:val="single"/>
        </w:rPr>
      </w:pPr>
      <w:r>
        <w:rPr>
          <w:rFonts w:hint="eastAsia" w:ascii="宋体" w:hAnsi="宋体" w:eastAsia="宋体" w:cs="宋体"/>
          <w:b/>
          <w:bCs/>
          <w:snapToGrid w:val="0"/>
          <w:color w:val="auto"/>
          <w:kern w:val="0"/>
          <w:sz w:val="21"/>
          <w:szCs w:val="21"/>
          <w:highlight w:val="none"/>
          <w:u w:val="single"/>
        </w:rPr>
        <w:t>包工、部分包料，施工图纸范围内如有下列设备、材料，无□及</w:t>
      </w:r>
      <w:r>
        <w:rPr>
          <w:rFonts w:hint="eastAsia" w:ascii="宋体" w:hAnsi="宋体" w:eastAsia="宋体" w:cs="宋体"/>
          <w:b/>
          <w:bCs/>
          <w:snapToGrid w:val="0"/>
          <w:color w:val="auto"/>
          <w:kern w:val="0"/>
          <w:sz w:val="21"/>
          <w:szCs w:val="21"/>
          <w:highlight w:val="none"/>
          <w:u w:val="single"/>
        </w:rPr>
        <w:fldChar w:fldCharType="begin"/>
      </w:r>
      <w:r>
        <w:rPr>
          <w:rFonts w:hint="eastAsia" w:ascii="宋体" w:hAnsi="宋体" w:eastAsia="宋体" w:cs="宋体"/>
          <w:b/>
          <w:bCs/>
          <w:snapToGrid w:val="0"/>
          <w:color w:val="auto"/>
          <w:kern w:val="0"/>
          <w:sz w:val="21"/>
          <w:szCs w:val="21"/>
          <w:highlight w:val="none"/>
          <w:u w:val="single"/>
        </w:rPr>
        <w:instrText xml:space="preserve"> EQ \o\ac(</w:instrText>
      </w:r>
      <w:r>
        <w:rPr>
          <w:rFonts w:hint="eastAsia" w:ascii="宋体" w:hAnsi="宋体" w:eastAsia="宋体" w:cs="宋体"/>
          <w:b/>
          <w:bCs/>
          <w:snapToGrid w:val="0"/>
          <w:color w:val="auto"/>
          <w:kern w:val="0"/>
          <w:position w:val="-4"/>
          <w:sz w:val="31"/>
          <w:szCs w:val="21"/>
          <w:highlight w:val="none"/>
          <w:u w:val="single"/>
        </w:rPr>
        <w:instrText xml:space="preserve">□</w:instrText>
      </w:r>
      <w:r>
        <w:rPr>
          <w:rFonts w:hint="eastAsia" w:ascii="宋体" w:hAnsi="宋体" w:eastAsia="宋体" w:cs="宋体"/>
          <w:b/>
          <w:bCs/>
          <w:snapToGrid w:val="0"/>
          <w:color w:val="auto"/>
          <w:kern w:val="0"/>
          <w:position w:val="0"/>
          <w:sz w:val="21"/>
          <w:szCs w:val="21"/>
          <w:highlight w:val="none"/>
          <w:u w:val="single"/>
        </w:rPr>
        <w:instrText xml:space="preserve">,√)</w:instrText>
      </w:r>
      <w:r>
        <w:rPr>
          <w:rFonts w:hint="eastAsia" w:ascii="宋体" w:hAnsi="宋体" w:eastAsia="宋体" w:cs="宋体"/>
          <w:b/>
          <w:bCs/>
          <w:snapToGrid w:val="0"/>
          <w:color w:val="auto"/>
          <w:kern w:val="0"/>
          <w:sz w:val="21"/>
          <w:szCs w:val="21"/>
          <w:highlight w:val="none"/>
          <w:u w:val="single"/>
        </w:rPr>
        <w:fldChar w:fldCharType="end"/>
      </w:r>
      <w:r>
        <w:rPr>
          <w:rFonts w:hint="eastAsia" w:ascii="宋体" w:hAnsi="宋体" w:eastAsia="宋体" w:cs="宋体"/>
          <w:b/>
          <w:bCs/>
          <w:snapToGrid w:val="0"/>
          <w:color w:val="auto"/>
          <w:kern w:val="0"/>
          <w:sz w:val="21"/>
          <w:szCs w:val="21"/>
          <w:highlight w:val="none"/>
          <w:u w:val="single"/>
        </w:rPr>
        <w:t>的为甲供，□未打√的及不在下列的为乙供。</w:t>
      </w:r>
    </w:p>
    <w:p>
      <w:pPr>
        <w:pStyle w:val="9"/>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w:t>
      </w:r>
      <w:r>
        <w:rPr>
          <w:rFonts w:hint="eastAsia" w:ascii="宋体" w:hAnsi="宋体" w:eastAsia="宋体" w:cs="宋体"/>
          <w:b/>
          <w:bCs w:val="0"/>
          <w:color w:val="auto"/>
          <w:sz w:val="21"/>
          <w:szCs w:val="21"/>
          <w:highlight w:val="none"/>
          <w:lang w:val="en-US" w:eastAsia="zh-CN"/>
        </w:rPr>
        <w:t>韶关新丰35千伏科罗台区新建工程</w:t>
      </w:r>
      <w:r>
        <w:rPr>
          <w:rFonts w:hint="eastAsia" w:ascii="宋体" w:hAnsi="宋体" w:eastAsia="宋体" w:cs="宋体"/>
          <w:b/>
          <w:color w:val="auto"/>
          <w:sz w:val="21"/>
          <w:szCs w:val="21"/>
          <w:highlight w:val="none"/>
        </w:rPr>
        <w:t>施工</w:t>
      </w:r>
    </w:p>
    <w:p>
      <w:pPr>
        <w:keepNext w:val="0"/>
        <w:keepLines w:val="0"/>
        <w:pageBreakBefore w:val="0"/>
        <w:widowControl w:val="0"/>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val="0"/>
          <w:bCs w:val="0"/>
          <w:color w:val="auto"/>
          <w:sz w:val="21"/>
          <w:szCs w:val="21"/>
          <w:highlight w:val="none"/>
        </w:rPr>
        <w:t>※变电部分：</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（一）甲供物资：</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变电建筑工程：</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iCs/>
          <w:color w:val="auto"/>
          <w:sz w:val="21"/>
          <w:szCs w:val="21"/>
          <w:highlight w:val="none"/>
          <w:lang w:val="en-US" w:eastAsia="zh-CN"/>
        </w:rPr>
        <w:t>1、不锈钢材质检修电源箱，不锈钢材质配电箱（含照明和动力配电箱），电力电缆，控制电缆，低压电线，铜铝端子，铜端子，构支架钢结构（含构支架、横梁，爬梯、避雷针）、标准成品预制电缆沟盖板（包括混凝土盖板和复合盖板）、装配式变电站围墙和主变防火墙（含混凝土和复合材质，厂家包安装及基础灌浆）、电缆支架（铝合金、角钢、复合材质），电杆（含混凝土和复合材料），电缆保护管材（HDPE管、涂塑钢管、PVC管、MPP管）、电缆管塞封堵器，防爆空调（蓄电池室）、智能围栏。</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□装配式电缆沟、□消防电缆、□吊车、□电梯（不含货物电梯）、□嵌入式空调（天井式）、□专用空调（生产场所、带自动启动功能）。</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变电安装工程：</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1、电气一、二次设备，铝镁合金管形母线及其配套金具，金具及附件（含线夹），钢绞线，铝绞线，红外热像仪，变电站智能巡检机器人，独立五防系统，检修隔离装置，视频及环境监控系统，监测装置，变压器配电箱（SMC材质、不锈钢材质），不锈钢材质端子箱，不锈钢材质检修电源箱，不锈钢材质发电车开关箱，不锈钢材质配电箱（含照明和动力配电箱），电力电缆，控制电缆，低压电线，10kV及以上电缆头，各种类型绝缘子，封闭母线桥，10kV绝缘铜管母线，穿墙套管，电缆支架（铝合金、角钢、复合材质）、铝合金电缆桥架、计量接引装置、电抗器接地装置、小电流接地选线装置</w:t>
      </w:r>
      <w:r>
        <w:rPr>
          <w:rFonts w:hint="eastAsia" w:ascii="宋体" w:hAnsi="宋体" w:eastAsia="宋体" w:cs="宋体"/>
          <w:b w:val="0"/>
          <w:bCs w:val="0"/>
          <w:color w:val="auto"/>
          <w:sz w:val="21"/>
          <w:szCs w:val="21"/>
          <w:highlight w:val="none"/>
        </w:rPr>
        <w:t>。</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☑标志牌、</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eastAsia="zh-CN"/>
        </w:rPr>
        <w:t>吊车。</w:t>
      </w:r>
    </w:p>
    <w:p>
      <w:pPr>
        <w:keepNext w:val="0"/>
        <w:keepLines w:val="0"/>
        <w:pageBreakBefore w:val="0"/>
        <w:widowControl w:val="0"/>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bCs/>
          <w:color w:val="auto"/>
          <w:sz w:val="21"/>
          <w:szCs w:val="21"/>
          <w:highlight w:val="none"/>
          <w:u w:val="single"/>
        </w:rPr>
      </w:pPr>
      <w:r>
        <w:rPr>
          <w:rFonts w:hint="eastAsia" w:ascii="宋体" w:hAnsi="宋体" w:eastAsia="宋体" w:cs="宋体"/>
          <w:b w:val="0"/>
          <w:bCs w:val="0"/>
          <w:color w:val="auto"/>
          <w:sz w:val="21"/>
          <w:szCs w:val="21"/>
          <w:highlight w:val="none"/>
          <w:lang w:eastAsia="zh-CN"/>
        </w:rPr>
        <w:t>（二）</w:t>
      </w:r>
      <w:r>
        <w:rPr>
          <w:rFonts w:hint="eastAsia" w:ascii="宋体" w:hAnsi="宋体" w:eastAsia="宋体" w:cs="宋体"/>
          <w:b w:val="0"/>
          <w:bCs w:val="0"/>
          <w:color w:val="auto"/>
          <w:sz w:val="21"/>
          <w:szCs w:val="21"/>
          <w:highlight w:val="none"/>
        </w:rPr>
        <w:t>其他</w:t>
      </w:r>
      <w:r>
        <w:rPr>
          <w:rFonts w:hint="eastAsia" w:ascii="宋体" w:hAnsi="宋体" w:eastAsia="宋体" w:cs="宋体"/>
          <w:b w:val="0"/>
          <w:bCs w:val="0"/>
          <w:color w:val="auto"/>
          <w:sz w:val="21"/>
          <w:szCs w:val="21"/>
          <w:highlight w:val="none"/>
          <w:lang w:eastAsia="zh-CN"/>
        </w:rPr>
        <w:t>甲供物资</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    </w:t>
      </w:r>
      <w:r>
        <w:rPr>
          <w:rFonts w:hint="eastAsia" w:ascii="宋体" w:hAnsi="宋体" w:eastAsia="宋体" w:cs="宋体"/>
          <w:b w:val="0"/>
          <w:bCs w:val="0"/>
          <w:color w:val="auto"/>
          <w:sz w:val="21"/>
          <w:szCs w:val="21"/>
          <w:highlight w:val="none"/>
          <w:u w:val="single"/>
        </w:rPr>
        <w:t>。</w:t>
      </w:r>
    </w:p>
    <w:p>
      <w:pPr>
        <w:pStyle w:val="10"/>
        <w:keepNext w:val="0"/>
        <w:keepLines w:val="0"/>
        <w:pageBreakBefore w:val="0"/>
        <w:widowControl w:val="0"/>
        <w:kinsoku/>
        <w:wordWrap/>
        <w:overflowPunct/>
        <w:topLinePunct w:val="0"/>
        <w:autoSpaceDE/>
        <w:autoSpaceDN/>
        <w:bidi w:val="0"/>
        <w:spacing w:after="0" w:line="560" w:lineRule="exact"/>
        <w:ind w:firstLine="562"/>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(2)</w:t>
      </w:r>
      <w:r>
        <w:rPr>
          <w:rFonts w:hint="eastAsia" w:ascii="宋体" w:hAnsi="宋体" w:eastAsia="宋体" w:cs="宋体"/>
          <w:b/>
          <w:bCs/>
          <w:color w:val="auto"/>
          <w:sz w:val="21"/>
          <w:szCs w:val="21"/>
          <w:highlight w:val="none"/>
        </w:rPr>
        <w:t>韶关新丰35千伏科罗台区线路工程施</w:t>
      </w:r>
      <w:r>
        <w:rPr>
          <w:rFonts w:hint="eastAsia" w:ascii="宋体" w:hAnsi="宋体" w:eastAsia="宋体" w:cs="宋体"/>
          <w:b/>
          <w:bCs/>
          <w:color w:val="auto"/>
          <w:sz w:val="21"/>
          <w:szCs w:val="21"/>
          <w:highlight w:val="none"/>
          <w:lang w:val="en-US" w:eastAsia="zh-CN"/>
        </w:rPr>
        <w:t>工</w:t>
      </w:r>
    </w:p>
    <w:p>
      <w:pPr>
        <w:pStyle w:val="9"/>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※架空线路部分</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（一）甲供物资：</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1、</w:t>
      </w:r>
      <w:r>
        <w:rPr>
          <w:rFonts w:hint="eastAsia" w:ascii="宋体" w:hAnsi="宋体" w:eastAsia="宋体" w:cs="宋体"/>
          <w:color w:val="auto"/>
          <w:kern w:val="2"/>
          <w:sz w:val="21"/>
          <w:szCs w:val="21"/>
          <w:highlight w:val="none"/>
          <w:lang w:val="en-US" w:eastAsia="zh-CN" w:bidi="ar-SA"/>
        </w:rPr>
        <w:t>杆塔（水泥杆），铁塔加固器装置，高空防坠落装置，钢绞线，铝绞线，导地线，绝缘子、绝缘横担，金具，光缆，光缆金具，线路避雷器，故障指示器，故障精确定位装置，监测装置，视频监控系统，石墨基接地体，标志牌（线路标志牌、警示牌、标示桩、安装支架）</w:t>
      </w:r>
      <w:r>
        <w:rPr>
          <w:rFonts w:hint="eastAsia" w:ascii="宋体" w:hAnsi="宋体" w:eastAsia="宋体" w:cs="宋体"/>
          <w:color w:val="auto"/>
          <w:sz w:val="21"/>
          <w:szCs w:val="21"/>
          <w:highlight w:val="none"/>
          <w:lang w:val="en-US"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2、☑地脚螺栓，□直升机巡视作业标志牌。</w:t>
      </w:r>
    </w:p>
    <w:p>
      <w:pPr>
        <w:keepNext w:val="0"/>
        <w:keepLines w:val="0"/>
        <w:pageBreakBefore w:val="0"/>
        <w:widowControl w:val="0"/>
        <w:kinsoku/>
        <w:wordWrap/>
        <w:overflowPunct/>
        <w:topLinePunct w:val="0"/>
        <w:autoSpaceDE w:val="0"/>
        <w:autoSpaceDN w:val="0"/>
        <w:bidi w:val="0"/>
        <w:adjustRightInd w:val="0"/>
        <w:spacing w:line="56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（二）</w:t>
      </w:r>
      <w:r>
        <w:rPr>
          <w:rFonts w:hint="eastAsia" w:ascii="宋体" w:hAnsi="宋体" w:eastAsia="宋体" w:cs="宋体"/>
          <w:color w:val="auto"/>
          <w:sz w:val="21"/>
          <w:szCs w:val="21"/>
          <w:highlight w:val="none"/>
        </w:rPr>
        <w:t>其他</w:t>
      </w:r>
      <w:r>
        <w:rPr>
          <w:rFonts w:hint="eastAsia" w:ascii="宋体" w:hAnsi="宋体" w:eastAsia="宋体" w:cs="宋体"/>
          <w:color w:val="auto"/>
          <w:sz w:val="21"/>
          <w:szCs w:val="21"/>
          <w:highlight w:val="none"/>
          <w:lang w:eastAsia="zh-CN"/>
        </w:rPr>
        <w:t>甲供物资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  /  </w:t>
      </w:r>
      <w:r>
        <w:rPr>
          <w:rFonts w:hint="eastAsia" w:ascii="宋体" w:hAnsi="宋体" w:eastAsia="宋体" w:cs="宋体"/>
          <w:color w:val="auto"/>
          <w:sz w:val="21"/>
          <w:szCs w:val="21"/>
          <w:highlight w:val="none"/>
          <w:u w:val="single"/>
        </w:rPr>
        <w:t>。</w:t>
      </w:r>
    </w:p>
    <w:p>
      <w:pPr>
        <w:pStyle w:val="9"/>
        <w:keepNext w:val="0"/>
        <w:keepLines w:val="0"/>
        <w:pageBreakBefore w:val="0"/>
        <w:widowControl w:val="0"/>
        <w:kinsoku/>
        <w:wordWrap/>
        <w:overflowPunct/>
        <w:topLinePunct w:val="0"/>
        <w:autoSpaceDE/>
        <w:autoSpaceDN/>
        <w:bidi w:val="0"/>
        <w:adjustRightInd w:val="0"/>
        <w:snapToGrid w:val="0"/>
        <w:spacing w:line="560" w:lineRule="exact"/>
        <w:ind w:leftChars="0"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注：建设单位提供的设备、材料以合同附件</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甲供设备材料明细表为准。</w:t>
      </w:r>
    </w:p>
    <w:p>
      <w:pPr>
        <w:pStyle w:val="9"/>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kern w:val="2"/>
          <w:sz w:val="21"/>
          <w:szCs w:val="21"/>
          <w:highlight w:val="none"/>
          <w:lang w:val="en-US" w:eastAsia="zh-CN" w:bidi="ar-SA"/>
        </w:rPr>
      </w:pPr>
    </w:p>
    <w:p>
      <w:pPr>
        <w:rPr>
          <w:rFonts w:hint="eastAsia" w:ascii="宋体" w:hAnsi="宋体" w:eastAsia="宋体" w:cs="宋体"/>
          <w:b/>
          <w:bCs/>
          <w:i w:val="0"/>
          <w:color w:val="auto"/>
          <w:kern w:val="2"/>
          <w:sz w:val="21"/>
          <w:szCs w:val="21"/>
          <w:highlight w:val="none"/>
          <w:lang w:val="en-US" w:eastAsia="zh-CN" w:bidi="ar-SA"/>
        </w:rPr>
      </w:pPr>
      <w:r>
        <w:rPr>
          <w:rFonts w:hint="eastAsia" w:ascii="宋体" w:hAnsi="宋体" w:eastAsia="宋体" w:cs="宋体"/>
          <w:b/>
          <w:bCs/>
          <w:i w:val="0"/>
          <w:color w:val="auto"/>
          <w:kern w:val="2"/>
          <w:sz w:val="21"/>
          <w:szCs w:val="21"/>
          <w:highlight w:val="none"/>
          <w:lang w:val="en-US" w:eastAsia="zh-CN" w:bidi="ar-SA"/>
        </w:rPr>
        <w:br w:type="page"/>
      </w:r>
    </w:p>
    <w:p>
      <w:pPr>
        <w:pStyle w:val="3"/>
        <w:keepNext w:val="0"/>
        <w:keepLines w:val="0"/>
        <w:pageBreakBefore w:val="0"/>
        <w:kinsoku/>
        <w:wordWrap/>
        <w:overflowPunct/>
        <w:topLinePunct w:val="0"/>
        <w:bidi w:val="0"/>
        <w:spacing w:line="360" w:lineRule="auto"/>
        <w:rPr>
          <w:rFonts w:hint="eastAsia" w:ascii="宋体" w:hAnsi="宋体" w:eastAsia="宋体" w:cs="宋体"/>
          <w:b/>
          <w:bCs/>
          <w:i w:val="0"/>
          <w:color w:val="auto"/>
          <w:kern w:val="2"/>
          <w:sz w:val="21"/>
          <w:szCs w:val="21"/>
          <w:highlight w:val="none"/>
          <w:lang w:val="en-US" w:eastAsia="zh-CN" w:bidi="ar-SA"/>
        </w:rPr>
      </w:pPr>
      <w:r>
        <w:rPr>
          <w:rFonts w:hint="eastAsia" w:ascii="宋体" w:hAnsi="宋体" w:eastAsia="宋体" w:cs="宋体"/>
          <w:b/>
          <w:bCs/>
          <w:i w:val="0"/>
          <w:color w:val="auto"/>
          <w:kern w:val="2"/>
          <w:sz w:val="21"/>
          <w:szCs w:val="21"/>
          <w:highlight w:val="none"/>
          <w:lang w:val="en-US" w:eastAsia="zh-CN" w:bidi="ar-SA"/>
        </w:rPr>
        <w:t>（四）报价表</w:t>
      </w:r>
    </w:p>
    <w:tbl>
      <w:tblPr>
        <w:tblStyle w:val="11"/>
        <w:tblW w:w="1026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92"/>
        <w:gridCol w:w="1416"/>
        <w:gridCol w:w="894"/>
        <w:gridCol w:w="1028"/>
        <w:gridCol w:w="784"/>
        <w:gridCol w:w="921"/>
        <w:gridCol w:w="720"/>
        <w:gridCol w:w="720"/>
        <w:gridCol w:w="971"/>
        <w:gridCol w:w="784"/>
        <w:gridCol w:w="1005"/>
        <w:gridCol w:w="5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492" w:type="dxa"/>
            <w:tcBorders>
              <w:top w:val="single" w:color="000000" w:sz="4" w:space="0"/>
              <w:left w:val="single" w:color="000000" w:sz="4" w:space="0"/>
              <w:bottom w:val="single" w:color="000000" w:sz="4" w:space="0"/>
              <w:right w:val="single" w:color="000000" w:sz="4" w:space="0"/>
            </w:tcBorders>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snapToGrid w:val="0"/>
                <w:color w:val="auto"/>
                <w:kern w:val="0"/>
                <w:sz w:val="21"/>
                <w:szCs w:val="21"/>
                <w:highlight w:val="none"/>
                <w:u w:val="none"/>
                <w:vertAlign w:val="baseline"/>
                <w:lang w:val="en-US" w:eastAsia="zh-CN"/>
              </w:rPr>
              <w:t>序　号</w:t>
            </w:r>
          </w:p>
        </w:tc>
        <w:tc>
          <w:tcPr>
            <w:tcW w:w="1416" w:type="dxa"/>
            <w:tcBorders>
              <w:top w:val="single" w:color="000000" w:sz="4" w:space="0"/>
              <w:left w:val="single" w:color="000000" w:sz="4" w:space="0"/>
              <w:right w:val="single" w:color="000000" w:sz="4" w:space="0"/>
            </w:tcBorders>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snapToGrid w:val="0"/>
                <w:color w:val="auto"/>
                <w:kern w:val="0"/>
                <w:sz w:val="21"/>
                <w:szCs w:val="21"/>
                <w:highlight w:val="none"/>
                <w:u w:val="none"/>
                <w:vertAlign w:val="baseline"/>
                <w:lang w:val="en-US" w:eastAsia="zh-CN"/>
              </w:rPr>
              <w:t>工程或费用名称</w:t>
            </w:r>
          </w:p>
        </w:tc>
        <w:tc>
          <w:tcPr>
            <w:tcW w:w="89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最高投标限价（万元）</w:t>
            </w:r>
          </w:p>
        </w:tc>
        <w:tc>
          <w:tcPr>
            <w:tcW w:w="10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其中安全文明施工费（万元）</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其中施工专项补助费（万元）</w:t>
            </w:r>
          </w:p>
        </w:tc>
        <w:tc>
          <w:tcPr>
            <w:tcW w:w="921"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其中暂估价（万元）</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投标费率（%）</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投标报价（万元）</w:t>
            </w:r>
          </w:p>
        </w:tc>
        <w:tc>
          <w:tcPr>
            <w:tcW w:w="97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其中安全文明施工费（万元）</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其中施工专项补助费（万元）</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其中暂估价（万元）</w:t>
            </w:r>
          </w:p>
        </w:tc>
        <w:tc>
          <w:tcPr>
            <w:tcW w:w="527" w:type="dxa"/>
            <w:tcBorders>
              <w:top w:val="single" w:color="000000" w:sz="4" w:space="0"/>
              <w:left w:val="single" w:color="000000" w:sz="4" w:space="0"/>
              <w:bottom w:val="single" w:color="000000" w:sz="4" w:space="0"/>
              <w:right w:val="single" w:color="000000" w:sz="4" w:space="0"/>
            </w:tcBorders>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snapToGrid w:val="0"/>
                <w:color w:val="auto"/>
                <w:kern w:val="0"/>
                <w:sz w:val="21"/>
                <w:szCs w:val="21"/>
                <w:highlight w:val="none"/>
                <w:u w:val="none"/>
                <w:vertAlign w:val="baseline"/>
                <w:lang w:val="en-US" w:eastAsia="zh-CN"/>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sz w:val="21"/>
                <w:szCs w:val="21"/>
                <w:highlight w:val="none"/>
                <w:u w:val="none"/>
                <w:lang w:val="en-US" w:eastAsia="zh-CN"/>
              </w:rPr>
              <w:t>1</w:t>
            </w:r>
          </w:p>
        </w:tc>
        <w:tc>
          <w:tcPr>
            <w:tcW w:w="14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auto"/>
                <w:sz w:val="21"/>
                <w:szCs w:val="21"/>
                <w:highlight w:val="none"/>
                <w:u w:val="none"/>
              </w:rPr>
            </w:pPr>
            <w:r>
              <w:rPr>
                <w:rFonts w:hint="eastAsia" w:ascii="宋体" w:hAnsi="宋体" w:cs="宋体"/>
                <w:b/>
                <w:bCs/>
                <w:i w:val="0"/>
                <w:iCs w:val="0"/>
                <w:color w:val="auto"/>
                <w:kern w:val="0"/>
                <w:sz w:val="21"/>
                <w:szCs w:val="21"/>
                <w:highlight w:val="none"/>
                <w:u w:val="none"/>
                <w:lang w:val="en-US" w:eastAsia="zh-CN" w:bidi="ar"/>
              </w:rPr>
              <w:t>韶关新丰35千伏科罗台区新建工程等2项工程施工</w:t>
            </w:r>
          </w:p>
        </w:tc>
        <w:tc>
          <w:tcPr>
            <w:tcW w:w="8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color w:val="auto"/>
                <w:sz w:val="21"/>
                <w:szCs w:val="21"/>
                <w:highlight w:val="none"/>
                <w:u w:val="none"/>
                <w:lang w:val="en-US"/>
              </w:rPr>
            </w:pPr>
            <w:r>
              <w:rPr>
                <w:rFonts w:hint="eastAsia" w:ascii="宋体" w:hAnsi="宋体" w:eastAsia="宋体" w:cs="宋体"/>
                <w:b/>
                <w:bCs/>
                <w:i w:val="0"/>
                <w:iCs w:val="0"/>
                <w:color w:val="auto"/>
                <w:kern w:val="0"/>
                <w:sz w:val="21"/>
                <w:szCs w:val="21"/>
                <w:highlight w:val="none"/>
                <w:u w:val="none"/>
                <w:lang w:val="en-US" w:eastAsia="zh-CN" w:bidi="ar"/>
              </w:rPr>
              <w:t>134.55</w:t>
            </w:r>
          </w:p>
        </w:tc>
        <w:tc>
          <w:tcPr>
            <w:tcW w:w="10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color w:val="auto"/>
                <w:sz w:val="21"/>
                <w:szCs w:val="21"/>
                <w:highlight w:val="none"/>
                <w:u w:val="none"/>
                <w:lang w:val="en-US"/>
              </w:rPr>
            </w:pPr>
            <w:r>
              <w:rPr>
                <w:rFonts w:hint="eastAsia" w:ascii="宋体" w:hAnsi="宋体" w:eastAsia="宋体" w:cs="宋体"/>
                <w:b/>
                <w:bCs/>
                <w:i w:val="0"/>
                <w:iCs w:val="0"/>
                <w:color w:val="auto"/>
                <w:kern w:val="0"/>
                <w:sz w:val="21"/>
                <w:szCs w:val="21"/>
                <w:highlight w:val="none"/>
                <w:u w:val="none"/>
                <w:lang w:val="en-US" w:eastAsia="zh-CN" w:bidi="ar"/>
              </w:rPr>
              <w:t>3.56</w:t>
            </w:r>
          </w:p>
        </w:tc>
        <w:tc>
          <w:tcPr>
            <w:tcW w:w="784"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b/>
                <w:bCs/>
                <w:i w:val="0"/>
                <w:color w:val="auto"/>
                <w:kern w:val="0"/>
                <w:sz w:val="21"/>
                <w:szCs w:val="21"/>
                <w:highlight w:val="none"/>
                <w:u w:val="none"/>
                <w:lang w:val="en-US" w:eastAsia="zh-CN" w:bidi="ar"/>
              </w:rPr>
            </w:pPr>
            <w:r>
              <w:rPr>
                <w:rFonts w:hint="eastAsia" w:ascii="宋体" w:hAnsi="宋体" w:eastAsia="宋体" w:cs="宋体"/>
                <w:b/>
                <w:bCs/>
                <w:i w:val="0"/>
                <w:color w:val="auto"/>
                <w:kern w:val="0"/>
                <w:sz w:val="21"/>
                <w:szCs w:val="21"/>
                <w:highlight w:val="none"/>
                <w:u w:val="none"/>
                <w:lang w:val="en-US" w:eastAsia="zh-CN" w:bidi="ar"/>
              </w:rPr>
              <w:t>0.00</w:t>
            </w:r>
          </w:p>
        </w:tc>
        <w:tc>
          <w:tcPr>
            <w:tcW w:w="92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b/>
                <w:bCs/>
                <w:i w:val="0"/>
                <w:color w:val="auto"/>
                <w:sz w:val="21"/>
                <w:szCs w:val="21"/>
                <w:highlight w:val="none"/>
                <w:u w:val="none"/>
                <w:lang w:val="en-US" w:eastAsia="zh-CN"/>
              </w:rPr>
            </w:pPr>
            <w:r>
              <w:rPr>
                <w:rFonts w:hint="eastAsia" w:ascii="宋体" w:hAnsi="宋体" w:eastAsia="宋体" w:cs="宋体"/>
                <w:b/>
                <w:bCs/>
                <w:i w:val="0"/>
                <w:color w:val="auto"/>
                <w:kern w:val="0"/>
                <w:sz w:val="21"/>
                <w:szCs w:val="21"/>
                <w:highlight w:val="none"/>
                <w:u w:val="none"/>
                <w:lang w:val="en-US" w:eastAsia="zh-CN" w:bidi="ar"/>
              </w:rPr>
              <w:t>0.00</w:t>
            </w:r>
          </w:p>
        </w:tc>
        <w:tc>
          <w:tcPr>
            <w:tcW w:w="720" w:type="dxa"/>
            <w:vMerge w:val="restart"/>
            <w:tcBorders>
              <w:top w:val="single" w:color="000000" w:sz="4" w:space="0"/>
              <w:left w:val="single" w:color="auto"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7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97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52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项目1</w:t>
            </w:r>
          </w:p>
        </w:tc>
        <w:tc>
          <w:tcPr>
            <w:tcW w:w="14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auto"/>
                <w:sz w:val="21"/>
                <w:szCs w:val="21"/>
                <w:highlight w:val="none"/>
                <w:u w:val="none"/>
                <w:lang w:eastAsia="zh-CN"/>
              </w:rPr>
            </w:pPr>
            <w:r>
              <w:rPr>
                <w:rFonts w:hint="eastAsia" w:ascii="宋体" w:hAnsi="宋体" w:cs="宋体"/>
                <w:i w:val="0"/>
                <w:color w:val="auto"/>
                <w:sz w:val="21"/>
                <w:szCs w:val="21"/>
                <w:highlight w:val="none"/>
                <w:u w:val="none"/>
                <w:lang w:eastAsia="zh-CN"/>
              </w:rPr>
              <w:t>韶关新丰35千伏科罗台区新建工程</w:t>
            </w:r>
          </w:p>
        </w:tc>
        <w:tc>
          <w:tcPr>
            <w:tcW w:w="89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color w:val="auto"/>
                <w:sz w:val="21"/>
                <w:szCs w:val="21"/>
                <w:highlight w:val="none"/>
                <w:u w:val="none"/>
                <w:lang w:val="en-US"/>
              </w:rPr>
            </w:pPr>
            <w:r>
              <w:rPr>
                <w:rFonts w:hint="eastAsia" w:ascii="宋体" w:hAnsi="宋体" w:eastAsia="宋体" w:cs="宋体"/>
                <w:color w:val="auto"/>
                <w:sz w:val="21"/>
                <w:szCs w:val="21"/>
                <w:highlight w:val="none"/>
                <w:lang w:val="en-US" w:eastAsia="zh-CN"/>
              </w:rPr>
              <w:t>96.38</w:t>
            </w:r>
          </w:p>
        </w:tc>
        <w:tc>
          <w:tcPr>
            <w:tcW w:w="10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sz w:val="21"/>
                <w:szCs w:val="21"/>
                <w:highlight w:val="none"/>
                <w:u w:val="none"/>
                <w:lang w:val="en-US" w:eastAsia="zh-CN"/>
              </w:rPr>
              <w:t>2.24</w:t>
            </w:r>
          </w:p>
        </w:tc>
        <w:tc>
          <w:tcPr>
            <w:tcW w:w="784"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0.00</w:t>
            </w:r>
          </w:p>
        </w:tc>
        <w:tc>
          <w:tcPr>
            <w:tcW w:w="92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bidi="ar"/>
              </w:rPr>
              <w:t>0.00</w:t>
            </w:r>
          </w:p>
        </w:tc>
        <w:tc>
          <w:tcPr>
            <w:tcW w:w="720" w:type="dxa"/>
            <w:vMerge w:val="continue"/>
            <w:tcBorders>
              <w:left w:val="single" w:color="auto"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7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97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52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i w:val="0"/>
                <w:color w:val="auto"/>
                <w:sz w:val="21"/>
                <w:szCs w:val="21"/>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项目2</w:t>
            </w:r>
          </w:p>
        </w:tc>
        <w:tc>
          <w:tcPr>
            <w:tcW w:w="14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i w:val="0"/>
                <w:iCs w:val="0"/>
                <w:color w:val="auto"/>
                <w:kern w:val="0"/>
                <w:sz w:val="21"/>
                <w:szCs w:val="21"/>
                <w:highlight w:val="none"/>
                <w:u w:val="none"/>
                <w:lang w:val="en-US" w:eastAsia="zh-CN" w:bidi="ar"/>
              </w:rPr>
              <w:t>韶关新丰35千伏科罗台区线路工程</w:t>
            </w:r>
          </w:p>
        </w:tc>
        <w:tc>
          <w:tcPr>
            <w:tcW w:w="89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color w:val="auto"/>
                <w:sz w:val="21"/>
                <w:szCs w:val="21"/>
                <w:highlight w:val="none"/>
                <w:u w:val="none"/>
                <w:lang w:val="en-US" w:eastAsia="zh-CN"/>
              </w:rPr>
              <w:t>38.17</w:t>
            </w:r>
          </w:p>
        </w:tc>
        <w:tc>
          <w:tcPr>
            <w:tcW w:w="10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sz w:val="21"/>
                <w:szCs w:val="21"/>
                <w:highlight w:val="none"/>
                <w:u w:val="none"/>
                <w:lang w:val="en-US" w:eastAsia="zh-CN"/>
              </w:rPr>
              <w:t>1.32</w:t>
            </w:r>
          </w:p>
        </w:tc>
        <w:tc>
          <w:tcPr>
            <w:tcW w:w="784"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0.00</w:t>
            </w:r>
          </w:p>
        </w:tc>
        <w:tc>
          <w:tcPr>
            <w:tcW w:w="92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bidi="ar"/>
              </w:rPr>
              <w:t>0.00</w:t>
            </w:r>
          </w:p>
        </w:tc>
        <w:tc>
          <w:tcPr>
            <w:tcW w:w="720" w:type="dxa"/>
            <w:vMerge w:val="continue"/>
            <w:tcBorders>
              <w:left w:val="single" w:color="auto"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lang w:val="en-US" w:eastAsia="zh-CN"/>
              </w:rPr>
            </w:pPr>
          </w:p>
        </w:tc>
        <w:tc>
          <w:tcPr>
            <w:tcW w:w="7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97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52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pPr>
              <w:pStyle w:val="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snapToGrid w:val="0"/>
                <w:color w:val="auto"/>
                <w:kern w:val="0"/>
                <w:sz w:val="21"/>
                <w:szCs w:val="21"/>
                <w:highlight w:val="none"/>
                <w:u w:val="none"/>
                <w:vertAlign w:val="baseline"/>
                <w:lang w:val="en-US" w:eastAsia="zh-CN"/>
              </w:rPr>
              <w:t>合计（小写）：</w:t>
            </w:r>
          </w:p>
        </w:tc>
        <w:tc>
          <w:tcPr>
            <w:tcW w:w="8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134.55</w:t>
            </w:r>
          </w:p>
        </w:tc>
        <w:tc>
          <w:tcPr>
            <w:tcW w:w="10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color w:val="auto"/>
                <w:sz w:val="21"/>
                <w:szCs w:val="21"/>
                <w:highlight w:val="none"/>
                <w:u w:val="none"/>
                <w:lang w:val="en-US"/>
              </w:rPr>
            </w:pPr>
            <w:r>
              <w:rPr>
                <w:rFonts w:hint="eastAsia" w:ascii="宋体" w:hAnsi="宋体" w:eastAsia="宋体" w:cs="宋体"/>
                <w:b/>
                <w:bCs/>
                <w:i w:val="0"/>
                <w:iCs w:val="0"/>
                <w:color w:val="auto"/>
                <w:kern w:val="0"/>
                <w:sz w:val="21"/>
                <w:szCs w:val="21"/>
                <w:highlight w:val="none"/>
                <w:u w:val="none"/>
                <w:lang w:val="en-US" w:eastAsia="zh-CN" w:bidi="ar"/>
              </w:rPr>
              <w:t>3.56</w:t>
            </w:r>
          </w:p>
        </w:tc>
        <w:tc>
          <w:tcPr>
            <w:tcW w:w="784"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b/>
                <w:bCs/>
                <w:i w:val="0"/>
                <w:color w:val="auto"/>
                <w:sz w:val="21"/>
                <w:szCs w:val="21"/>
                <w:highlight w:val="none"/>
                <w:u w:val="none"/>
                <w:lang w:val="en-US"/>
              </w:rPr>
            </w:pPr>
            <w:r>
              <w:rPr>
                <w:rFonts w:hint="eastAsia" w:ascii="宋体" w:hAnsi="宋体" w:eastAsia="宋体" w:cs="宋体"/>
                <w:b/>
                <w:bCs/>
                <w:i w:val="0"/>
                <w:color w:val="auto"/>
                <w:kern w:val="0"/>
                <w:sz w:val="21"/>
                <w:szCs w:val="21"/>
                <w:highlight w:val="none"/>
                <w:u w:val="none"/>
                <w:lang w:val="en-US" w:eastAsia="zh-CN" w:bidi="ar"/>
              </w:rPr>
              <w:t>0.00</w:t>
            </w:r>
          </w:p>
        </w:tc>
        <w:tc>
          <w:tcPr>
            <w:tcW w:w="92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b/>
                <w:bCs/>
                <w:i w:val="0"/>
                <w:color w:val="auto"/>
                <w:sz w:val="21"/>
                <w:szCs w:val="21"/>
                <w:highlight w:val="none"/>
                <w:u w:val="none"/>
              </w:rPr>
            </w:pPr>
            <w:r>
              <w:rPr>
                <w:rFonts w:hint="eastAsia" w:ascii="宋体" w:hAnsi="宋体" w:eastAsia="宋体" w:cs="宋体"/>
                <w:b/>
                <w:bCs/>
                <w:i w:val="0"/>
                <w:color w:val="auto"/>
                <w:kern w:val="0"/>
                <w:sz w:val="21"/>
                <w:szCs w:val="21"/>
                <w:highlight w:val="none"/>
                <w:u w:val="none"/>
                <w:lang w:val="en-US" w:eastAsia="zh-CN" w:bidi="ar"/>
              </w:rPr>
              <w:t>0.00</w:t>
            </w:r>
          </w:p>
        </w:tc>
        <w:tc>
          <w:tcPr>
            <w:tcW w:w="720" w:type="dxa"/>
            <w:vMerge w:val="continue"/>
            <w:tcBorders>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7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97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auto"/>
                <w:sz w:val="21"/>
                <w:szCs w:val="21"/>
                <w:highlight w:val="none"/>
                <w:u w:val="none"/>
              </w:rPr>
            </w:pP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rPr>
                <w:rFonts w:hint="eastAsia" w:ascii="宋体" w:hAnsi="宋体" w:eastAsia="宋体" w:cs="宋体"/>
                <w:i w:val="0"/>
                <w:color w:val="auto"/>
                <w:sz w:val="21"/>
                <w:szCs w:val="21"/>
                <w:highlight w:val="none"/>
                <w:u w:val="none"/>
              </w:rPr>
            </w:pPr>
          </w:p>
        </w:tc>
        <w:tc>
          <w:tcPr>
            <w:tcW w:w="52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rPr>
                <w:rFonts w:hint="eastAsia" w:ascii="宋体" w:hAnsi="宋体" w:eastAsia="宋体" w:cs="宋体"/>
                <w:i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0262" w:type="dxa"/>
            <w:gridSpan w:val="12"/>
            <w:vAlign w:val="center"/>
          </w:tcPr>
          <w:p>
            <w:pPr>
              <w:keepNext w:val="0"/>
              <w:keepLines w:val="0"/>
              <w:pageBreakBefore w:val="0"/>
              <w:widowControl/>
              <w:suppressLineNumbers w:val="0"/>
              <w:kinsoku/>
              <w:wordWrap/>
              <w:overflowPunct/>
              <w:topLinePunct w:val="0"/>
              <w:bidi w:val="0"/>
              <w:spacing w:line="360" w:lineRule="auto"/>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报价要求：</w:t>
            </w:r>
            <w:r>
              <w:rPr>
                <w:rFonts w:hint="eastAsia" w:ascii="宋体" w:hAnsi="宋体" w:eastAsia="宋体" w:cs="宋体"/>
                <w:color w:val="auto"/>
                <w:sz w:val="21"/>
                <w:szCs w:val="21"/>
                <w:highlight w:val="none"/>
                <w:lang w:val="en-US" w:eastAsia="zh-CN"/>
              </w:rPr>
              <w:br w:type="textWrapping"/>
            </w:r>
            <w:r>
              <w:rPr>
                <w:rFonts w:hint="eastAsia" w:ascii="宋体" w:hAnsi="宋体" w:eastAsia="宋体" w:cs="宋体"/>
                <w:color w:val="auto"/>
                <w:sz w:val="21"/>
                <w:szCs w:val="21"/>
                <w:highlight w:val="none"/>
                <w:lang w:val="en-US" w:eastAsia="zh-CN"/>
              </w:rPr>
              <w:t>1、金额报价，同时填报投标费率。投标费率＝[(投标报价-安全文明施工费-暂估价）/（最高投标限价-安全文明施工费-暂估价)]×100%（保留两位小数）。当投标金额报价与投标费率计算结果不一致时，以投标金额报价为准，按公式修订投标费率。</w:t>
            </w:r>
          </w:p>
          <w:p>
            <w:pPr>
              <w:keepNext w:val="0"/>
              <w:keepLines w:val="0"/>
              <w:pageBreakBefore w:val="0"/>
              <w:widowControl/>
              <w:suppressLineNumbers w:val="0"/>
              <w:kinsoku/>
              <w:wordWrap/>
              <w:overflowPunct/>
              <w:topLinePunct w:val="0"/>
              <w:bidi w:val="0"/>
              <w:spacing w:line="360" w:lineRule="auto"/>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2、投标人所报的金额≤最高投标限价的为有效报价，为避免恶意竞争，低于成本价报价，投标报价＜最高限价的（详见招标文件规定比例）时应在投标文件中附成本分析报告。</w:t>
            </w:r>
          </w:p>
          <w:p>
            <w:pPr>
              <w:keepNext w:val="0"/>
              <w:keepLines w:val="0"/>
              <w:pageBreakBefore w:val="0"/>
              <w:widowControl/>
              <w:suppressLineNumbers w:val="0"/>
              <w:kinsoku/>
              <w:wordWrap/>
              <w:overflowPunct/>
              <w:topLinePunct w:val="0"/>
              <w:bidi w:val="0"/>
              <w:spacing w:line="360" w:lineRule="auto"/>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3、安全文明施工费、暂估价（如有）需按照公布的金额固定报价，不得自行变更，否则视为原则性不响应招标文件要求，作否决投标处理。</w:t>
            </w:r>
          </w:p>
          <w:p>
            <w:pPr>
              <w:keepNext w:val="0"/>
              <w:keepLines w:val="0"/>
              <w:pageBreakBefore w:val="0"/>
              <w:widowControl/>
              <w:suppressLineNumbers w:val="0"/>
              <w:kinsoku/>
              <w:wordWrap/>
              <w:overflowPunct/>
              <w:topLinePunct w:val="0"/>
              <w:bidi w:val="0"/>
              <w:spacing w:line="360" w:lineRule="auto"/>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4、投标下浮率=1-投标费率。</w:t>
            </w:r>
          </w:p>
          <w:p>
            <w:pPr>
              <w:keepNext w:val="0"/>
              <w:keepLines w:val="0"/>
              <w:pageBreakBefore w:val="0"/>
              <w:widowControl/>
              <w:suppressLineNumbers w:val="0"/>
              <w:kinsoku/>
              <w:wordWrap/>
              <w:overflowPunct/>
              <w:topLinePunct w:val="0"/>
              <w:bidi w:val="0"/>
              <w:spacing w:line="360" w:lineRule="auto"/>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若本项目公布限价列明改扩建施工专项补助费时，投标人报价时按文件要求将施工专项补助费作为“竞争性费用”列入投标报价中。投标报价的专项补助费不得高于招标文件公布的专项补助费，否则按否决投标处理。</w:t>
            </w:r>
          </w:p>
          <w:p>
            <w:pPr>
              <w:pStyle w:val="9"/>
              <w:rPr>
                <w:rFonts w:hint="eastAsia" w:ascii="宋体" w:hAnsi="宋体" w:eastAsia="宋体" w:cs="宋体"/>
                <w:color w:val="auto"/>
                <w:sz w:val="21"/>
                <w:szCs w:val="21"/>
                <w:highlight w:val="none"/>
              </w:rPr>
            </w:pPr>
            <w:r>
              <w:rPr>
                <w:rFonts w:hint="eastAsia" w:ascii="宋体" w:hAnsi="宋体" w:eastAsia="宋体" w:cs="宋体"/>
                <w:i w:val="0"/>
                <w:color w:val="auto"/>
                <w:kern w:val="0"/>
                <w:sz w:val="21"/>
                <w:szCs w:val="21"/>
                <w:highlight w:val="none"/>
                <w:u w:val="none"/>
                <w:lang w:val="en-US" w:eastAsia="zh-CN" w:bidi="ar"/>
              </w:rPr>
              <w:t>6、本标段</w:t>
            </w:r>
            <w:r>
              <w:rPr>
                <w:rFonts w:hint="eastAsia" w:ascii="宋体" w:hAnsi="宋体" w:eastAsia="宋体" w:cs="宋体"/>
                <w:snapToGrid w:val="0"/>
                <w:color w:val="auto"/>
                <w:kern w:val="0"/>
                <w:sz w:val="21"/>
                <w:szCs w:val="21"/>
                <w:highlight w:val="none"/>
                <w:lang w:val="en-US" w:eastAsia="zh-CN"/>
              </w:rPr>
              <w:t>中如包含初设和施设招标项目的，初设和施设招标项目均按金额进行合计投标报价（即按金额进行投标总报价、评审），初设项目同时需报投标费率（即投标报价（暂定价）/最高限价）。初设项目的投标报价（暂定价）=最高限价*（初设项目）投标费率，当投标金额报价与投标费率计算结果不一致时，以投标金额报价为准，按公式修订投标费率</w:t>
            </w:r>
            <w:r>
              <w:rPr>
                <w:rFonts w:hint="eastAsia" w:ascii="宋体" w:hAnsi="宋体" w:eastAsia="宋体" w:cs="宋体"/>
                <w:snapToGrid w:val="0"/>
                <w:color w:val="auto"/>
                <w:kern w:val="0"/>
                <w:sz w:val="21"/>
                <w:szCs w:val="21"/>
                <w:highlight w:val="none"/>
              </w:rPr>
              <w:t>。</w:t>
            </w:r>
          </w:p>
        </w:tc>
      </w:tr>
    </w:tbl>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outlineLvl w:val="9"/>
        <w:rPr>
          <w:rFonts w:hint="eastAsia" w:ascii="宋体" w:hAnsi="宋体" w:eastAsia="宋体" w:cs="宋体"/>
          <w:b w:val="0"/>
          <w:bCs w:val="0"/>
          <w:i/>
          <w:iCs/>
          <w:color w:val="auto"/>
          <w:sz w:val="21"/>
          <w:szCs w:val="21"/>
          <w:highlight w:val="none"/>
          <w:lang w:val="en-US" w:eastAsia="zh-CN"/>
        </w:rPr>
      </w:pPr>
    </w:p>
    <w:p>
      <w:pPr>
        <w:pStyle w:val="9"/>
        <w:keepNext w:val="0"/>
        <w:keepLines w:val="0"/>
        <w:pageBreakBefore w:val="0"/>
        <w:widowControl w:val="0"/>
        <w:kinsoku/>
        <w:wordWrap/>
        <w:overflowPunct/>
        <w:topLinePunct w:val="0"/>
        <w:autoSpaceDE/>
        <w:autoSpaceDN/>
        <w:bidi w:val="0"/>
        <w:adjustRightInd/>
        <w:snapToGrid/>
        <w:spacing w:line="480" w:lineRule="atLeast"/>
        <w:ind w:firstLine="420" w:firstLineChars="200"/>
        <w:textAlignment w:val="auto"/>
        <w:rPr>
          <w:rFonts w:hint="eastAsia" w:ascii="宋体" w:hAnsi="宋体" w:eastAsia="宋体" w:cs="宋体"/>
          <w:color w:val="auto"/>
          <w:sz w:val="21"/>
          <w:szCs w:val="21"/>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AF13F2"/>
    <w:multiLevelType w:val="singleLevel"/>
    <w:tmpl w:val="E5AF13F2"/>
    <w:lvl w:ilvl="0" w:tentative="0">
      <w:start w:val="3"/>
      <w:numFmt w:val="chineseCounting"/>
      <w:suff w:val="nothing"/>
      <w:lvlText w:val="（%1）"/>
      <w:lvlJc w:val="left"/>
      <w:rPr>
        <w:rFonts w:hint="eastAsia"/>
      </w:rPr>
    </w:lvl>
  </w:abstractNum>
  <w:abstractNum w:abstractNumId="1">
    <w:nsid w:val="5862E749"/>
    <w:multiLevelType w:val="singleLevel"/>
    <w:tmpl w:val="5862E74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lNzc4MzgyNWVjNTVlYzY3NWE0NTMzYjcyZTRiZWMifQ=="/>
  </w:docVars>
  <w:rsids>
    <w:rsidRoot w:val="24F737D8"/>
    <w:rsid w:val="04A24F71"/>
    <w:rsid w:val="066C7717"/>
    <w:rsid w:val="08BA0261"/>
    <w:rsid w:val="0AEF4E65"/>
    <w:rsid w:val="0B114536"/>
    <w:rsid w:val="0BC07002"/>
    <w:rsid w:val="0BE12940"/>
    <w:rsid w:val="10B47DE2"/>
    <w:rsid w:val="116419AD"/>
    <w:rsid w:val="11775255"/>
    <w:rsid w:val="11DF6CFE"/>
    <w:rsid w:val="139A32B7"/>
    <w:rsid w:val="14440D4B"/>
    <w:rsid w:val="15056A61"/>
    <w:rsid w:val="15EC4D86"/>
    <w:rsid w:val="167A6E11"/>
    <w:rsid w:val="18954CE4"/>
    <w:rsid w:val="18E57496"/>
    <w:rsid w:val="196633D1"/>
    <w:rsid w:val="19EC72F1"/>
    <w:rsid w:val="1B663F82"/>
    <w:rsid w:val="1BE21ECD"/>
    <w:rsid w:val="1C912016"/>
    <w:rsid w:val="20454680"/>
    <w:rsid w:val="216F4D5B"/>
    <w:rsid w:val="219948BF"/>
    <w:rsid w:val="23857FD5"/>
    <w:rsid w:val="24F737D8"/>
    <w:rsid w:val="25DD39AD"/>
    <w:rsid w:val="27CB53D6"/>
    <w:rsid w:val="28AD37CB"/>
    <w:rsid w:val="294E69C8"/>
    <w:rsid w:val="2FF65FF8"/>
    <w:rsid w:val="300D195C"/>
    <w:rsid w:val="30385775"/>
    <w:rsid w:val="30BF37B5"/>
    <w:rsid w:val="324F6353"/>
    <w:rsid w:val="359549F8"/>
    <w:rsid w:val="361736AD"/>
    <w:rsid w:val="36D200CF"/>
    <w:rsid w:val="37C80913"/>
    <w:rsid w:val="380B1DCF"/>
    <w:rsid w:val="38382DC3"/>
    <w:rsid w:val="38DE045C"/>
    <w:rsid w:val="3C4A35F1"/>
    <w:rsid w:val="3FF31A9B"/>
    <w:rsid w:val="41101E4C"/>
    <w:rsid w:val="44D414C9"/>
    <w:rsid w:val="46472D5E"/>
    <w:rsid w:val="47064A15"/>
    <w:rsid w:val="48411198"/>
    <w:rsid w:val="4B3A1BDA"/>
    <w:rsid w:val="4D133879"/>
    <w:rsid w:val="507B3005"/>
    <w:rsid w:val="52E734B9"/>
    <w:rsid w:val="540B7B46"/>
    <w:rsid w:val="55C3156A"/>
    <w:rsid w:val="565A3DA2"/>
    <w:rsid w:val="59345C58"/>
    <w:rsid w:val="5BD036AA"/>
    <w:rsid w:val="5EF054CB"/>
    <w:rsid w:val="608606DE"/>
    <w:rsid w:val="615D17B1"/>
    <w:rsid w:val="645B63B1"/>
    <w:rsid w:val="668869C6"/>
    <w:rsid w:val="66C35559"/>
    <w:rsid w:val="684944CF"/>
    <w:rsid w:val="699A143B"/>
    <w:rsid w:val="69B76B7E"/>
    <w:rsid w:val="6A09719C"/>
    <w:rsid w:val="6A287B5E"/>
    <w:rsid w:val="6B303A1A"/>
    <w:rsid w:val="6D9E575F"/>
    <w:rsid w:val="6DAA2FDF"/>
    <w:rsid w:val="6E121228"/>
    <w:rsid w:val="6E834EF3"/>
    <w:rsid w:val="70D1495F"/>
    <w:rsid w:val="73982E36"/>
    <w:rsid w:val="77195F73"/>
    <w:rsid w:val="784E646D"/>
    <w:rsid w:val="7E3420E0"/>
    <w:rsid w:val="7FCD56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9" w:semiHidden="0" w:name="heading 1"/>
    <w:lsdException w:qFormat="1"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Bdr>
        <w:top w:val="none" w:color="auto" w:sz="0" w:space="0"/>
        <w:left w:val="none" w:color="auto" w:sz="0" w:space="0"/>
        <w:bottom w:val="none" w:color="auto" w:sz="0" w:space="0"/>
        <w:right w:val="none" w:color="auto" w:sz="0" w:space="0"/>
        <w:between w:val="none" w:color="auto" w:sz="0" w:space="0"/>
      </w:pBdr>
      <w:shd w:val="clear" w:color="auto" w:fill="auto"/>
      <w:jc w:val="both"/>
    </w:pPr>
    <w:rPr>
      <w:rFonts w:ascii="Calibri" w:hAnsi="Calibri" w:eastAsia="宋体" w:cs="Times New Roman"/>
      <w:kern w:val="2"/>
      <w:sz w:val="21"/>
      <w:szCs w:val="22"/>
      <w:lang w:val="en-US" w:eastAsia="zh-CN" w:bidi="ar-SA"/>
    </w:rPr>
  </w:style>
  <w:style w:type="paragraph" w:styleId="2">
    <w:name w:val="heading 1"/>
    <w:basedOn w:val="1"/>
    <w:next w:val="1"/>
    <w:unhideWhenUsed/>
    <w:qFormat/>
    <w:uiPriority w:val="99"/>
    <w:pPr>
      <w:widowControl w:val="0"/>
      <w:autoSpaceDE w:val="0"/>
      <w:autoSpaceDN w:val="0"/>
      <w:adjustRightInd w:val="0"/>
      <w:spacing w:beforeLines="0" w:afterLines="0"/>
    </w:pPr>
    <w:rPr>
      <w:rFonts w:hint="default" w:ascii="Arial" w:hAnsi="Arial" w:eastAsia="宋体" w:cs="Times New Roman"/>
      <w:b/>
      <w:color w:val="000000"/>
      <w:sz w:val="32"/>
    </w:rPr>
  </w:style>
  <w:style w:type="paragraph" w:styleId="3">
    <w:name w:val="heading 2"/>
    <w:basedOn w:val="1"/>
    <w:next w:val="1"/>
    <w:unhideWhenUsed/>
    <w:qFormat/>
    <w:uiPriority w:val="99"/>
    <w:pPr>
      <w:widowControl w:val="0"/>
      <w:autoSpaceDE w:val="0"/>
      <w:autoSpaceDN w:val="0"/>
      <w:adjustRightInd w:val="0"/>
      <w:spacing w:beforeLines="0" w:afterLines="0"/>
    </w:pPr>
    <w:rPr>
      <w:rFonts w:hint="default" w:ascii="Arial" w:hAnsi="Arial" w:eastAsia="宋体" w:cs="Times New Roman"/>
      <w:b/>
      <w:i/>
      <w:color w:val="000000"/>
      <w:sz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rFonts w:ascii="Times New Roman" w:hAnsi="Times New Roman" w:cs="Times New Roman"/>
      <w:kern w:val="0"/>
      <w:sz w:val="20"/>
      <w:szCs w:val="20"/>
    </w:rPr>
  </w:style>
  <w:style w:type="paragraph" w:styleId="5">
    <w:name w:val="annotation text"/>
    <w:basedOn w:val="1"/>
    <w:qFormat/>
    <w:uiPriority w:val="0"/>
    <w:pPr>
      <w:jc w:val="left"/>
    </w:pPr>
  </w:style>
  <w:style w:type="paragraph" w:styleId="6">
    <w:name w:val="Body Text"/>
    <w:basedOn w:val="1"/>
    <w:next w:val="7"/>
    <w:unhideWhenUsed/>
    <w:qFormat/>
    <w:uiPriority w:val="99"/>
    <w:pPr>
      <w:pBdr>
        <w:top w:val="none" w:color="auto" w:sz="0" w:space="0"/>
        <w:left w:val="none" w:color="auto" w:sz="0" w:space="0"/>
        <w:bottom w:val="none" w:color="auto" w:sz="0" w:space="0"/>
        <w:right w:val="none" w:color="auto" w:sz="0" w:space="0"/>
        <w:between w:val="none" w:color="auto" w:sz="0" w:space="0"/>
      </w:pBdr>
      <w:spacing w:after="120"/>
      <w:jc w:val="both"/>
    </w:pPr>
    <w:rPr>
      <w:lang w:val="en-US" w:eastAsia="zh-CN"/>
    </w:rPr>
  </w:style>
  <w:style w:type="paragraph" w:styleId="7">
    <w:name w:val="Title"/>
    <w:basedOn w:val="1"/>
    <w:next w:val="1"/>
    <w:qFormat/>
    <w:uiPriority w:val="0"/>
    <w:pPr>
      <w:widowControl/>
      <w:spacing w:before="240" w:after="60" w:line="560" w:lineRule="exact"/>
      <w:jc w:val="center"/>
      <w:outlineLvl w:val="0"/>
    </w:pPr>
    <w:rPr>
      <w:rFonts w:ascii="Arial" w:hAnsi="Arial" w:eastAsia="华文中宋" w:cs="Arial"/>
      <w:b/>
      <w:bCs/>
      <w:color w:val="FF0000"/>
      <w:kern w:val="0"/>
      <w:sz w:val="84"/>
      <w:szCs w:val="32"/>
    </w:rPr>
  </w:style>
  <w:style w:type="paragraph" w:styleId="8">
    <w:name w:val="Body Text Indent"/>
    <w:basedOn w:val="1"/>
    <w:qFormat/>
    <w:uiPriority w:val="0"/>
    <w:pPr>
      <w:spacing w:after="120"/>
      <w:ind w:left="420" w:leftChars="200"/>
    </w:pPr>
  </w:style>
  <w:style w:type="paragraph" w:styleId="9">
    <w:name w:val="Plain Text"/>
    <w:basedOn w:val="1"/>
    <w:qFormat/>
    <w:uiPriority w:val="0"/>
    <w:pPr>
      <w:pBdr>
        <w:top w:val="none" w:color="auto" w:sz="0" w:space="0"/>
        <w:left w:val="none" w:color="auto" w:sz="0" w:space="0"/>
        <w:bottom w:val="none" w:color="auto" w:sz="0" w:space="0"/>
        <w:right w:val="none" w:color="auto" w:sz="0" w:space="0"/>
        <w:between w:val="none" w:color="auto" w:sz="0" w:space="0"/>
      </w:pBdr>
      <w:shd w:val="clear" w:color="auto" w:fill="auto"/>
      <w:jc w:val="both"/>
    </w:pPr>
    <w:rPr>
      <w:rFonts w:ascii="宋体" w:hAnsi="Courier New"/>
      <w:kern w:val="0"/>
      <w:sz w:val="20"/>
      <w:szCs w:val="20"/>
      <w:lang w:val="en-US" w:eastAsia="zh-CN"/>
    </w:rPr>
  </w:style>
  <w:style w:type="paragraph" w:styleId="10">
    <w:name w:val="Body Text First Indent"/>
    <w:basedOn w:val="6"/>
    <w:unhideWhenUsed/>
    <w:qFormat/>
    <w:uiPriority w:val="99"/>
    <w:pPr>
      <w:pBdr>
        <w:top w:val="none" w:color="auto" w:sz="0" w:space="0"/>
        <w:left w:val="none" w:color="auto" w:sz="0" w:space="0"/>
        <w:bottom w:val="none" w:color="auto" w:sz="0" w:space="0"/>
        <w:right w:val="none" w:color="auto" w:sz="0" w:space="0"/>
        <w:between w:val="none" w:color="auto" w:sz="0" w:space="0"/>
      </w:pBdr>
      <w:shd w:val="clear" w:color="auto" w:fill="auto"/>
      <w:spacing w:line="360" w:lineRule="auto"/>
      <w:ind w:firstLine="200" w:firstLineChars="200"/>
      <w:jc w:val="both"/>
    </w:pPr>
    <w:rPr>
      <w:kern w:val="0"/>
      <w:sz w:val="24"/>
      <w:lang w:val="en-US"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目录 21"/>
    <w:basedOn w:val="1"/>
    <w:next w:val="1"/>
    <w:qFormat/>
    <w:uiPriority w:val="0"/>
    <w:pPr>
      <w:spacing w:before="100" w:beforeAutospacing="1" w:after="100" w:afterAutospacing="1"/>
      <w:ind w:left="420" w:leftChars="200"/>
    </w:pPr>
  </w:style>
  <w:style w:type="paragraph" w:customStyle="1" w:styleId="15">
    <w:name w:val="样式 宋体 四号 首行缩进:  2 字符"/>
    <w:basedOn w:val="1"/>
    <w:qFormat/>
    <w:uiPriority w:val="0"/>
    <w:pPr>
      <w:widowControl/>
    </w:pPr>
    <w:rPr>
      <w:rFonts w:cs="宋体"/>
      <w:color w:val="000000"/>
      <w:kern w:val="0"/>
      <w:szCs w:val="20"/>
    </w:rPr>
  </w:style>
  <w:style w:type="paragraph" w:customStyle="1" w:styleId="16">
    <w:name w:val="报告正文"/>
    <w:basedOn w:val="1"/>
    <w:qFormat/>
    <w:uiPriority w:val="0"/>
    <w:pPr>
      <w:ind w:firstLine="200" w:firstLineChars="200"/>
      <w:textAlignment w:val="baseline"/>
    </w:pPr>
    <w:rPr>
      <w:color w:val="FF0000"/>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844</Words>
  <Characters>881</Characters>
  <Lines>0</Lines>
  <Paragraphs>0</Paragraphs>
  <TotalTime>0</TotalTime>
  <ScaleCrop>false</ScaleCrop>
  <LinksUpToDate>false</LinksUpToDate>
  <CharactersWithSpaces>884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2021-02-24T07:45:00Z</dcterms:created>
  <dc:creator>maja</dc:creator>
  <cp:lastModifiedBy>何定安</cp:lastModifiedBy>
  <dcterms:modified xsi:type="dcterms:W3CDTF">2024-07-23T10:00:16Z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71A695512AD54C2FADD29DB3551318B0</vt:lpwstr>
  </property>
</Properties>
</file>