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ascii="宋体" w:hAnsi="宋体" w:cs="宋体"/>
          <w:sz w:val="36"/>
          <w:highlight w:val="none"/>
          <w:u w:val="single"/>
        </w:rPr>
      </w:pPr>
    </w:p>
    <w:p>
      <w:pPr>
        <w:spacing w:line="360" w:lineRule="auto"/>
        <w:ind w:left="359" w:leftChars="171"/>
        <w:jc w:val="center"/>
        <w:rPr>
          <w:rFonts w:hint="eastAsia" w:ascii="宋体" w:hAnsi="宋体" w:cs="华文中宋"/>
          <w:b/>
          <w:bCs/>
          <w:sz w:val="48"/>
          <w:szCs w:val="48"/>
          <w:highlight w:val="none"/>
        </w:rPr>
      </w:pPr>
      <w:r>
        <w:rPr>
          <w:rFonts w:hint="eastAsia" w:ascii="宋体" w:hAnsi="宋体" w:cs="华文中宋"/>
          <w:b/>
          <w:bCs/>
          <w:sz w:val="48"/>
          <w:szCs w:val="48"/>
          <w:highlight w:val="none"/>
        </w:rPr>
        <w:t>增城国家级开发区仙村园区西福河堤防达标整治（仙村园区段）及环园路建设工程</w:t>
      </w:r>
    </w:p>
    <w:p>
      <w:pPr>
        <w:spacing w:line="360" w:lineRule="auto"/>
        <w:ind w:left="359" w:leftChars="171"/>
        <w:jc w:val="center"/>
        <w:rPr>
          <w:rFonts w:hint="eastAsia" w:ascii="宋体" w:hAnsi="宋体" w:cs="华文中宋"/>
          <w:b/>
          <w:bCs/>
          <w:color w:val="auto"/>
          <w:spacing w:val="40"/>
          <w:sz w:val="48"/>
          <w:szCs w:val="48"/>
          <w:highlight w:val="none"/>
        </w:rPr>
      </w:pPr>
      <w:r>
        <w:rPr>
          <w:rFonts w:hint="eastAsia" w:ascii="宋体" w:hAnsi="宋体" w:cs="华文中宋"/>
          <w:b/>
          <w:bCs/>
          <w:sz w:val="48"/>
          <w:szCs w:val="48"/>
          <w:highlight w:val="none"/>
        </w:rPr>
        <w:t>（市政部分）</w:t>
      </w:r>
      <w:r>
        <w:rPr>
          <w:rFonts w:hint="eastAsia" w:ascii="宋体" w:hAnsi="宋体" w:cs="华文中宋"/>
          <w:b/>
          <w:bCs/>
          <w:color w:val="auto"/>
          <w:sz w:val="48"/>
          <w:szCs w:val="48"/>
          <w:highlight w:val="none"/>
        </w:rPr>
        <w:t>施工监理</w:t>
      </w:r>
    </w:p>
    <w:p>
      <w:pPr>
        <w:spacing w:line="360" w:lineRule="auto"/>
        <w:jc w:val="center"/>
        <w:rPr>
          <w:rFonts w:hint="eastAsia" w:ascii="宋体" w:hAnsi="宋体" w:cs="华文中宋"/>
          <w:color w:val="auto"/>
          <w:sz w:val="36"/>
          <w:highlight w:val="none"/>
          <w:u w:val="single"/>
        </w:rPr>
      </w:pPr>
    </w:p>
    <w:p>
      <w:pPr>
        <w:pStyle w:val="23"/>
        <w:ind w:firstLine="0" w:firstLineChars="0"/>
        <w:rPr>
          <w:rFonts w:hint="eastAsia" w:ascii="宋体" w:hAnsi="宋体" w:cs="华文中宋"/>
          <w:color w:val="auto"/>
          <w:sz w:val="36"/>
          <w:highlight w:val="none"/>
          <w:u w:val="single"/>
        </w:rPr>
      </w:pPr>
      <w:bookmarkStart w:id="620" w:name="_GoBack"/>
      <w:bookmarkEnd w:id="620"/>
    </w:p>
    <w:p>
      <w:pPr>
        <w:spacing w:line="360" w:lineRule="auto"/>
        <w:rPr>
          <w:rFonts w:hint="eastAsia" w:ascii="宋体" w:hAnsi="宋体" w:cs="华文中宋"/>
          <w:color w:val="auto"/>
          <w:sz w:val="36"/>
          <w:highlight w:val="none"/>
          <w:u w:val="single"/>
        </w:rPr>
      </w:pPr>
    </w:p>
    <w:p>
      <w:pPr>
        <w:spacing w:line="360" w:lineRule="auto"/>
        <w:jc w:val="center"/>
        <w:rPr>
          <w:rFonts w:hint="eastAsia" w:ascii="宋体" w:hAnsi="宋体" w:cs="华文中宋"/>
          <w:color w:val="auto"/>
          <w:sz w:val="36"/>
          <w:highlight w:val="none"/>
          <w:u w:val="single"/>
        </w:rPr>
      </w:pPr>
    </w:p>
    <w:p>
      <w:pPr>
        <w:spacing w:line="360" w:lineRule="auto"/>
        <w:jc w:val="center"/>
        <w:rPr>
          <w:rFonts w:hint="eastAsia" w:ascii="宋体" w:hAnsi="宋体" w:cs="华文中宋"/>
          <w:color w:val="auto"/>
          <w:sz w:val="96"/>
          <w:szCs w:val="96"/>
          <w:highlight w:val="none"/>
        </w:rPr>
      </w:pPr>
      <w:r>
        <w:rPr>
          <w:rFonts w:hint="eastAsia" w:ascii="宋体" w:hAnsi="宋体" w:cs="华文中宋"/>
          <w:b/>
          <w:bCs/>
          <w:color w:val="auto"/>
          <w:spacing w:val="26"/>
          <w:sz w:val="96"/>
          <w:szCs w:val="96"/>
          <w:highlight w:val="none"/>
          <w14:shadow w14:blurRad="50800" w14:dist="38100" w14:dir="2700000" w14:sx="100000" w14:sy="100000" w14:kx="0" w14:ky="0" w14:algn="tl">
            <w14:srgbClr w14:val="000000">
              <w14:alpha w14:val="60000"/>
            </w14:srgbClr>
          </w14:shadow>
        </w:rPr>
        <w:t>招标文件</w:t>
      </w:r>
    </w:p>
    <w:p>
      <w:pPr>
        <w:spacing w:line="360" w:lineRule="auto"/>
        <w:rPr>
          <w:rFonts w:hint="eastAsia" w:ascii="宋体" w:hAnsi="宋体" w:cs="华文中宋"/>
          <w:b/>
          <w:bCs/>
          <w:color w:val="auto"/>
          <w:sz w:val="30"/>
          <w:szCs w:val="30"/>
          <w:highlight w:val="none"/>
        </w:rPr>
      </w:pPr>
    </w:p>
    <w:p>
      <w:pPr>
        <w:pStyle w:val="16"/>
        <w:rPr>
          <w:rFonts w:hint="eastAsia"/>
          <w:color w:val="auto"/>
          <w:highlight w:val="none"/>
        </w:rPr>
      </w:pPr>
    </w:p>
    <w:p>
      <w:pPr>
        <w:pStyle w:val="16"/>
        <w:rPr>
          <w:rFonts w:hint="eastAsia"/>
          <w:color w:val="auto"/>
          <w:highlight w:val="none"/>
        </w:rPr>
      </w:pPr>
    </w:p>
    <w:p>
      <w:pPr>
        <w:pStyle w:val="7"/>
        <w:rPr>
          <w:rFonts w:hint="eastAsia" w:ascii="宋体" w:hAnsi="宋体" w:cs="华文中宋"/>
          <w:color w:val="auto"/>
          <w:highlight w:val="none"/>
        </w:rPr>
      </w:pPr>
    </w:p>
    <w:p>
      <w:pPr>
        <w:rPr>
          <w:rFonts w:hint="eastAsia"/>
          <w:color w:val="auto"/>
          <w:highlight w:val="none"/>
        </w:rPr>
      </w:pPr>
    </w:p>
    <w:p>
      <w:pPr>
        <w:rPr>
          <w:rFonts w:hint="eastAsia"/>
          <w:color w:val="auto"/>
          <w:highlight w:val="none"/>
        </w:rPr>
      </w:pPr>
    </w:p>
    <w:p>
      <w:pPr>
        <w:pStyle w:val="16"/>
        <w:rPr>
          <w:rFonts w:hint="eastAsia" w:ascii="宋体" w:hAnsi="宋体" w:cs="华文中宋"/>
          <w:color w:val="auto"/>
          <w:highlight w:val="none"/>
        </w:rPr>
      </w:pPr>
    </w:p>
    <w:p>
      <w:pPr>
        <w:pStyle w:val="16"/>
        <w:rPr>
          <w:rFonts w:hint="eastAsia" w:ascii="宋体" w:hAnsi="宋体" w:cs="华文中宋"/>
          <w:color w:val="auto"/>
          <w:highlight w:val="none"/>
        </w:rPr>
      </w:pPr>
    </w:p>
    <w:p>
      <w:pPr>
        <w:pStyle w:val="16"/>
        <w:rPr>
          <w:rFonts w:hint="eastAsia" w:ascii="宋体" w:hAnsi="宋体" w:cs="华文中宋"/>
          <w:color w:val="auto"/>
          <w:highlight w:val="none"/>
        </w:rPr>
      </w:pPr>
    </w:p>
    <w:p>
      <w:pPr>
        <w:pStyle w:val="16"/>
        <w:rPr>
          <w:rFonts w:hint="eastAsia" w:ascii="宋体" w:hAnsi="宋体" w:cs="华文中宋"/>
          <w:color w:val="auto"/>
          <w:highlight w:val="none"/>
        </w:rPr>
      </w:pPr>
    </w:p>
    <w:p>
      <w:pPr>
        <w:pStyle w:val="16"/>
        <w:rPr>
          <w:rFonts w:hint="eastAsia" w:ascii="宋体" w:hAnsi="宋体" w:cs="华文中宋"/>
          <w:color w:val="auto"/>
          <w:highlight w:val="none"/>
        </w:rPr>
      </w:pPr>
    </w:p>
    <w:p>
      <w:pPr>
        <w:spacing w:line="360" w:lineRule="auto"/>
        <w:ind w:firstLine="1506" w:firstLineChars="500"/>
        <w:rPr>
          <w:rFonts w:hint="eastAsia" w:ascii="宋体" w:hAnsi="宋体" w:cs="华文中宋"/>
          <w:b/>
          <w:bCs/>
          <w:color w:val="auto"/>
          <w:sz w:val="30"/>
          <w:szCs w:val="30"/>
          <w:highlight w:val="none"/>
          <w:u w:val="single"/>
        </w:rPr>
      </w:pPr>
      <w:r>
        <w:rPr>
          <w:rFonts w:hint="eastAsia" w:ascii="宋体" w:hAnsi="宋体" w:cs="华文中宋"/>
          <w:b/>
          <w:bCs/>
          <w:color w:val="auto"/>
          <w:sz w:val="30"/>
          <w:szCs w:val="30"/>
          <w:highlight w:val="none"/>
        </w:rPr>
        <w:t>招  标 单 位：</w:t>
      </w:r>
      <w:r>
        <w:rPr>
          <w:rFonts w:hint="eastAsia" w:ascii="宋体" w:hAnsi="宋体" w:cs="华文中宋"/>
          <w:b/>
          <w:bCs/>
          <w:color w:val="auto"/>
          <w:sz w:val="30"/>
          <w:szCs w:val="30"/>
          <w:highlight w:val="none"/>
          <w:u w:val="single"/>
        </w:rPr>
        <w:t>广州市增城区水务建设管理所</w:t>
      </w:r>
    </w:p>
    <w:p>
      <w:pPr>
        <w:spacing w:line="360" w:lineRule="auto"/>
        <w:ind w:firstLine="1506" w:firstLineChars="500"/>
        <w:rPr>
          <w:rFonts w:hint="default" w:ascii="宋体" w:hAnsi="宋体" w:eastAsia="宋体" w:cs="华文中宋"/>
          <w:b/>
          <w:bCs/>
          <w:color w:val="auto"/>
          <w:sz w:val="30"/>
          <w:szCs w:val="30"/>
          <w:highlight w:val="none"/>
          <w:u w:val="single"/>
          <w:lang w:val="en-US" w:eastAsia="zh-CN"/>
        </w:rPr>
      </w:pPr>
      <w:r>
        <w:rPr>
          <w:rFonts w:hint="eastAsia" w:ascii="宋体" w:hAnsi="宋体" w:cs="华文中宋"/>
          <w:b/>
          <w:bCs/>
          <w:color w:val="auto"/>
          <w:sz w:val="30"/>
          <w:szCs w:val="30"/>
          <w:highlight w:val="none"/>
        </w:rPr>
        <w:t>招标代理单位：</w:t>
      </w:r>
      <w:r>
        <w:rPr>
          <w:rFonts w:hint="eastAsia" w:ascii="宋体" w:hAnsi="宋体" w:cs="华文中宋"/>
          <w:b/>
          <w:bCs/>
          <w:color w:val="auto"/>
          <w:sz w:val="30"/>
          <w:szCs w:val="30"/>
          <w:highlight w:val="none"/>
          <w:u w:val="single"/>
          <w:lang w:val="en-US" w:eastAsia="zh-CN"/>
        </w:rPr>
        <w:t>广东省建筑工程监理有限公司</w:t>
      </w:r>
    </w:p>
    <w:p>
      <w:pPr>
        <w:spacing w:line="360" w:lineRule="auto"/>
        <w:ind w:firstLine="1506" w:firstLineChars="500"/>
        <w:rPr>
          <w:rFonts w:hint="eastAsia" w:ascii="宋体" w:hAnsi="宋体" w:cs="华文中宋"/>
          <w:b/>
          <w:bCs/>
          <w:color w:val="auto"/>
          <w:sz w:val="30"/>
          <w:szCs w:val="30"/>
          <w:highlight w:val="none"/>
        </w:rPr>
      </w:pPr>
      <w:r>
        <w:rPr>
          <w:rFonts w:hint="eastAsia" w:ascii="宋体" w:hAnsi="宋体" w:cs="华文中宋"/>
          <w:b/>
          <w:bCs/>
          <w:color w:val="auto"/>
          <w:sz w:val="30"/>
          <w:szCs w:val="30"/>
          <w:highlight w:val="none"/>
        </w:rPr>
        <w:t>日        期：</w:t>
      </w:r>
      <w:r>
        <w:rPr>
          <w:rFonts w:hint="eastAsia" w:ascii="宋体" w:hAnsi="宋体" w:cs="华文中宋"/>
          <w:b/>
          <w:bCs/>
          <w:color w:val="auto"/>
          <w:sz w:val="30"/>
          <w:szCs w:val="30"/>
          <w:highlight w:val="none"/>
          <w:u w:val="single"/>
        </w:rPr>
        <w:t>202</w:t>
      </w:r>
      <w:r>
        <w:rPr>
          <w:rFonts w:hint="eastAsia" w:ascii="宋体" w:hAnsi="宋体" w:cs="华文中宋"/>
          <w:b/>
          <w:bCs/>
          <w:color w:val="auto"/>
          <w:sz w:val="30"/>
          <w:szCs w:val="30"/>
          <w:highlight w:val="none"/>
          <w:u w:val="single"/>
          <w:lang w:val="en-US" w:eastAsia="zh-CN"/>
        </w:rPr>
        <w:t>4</w:t>
      </w:r>
      <w:r>
        <w:rPr>
          <w:rFonts w:hint="eastAsia" w:ascii="宋体" w:hAnsi="宋体" w:cs="华文中宋"/>
          <w:b/>
          <w:bCs/>
          <w:color w:val="auto"/>
          <w:sz w:val="30"/>
          <w:szCs w:val="30"/>
          <w:highlight w:val="none"/>
          <w:u w:val="single"/>
        </w:rPr>
        <w:t>年</w:t>
      </w:r>
      <w:r>
        <w:rPr>
          <w:rFonts w:hint="eastAsia" w:ascii="宋体" w:hAnsi="宋体" w:cs="华文中宋"/>
          <w:b/>
          <w:bCs/>
          <w:color w:val="auto"/>
          <w:sz w:val="30"/>
          <w:szCs w:val="30"/>
          <w:highlight w:val="none"/>
          <w:u w:val="single"/>
          <w:lang w:val="en-US" w:eastAsia="zh-CN"/>
        </w:rPr>
        <w:t xml:space="preserve">  </w:t>
      </w:r>
      <w:r>
        <w:rPr>
          <w:rFonts w:hint="eastAsia" w:ascii="宋体" w:hAnsi="宋体" w:cs="华文中宋"/>
          <w:b/>
          <w:bCs/>
          <w:color w:val="auto"/>
          <w:sz w:val="30"/>
          <w:szCs w:val="30"/>
          <w:highlight w:val="none"/>
          <w:u w:val="single"/>
        </w:rPr>
        <w:t>月</w:t>
      </w:r>
    </w:p>
    <w:p>
      <w:pPr>
        <w:spacing w:line="400" w:lineRule="exact"/>
        <w:rPr>
          <w:rFonts w:hint="eastAsia" w:ascii="宋体" w:hAnsi="宋体" w:cs="宋体"/>
          <w:color w:val="auto"/>
          <w:highlight w:val="none"/>
        </w:rPr>
        <w:sectPr>
          <w:headerReference r:id="rId4" w:type="default"/>
          <w:footerReference r:id="rId5" w:type="default"/>
          <w:footerReference r:id="rId6" w:type="even"/>
          <w:pgSz w:w="12240" w:h="15840"/>
          <w:pgMar w:top="1247" w:right="1247" w:bottom="1247" w:left="1247" w:header="720" w:footer="720" w:gutter="0"/>
          <w:pgNumType w:start="1" w:chapStyle="1"/>
          <w:cols w:space="720" w:num="1"/>
          <w:docGrid w:linePitch="312" w:charSpace="0"/>
        </w:sectPr>
      </w:pPr>
    </w:p>
    <w:p>
      <w:pPr>
        <w:pStyle w:val="47"/>
        <w:keepNext w:val="0"/>
        <w:keepLines w:val="0"/>
        <w:widowControl w:val="0"/>
        <w:jc w:val="center"/>
        <w:rPr>
          <w:rFonts w:hint="eastAsia" w:ascii="宋体" w:hAnsi="宋体" w:cs="宋体"/>
          <w:bCs/>
          <w:color w:val="auto"/>
          <w:sz w:val="36"/>
          <w:szCs w:val="22"/>
          <w:highlight w:val="none"/>
        </w:rPr>
      </w:pPr>
      <w:bookmarkStart w:id="0" w:name="_Toc21028"/>
      <w:bookmarkStart w:id="1" w:name="_Toc152045511"/>
      <w:bookmarkStart w:id="2" w:name="_Toc152042287"/>
      <w:bookmarkStart w:id="3" w:name="_Toc144974479"/>
      <w:r>
        <w:rPr>
          <w:rFonts w:hint="eastAsia" w:ascii="宋体" w:hAnsi="宋体" w:cs="宋体"/>
          <w:bCs/>
          <w:color w:val="auto"/>
          <w:sz w:val="36"/>
          <w:szCs w:val="22"/>
          <w:highlight w:val="none"/>
          <w:lang w:val="zh-CN"/>
        </w:rPr>
        <w:t>目  录</w:t>
      </w:r>
      <w:bookmarkEnd w:id="0"/>
    </w:p>
    <w:p>
      <w:pPr>
        <w:pStyle w:val="18"/>
        <w:tabs>
          <w:tab w:val="right" w:leader="dot" w:pos="8630"/>
        </w:tabs>
        <w:jc w:val="center"/>
        <w:rPr>
          <w:rFonts w:hint="eastAsia" w:ascii="宋体" w:hAnsi="宋体" w:cs="宋体"/>
          <w:b/>
          <w:bCs/>
          <w:color w:val="auto"/>
          <w:highlight w:val="none"/>
        </w:rPr>
      </w:pPr>
    </w:p>
    <w:p>
      <w:pPr>
        <w:pStyle w:val="18"/>
        <w:tabs>
          <w:tab w:val="right" w:leader="dot" w:pos="9746"/>
        </w:tabs>
        <w:spacing w:line="60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TOC \o "1-3" \h \z \u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_Toc25231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第一章  招标公告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_Toc25231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8"/>
        <w:tabs>
          <w:tab w:val="right" w:leader="dot" w:pos="9746"/>
        </w:tabs>
        <w:spacing w:line="60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_Toc20116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第二章  投标人须知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_Toc20116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8"/>
        <w:tabs>
          <w:tab w:val="right" w:leader="dot" w:pos="9746"/>
        </w:tabs>
        <w:spacing w:line="60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_Toc25395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第三章  评标办法（综合评估法）</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_Toc25395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28</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8"/>
        <w:tabs>
          <w:tab w:val="right" w:leader="dot" w:pos="9746"/>
        </w:tabs>
        <w:spacing w:line="60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_Toc7448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第四章  合同条款及格式</w:t>
      </w:r>
      <w:r>
        <w:rPr>
          <w:rFonts w:hint="eastAsia" w:ascii="宋体" w:hAnsi="宋体" w:cs="宋体"/>
          <w:b/>
          <w:bCs/>
          <w:color w:val="auto"/>
          <w:sz w:val="24"/>
          <w:szCs w:val="24"/>
          <w:highlight w:val="none"/>
        </w:rPr>
        <w:tab/>
      </w:r>
      <w:bookmarkStart w:id="4" w:name="_Hlt116464035"/>
      <w:bookmarkStart w:id="5" w:name="_Hlt116464036"/>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_Toc7448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37</w:t>
      </w:r>
      <w:r>
        <w:rPr>
          <w:rFonts w:hint="eastAsia" w:ascii="宋体" w:hAnsi="宋体" w:cs="宋体"/>
          <w:b/>
          <w:bCs/>
          <w:color w:val="auto"/>
          <w:sz w:val="24"/>
          <w:szCs w:val="24"/>
          <w:highlight w:val="none"/>
        </w:rPr>
        <w:fldChar w:fldCharType="end"/>
      </w:r>
      <w:bookmarkEnd w:id="4"/>
      <w:bookmarkEnd w:id="5"/>
      <w:r>
        <w:rPr>
          <w:rFonts w:hint="eastAsia" w:ascii="宋体" w:hAnsi="宋体" w:cs="宋体"/>
          <w:b/>
          <w:bCs/>
          <w:color w:val="auto"/>
          <w:sz w:val="24"/>
          <w:szCs w:val="24"/>
          <w:highlight w:val="none"/>
        </w:rPr>
        <w:fldChar w:fldCharType="end"/>
      </w:r>
    </w:p>
    <w:p>
      <w:pPr>
        <w:pStyle w:val="18"/>
        <w:tabs>
          <w:tab w:val="right" w:leader="dot" w:pos="9746"/>
        </w:tabs>
        <w:spacing w:line="60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_Toc26734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第五章  委托人要求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_Toc26734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55</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8"/>
        <w:tabs>
          <w:tab w:val="right" w:leader="dot" w:pos="9746"/>
        </w:tabs>
        <w:spacing w:line="60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_Toc5560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第六章  投标文件格式</w:t>
      </w:r>
      <w:bookmarkStart w:id="6" w:name="_Hlt89765204"/>
      <w:bookmarkStart w:id="7" w:name="_Hlt89765205"/>
      <w:r>
        <w:rPr>
          <w:rFonts w:hint="eastAsia" w:ascii="宋体" w:hAnsi="宋体" w:cs="宋体"/>
          <w:b/>
          <w:bCs/>
          <w:color w:val="auto"/>
          <w:sz w:val="24"/>
          <w:szCs w:val="24"/>
          <w:highlight w:val="none"/>
        </w:rPr>
        <w:tab/>
      </w:r>
      <w:bookmarkEnd w:id="6"/>
      <w:bookmarkEnd w:id="7"/>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_Toc5560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60</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pPr>
        <w:spacing w:line="600" w:lineRule="auto"/>
        <w:rPr>
          <w:rFonts w:hint="eastAsia" w:ascii="宋体" w:hAnsi="宋体" w:cs="宋体"/>
          <w:color w:val="auto"/>
          <w:highlight w:val="none"/>
        </w:rPr>
        <w:sectPr>
          <w:footerReference r:id="rId7" w:type="default"/>
          <w:pgSz w:w="12240" w:h="15840"/>
          <w:pgMar w:top="1247" w:right="1247" w:bottom="1247" w:left="1247" w:header="720" w:footer="720" w:gutter="0"/>
          <w:pgNumType w:start="1"/>
          <w:cols w:space="720" w:num="1"/>
          <w:docGrid w:linePitch="285" w:charSpace="0"/>
        </w:sectPr>
      </w:pPr>
      <w:r>
        <w:rPr>
          <w:rFonts w:hint="eastAsia" w:ascii="宋体" w:hAnsi="宋体" w:cs="宋体"/>
          <w:b/>
          <w:bCs/>
          <w:color w:val="auto"/>
          <w:sz w:val="24"/>
          <w:szCs w:val="24"/>
          <w:highlight w:val="none"/>
        </w:rPr>
        <w:fldChar w:fldCharType="end"/>
      </w:r>
    </w:p>
    <w:p>
      <w:pPr>
        <w:pStyle w:val="3"/>
        <w:keepNext w:val="0"/>
        <w:keepLines w:val="0"/>
        <w:spacing w:line="240" w:lineRule="auto"/>
        <w:jc w:val="center"/>
        <w:rPr>
          <w:rFonts w:hint="eastAsia" w:ascii="宋体" w:hAnsi="宋体" w:cs="宋体"/>
          <w:color w:val="auto"/>
          <w:highlight w:val="none"/>
        </w:rPr>
      </w:pPr>
      <w:bookmarkStart w:id="8" w:name="_Toc511557024"/>
      <w:bookmarkStart w:id="9" w:name="_Toc1734"/>
      <w:r>
        <w:rPr>
          <w:rFonts w:hint="eastAsia" w:ascii="宋体" w:hAnsi="宋体" w:cs="宋体"/>
          <w:color w:val="auto"/>
          <w:highlight w:val="none"/>
        </w:rPr>
        <w:t>第</w:t>
      </w:r>
      <w:bookmarkEnd w:id="1"/>
      <w:bookmarkEnd w:id="2"/>
      <w:bookmarkEnd w:id="3"/>
      <w:bookmarkEnd w:id="8"/>
      <w:r>
        <w:rPr>
          <w:rFonts w:hint="eastAsia" w:ascii="宋体" w:hAnsi="宋体" w:cs="宋体"/>
          <w:color w:val="auto"/>
          <w:highlight w:val="none"/>
        </w:rPr>
        <w:t>一卷</w:t>
      </w:r>
      <w:bookmarkEnd w:id="9"/>
    </w:p>
    <w:p>
      <w:pPr>
        <w:pStyle w:val="3"/>
        <w:keepNext w:val="0"/>
        <w:keepLines w:val="0"/>
        <w:spacing w:line="240" w:lineRule="auto"/>
        <w:jc w:val="center"/>
        <w:rPr>
          <w:rFonts w:hint="eastAsia" w:ascii="宋体" w:hAnsi="宋体" w:cs="宋体"/>
          <w:color w:val="auto"/>
          <w:highlight w:val="none"/>
        </w:rPr>
      </w:pPr>
      <w:bookmarkStart w:id="10" w:name="_Toc25231"/>
      <w:r>
        <w:rPr>
          <w:rFonts w:hint="eastAsia" w:ascii="宋体" w:hAnsi="宋体" w:cs="宋体"/>
          <w:color w:val="auto"/>
          <w:highlight w:val="none"/>
        </w:rPr>
        <w:t>第一章招标公告</w:t>
      </w:r>
      <w:bookmarkEnd w:id="10"/>
    </w:p>
    <w:p>
      <w:pPr>
        <w:pStyle w:val="14"/>
        <w:jc w:val="center"/>
        <w:rPr>
          <w:rFonts w:hint="eastAsia" w:hAnsi="宋体" w:cs="宋体"/>
          <w:color w:val="auto"/>
          <w:sz w:val="44"/>
          <w:szCs w:val="44"/>
          <w:highlight w:val="none"/>
        </w:rPr>
      </w:pPr>
      <w:bookmarkStart w:id="11" w:name="_Toc35615356"/>
      <w:r>
        <w:rPr>
          <w:rFonts w:hint="eastAsia" w:hAnsi="宋体" w:cs="宋体"/>
          <w:color w:val="auto"/>
          <w:sz w:val="44"/>
          <w:szCs w:val="44"/>
          <w:highlight w:val="none"/>
        </w:rPr>
        <w:t>（另册）</w:t>
      </w:r>
      <w:bookmarkEnd w:id="11"/>
    </w:p>
    <w:p>
      <w:pPr>
        <w:pStyle w:val="3"/>
        <w:keepNext w:val="0"/>
        <w:keepLines w:val="0"/>
        <w:spacing w:before="100" w:after="100" w:line="360" w:lineRule="auto"/>
        <w:jc w:val="center"/>
        <w:rPr>
          <w:rFonts w:hint="eastAsia" w:ascii="宋体" w:hAnsi="宋体" w:cs="宋体"/>
          <w:color w:val="auto"/>
          <w:highlight w:val="none"/>
        </w:rPr>
      </w:pPr>
      <w:r>
        <w:rPr>
          <w:rFonts w:hint="eastAsia" w:ascii="宋体" w:hAnsi="宋体" w:cs="宋体"/>
          <w:color w:val="auto"/>
          <w:highlight w:val="none"/>
        </w:rPr>
        <w:br w:type="page"/>
      </w:r>
      <w:bookmarkStart w:id="12" w:name="_Toc20116"/>
      <w:r>
        <w:rPr>
          <w:rFonts w:hint="eastAsia" w:ascii="宋体" w:hAnsi="宋体" w:cs="宋体"/>
          <w:color w:val="auto"/>
          <w:highlight w:val="none"/>
        </w:rPr>
        <w:t>第二章投标人须知</w:t>
      </w:r>
      <w:bookmarkEnd w:id="12"/>
    </w:p>
    <w:p>
      <w:pPr>
        <w:pStyle w:val="4"/>
        <w:keepNext w:val="0"/>
        <w:keepLines w:val="0"/>
        <w:spacing w:before="20" w:after="0" w:line="360" w:lineRule="auto"/>
        <w:jc w:val="center"/>
        <w:rPr>
          <w:rFonts w:hint="eastAsia" w:ascii="宋体" w:hAnsi="宋体" w:eastAsia="宋体" w:cs="宋体"/>
          <w:color w:val="auto"/>
          <w:highlight w:val="none"/>
        </w:rPr>
      </w:pPr>
      <w:bookmarkStart w:id="13" w:name="_Toc1816"/>
      <w:r>
        <w:rPr>
          <w:rFonts w:hint="eastAsia" w:ascii="宋体" w:hAnsi="宋体" w:eastAsia="宋体" w:cs="宋体"/>
          <w:color w:val="auto"/>
          <w:highlight w:val="none"/>
        </w:rPr>
        <w:t>投标人须知前附表</w:t>
      </w:r>
      <w:bookmarkEnd w:id="13"/>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2534"/>
        <w:gridCol w:w="6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1178" w:type="dxa"/>
            <w:vAlign w:val="center"/>
          </w:tcPr>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534" w:type="dxa"/>
            <w:vAlign w:val="center"/>
          </w:tcPr>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035" w:type="dxa"/>
            <w:vAlign w:val="center"/>
          </w:tcPr>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3"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035" w:type="dxa"/>
            <w:vAlign w:val="center"/>
          </w:tcPr>
          <w:p>
            <w:pPr>
              <w:snapToGri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名称：广州市增城区水务建设管理所</w:t>
            </w:r>
          </w:p>
          <w:p>
            <w:pPr>
              <w:snapToGrid w:val="0"/>
              <w:jc w:val="left"/>
              <w:rPr>
                <w:rFonts w:ascii="宋体" w:hAnsi="宋体" w:cs="宋体"/>
                <w:color w:val="auto"/>
                <w:szCs w:val="21"/>
                <w:highlight w:val="none"/>
                <w:u w:val="single"/>
              </w:rPr>
            </w:pPr>
            <w:r>
              <w:rPr>
                <w:rFonts w:hint="eastAsia" w:ascii="宋体" w:hAnsi="宋体" w:cs="宋体"/>
                <w:color w:val="auto"/>
                <w:szCs w:val="21"/>
                <w:highlight w:val="none"/>
                <w:u w:val="single"/>
              </w:rPr>
              <w:t>地址：广州市增城区园圃路4号</w:t>
            </w:r>
          </w:p>
          <w:p>
            <w:pPr>
              <w:snapToGri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联系人：杨工 </w:t>
            </w:r>
          </w:p>
          <w:p>
            <w:pPr>
              <w:snapToGri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电话：020-82639382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035" w:type="dxa"/>
            <w:vAlign w:val="center"/>
          </w:tcPr>
          <w:p>
            <w:pPr>
              <w:snapToGrid w:val="0"/>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val="en-US" w:eastAsia="zh-CN"/>
              </w:rPr>
              <w:t>广东省建筑工程监理有限公司</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val="en-US" w:eastAsia="zh-CN"/>
              </w:rPr>
              <w:t>广州市荔湾区流花路85号</w:t>
            </w:r>
            <w:r>
              <w:rPr>
                <w:rFonts w:hint="eastAsia" w:ascii="宋体" w:hAnsi="宋体" w:cs="宋体"/>
                <w:color w:val="auto"/>
                <w:szCs w:val="21"/>
                <w:highlight w:val="none"/>
              </w:rPr>
              <w:t xml:space="preserve"> </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赖工</w:t>
            </w:r>
            <w:r>
              <w:rPr>
                <w:rFonts w:hint="eastAsia" w:ascii="宋体" w:hAnsi="宋体" w:cs="宋体"/>
                <w:color w:val="auto"/>
                <w:szCs w:val="21"/>
                <w:highlight w:val="none"/>
              </w:rPr>
              <w:t xml:space="preserve">  </w:t>
            </w:r>
          </w:p>
          <w:p>
            <w:pPr>
              <w:snapToGrid w:val="0"/>
              <w:jc w:val="left"/>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val="en-US" w:eastAsia="zh-CN"/>
              </w:rPr>
              <w:t>020-86673560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6035" w:type="dxa"/>
            <w:vAlign w:val="center"/>
          </w:tcPr>
          <w:p>
            <w:pPr>
              <w:snapToGri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增城国家级开发区仙村园区西福河堤防达标整治（仙村园区段）及环园路建设工程（市政部分）施工监理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u w:val="single"/>
              </w:rPr>
              <w:t>详见本项目招标公告。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详见本项目招标公告。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035" w:type="dxa"/>
            <w:vAlign w:val="center"/>
          </w:tcPr>
          <w:p>
            <w:pPr>
              <w:snapToGrid w:val="0"/>
              <w:ind w:right="-239"/>
              <w:rPr>
                <w:rFonts w:hint="eastAsia" w:ascii="宋体" w:hAnsi="宋体" w:cs="宋体"/>
                <w:color w:val="auto"/>
                <w:szCs w:val="21"/>
                <w:highlight w:val="none"/>
              </w:rPr>
            </w:pPr>
            <w:r>
              <w:rPr>
                <w:rFonts w:hint="eastAsia" w:ascii="宋体" w:hAnsi="宋体" w:cs="宋体"/>
                <w:color w:val="auto"/>
                <w:highlight w:val="none"/>
                <w:u w:val="single"/>
              </w:rPr>
              <w:t>具体以</w:t>
            </w:r>
            <w:r>
              <w:rPr>
                <w:rFonts w:hint="eastAsia" w:ascii="宋体" w:hAnsi="宋体" w:cs="宋体"/>
                <w:color w:val="auto"/>
                <w:highlight w:val="none"/>
                <w:u w:val="single"/>
              </w:rPr>
              <w:t>开工报告</w:t>
            </w:r>
            <w:r>
              <w:rPr>
                <w:rFonts w:hint="eastAsia" w:ascii="宋体" w:hAnsi="宋体" w:cs="宋体"/>
                <w:color w:val="auto"/>
                <w:highlight w:val="none"/>
                <w:u w:val="single"/>
              </w:rPr>
              <w:t>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1.1.8</w:t>
            </w:r>
          </w:p>
        </w:tc>
        <w:tc>
          <w:tcPr>
            <w:tcW w:w="2534" w:type="dxa"/>
            <w:vAlign w:val="center"/>
          </w:tcPr>
          <w:p>
            <w:pPr>
              <w:ind w:left="8"/>
              <w:jc w:val="center"/>
              <w:rPr>
                <w:rFonts w:hint="eastAsia" w:ascii="宋体" w:hAnsi="宋体" w:cs="宋体"/>
                <w:color w:val="auto"/>
                <w:highlight w:val="none"/>
              </w:rPr>
            </w:pPr>
            <w:r>
              <w:rPr>
                <w:rFonts w:hint="eastAsia" w:ascii="宋体" w:hAnsi="宋体" w:cs="宋体"/>
                <w:color w:val="auto"/>
                <w:highlight w:val="none"/>
              </w:rPr>
              <w:t>项目投资估算</w:t>
            </w:r>
          </w:p>
        </w:tc>
        <w:tc>
          <w:tcPr>
            <w:tcW w:w="6035"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工程费用为</w:t>
            </w:r>
            <w:r>
              <w:rPr>
                <w:rFonts w:hint="eastAsia" w:ascii="宋体" w:hAnsi="宋体" w:cs="宋体"/>
                <w:color w:val="auto"/>
                <w:szCs w:val="21"/>
                <w:highlight w:val="none"/>
                <w:lang w:eastAsia="zh-CN"/>
              </w:rPr>
              <w:t>43348359.82</w:t>
            </w: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035" w:type="dxa"/>
            <w:vAlign w:val="center"/>
          </w:tcPr>
          <w:p>
            <w:pPr>
              <w:spacing w:line="280" w:lineRule="exact"/>
              <w:rPr>
                <w:rFonts w:hint="eastAsia" w:ascii="宋体" w:hAnsi="宋体" w:cs="宋体"/>
                <w:color w:val="auto"/>
                <w:szCs w:val="21"/>
                <w:highlight w:val="none"/>
              </w:rPr>
            </w:pPr>
            <w:r>
              <w:rPr>
                <w:rFonts w:hint="eastAsia" w:ascii="宋体" w:hAnsi="宋体" w:cs="宋体"/>
                <w:color w:val="auto"/>
                <w:szCs w:val="21"/>
                <w:highlight w:val="none"/>
                <w:u w:val="single"/>
                <w:lang w:eastAsia="zh-CN"/>
              </w:rPr>
              <w:t>企业</w:t>
            </w:r>
            <w:r>
              <w:rPr>
                <w:rFonts w:hint="eastAsia" w:ascii="宋体" w:hAnsi="宋体" w:cs="宋体"/>
                <w:color w:val="auto"/>
                <w:szCs w:val="21"/>
                <w:highlight w:val="none"/>
                <w:u w:val="single"/>
              </w:rPr>
              <w:t>资金，100%。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035" w:type="dxa"/>
            <w:vAlign w:val="center"/>
          </w:tcPr>
          <w:p>
            <w:pPr>
              <w:snapToGrid w:val="0"/>
              <w:ind w:right="106"/>
              <w:rPr>
                <w:rFonts w:hint="eastAsia" w:ascii="宋体" w:hAnsi="宋体" w:cs="宋体"/>
                <w:color w:val="auto"/>
                <w:szCs w:val="21"/>
                <w:highlight w:val="none"/>
              </w:rPr>
            </w:pPr>
            <w:r>
              <w:rPr>
                <w:rFonts w:hint="eastAsia" w:ascii="宋体" w:hAnsi="宋体" w:cs="宋体"/>
                <w:color w:val="auto"/>
                <w:szCs w:val="21"/>
                <w:highlight w:val="none"/>
                <w:u w:val="single"/>
              </w:rPr>
              <w:t>详见本项目招标公告。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6035" w:type="dxa"/>
            <w:vAlign w:val="center"/>
          </w:tcPr>
          <w:p>
            <w:pPr>
              <w:snapToGrid w:val="0"/>
              <w:ind w:right="106"/>
              <w:rPr>
                <w:rFonts w:hint="eastAsia" w:ascii="宋体" w:hAnsi="宋体" w:cs="宋体"/>
                <w:color w:val="auto"/>
                <w:szCs w:val="21"/>
                <w:highlight w:val="none"/>
              </w:rPr>
            </w:pPr>
            <w:r>
              <w:rPr>
                <w:rFonts w:hint="eastAsia" w:ascii="宋体" w:hAnsi="宋体" w:cs="宋体"/>
                <w:color w:val="auto"/>
                <w:szCs w:val="21"/>
                <w:highlight w:val="none"/>
                <w:u w:val="single"/>
              </w:rPr>
              <w:t>详见本项目招标公告。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snapToGrid w:val="0"/>
                <w:color w:val="auto"/>
                <w:szCs w:val="21"/>
                <w:highlight w:val="none"/>
              </w:rPr>
              <w:t>按国家相关规定执行的合格标准。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035" w:type="dxa"/>
            <w:vAlign w:val="center"/>
          </w:tcPr>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（1）资质要求：详见招标公告第3点要求。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（2）财务要求：/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（3）业绩要求：/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（4）信誉要求：/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（5）总监理工程师的资格要求：详见招标公告第3点要求。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（6）其他主要人员要求：/。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（7）试验检测仪器设备要求：/。</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（8）其他要求：详见招标公告第3点要求。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035" w:type="dxa"/>
            <w:vAlign w:val="center"/>
          </w:tcPr>
          <w:p>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 xml:space="preserve">■不接受 </w:t>
            </w:r>
          </w:p>
          <w:p>
            <w:pPr>
              <w:spacing w:line="280" w:lineRule="exact"/>
              <w:rPr>
                <w:rFonts w:hint="default" w:ascii="宋体" w:hAnsi="宋体" w:cs="宋体"/>
                <w:color w:val="auto"/>
                <w:szCs w:val="21"/>
                <w:highlight w:val="none"/>
                <w:lang w:val="en-US"/>
              </w:rPr>
            </w:pPr>
            <w:r>
              <w:rPr>
                <w:rFonts w:hint="eastAsia" w:hAnsi="宋体" w:cs="宋体"/>
                <w:color w:val="auto"/>
                <w:sz w:val="21"/>
                <w:szCs w:val="21"/>
                <w:highlight w:val="none"/>
              </w:rPr>
              <w:sym w:font="Wingdings 2" w:char="00A3"/>
            </w: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035" w:type="dxa"/>
            <w:vAlign w:val="center"/>
          </w:tcPr>
          <w:p>
            <w:pPr>
              <w:topLinePunct/>
              <w:snapToGrid w:val="0"/>
              <w:ind w:firstLine="210" w:firstLineChars="100"/>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■不组织</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组织，踏勘时间：</w:t>
            </w:r>
            <w:r>
              <w:rPr>
                <w:rFonts w:hint="eastAsia" w:hAnsi="宋体" w:cs="宋体"/>
                <w:color w:val="auto"/>
                <w:sz w:val="21"/>
                <w:szCs w:val="21"/>
                <w:highlight w:val="none"/>
                <w:u w:val="single"/>
              </w:rPr>
              <w:t xml:space="preserve"> / </w:t>
            </w:r>
          </w:p>
          <w:p>
            <w:pPr>
              <w:pStyle w:val="10"/>
              <w:topLinePunct/>
              <w:snapToGrid w:val="0"/>
              <w:ind w:firstLine="840" w:firstLineChars="400"/>
              <w:rPr>
                <w:rFonts w:hint="eastAsia" w:hAnsi="宋体" w:cs="宋体"/>
                <w:color w:val="auto"/>
                <w:sz w:val="21"/>
                <w:szCs w:val="21"/>
                <w:highlight w:val="none"/>
              </w:rPr>
            </w:pPr>
            <w:r>
              <w:rPr>
                <w:rFonts w:hint="eastAsia" w:hAnsi="宋体" w:cs="宋体"/>
                <w:color w:val="auto"/>
                <w:sz w:val="21"/>
                <w:szCs w:val="21"/>
                <w:highlight w:val="none"/>
              </w:rPr>
              <w:t>踏勘集中地点：</w:t>
            </w:r>
            <w:r>
              <w:rPr>
                <w:rFonts w:hint="eastAsia"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■不召开</w:t>
            </w:r>
          </w:p>
          <w:p>
            <w:pPr>
              <w:snapToGrid w:val="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召开，召开时间：</w:t>
            </w:r>
            <w:r>
              <w:rPr>
                <w:rFonts w:hint="eastAsia" w:ascii="宋体" w:hAnsi="宋体" w:cs="宋体"/>
                <w:color w:val="auto"/>
                <w:szCs w:val="21"/>
                <w:highlight w:val="none"/>
                <w:u w:val="single"/>
              </w:rPr>
              <w:t xml:space="preserve"> / </w:t>
            </w:r>
          </w:p>
          <w:p>
            <w:pPr>
              <w:snapToGrid w:val="0"/>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178" w:type="dxa"/>
            <w:vMerge w:val="restart"/>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534" w:type="dxa"/>
            <w:vMerge w:val="restart"/>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178" w:type="dxa"/>
            <w:vMerge w:val="continue"/>
            <w:vAlign w:val="center"/>
          </w:tcPr>
          <w:p>
            <w:pPr>
              <w:snapToGrid w:val="0"/>
              <w:jc w:val="center"/>
              <w:rPr>
                <w:rFonts w:hint="eastAsia" w:ascii="宋体" w:hAnsi="宋体" w:cs="宋体"/>
                <w:color w:val="auto"/>
                <w:szCs w:val="21"/>
                <w:highlight w:val="none"/>
              </w:rPr>
            </w:pPr>
          </w:p>
        </w:tc>
        <w:tc>
          <w:tcPr>
            <w:tcW w:w="2534" w:type="dxa"/>
            <w:vMerge w:val="continue"/>
            <w:vAlign w:val="center"/>
          </w:tcPr>
          <w:p>
            <w:pPr>
              <w:snapToGrid w:val="0"/>
              <w:jc w:val="center"/>
              <w:rPr>
                <w:rFonts w:hint="eastAsia" w:ascii="宋体" w:hAnsi="宋体" w:cs="宋体"/>
                <w:color w:val="auto"/>
                <w:szCs w:val="21"/>
                <w:highlight w:val="none"/>
              </w:rPr>
            </w:pP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035" w:type="dxa"/>
            <w:vAlign w:val="center"/>
          </w:tcPr>
          <w:p>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在广州公共资源交易中心网站“招标答疑”专区发布。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u w:val="single"/>
              </w:rPr>
              <w:t>详见评标办法前附表中2.1.1、2.1.2、2.1.3的评审标准。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6035" w:type="dxa"/>
            <w:vAlign w:val="top"/>
          </w:tcPr>
          <w:p>
            <w:pPr>
              <w:snapToGrid w:val="0"/>
              <w:rPr>
                <w:rFonts w:hint="eastAsia" w:ascii="宋体" w:hAnsi="宋体" w:cs="宋体"/>
                <w:color w:val="auto"/>
                <w:szCs w:val="21"/>
                <w:highlight w:val="none"/>
              </w:rPr>
            </w:pPr>
            <w:r>
              <w:rPr>
                <w:rFonts w:hint="eastAsia" w:ascii="宋体" w:hAnsi="宋体" w:cs="宋体"/>
                <w:color w:val="auto"/>
                <w:szCs w:val="21"/>
                <w:highlight w:val="none"/>
              </w:rPr>
              <w:t>■不允许</w:t>
            </w:r>
          </w:p>
          <w:p>
            <w:pPr>
              <w:snapToGrid w:val="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允许，偏差范围：</w:t>
            </w:r>
            <w:r>
              <w:rPr>
                <w:rFonts w:hint="eastAsia" w:ascii="宋体" w:hAnsi="宋体" w:cs="宋体"/>
                <w:color w:val="auto"/>
                <w:szCs w:val="21"/>
                <w:highlight w:val="none"/>
                <w:u w:val="single"/>
              </w:rPr>
              <w:t xml:space="preserve"> / </w:t>
            </w:r>
          </w:p>
          <w:p>
            <w:pPr>
              <w:pStyle w:val="10"/>
              <w:topLinePunct/>
              <w:snapToGrid w:val="0"/>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偏差幅度：</w:t>
            </w:r>
            <w:r>
              <w:rPr>
                <w:rFonts w:hint="eastAsia"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035" w:type="dxa"/>
            <w:vAlign w:val="center"/>
          </w:tcPr>
          <w:p>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时间：</w:t>
            </w:r>
            <w:r>
              <w:rPr>
                <w:rFonts w:hint="eastAsia" w:ascii="宋体" w:hAnsi="宋体" w:cs="宋体"/>
                <w:color w:val="auto"/>
                <w:szCs w:val="21"/>
                <w:highlight w:val="none"/>
                <w:u w:val="single"/>
                <w:lang w:val="en-US" w:eastAsia="zh-CN"/>
              </w:rPr>
              <w:t>2024年  月  日  时</w:t>
            </w:r>
            <w:r>
              <w:rPr>
                <w:rFonts w:hint="eastAsia" w:ascii="宋体" w:hAnsi="宋体" w:cs="宋体"/>
                <w:color w:val="auto"/>
                <w:szCs w:val="21"/>
                <w:highlight w:val="none"/>
                <w:u w:val="single"/>
              </w:rPr>
              <w:t>前（详见广州公共资源交易中心网上招投标日程安排）。</w:t>
            </w:r>
          </w:p>
          <w:p>
            <w:pPr>
              <w:pStyle w:val="22"/>
              <w:snapToGrid w:val="0"/>
              <w:spacing w:after="0" w:line="240" w:lineRule="auto"/>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形式：1、招标答疑采用网上答疑方式进行。投标人若对招标文件有疑问的，可在规定的时间内通过广州公共资源交易中心网站进入提问区域将问题提交给招标人或招标代理人，提交问题时一律不得署名。</w:t>
            </w:r>
          </w:p>
          <w:p>
            <w:pPr>
              <w:pStyle w:val="22"/>
              <w:snapToGrid w:val="0"/>
              <w:spacing w:after="0" w:line="240" w:lineRule="auto"/>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网上答疑的操作指南为：网上答疑的操作指南为：登陆广州公共资源交易中心网站→进入“我是投标人”→进入“新建设工程交易平台”→进入“我的投标”→进入“招标答疑提问”→通过项目编号或名称找到所需的项目→在下述的答疑时间内点击“答疑提问”进入到提问区域→无记名或匿名提出问题。</w:t>
            </w:r>
          </w:p>
          <w:p>
            <w:pPr>
              <w:pStyle w:val="22"/>
              <w:snapToGrid w:val="0"/>
              <w:spacing w:after="0" w:line="240" w:lineRule="auto"/>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2、投标人应在</w:t>
            </w:r>
            <w:r>
              <w:rPr>
                <w:rFonts w:hint="eastAsia" w:ascii="宋体" w:hAnsi="宋体" w:cs="宋体"/>
                <w:color w:val="auto"/>
                <w:szCs w:val="21"/>
                <w:highlight w:val="none"/>
                <w:u w:val="single"/>
                <w:lang w:eastAsia="zh-CN"/>
              </w:rPr>
              <w:t>规定时间内</w:t>
            </w:r>
            <w:r>
              <w:rPr>
                <w:rFonts w:hint="eastAsia" w:ascii="宋体" w:hAnsi="宋体" w:cs="宋体"/>
                <w:color w:val="auto"/>
                <w:szCs w:val="21"/>
                <w:highlight w:val="none"/>
                <w:u w:val="single"/>
              </w:rPr>
              <w:t>停止质疑。招标人应在投标截止时间15日前解答投标人对招标文件提出的疑问，形成答疑纪要，并经招标监管机构备案后，方可在广州公共资源交易中心网站项目答疑专区发布。</w:t>
            </w:r>
          </w:p>
          <w:p>
            <w:pPr>
              <w:pStyle w:val="22"/>
              <w:snapToGrid w:val="0"/>
              <w:spacing w:after="0" w:line="240" w:lineRule="auto"/>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3、招标答疑纪要一经在广州公共资源交易中心网站发布，视作已发放给所有投标人。</w:t>
            </w:r>
          </w:p>
          <w:p>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4、招标答疑纪要为招标文件的一部分。投标人可在广州公资源交易中心网站浏览、下载招标答疑纪要。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035" w:type="dxa"/>
            <w:vAlign w:val="center"/>
          </w:tcPr>
          <w:p>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在广州公共资源交易中心网站“建设工程-项目查询（日程安排、答疑纪要）”专区上发布，投标人自行下载。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78" w:type="dxa"/>
            <w:vMerge w:val="restart"/>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534" w:type="dxa"/>
            <w:vMerge w:val="restart"/>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招标文件澄清一经在广州公共资源交易中心网站发布，视作已发放给所有投标人。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178" w:type="dxa"/>
            <w:vMerge w:val="continue"/>
            <w:vAlign w:val="center"/>
          </w:tcPr>
          <w:p>
            <w:pPr>
              <w:snapToGrid w:val="0"/>
              <w:jc w:val="center"/>
              <w:rPr>
                <w:rFonts w:hint="eastAsia" w:ascii="宋体" w:hAnsi="宋体" w:cs="宋体"/>
                <w:color w:val="auto"/>
                <w:szCs w:val="21"/>
                <w:highlight w:val="none"/>
              </w:rPr>
            </w:pPr>
          </w:p>
        </w:tc>
        <w:tc>
          <w:tcPr>
            <w:tcW w:w="2534" w:type="dxa"/>
            <w:vMerge w:val="continue"/>
            <w:vAlign w:val="center"/>
          </w:tcPr>
          <w:p>
            <w:pPr>
              <w:snapToGrid w:val="0"/>
              <w:jc w:val="center"/>
              <w:rPr>
                <w:rFonts w:hint="eastAsia" w:ascii="宋体" w:hAnsi="宋体" w:cs="宋体"/>
                <w:color w:val="auto"/>
                <w:szCs w:val="21"/>
                <w:highlight w:val="none"/>
              </w:rPr>
            </w:pP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本项目的招标文件澄清及答疑文件一经在广州公共资源交易中心网站发布，视作已发放给所有投标人。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在广州公共资源交易中心网站项目答疑专区或以补充公告形式发布。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178" w:type="dxa"/>
            <w:vMerge w:val="restart"/>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534" w:type="dxa"/>
            <w:vMerge w:val="restart"/>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035" w:type="dxa"/>
            <w:vAlign w:val="center"/>
          </w:tcPr>
          <w:p>
            <w:pPr>
              <w:snapToGrid w:val="0"/>
              <w:ind w:right="-239"/>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招标文件澄清一经在广州公共资源交易中心网站发布，视作已发放给所有投标人。</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Merge w:val="continue"/>
            <w:vAlign w:val="center"/>
          </w:tcPr>
          <w:p>
            <w:pPr>
              <w:snapToGrid w:val="0"/>
              <w:jc w:val="center"/>
              <w:rPr>
                <w:rFonts w:hint="eastAsia" w:ascii="宋体" w:hAnsi="宋体" w:cs="宋体"/>
                <w:color w:val="auto"/>
                <w:szCs w:val="21"/>
                <w:highlight w:val="none"/>
              </w:rPr>
            </w:pPr>
          </w:p>
        </w:tc>
        <w:tc>
          <w:tcPr>
            <w:tcW w:w="2534" w:type="dxa"/>
            <w:vMerge w:val="continue"/>
            <w:vAlign w:val="center"/>
          </w:tcPr>
          <w:p>
            <w:pPr>
              <w:snapToGrid w:val="0"/>
              <w:jc w:val="center"/>
              <w:rPr>
                <w:rFonts w:hint="eastAsia" w:ascii="宋体" w:hAnsi="宋体" w:cs="宋体"/>
                <w:color w:val="auto"/>
                <w:szCs w:val="21"/>
                <w:highlight w:val="none"/>
              </w:rPr>
            </w:pP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在广州公共资源交易中心网站项目答疑专区或以补充公告形式发布。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6035" w:type="dxa"/>
            <w:vAlign w:val="center"/>
          </w:tcPr>
          <w:p>
            <w:pPr>
              <w:pStyle w:val="16"/>
              <w:rPr>
                <w:rFonts w:hint="eastAsia"/>
                <w:color w:val="auto"/>
                <w:highlight w:val="none"/>
                <w:lang w:val="zh-CN" w:eastAsia="zh-CN"/>
              </w:rPr>
            </w:pPr>
            <w:r>
              <w:rPr>
                <w:rFonts w:hint="eastAsia" w:ascii="宋体" w:hAnsi="宋体" w:cs="宋体"/>
                <w:color w:val="auto"/>
                <w:sz w:val="21"/>
                <w:szCs w:val="21"/>
                <w:highlight w:val="none"/>
                <w:lang w:val="en-US" w:eastAsia="zh-CN"/>
              </w:rPr>
              <w:t>投标人自行填报投标下浮率，并依据所报下浮率列明投标报价。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无</w:t>
            </w:r>
          </w:p>
          <w:p>
            <w:pPr>
              <w:snapToGrid w:val="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■有，最高投标限价：1065987.48</w:t>
            </w:r>
            <w:r>
              <w:rPr>
                <w:rFonts w:hint="eastAsia" w:ascii="宋体" w:hAnsi="宋体" w:cs="宋体"/>
                <w:b/>
                <w:bCs/>
                <w:color w:val="auto"/>
                <w:szCs w:val="21"/>
                <w:highlight w:val="none"/>
                <w:u w:val="none"/>
              </w:rPr>
              <w:t>元</w:t>
            </w:r>
            <w:r>
              <w:rPr>
                <w:rFonts w:hint="eastAsia" w:ascii="宋体" w:hAnsi="宋体" w:cs="宋体"/>
                <w:color w:val="auto"/>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35" w:type="dxa"/>
            <w:vAlign w:val="center"/>
          </w:tcPr>
          <w:p>
            <w:pPr>
              <w:snapToGrid w:val="0"/>
              <w:rPr>
                <w:rFonts w:hint="eastAsia" w:ascii="宋体" w:hAnsi="宋体" w:cs="宋体"/>
                <w:color w:val="auto"/>
                <w:szCs w:val="21"/>
                <w:highlight w:val="none"/>
              </w:rPr>
            </w:pPr>
            <w:bookmarkStart w:id="14" w:name="_Toc300834946"/>
            <w:bookmarkStart w:id="15" w:name="_Toc384308207"/>
            <w:bookmarkStart w:id="16" w:name="_Toc361508582"/>
            <w:bookmarkStart w:id="17" w:name="_Toc352691470"/>
            <w:bookmarkStart w:id="18" w:name="_Toc369531512"/>
            <w:bookmarkStart w:id="19" w:name="_Toc1789"/>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14"/>
      <w:bookmarkEnd w:id="15"/>
      <w:bookmarkEnd w:id="16"/>
      <w:bookmarkEnd w:id="17"/>
      <w:bookmarkEnd w:id="18"/>
      <w:bookmarkEnd w:id="1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strike/>
                <w:color w:val="auto"/>
                <w:szCs w:val="21"/>
                <w:highlight w:val="none"/>
              </w:rPr>
              <w:t>投标保证金</w:t>
            </w:r>
          </w:p>
        </w:tc>
        <w:tc>
          <w:tcPr>
            <w:tcW w:w="6035" w:type="dxa"/>
            <w:vAlign w:val="center"/>
          </w:tcPr>
          <w:p>
            <w:pPr>
              <w:pStyle w:val="10"/>
              <w:topLinePunct/>
              <w:snapToGrid w:val="0"/>
              <w:rPr>
                <w:rFonts w:hint="eastAsia" w:hAnsi="宋体" w:cs="宋体"/>
                <w:strike/>
                <w:color w:val="auto"/>
                <w:sz w:val="21"/>
                <w:szCs w:val="21"/>
                <w:highlight w:val="none"/>
              </w:rPr>
            </w:pPr>
            <w:r>
              <w:rPr>
                <w:rFonts w:hint="eastAsia" w:hAnsi="宋体" w:cs="宋体"/>
                <w:strike/>
                <w:color w:val="auto"/>
                <w:sz w:val="21"/>
                <w:szCs w:val="21"/>
                <w:highlight w:val="none"/>
              </w:rPr>
              <w:t>是否要求投标人递交投标保证金：</w:t>
            </w:r>
          </w:p>
          <w:p>
            <w:pPr>
              <w:pStyle w:val="10"/>
              <w:topLinePunct/>
              <w:snapToGrid w:val="0"/>
              <w:rPr>
                <w:rFonts w:hint="eastAsia" w:hAnsi="宋体" w:cs="宋体"/>
                <w:strike/>
                <w:color w:val="auto"/>
                <w:sz w:val="21"/>
                <w:szCs w:val="21"/>
                <w:highlight w:val="none"/>
              </w:rPr>
            </w:pPr>
            <w:r>
              <w:rPr>
                <w:rFonts w:hint="eastAsia" w:hAnsi="宋体" w:cs="宋体"/>
                <w:strike/>
                <w:color w:val="auto"/>
                <w:szCs w:val="21"/>
                <w:highlight w:val="none"/>
              </w:rPr>
              <w:sym w:font="Wingdings 2" w:char="00A3"/>
            </w:r>
            <w:r>
              <w:rPr>
                <w:rFonts w:hint="eastAsia" w:hAnsi="宋体" w:cs="宋体"/>
                <w:strike/>
                <w:color w:val="auto"/>
                <w:sz w:val="21"/>
                <w:szCs w:val="21"/>
                <w:highlight w:val="none"/>
              </w:rPr>
              <w:t>要求</w:t>
            </w:r>
          </w:p>
          <w:p>
            <w:pPr>
              <w:pStyle w:val="10"/>
              <w:topLinePunct/>
              <w:snapToGrid w:val="0"/>
              <w:rPr>
                <w:rFonts w:hint="eastAsia" w:hAnsi="宋体" w:cs="宋体"/>
                <w:color w:val="auto"/>
                <w:sz w:val="21"/>
                <w:szCs w:val="21"/>
                <w:highlight w:val="none"/>
              </w:rPr>
            </w:pPr>
            <w:r>
              <w:rPr>
                <w:rFonts w:hint="eastAsia" w:hAnsi="宋体" w:cs="宋体"/>
                <w:strike/>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strike/>
                <w:color w:val="auto"/>
                <w:szCs w:val="21"/>
                <w:highlight w:val="none"/>
              </w:rPr>
              <w:t>其他可以不予退还投标保证金的情形</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■无</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035" w:type="dxa"/>
            <w:vAlign w:val="center"/>
          </w:tcPr>
          <w:p>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年至</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■不允许</w:t>
            </w:r>
          </w:p>
          <w:p>
            <w:pPr>
              <w:snapToGrid w:val="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3.7.3A（2）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3.7.3A（3）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u w:val="single"/>
              </w:rPr>
              <w:t>证书证件需为原件清晰扫描件，并采用单位数字证书，按照招标文件要求在相应位置加盖电子印章。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u w:val="single"/>
              </w:rPr>
              <w:t>取消在招标文件中采用个人数字证书和加盖个人电子印章要求，投标文件中需个人签字或盖章的，应手签</w:t>
            </w:r>
            <w:r>
              <w:rPr>
                <w:rFonts w:hint="eastAsia" w:hAnsi="宋体" w:cs="宋体"/>
                <w:color w:val="auto"/>
                <w:sz w:val="21"/>
                <w:szCs w:val="21"/>
                <w:highlight w:val="none"/>
                <w:u w:val="single"/>
                <w:lang w:val="en-US" w:eastAsia="zh-CN"/>
              </w:rPr>
              <w:t>或盖章</w:t>
            </w:r>
            <w:r>
              <w:rPr>
                <w:rFonts w:hint="eastAsia" w:hAnsi="宋体" w:cs="宋体"/>
                <w:color w:val="auto"/>
                <w:sz w:val="21"/>
                <w:szCs w:val="21"/>
                <w:highlight w:val="none"/>
                <w:u w:val="single"/>
              </w:rPr>
              <w:t>后扫描上传。投标文件按招标文件要求加盖单位电子印章。电子招投标操作流程详见广州公共资源交易中心网站发布的最新版操作指引。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4.1.1（B）</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投标文件加密要求</w:t>
            </w:r>
          </w:p>
        </w:tc>
        <w:tc>
          <w:tcPr>
            <w:tcW w:w="6035" w:type="dxa"/>
            <w:vAlign w:val="center"/>
          </w:tcPr>
          <w:p>
            <w:pPr>
              <w:pStyle w:val="10"/>
              <w:topLinePunct/>
              <w:snapToGrid w:val="0"/>
              <w:rPr>
                <w:rFonts w:hint="eastAsia" w:hAnsi="宋体" w:cs="宋体"/>
                <w:color w:val="auto"/>
                <w:szCs w:val="21"/>
                <w:highlight w:val="none"/>
                <w:u w:val="single"/>
              </w:rPr>
            </w:pPr>
            <w:r>
              <w:rPr>
                <w:rFonts w:hint="eastAsia" w:hAnsi="宋体" w:cs="宋体"/>
                <w:color w:val="auto"/>
                <w:sz w:val="21"/>
                <w:szCs w:val="21"/>
                <w:highlight w:val="none"/>
                <w:u w:val="single"/>
              </w:rPr>
              <w:t>网上递交的电子投标文件须进行加密。按照交易平台关于全流程电子化项目的相关指南进行操作。电子招投标操作流程详见广州公共资源交易中心网站发布的最新版操作指引。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534" w:type="dxa"/>
            <w:vAlign w:val="center"/>
          </w:tcPr>
          <w:p>
            <w:pPr>
              <w:snapToGrid w:val="0"/>
              <w:jc w:val="center"/>
              <w:rPr>
                <w:rFonts w:hint="eastAsia" w:ascii="宋体" w:hAnsi="宋体" w:cs="宋体"/>
                <w:color w:val="auto"/>
                <w:szCs w:val="21"/>
                <w:highlight w:val="none"/>
                <w:shd w:val="clear" w:color="FFFFFF" w:fill="D9D9D9"/>
              </w:rPr>
            </w:pPr>
            <w:r>
              <w:rPr>
                <w:rFonts w:hint="eastAsia" w:ascii="宋体" w:hAnsi="宋体" w:cs="宋体"/>
                <w:color w:val="auto"/>
                <w:szCs w:val="21"/>
                <w:highlight w:val="none"/>
              </w:rPr>
              <w:t>投标文件的包封、密封和标志</w:t>
            </w:r>
          </w:p>
        </w:tc>
        <w:tc>
          <w:tcPr>
            <w:tcW w:w="6035" w:type="dxa"/>
            <w:vAlign w:val="center"/>
          </w:tcPr>
          <w:p>
            <w:pPr>
              <w:pStyle w:val="10"/>
              <w:topLinePunct/>
              <w:snapToGrid w:val="0"/>
              <w:rPr>
                <w:rFonts w:hint="eastAsia" w:hAnsi="宋体" w:cs="宋体"/>
                <w:color w:val="auto"/>
                <w:sz w:val="21"/>
                <w:szCs w:val="21"/>
                <w:highlight w:val="none"/>
                <w:u w:val="single"/>
              </w:rPr>
            </w:pPr>
            <w:r>
              <w:rPr>
                <w:rFonts w:hint="eastAsia" w:hAnsi="宋体"/>
                <w:color w:val="auto"/>
                <w:sz w:val="21"/>
                <w:szCs w:val="21"/>
                <w:highlight w:val="none"/>
              </w:rPr>
              <w:t>如有提交投标文件光盘备用，封套上应注明如下信息：</w:t>
            </w:r>
          </w:p>
          <w:p>
            <w:pPr>
              <w:pStyle w:val="10"/>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招标人名称：            </w:t>
            </w:r>
          </w:p>
          <w:p>
            <w:pPr>
              <w:pStyle w:val="10"/>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招标人地址：             </w:t>
            </w:r>
          </w:p>
          <w:p>
            <w:pPr>
              <w:pStyle w:val="10"/>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招标项目投标文件光盘（备用）</w:t>
            </w:r>
          </w:p>
          <w:p>
            <w:pPr>
              <w:pStyle w:val="10"/>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招标项目编号：        </w:t>
            </w:r>
          </w:p>
          <w:p>
            <w:pPr>
              <w:pStyle w:val="10"/>
              <w:topLinePunct/>
              <w:snapToGrid w:val="0"/>
              <w:spacing w:line="360" w:lineRule="auto"/>
              <w:rPr>
                <w:rFonts w:hint="eastAsia" w:hAnsi="宋体" w:cs="宋体"/>
                <w:color w:val="auto"/>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年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月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日    时   分</w:t>
            </w:r>
            <w:r>
              <w:rPr>
                <w:rFonts w:hint="eastAsia" w:hAnsi="宋体" w:cs="宋体"/>
                <w:color w:val="auto"/>
                <w:sz w:val="21"/>
                <w:szCs w:val="21"/>
                <w:highlight w:val="none"/>
              </w:rPr>
              <w:t>前不得开启（填入开标时间）。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具体时间以广州公共资源交易中心公布的为准。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4.2.2（A）</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递交投标文件时间和地点</w:t>
            </w:r>
          </w:p>
        </w:tc>
        <w:tc>
          <w:tcPr>
            <w:tcW w:w="6035" w:type="dxa"/>
            <w:vAlign w:val="center"/>
          </w:tcPr>
          <w:p>
            <w:pPr>
              <w:numPr>
                <w:ilvl w:val="0"/>
                <w:numId w:val="1"/>
              </w:numPr>
              <w:snapToGrid w:val="0"/>
              <w:jc w:val="left"/>
              <w:rPr>
                <w:rFonts w:hint="eastAsia" w:ascii="宋体" w:hAnsi="宋体" w:cs="宋体"/>
                <w:color w:val="auto"/>
                <w:szCs w:val="21"/>
                <w:highlight w:val="none"/>
              </w:rPr>
            </w:pPr>
            <w:r>
              <w:rPr>
                <w:rFonts w:hint="eastAsia" w:ascii="宋体" w:hAnsi="宋体" w:cs="宋体"/>
                <w:color w:val="auto"/>
                <w:szCs w:val="21"/>
                <w:highlight w:val="none"/>
              </w:rPr>
              <w:t>递交方式：网上递交投标文件</w:t>
            </w:r>
          </w:p>
          <w:p>
            <w:pPr>
              <w:numPr>
                <w:ilvl w:val="0"/>
                <w:numId w:val="1"/>
              </w:numPr>
              <w:snapToGrid w:val="0"/>
              <w:jc w:val="left"/>
              <w:rPr>
                <w:rFonts w:hint="eastAsia" w:ascii="宋体" w:hAnsi="宋体" w:cs="宋体"/>
                <w:color w:val="auto"/>
                <w:szCs w:val="21"/>
                <w:highlight w:val="none"/>
              </w:rPr>
            </w:pPr>
            <w:r>
              <w:rPr>
                <w:rFonts w:hint="eastAsia" w:ascii="宋体" w:hAnsi="宋体" w:cs="宋体"/>
                <w:color w:val="auto"/>
                <w:szCs w:val="21"/>
                <w:highlight w:val="none"/>
              </w:rPr>
              <w:t>文件的递交截止时间：同投标截止时间。</w:t>
            </w:r>
          </w:p>
          <w:p>
            <w:pPr>
              <w:numPr>
                <w:ilvl w:val="0"/>
                <w:numId w:val="1"/>
              </w:numPr>
              <w:snapToGrid w:val="0"/>
              <w:jc w:val="left"/>
              <w:rPr>
                <w:rFonts w:hint="eastAsia" w:ascii="宋体" w:hAnsi="宋体" w:cs="宋体"/>
                <w:color w:val="auto"/>
                <w:szCs w:val="21"/>
                <w:highlight w:val="none"/>
              </w:rPr>
            </w:pPr>
            <w:r>
              <w:rPr>
                <w:rFonts w:hint="eastAsia" w:ascii="宋体" w:hAnsi="宋体" w:cs="宋体"/>
                <w:color w:val="auto"/>
                <w:szCs w:val="21"/>
                <w:highlight w:val="none"/>
              </w:rPr>
              <w:t>地点：广州公共资源交易中心网站</w:t>
            </w:r>
          </w:p>
          <w:p>
            <w:pPr>
              <w:numPr>
                <w:ilvl w:val="0"/>
                <w:numId w:val="1"/>
              </w:numPr>
              <w:snapToGrid w:val="0"/>
              <w:jc w:val="left"/>
              <w:rPr>
                <w:rFonts w:hint="eastAsia" w:ascii="宋体" w:hAnsi="宋体" w:cs="宋体"/>
                <w:color w:val="auto"/>
                <w:szCs w:val="21"/>
                <w:highlight w:val="none"/>
              </w:rPr>
            </w:pPr>
            <w:r>
              <w:rPr>
                <w:rFonts w:hint="eastAsia" w:ascii="宋体" w:hAnsi="宋体" w:cs="宋体"/>
                <w:color w:val="auto"/>
                <w:szCs w:val="21"/>
                <w:highlight w:val="none"/>
              </w:rPr>
              <w:t>上述时间及地点是否有改变，请密切留意招标答疑纪要或广州公共资源交易中心网站日程安排的相关信息。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投标文件是否退还</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■否</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是，退还时间：</w:t>
            </w:r>
            <w:r>
              <w:rPr>
                <w:rFonts w:hint="eastAsia"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5.1（B）</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035" w:type="dxa"/>
            <w:vAlign w:val="center"/>
          </w:tcPr>
          <w:p>
            <w:pPr>
              <w:pStyle w:val="9"/>
              <w:rPr>
                <w:rFonts w:hint="eastAsia"/>
                <w:color w:val="auto"/>
                <w:highlight w:val="none"/>
              </w:rPr>
            </w:pPr>
            <w:r>
              <w:rPr>
                <w:rFonts w:hint="eastAsia" w:ascii="宋体" w:hAnsi="宋体" w:cs="宋体"/>
                <w:color w:val="auto"/>
                <w:szCs w:val="21"/>
                <w:highlight w:val="none"/>
              </w:rPr>
              <w:t>详见本项目招标公告。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5.2（B）</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电子招投标项目开标按下列程序进行：</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5.2.1主持人按下列程序进行开标：</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（1）宣布开标纪律；</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（2）公布在投标截止时间前递交投标文件的投标人名称；</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（3）宣布开标人、唱标人、记录人、监标人等有关人员姓名；</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（4）（B）投标人通过电子招标投标交易平台对已递交的电子投标文件进行解密，公布招标项目名称、投标人名称</w:t>
            </w:r>
            <w:r>
              <w:rPr>
                <w:rFonts w:hint="eastAsia" w:hAnsi="宋体" w:cs="宋体"/>
                <w:strike/>
                <w:color w:val="auto"/>
                <w:sz w:val="21"/>
                <w:szCs w:val="21"/>
                <w:highlight w:val="none"/>
              </w:rPr>
              <w:t>、投标保证金</w:t>
            </w:r>
            <w:r>
              <w:rPr>
                <w:rFonts w:hint="eastAsia" w:hAnsi="宋体" w:cs="宋体"/>
                <w:color w:val="auto"/>
                <w:sz w:val="21"/>
                <w:szCs w:val="21"/>
                <w:highlight w:val="none"/>
              </w:rPr>
              <w:t>的递交情况、投标报价、监理服务期限及其他内容，并记录在案；</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（5）（B）投标人代表、招标人代表、监标人、记录人等有关人员在开标记录上签字确认；若有关人员不签字的，不影响开标程序；</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（6）开标结束。</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5.2.2投标截止时间前未完成投标文件传输的或因投标人之外的原因造成投标文件未解密的，视为投标人其撤回投标文件。因投标人原因造成投标文件未解密的或未在投标截止时间后一小时解密的，视为撤销其投标文件。</w:t>
            </w:r>
          </w:p>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color w:val="auto"/>
                <w:szCs w:val="21"/>
                <w:highlight w:val="none"/>
                <w:u w:val="single"/>
              </w:rPr>
              <w:t>由招标人依法组建。</w:t>
            </w:r>
          </w:p>
          <w:p>
            <w:pPr>
              <w:snapToGrid w:val="0"/>
              <w:rPr>
                <w:rFonts w:hint="eastAsia"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s="宋体"/>
                <w:color w:val="auto"/>
                <w:szCs w:val="21"/>
                <w:highlight w:val="none"/>
                <w:u w:val="single"/>
              </w:rPr>
              <w:t>从广东省综合评标专家库中随机抽取。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035" w:type="dxa"/>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035" w:type="dxa"/>
            <w:vAlign w:val="center"/>
          </w:tcPr>
          <w:p>
            <w:pPr>
              <w:snapToGrid w:val="0"/>
              <w:ind w:right="106"/>
              <w:rPr>
                <w:rFonts w:hint="eastAsia" w:ascii="宋体" w:hAnsi="宋体" w:cs="宋体"/>
                <w:color w:val="auto"/>
                <w:szCs w:val="21"/>
                <w:highlight w:val="none"/>
                <w:u w:val="single"/>
              </w:rPr>
            </w:pPr>
            <w:r>
              <w:rPr>
                <w:rFonts w:hint="eastAsia" w:ascii="宋体" w:hAnsi="宋体" w:cs="宋体"/>
                <w:color w:val="auto"/>
                <w:szCs w:val="21"/>
                <w:highlight w:val="none"/>
              </w:rPr>
              <w:t>公示媒介：</w:t>
            </w:r>
            <w:r>
              <w:rPr>
                <w:rFonts w:hint="eastAsia" w:ascii="宋体" w:hAnsi="宋体" w:cs="宋体"/>
                <w:bCs/>
                <w:color w:val="auto"/>
                <w:highlight w:val="none"/>
              </w:rPr>
              <w:t>广州公共资源交易中心、广东省招标投标监管网、中国招标投标公共服务平台及广州市增城区人民政府门户网站</w:t>
            </w:r>
          </w:p>
          <w:p>
            <w:pPr>
              <w:snapToGrid w:val="0"/>
              <w:ind w:right="106"/>
              <w:rPr>
                <w:rFonts w:hint="eastAsia"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日（最后一天为工作日）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035" w:type="dxa"/>
            <w:vAlign w:val="center"/>
          </w:tcPr>
          <w:p>
            <w:pPr>
              <w:pStyle w:val="11"/>
              <w:snapToGrid w:val="0"/>
              <w:ind w:firstLine="210" w:firstLineChars="100"/>
              <w:rPr>
                <w:rFonts w:hint="eastAsia"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是</w:t>
            </w:r>
          </w:p>
          <w:p>
            <w:pPr>
              <w:pStyle w:val="11"/>
              <w:snapToGrid w:val="0"/>
              <w:ind w:firstLine="210" w:firstLineChars="100"/>
              <w:rPr>
                <w:rFonts w:hint="eastAsia" w:ascii="宋体" w:hAnsi="宋体" w:cs="宋体"/>
                <w:color w:val="auto"/>
                <w:highlight w:val="none"/>
              </w:rPr>
            </w:pPr>
            <w:r>
              <w:rPr>
                <w:rFonts w:hint="eastAsia" w:ascii="宋体" w:hAnsi="宋体" w:cs="宋体"/>
                <w:color w:val="auto"/>
                <w:highlight w:val="none"/>
              </w:rPr>
              <w:t>■否</w:t>
            </w:r>
          </w:p>
          <w:p>
            <w:pPr>
              <w:pStyle w:val="11"/>
              <w:snapToGrid w:val="0"/>
              <w:ind w:right="106"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1、招标人依据评标委员会推荐的中标候选人确定中标人。</w:t>
            </w:r>
          </w:p>
          <w:p>
            <w:pPr>
              <w:pStyle w:val="11"/>
              <w:snapToGrid w:val="0"/>
              <w:ind w:right="106" w:firstLine="210" w:firstLineChars="100"/>
              <w:rPr>
                <w:rFonts w:hint="eastAsia" w:ascii="宋体" w:hAnsi="宋体" w:cs="宋体"/>
                <w:color w:val="auto"/>
                <w:szCs w:val="21"/>
                <w:highlight w:val="none"/>
              </w:rPr>
            </w:pPr>
            <w:r>
              <w:rPr>
                <w:rFonts w:hint="eastAsia" w:ascii="宋体" w:hAnsi="宋体" w:cs="宋体"/>
                <w:color w:val="auto"/>
                <w:szCs w:val="21"/>
                <w:highlight w:val="none"/>
              </w:rPr>
              <w:t>2、依法必须进行公开招标的项目，招标人确定排名第一的中标候选人为中标人。</w:t>
            </w:r>
          </w:p>
          <w:p>
            <w:pPr>
              <w:pStyle w:val="11"/>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3、排名第一的中标候选人放弃中标、或被取消中标资格，或因不可抗力提出不能履行合同，招标人可以按照中标候选人顺序依次上升替补定标，以此类推。</w:t>
            </w:r>
          </w:p>
          <w:p>
            <w:pPr>
              <w:pStyle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4.发出中标通知书前，</w:t>
            </w:r>
            <w:r>
              <w:rPr>
                <w:rFonts w:hint="eastAsia" w:ascii="宋体" w:hAnsi="宋体" w:cs="宋体"/>
                <w:color w:val="auto"/>
                <w:sz w:val="21"/>
                <w:szCs w:val="21"/>
                <w:highlight w:val="none"/>
              </w:rPr>
              <w:t>投标人未被纳入国家、省、市、区的失信联合惩戒名单且未被限制参加建设工程投标的（具体名单以递交投标文件截止时间“信用广州”https://credit.gz.gov.cn/公布的名单为准）</w:t>
            </w:r>
            <w:r>
              <w:rPr>
                <w:rFonts w:hint="eastAsia" w:ascii="宋体" w:hAnsi="宋体" w:cs="宋体"/>
                <w:color w:val="auto"/>
                <w:sz w:val="21"/>
                <w:szCs w:val="21"/>
                <w:highlight w:val="none"/>
                <w:lang w:eastAsia="zh-CN"/>
              </w:rPr>
              <w:t>。</w:t>
            </w:r>
          </w:p>
          <w:p>
            <w:pPr>
              <w:pStyle w:val="11"/>
              <w:ind w:firstLine="210" w:firstLineChars="100"/>
              <w:rPr>
                <w:rFonts w:hint="eastAsia" w:ascii="宋体" w:hAnsi="宋体" w:cs="宋体"/>
                <w:color w:val="auto"/>
                <w:highlight w:val="none"/>
              </w:rPr>
            </w:pPr>
            <w:r>
              <w:rPr>
                <w:rFonts w:hint="eastAsia" w:ascii="宋体" w:hAnsi="宋体" w:cs="宋体"/>
                <w:color w:val="auto"/>
                <w:szCs w:val="21"/>
                <w:highlight w:val="none"/>
              </w:rPr>
              <w:t>否则招标人取消其中标资格，招标人可以按照评标委员会提出的中标候选人名单排序依次确定其他中标候选人为中标人。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strike/>
                <w:color w:val="auto"/>
                <w:szCs w:val="21"/>
                <w:highlight w:val="none"/>
              </w:rPr>
              <w:t>履约保证金</w:t>
            </w:r>
          </w:p>
        </w:tc>
        <w:tc>
          <w:tcPr>
            <w:tcW w:w="6035" w:type="dxa"/>
            <w:vAlign w:val="center"/>
          </w:tcPr>
          <w:p>
            <w:pPr>
              <w:pStyle w:val="10"/>
              <w:topLinePunct/>
              <w:snapToGrid w:val="0"/>
              <w:rPr>
                <w:rFonts w:hint="eastAsia" w:hAnsi="宋体" w:cs="宋体"/>
                <w:strike/>
                <w:color w:val="auto"/>
                <w:sz w:val="21"/>
                <w:szCs w:val="21"/>
                <w:highlight w:val="none"/>
              </w:rPr>
            </w:pPr>
            <w:r>
              <w:rPr>
                <w:rFonts w:hint="eastAsia" w:hAnsi="宋体" w:cs="宋体"/>
                <w:strike/>
                <w:color w:val="auto"/>
                <w:sz w:val="21"/>
                <w:szCs w:val="21"/>
                <w:highlight w:val="none"/>
              </w:rPr>
              <w:t>是否要求中标人提交履约保证金：</w:t>
            </w:r>
          </w:p>
          <w:p>
            <w:pPr>
              <w:pStyle w:val="10"/>
              <w:topLinePunct/>
              <w:snapToGrid w:val="0"/>
              <w:rPr>
                <w:rFonts w:hint="eastAsia" w:hAnsi="宋体" w:cs="宋体"/>
                <w:strike/>
                <w:color w:val="auto"/>
                <w:sz w:val="21"/>
                <w:szCs w:val="21"/>
                <w:highlight w:val="none"/>
              </w:rPr>
            </w:pPr>
            <w:r>
              <w:rPr>
                <w:rFonts w:hint="eastAsia" w:hAnsi="宋体" w:cs="宋体"/>
                <w:strike/>
                <w:color w:val="auto"/>
                <w:sz w:val="21"/>
                <w:szCs w:val="21"/>
                <w:highlight w:val="none"/>
              </w:rPr>
              <w:t>□要求：投标人提供的履约保证金额为中标价款（人民币）的5%，以银行保函形式提供。</w:t>
            </w:r>
          </w:p>
          <w:p>
            <w:pPr>
              <w:pStyle w:val="10"/>
              <w:topLinePunct/>
              <w:snapToGrid w:val="0"/>
              <w:rPr>
                <w:rFonts w:hint="eastAsia" w:hAnsi="宋体" w:cs="宋体"/>
                <w:color w:val="auto"/>
                <w:sz w:val="21"/>
                <w:szCs w:val="21"/>
                <w:highlight w:val="none"/>
              </w:rPr>
            </w:pPr>
            <w:r>
              <w:rPr>
                <w:rFonts w:hint="eastAsia" w:hAnsi="宋体" w:cs="宋体"/>
                <w:strike/>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0"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6035" w:type="dxa"/>
            <w:vAlign w:val="center"/>
          </w:tcPr>
          <w:p>
            <w:pPr>
              <w:pStyle w:val="10"/>
              <w:topLinePunct/>
              <w:snapToGrid w:val="0"/>
              <w:rPr>
                <w:rFonts w:hint="eastAsia" w:hAnsi="宋体" w:cs="宋体"/>
                <w:color w:val="auto"/>
                <w:sz w:val="21"/>
                <w:szCs w:val="21"/>
                <w:highlight w:val="none"/>
              </w:rPr>
            </w:pPr>
            <w:r>
              <w:rPr>
                <w:rFonts w:hint="eastAsia" w:hAnsi="宋体" w:cs="宋体"/>
                <w:color w:val="auto"/>
                <w:sz w:val="21"/>
                <w:szCs w:val="21"/>
                <w:highlight w:val="none"/>
              </w:rPr>
              <w:t>□否</w:t>
            </w:r>
          </w:p>
          <w:p>
            <w:pPr>
              <w:jc w:val="left"/>
              <w:rPr>
                <w:rFonts w:hint="eastAsia" w:ascii="宋体" w:hAnsi="宋体" w:cs="宋体"/>
                <w:color w:val="auto"/>
                <w:szCs w:val="21"/>
                <w:highlight w:val="none"/>
                <w:u w:val="single"/>
              </w:rPr>
            </w:pPr>
            <w:r>
              <w:rPr>
                <w:rFonts w:hint="eastAsia" w:ascii="宋体" w:hAnsi="宋体" w:cs="宋体"/>
                <w:color w:val="auto"/>
                <w:szCs w:val="21"/>
                <w:highlight w:val="none"/>
              </w:rPr>
              <w:t>■是，具体要求：</w:t>
            </w:r>
            <w:r>
              <w:rPr>
                <w:rFonts w:hint="eastAsia" w:ascii="宋体" w:hAnsi="宋体" w:cs="宋体"/>
                <w:color w:val="auto"/>
                <w:szCs w:val="21"/>
                <w:highlight w:val="none"/>
                <w:u w:val="single"/>
              </w:rPr>
              <w:t>1.</w:t>
            </w:r>
            <w:r>
              <w:rPr>
                <w:rFonts w:hint="eastAsia" w:ascii="宋体" w:hAnsi="宋体" w:cs="宋体"/>
                <w:color w:val="auto"/>
                <w:highlight w:val="none"/>
              </w:rPr>
              <w:t xml:space="preserve"> </w:t>
            </w:r>
            <w:r>
              <w:rPr>
                <w:rFonts w:hint="eastAsia" w:ascii="宋体" w:hAnsi="宋体" w:cs="宋体"/>
                <w:color w:val="auto"/>
                <w:szCs w:val="21"/>
                <w:highlight w:val="none"/>
                <w:u w:val="single"/>
              </w:rPr>
              <w:t>有关无纸化项目电子招投标的操作手册，投标人可自行在广州公共资源交易中心网站相关栏目（首页 &gt; 服务指南 &gt; 系统帮助 &gt; 操作手册）下载。</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2.提交投标文件光盘备用</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可按无纸化电子招投标操作手册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提交的光盘。投标人也可不提交备用光盘。</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3.补救方案</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（1）投标文件解密失败的补救方案：</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（2）评标时突发情况的补救方案</w:t>
            </w:r>
          </w:p>
          <w:p>
            <w:pPr>
              <w:pStyle w:val="10"/>
              <w:topLinePunct/>
              <w:snapToGrid w:val="0"/>
              <w:rPr>
                <w:rFonts w:hint="eastAsia" w:hAnsi="宋体" w:cs="宋体"/>
                <w:color w:val="auto"/>
                <w:sz w:val="21"/>
                <w:szCs w:val="21"/>
                <w:highlight w:val="none"/>
                <w:u w:val="single"/>
              </w:rPr>
            </w:pPr>
            <w:r>
              <w:rPr>
                <w:rFonts w:hint="eastAsia" w:hAnsi="宋体" w:cs="宋体"/>
                <w:color w:val="auto"/>
                <w:sz w:val="21"/>
                <w:szCs w:val="21"/>
                <w:highlight w:val="none"/>
                <w:u w:val="single"/>
              </w:rPr>
              <w:t>若遇不可抗力发生（如：网络瘫痪、服务器损坏、交易系统故障短期无法恢复等因素），由评标委员会开启递交的全部投标文件光盘，并按光盘内容进行评审。</w:t>
            </w:r>
          </w:p>
          <w:p>
            <w:pPr>
              <w:pStyle w:val="10"/>
              <w:topLinePunct/>
              <w:snapToGrid w:val="0"/>
              <w:rPr>
                <w:rFonts w:hint="eastAsia" w:hAnsi="宋体" w:cs="宋体"/>
                <w:color w:val="auto"/>
                <w:szCs w:val="21"/>
                <w:highlight w:val="none"/>
              </w:rPr>
            </w:pPr>
            <w:r>
              <w:rPr>
                <w:rFonts w:hint="eastAsia" w:hAnsi="宋体" w:cs="宋体"/>
                <w:color w:val="auto"/>
                <w:sz w:val="21"/>
                <w:szCs w:val="21"/>
                <w:highlight w:val="none"/>
                <w:u w:val="singl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6035" w:type="dxa"/>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监理费支付</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监理费由招标人支付。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其他费用</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交易服务费：中标人自行支付公共资源交易服务费，交易中心向中标人开具增值税发票。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潜在投标人或利害关系人对本招标公告及招标文件内容异议的，向招标人书面提出。</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1）异议受理部门：</w:t>
            </w:r>
            <w:r>
              <w:rPr>
                <w:rFonts w:hint="eastAsia" w:ascii="宋体" w:hAnsi="宋体" w:cs="宋体"/>
                <w:color w:val="auto"/>
                <w:szCs w:val="21"/>
                <w:highlight w:val="none"/>
                <w:u w:val="single"/>
              </w:rPr>
              <w:t>广州市增城区水务建设管理所</w:t>
            </w:r>
            <w:r>
              <w:rPr>
                <w:rFonts w:hint="eastAsia" w:ascii="宋体" w:hAnsi="宋体" w:cs="宋体"/>
                <w:color w:val="auto"/>
                <w:szCs w:val="21"/>
                <w:highlight w:val="none"/>
              </w:rPr>
              <w:t>；</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2）联系电话：020-82639382</w:t>
            </w:r>
            <w:r>
              <w:rPr>
                <w:rFonts w:hint="eastAsia" w:ascii="宋体" w:hAnsi="宋体" w:cs="宋体"/>
                <w:color w:val="auto"/>
                <w:szCs w:val="21"/>
                <w:highlight w:val="none"/>
                <w:u w:val="none"/>
              </w:rPr>
              <w:t>；</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3）地址：广州市增城区园圃路4号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招标监督机构</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rPr>
              <w:t>广州市增城区水务局</w:t>
            </w:r>
          </w:p>
          <w:p>
            <w:pPr>
              <w:snapToGrid w:val="0"/>
              <w:jc w:val="left"/>
              <w:rPr>
                <w:rFonts w:hint="eastAsia" w:ascii="宋体" w:hAnsi="宋体" w:cs="宋体"/>
                <w:color w:val="auto"/>
                <w:kern w:val="0"/>
                <w:szCs w:val="21"/>
                <w:highlight w:val="none"/>
              </w:rPr>
            </w:pPr>
            <w:r>
              <w:rPr>
                <w:rFonts w:hint="eastAsia" w:ascii="宋体" w:hAnsi="宋体" w:cs="宋体"/>
                <w:color w:val="auto"/>
                <w:szCs w:val="21"/>
                <w:highlight w:val="none"/>
              </w:rPr>
              <w:t>监管电话：</w:t>
            </w:r>
            <w:r>
              <w:rPr>
                <w:rFonts w:hint="eastAsia" w:ascii="宋体" w:hAnsi="宋体" w:cs="宋体"/>
                <w:color w:val="auto"/>
                <w:szCs w:val="21"/>
                <w:highlight w:val="none"/>
                <w:u w:val="single"/>
              </w:rPr>
              <w:t>020-82639502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10.5</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本项目采用资格后审方式，满足资格审查合格条件的投标申请人不足3名时为招标失败。招标人分析招标失败原因，修正招标方案，报有关管理部门核准后，重新组织招标。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10.6</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特别提示</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1）《投诉处理决定书》和《行政处理决定书》在行业主管部门网站上公布的，视为送达其他与决定书有关的当事人。</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2）投标人在本项目招标人的工程项目中存在下列行为的，将被拒绝一年内参与我单位后续工程投标。</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3.存在围标或串标情形的；</w:t>
            </w:r>
          </w:p>
          <w:p>
            <w:pPr>
              <w:snapToGrid w:val="0"/>
              <w:jc w:val="left"/>
              <w:rPr>
                <w:rFonts w:hint="eastAsia"/>
                <w:color w:val="auto"/>
                <w:highlight w:val="none"/>
              </w:rPr>
            </w:pPr>
            <w:r>
              <w:rPr>
                <w:rFonts w:hint="eastAsia" w:ascii="宋体" w:hAnsi="宋体" w:cs="宋体"/>
                <w:color w:val="auto"/>
                <w:szCs w:val="21"/>
                <w:highlight w:val="none"/>
              </w:rPr>
              <w:t>4.存在弄虚作假骗取中标情形的；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4"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10.7</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投标人是否参加开标</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78"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10.8</w:t>
            </w:r>
          </w:p>
        </w:tc>
        <w:tc>
          <w:tcPr>
            <w:tcW w:w="2534"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035" w:type="dxa"/>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在产生中标候选人后，招标人将中标候选人的投标文件商务部分的电子版（报价清单、监理大纲等涉及商业秘密的内容除外）在广州公共资源交易中心网站公开。</w:t>
            </w:r>
          </w:p>
        </w:tc>
      </w:tr>
    </w:tbl>
    <w:p>
      <w:pPr>
        <w:snapToGrid w:val="0"/>
        <w:jc w:val="left"/>
        <w:rPr>
          <w:rFonts w:hint="eastAsia" w:ascii="宋体" w:hAnsi="宋体" w:cs="宋体"/>
          <w:color w:val="auto"/>
          <w:highlight w:val="none"/>
        </w:rPr>
      </w:pPr>
      <w:r>
        <w:rPr>
          <w:rFonts w:hint="eastAsia" w:ascii="宋体" w:hAnsi="宋体" w:cs="宋体"/>
          <w:color w:val="auto"/>
          <w:sz w:val="24"/>
          <w:szCs w:val="24"/>
          <w:highlight w:val="none"/>
        </w:rPr>
        <w:br w:type="page"/>
      </w:r>
      <w:bookmarkStart w:id="20" w:name="_Toc20742"/>
      <w:bookmarkStart w:id="21" w:name="_Toc527028502"/>
      <w:bookmarkStart w:id="22" w:name="_Toc527028850"/>
      <w:bookmarkStart w:id="23" w:name="_Toc520310853"/>
      <w:bookmarkStart w:id="24" w:name="_Toc527028679"/>
      <w:r>
        <w:rPr>
          <w:rFonts w:hint="eastAsia" w:ascii="宋体" w:hAnsi="宋体" w:cs="宋体"/>
          <w:b/>
          <w:color w:val="auto"/>
          <w:kern w:val="44"/>
          <w:sz w:val="44"/>
          <w:szCs w:val="20"/>
          <w:highlight w:val="none"/>
        </w:rPr>
        <w:t>1. 总则</w:t>
      </w:r>
      <w:bookmarkEnd w:id="20"/>
    </w:p>
    <w:p>
      <w:pPr>
        <w:spacing w:line="360" w:lineRule="auto"/>
        <w:jc w:val="left"/>
        <w:rPr>
          <w:rFonts w:hint="eastAsia" w:ascii="宋体" w:hAnsi="宋体" w:cs="宋体"/>
          <w:color w:val="auto"/>
          <w:sz w:val="24"/>
          <w:szCs w:val="24"/>
          <w:highlight w:val="none"/>
        </w:rPr>
      </w:pPr>
      <w:bookmarkStart w:id="25" w:name="_Toc24358"/>
      <w:r>
        <w:rPr>
          <w:rFonts w:hint="eastAsia" w:ascii="宋体" w:hAnsi="宋体" w:cs="宋体"/>
          <w:color w:val="auto"/>
          <w:sz w:val="24"/>
          <w:szCs w:val="24"/>
          <w:highlight w:val="none"/>
        </w:rPr>
        <w:t>1.1 招标项目概况</w:t>
      </w:r>
      <w:bookmarkEnd w:id="2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招标人：见投标人须知前附表。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招标代理机构：见投标人须知前附表。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招标项目名称：见投标人须知前附表。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 项目建设地点：见投标人须知前附表。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1.1.6 项目建设规模：见投标人须知前附表。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1.1.7 工程项目施工预计开工日期和建设周期：见投标人须知前附表。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1.1.8 建筑安装工程费/工程概算：见投标人须知前附表。</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6" w:name="_Toc14275"/>
      <w:bookmarkStart w:id="27" w:name="_Toc3884"/>
      <w:r>
        <w:rPr>
          <w:rFonts w:hint="eastAsia" w:ascii="宋体" w:hAnsi="宋体" w:eastAsia="宋体" w:cs="宋体"/>
          <w:color w:val="auto"/>
          <w:sz w:val="24"/>
          <w:szCs w:val="24"/>
          <w:highlight w:val="none"/>
        </w:rPr>
        <w:t>1.2 招标项目的资金来源和落实情况</w:t>
      </w:r>
      <w:bookmarkEnd w:id="26"/>
      <w:bookmarkEnd w:id="2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资金来源及比例：见投标人须知前附表。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资金落实情况：见投标人须知前附表。</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8" w:name="_Toc18715"/>
      <w:bookmarkStart w:id="29" w:name="_Toc26446"/>
      <w:r>
        <w:rPr>
          <w:rFonts w:hint="eastAsia" w:ascii="宋体" w:hAnsi="宋体" w:eastAsia="宋体" w:cs="宋体"/>
          <w:color w:val="auto"/>
          <w:sz w:val="24"/>
          <w:szCs w:val="24"/>
          <w:highlight w:val="none"/>
        </w:rPr>
        <w:t>1.3招标范围、监理服务期限和质量标准</w:t>
      </w:r>
      <w:bookmarkEnd w:id="28"/>
      <w:bookmarkEnd w:id="2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招标范围：见投标人须知前附表。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监理服务期限：见投标人须知前附表。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质量标准：见投标人须知前附表。</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0" w:name="_Toc29112"/>
      <w:bookmarkStart w:id="31" w:name="_Toc25462"/>
      <w:r>
        <w:rPr>
          <w:rFonts w:hint="eastAsia" w:ascii="宋体" w:hAnsi="宋体" w:eastAsia="宋体" w:cs="宋体"/>
          <w:color w:val="auto"/>
          <w:sz w:val="24"/>
          <w:szCs w:val="24"/>
          <w:highlight w:val="none"/>
        </w:rPr>
        <w:t>1.4投标人资格要求</w:t>
      </w:r>
      <w:bookmarkEnd w:id="30"/>
      <w:bookmarkEnd w:id="3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投标人应具备承担本招标项目资质条件、能力和信誉：</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（5）总监理工程师的资格要求：见投标人须知前附表；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（7）试验检测仪器设备要求：见投标人须知前附表。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需要提交的相关证明材料见本章第3.5款的规定。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（1）联合体各方应按招标文件提供的格式签订联合体协议书，明确联合体牵头方和各方权利义务，并承诺就中标项目向招标人承担连带责任；</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（2）与招标人存在利害关系且可能影响招标公正性；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（5）为本招标项目的代建人；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（6）为本招标项目的招标代理机构；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（7）与本招标项目的代建人或招标代理机构同为一个法定代表人；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（8）与本招标项目的代建人或招标代理机构存在控股或参股关系；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（9）与本招标项目的施工承包人以及建筑材料、建筑构配件和设备供应商有隶属关系或者其他利害关系；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（10）被依法暂停或者取消投标资格；</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（11）被责令停产停业、暂扣或者吊销许可证、暂扣或者吊销执照；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（12）进入清算程序，或被宣告破产，或其他丧失履约能力的情形；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（13）在最近三年内发生重大监理质量问题（以相关行业主管部门的行政处罚决定或司法机关出具的有关法律文书为准）；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（14）被工商行政管理机关在全国企业信用信息公示系统中列入严重违法失信企业名单；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（15）被最高人民法院在“信用中国”网站（www.creditchina.gov.cn）或各级信用信息共享平台中列入失信被执行人名单；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（16）法律法规或投标人须知前附表规定的其他情形。</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2" w:name="_Toc5975"/>
      <w:bookmarkStart w:id="33" w:name="_Toc8276"/>
      <w:r>
        <w:rPr>
          <w:rFonts w:hint="eastAsia" w:ascii="宋体" w:hAnsi="宋体" w:eastAsia="宋体" w:cs="宋体"/>
          <w:color w:val="auto"/>
          <w:sz w:val="24"/>
          <w:szCs w:val="24"/>
          <w:highlight w:val="none"/>
        </w:rPr>
        <w:t>1.5 费用承担</w:t>
      </w:r>
      <w:bookmarkEnd w:id="32"/>
      <w:bookmarkEnd w:id="3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4" w:name="_Toc8360"/>
      <w:bookmarkStart w:id="35" w:name="_Toc8200"/>
      <w:r>
        <w:rPr>
          <w:rFonts w:hint="eastAsia" w:ascii="宋体" w:hAnsi="宋体" w:eastAsia="宋体" w:cs="宋体"/>
          <w:color w:val="auto"/>
          <w:sz w:val="24"/>
          <w:szCs w:val="24"/>
          <w:highlight w:val="none"/>
        </w:rPr>
        <w:t>1.6保密</w:t>
      </w:r>
      <w:bookmarkEnd w:id="34"/>
      <w:bookmarkEnd w:id="3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w:t>
      </w:r>
      <w:bookmarkStart w:id="36" w:name="_Toc352691477"/>
      <w:bookmarkStart w:id="37" w:name="_Toc384308214"/>
      <w:bookmarkStart w:id="38" w:name="_Toc369531519"/>
      <w:bookmarkStart w:id="39" w:name="_Toc5326"/>
      <w:bookmarkStart w:id="40" w:name="_Toc361508589"/>
      <w:r>
        <w:rPr>
          <w:rFonts w:hint="eastAsia" w:ascii="宋体" w:hAnsi="宋体" w:cs="宋体"/>
          <w:color w:val="auto"/>
          <w:sz w:val="24"/>
          <w:szCs w:val="24"/>
          <w:highlight w:val="none"/>
        </w:rPr>
        <w:t>的商业和技术等秘密保密</w:t>
      </w:r>
      <w:bookmarkEnd w:id="36"/>
      <w:bookmarkEnd w:id="37"/>
      <w:bookmarkEnd w:id="38"/>
      <w:bookmarkEnd w:id="39"/>
      <w:bookmarkEnd w:id="40"/>
      <w:r>
        <w:rPr>
          <w:rFonts w:hint="eastAsia" w:ascii="宋体" w:hAnsi="宋体" w:cs="宋体"/>
          <w:color w:val="auto"/>
          <w:sz w:val="24"/>
          <w:szCs w:val="24"/>
          <w:highlight w:val="none"/>
        </w:rPr>
        <w:t>，否则应承担相应的法律责任。</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41" w:name="_Toc20852"/>
      <w:bookmarkStart w:id="42" w:name="_Toc23057"/>
      <w:r>
        <w:rPr>
          <w:rFonts w:hint="eastAsia" w:ascii="宋体" w:hAnsi="宋体" w:eastAsia="宋体" w:cs="宋体"/>
          <w:color w:val="auto"/>
          <w:sz w:val="24"/>
          <w:szCs w:val="24"/>
          <w:highlight w:val="none"/>
        </w:rPr>
        <w:t>1.7 语言文字</w:t>
      </w:r>
      <w:bookmarkEnd w:id="41"/>
      <w:bookmarkEnd w:id="42"/>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招标投标文件使用的语言文字为中文。专用术语使用外文的，应附有中文注释。</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43" w:name="_Toc29220"/>
      <w:bookmarkStart w:id="44" w:name="_Toc8469"/>
      <w:r>
        <w:rPr>
          <w:rFonts w:hint="eastAsia" w:ascii="宋体" w:hAnsi="宋体" w:eastAsia="宋体" w:cs="宋体"/>
          <w:color w:val="auto"/>
          <w:sz w:val="24"/>
          <w:szCs w:val="24"/>
          <w:highlight w:val="none"/>
        </w:rPr>
        <w:t>1.8计量单位</w:t>
      </w:r>
      <w:bookmarkEnd w:id="43"/>
      <w:bookmarkEnd w:id="4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45" w:name="_Toc27371"/>
      <w:bookmarkStart w:id="46" w:name="_Toc391393967"/>
      <w:bookmarkStart w:id="47" w:name="_Toc384308219"/>
      <w:bookmarkStart w:id="48" w:name="_Toc144974507"/>
      <w:bookmarkStart w:id="49" w:name="_Toc370676289"/>
      <w:bookmarkStart w:id="50" w:name="_Toc247513962"/>
      <w:bookmarkStart w:id="51" w:name="_Toc300834959"/>
      <w:bookmarkStart w:id="52" w:name="_Toc361508594"/>
      <w:bookmarkStart w:id="53" w:name="_Toc152045539"/>
      <w:bookmarkStart w:id="54" w:name="_Toc19199"/>
      <w:bookmarkStart w:id="55" w:name="_Toc247527563"/>
      <w:bookmarkStart w:id="56" w:name="_Toc482188480"/>
      <w:bookmarkStart w:id="57" w:name="_Toc152042315"/>
      <w:r>
        <w:rPr>
          <w:rFonts w:hint="eastAsia" w:ascii="宋体" w:hAnsi="宋体" w:eastAsia="宋体" w:cs="宋体"/>
          <w:color w:val="auto"/>
          <w:sz w:val="24"/>
          <w:szCs w:val="24"/>
          <w:highlight w:val="none"/>
        </w:rPr>
        <w:t>1.9 踏勘现场</w:t>
      </w:r>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投标人踏勘现场发生的费用自理。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 除招标人的原因外，投标人自行负责在踏勘现场中所发生的人员伤亡和财产损失。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招标人在踏勘现场中介绍的工程场地和相关的周边环境情况，供投标人在编制投标文件时参考，招标人不对投标人据此作出的判断和决策负责。</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58" w:name="_Toc17151"/>
      <w:bookmarkStart w:id="59" w:name="_Toc1617"/>
      <w:r>
        <w:rPr>
          <w:rFonts w:hint="eastAsia" w:ascii="宋体" w:hAnsi="宋体" w:eastAsia="宋体" w:cs="宋体"/>
          <w:color w:val="auto"/>
          <w:sz w:val="24"/>
          <w:szCs w:val="24"/>
          <w:highlight w:val="none"/>
        </w:rPr>
        <w:t>1.10投标预备会</w:t>
      </w:r>
      <w:bookmarkEnd w:id="58"/>
      <w:bookmarkEnd w:id="5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1.10.2 投标人应按投标人须知前附表规定的时间和形式将提出的问题送达招标人，以便招标人在会议期间澄清。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1.10.3 投标预备会后，招标人将对投标人所提问题的澄清，以投标人须知前附表规定的形式通知所有购买招标文件的投标人。该澄清内容为招标文件的组成部分。</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60" w:name="_Toc15034"/>
      <w:bookmarkStart w:id="61" w:name="_Toc18262"/>
      <w:r>
        <w:rPr>
          <w:rFonts w:hint="eastAsia" w:ascii="宋体" w:hAnsi="宋体" w:eastAsia="宋体" w:cs="宋体"/>
          <w:color w:val="auto"/>
          <w:sz w:val="24"/>
          <w:szCs w:val="24"/>
          <w:highlight w:val="none"/>
        </w:rPr>
        <w:t>1.11 分包</w:t>
      </w:r>
      <w:bookmarkEnd w:id="60"/>
      <w:bookmarkEnd w:id="6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本项目严禁分包。</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62" w:name="_Toc15891"/>
      <w:bookmarkStart w:id="63" w:name="_Toc4296"/>
      <w:r>
        <w:rPr>
          <w:rFonts w:hint="eastAsia" w:ascii="宋体" w:hAnsi="宋体" w:eastAsia="宋体" w:cs="宋体"/>
          <w:color w:val="auto"/>
          <w:sz w:val="24"/>
          <w:szCs w:val="24"/>
          <w:highlight w:val="none"/>
        </w:rPr>
        <w:t>1.12响应和偏差</w:t>
      </w:r>
      <w:bookmarkEnd w:id="62"/>
      <w:bookmarkEnd w:id="6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1.12.2 投标人应根据招标文件的要求提供投标监理大纲等内容以对招标文件作出响应。</w:t>
      </w:r>
    </w:p>
    <w:p>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1.12.3投标人须知前附表允许投标文件偏离招标文件某些要求的，偏差应当符合招标文件规定的偏差范围和幅度。</w:t>
      </w:r>
    </w:p>
    <w:p>
      <w:pPr>
        <w:pStyle w:val="4"/>
        <w:keepNext w:val="0"/>
        <w:keepLines w:val="0"/>
        <w:spacing w:before="0" w:after="0" w:line="360" w:lineRule="auto"/>
        <w:rPr>
          <w:rFonts w:hint="eastAsia" w:ascii="宋体" w:hAnsi="宋体" w:eastAsia="宋体" w:cs="宋体"/>
          <w:color w:val="auto"/>
          <w:highlight w:val="none"/>
        </w:rPr>
      </w:pPr>
      <w:bookmarkStart w:id="64" w:name="_Toc7843"/>
      <w:bookmarkStart w:id="65" w:name="_Toc29981"/>
      <w:r>
        <w:rPr>
          <w:rFonts w:hint="eastAsia" w:ascii="宋体" w:hAnsi="宋体" w:eastAsia="宋体" w:cs="宋体"/>
          <w:color w:val="auto"/>
          <w:highlight w:val="none"/>
        </w:rPr>
        <w:t>2. 招标文件</w:t>
      </w:r>
      <w:bookmarkEnd w:id="64"/>
      <w:bookmarkEnd w:id="65"/>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66" w:name="_Toc19114"/>
      <w:bookmarkStart w:id="67" w:name="_Toc18291"/>
      <w:r>
        <w:rPr>
          <w:rFonts w:hint="eastAsia" w:ascii="宋体" w:hAnsi="宋体" w:eastAsia="宋体" w:cs="宋体"/>
          <w:color w:val="auto"/>
          <w:sz w:val="24"/>
          <w:szCs w:val="24"/>
          <w:highlight w:val="none"/>
        </w:rPr>
        <w:t>2.1 招标文件的组成</w:t>
      </w:r>
      <w:bookmarkEnd w:id="66"/>
      <w:bookmarkEnd w:id="67"/>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本招标文件包括：</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（1）招标公告</w:t>
      </w:r>
      <w:r>
        <w:rPr>
          <w:rFonts w:hint="eastAsia" w:ascii="宋体" w:hAnsi="宋体" w:cs="宋体"/>
          <w:strike/>
          <w:color w:val="auto"/>
          <w:sz w:val="24"/>
          <w:szCs w:val="24"/>
          <w:highlight w:val="none"/>
        </w:rPr>
        <w:t>（或投标邀请书）</w:t>
      </w:r>
      <w:r>
        <w:rPr>
          <w:rFonts w:hint="eastAsia" w:ascii="宋体" w:hAnsi="宋体" w:cs="宋体"/>
          <w:color w:val="auto"/>
          <w:sz w:val="24"/>
          <w:szCs w:val="24"/>
          <w:highlight w:val="none"/>
        </w:rPr>
        <w:t>；</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（2）投标人须知；</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（3）评标办法；</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（4）合同条款及格式；</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（5）委托人要求；</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（6）投标文件格式；</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（7）投标人须知前附表规定的其他资料。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68" w:name="_Toc24624"/>
      <w:bookmarkStart w:id="69" w:name="_Toc25358"/>
      <w:r>
        <w:rPr>
          <w:rFonts w:hint="eastAsia" w:ascii="宋体" w:hAnsi="宋体" w:eastAsia="宋体" w:cs="宋体"/>
          <w:color w:val="auto"/>
          <w:sz w:val="24"/>
          <w:szCs w:val="24"/>
          <w:highlight w:val="none"/>
        </w:rPr>
        <w:t>2.2 招标文件的澄清</w:t>
      </w:r>
      <w:bookmarkEnd w:id="68"/>
      <w:bookmarkEnd w:id="6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 除非招标人认为确有必要答复，否则，招标人有权拒绝回复投标人在本章第    2.2.1项规定的时间后的任何澄清要求。</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70" w:name="_Toc2698"/>
      <w:bookmarkStart w:id="71" w:name="_Toc26250"/>
      <w:bookmarkStart w:id="72" w:name="_Toc352691479"/>
      <w:r>
        <w:rPr>
          <w:rFonts w:hint="eastAsia" w:ascii="宋体" w:hAnsi="宋体" w:eastAsia="宋体" w:cs="宋体"/>
          <w:color w:val="auto"/>
          <w:sz w:val="24"/>
          <w:szCs w:val="24"/>
          <w:highlight w:val="none"/>
        </w:rPr>
        <w:t>2.3 招标文件的修</w:t>
      </w:r>
      <w:bookmarkStart w:id="73" w:name="_Toc369531521"/>
      <w:bookmarkStart w:id="74" w:name="_Toc16514"/>
      <w:r>
        <w:rPr>
          <w:rFonts w:hint="eastAsia" w:ascii="宋体" w:hAnsi="宋体" w:eastAsia="宋体" w:cs="宋体"/>
          <w:color w:val="auto"/>
          <w:sz w:val="24"/>
          <w:szCs w:val="24"/>
          <w:highlight w:val="none"/>
        </w:rPr>
        <w:t>改</w:t>
      </w:r>
      <w:bookmarkEnd w:id="70"/>
      <w:bookmarkEnd w:id="7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2"/>
    <w:bookmarkEnd w:id="73"/>
    <w:bookmarkEnd w:id="74"/>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 投标人收到修改内容</w:t>
      </w:r>
      <w:bookmarkStart w:id="75" w:name="_Toc361508593"/>
      <w:bookmarkStart w:id="76" w:name="_Toc369531524"/>
      <w:bookmarkStart w:id="77" w:name="_Toc384308218"/>
      <w:bookmarkStart w:id="78" w:name="_Toc144974506"/>
      <w:bookmarkStart w:id="79" w:name="_Toc300834958"/>
      <w:bookmarkStart w:id="80" w:name="_Toc152042314"/>
      <w:bookmarkStart w:id="81" w:name="_Toc24632"/>
      <w:bookmarkStart w:id="82" w:name="_Toc152045538"/>
      <w:bookmarkStart w:id="83" w:name="_Toc352691482"/>
      <w:bookmarkStart w:id="84" w:name="_Toc247513961"/>
      <w:bookmarkStart w:id="85" w:name="_Toc247527562"/>
      <w:r>
        <w:rPr>
          <w:rFonts w:hint="eastAsia" w:ascii="宋体" w:hAnsi="宋体" w:cs="宋体"/>
          <w:color w:val="auto"/>
          <w:sz w:val="24"/>
          <w:szCs w:val="24"/>
          <w:highlight w:val="none"/>
        </w:rPr>
        <w:t>后，</w:t>
      </w:r>
      <w:bookmarkEnd w:id="75"/>
      <w:bookmarkEnd w:id="76"/>
      <w:bookmarkEnd w:id="77"/>
      <w:bookmarkEnd w:id="78"/>
      <w:bookmarkEnd w:id="79"/>
      <w:bookmarkEnd w:id="80"/>
      <w:bookmarkEnd w:id="81"/>
      <w:bookmarkEnd w:id="82"/>
      <w:bookmarkEnd w:id="83"/>
      <w:bookmarkEnd w:id="84"/>
      <w:bookmarkEnd w:id="85"/>
      <w:bookmarkStart w:id="86" w:name="_Toc361508595"/>
      <w:bookmarkStart w:id="87" w:name="_Toc384308220"/>
      <w:bookmarkStart w:id="88" w:name="_Toc152042316"/>
      <w:bookmarkStart w:id="89" w:name="_Toc152045540"/>
      <w:bookmarkStart w:id="90" w:name="_Toc247527564"/>
      <w:bookmarkStart w:id="91" w:name="_Toc144974508"/>
      <w:bookmarkStart w:id="92" w:name="_Toc369531526"/>
      <w:bookmarkStart w:id="93" w:name="_Toc300834960"/>
      <w:bookmarkStart w:id="94" w:name="_Toc352691484"/>
      <w:bookmarkStart w:id="95" w:name="_Toc247513963"/>
      <w:bookmarkStart w:id="96" w:name="_Toc16623"/>
      <w:r>
        <w:rPr>
          <w:rFonts w:hint="eastAsia" w:ascii="宋体" w:hAnsi="宋体" w:cs="宋体"/>
          <w:color w:val="auto"/>
          <w:sz w:val="24"/>
          <w:szCs w:val="24"/>
          <w:highlight w:val="none"/>
        </w:rPr>
        <w:t>应按投标人须知前附表规定的时间和形式通知招标人，确认已收到该修改。</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97" w:name="_Toc622"/>
      <w:bookmarkStart w:id="98" w:name="_Toc20446"/>
      <w:r>
        <w:rPr>
          <w:rFonts w:hint="eastAsia" w:ascii="宋体" w:hAnsi="宋体" w:eastAsia="宋体" w:cs="宋体"/>
          <w:color w:val="auto"/>
          <w:sz w:val="24"/>
          <w:szCs w:val="24"/>
          <w:highlight w:val="none"/>
        </w:rPr>
        <w:t>2.</w:t>
      </w:r>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color w:val="auto"/>
          <w:sz w:val="24"/>
          <w:szCs w:val="24"/>
          <w:highlight w:val="none"/>
        </w:rPr>
        <w:t>4 招标文件的异议</w:t>
      </w:r>
      <w:bookmarkEnd w:id="97"/>
      <w:bookmarkEnd w:id="98"/>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r>
        <w:rPr>
          <w:rFonts w:hint="default" w:ascii="Times New Roman" w:hAnsi="Times New Roman"/>
          <w:color w:val="auto"/>
          <w:sz w:val="24"/>
          <w:szCs w:val="24"/>
          <w:highlight w:val="none"/>
        </w:rPr>
        <w:t>可通过线下书面或线上的形式提出异议。</w:t>
      </w:r>
      <w:r>
        <w:rPr>
          <w:rFonts w:hint="default" w:ascii="Times New Roman" w:hAnsi="Times New Roman"/>
          <w:color w:val="auto"/>
          <w:sz w:val="24"/>
          <w:szCs w:val="24"/>
          <w:highlight w:val="none"/>
          <w:lang w:eastAsia="zh-CN"/>
        </w:rPr>
        <w:t>在线异议</w:t>
      </w:r>
      <w:r>
        <w:rPr>
          <w:rFonts w:hint="default" w:ascii="Times New Roman" w:hAnsi="Times New Roman"/>
          <w:color w:val="auto"/>
          <w:sz w:val="24"/>
          <w:szCs w:val="24"/>
          <w:highlight w:val="none"/>
        </w:rPr>
        <w:t>具体操作详见“广州交易集团有限公司（广州公共资源交易中心）门户网站首页-&gt;服务指南-&gt;系统帮助-&gt;操作手册-&gt;发起及受理异议操作指引”</w:t>
      </w:r>
      <w:r>
        <w:rPr>
          <w:rFonts w:hint="eastAsia"/>
          <w:highlight w:val="none"/>
          <w:lang w:eastAsia="zh-CN"/>
        </w:rPr>
        <w:t>。</w:t>
      </w:r>
    </w:p>
    <w:p>
      <w:pPr>
        <w:pStyle w:val="4"/>
        <w:keepNext w:val="0"/>
        <w:keepLines w:val="0"/>
        <w:spacing w:before="0" w:after="0" w:line="360" w:lineRule="auto"/>
        <w:rPr>
          <w:rFonts w:hint="eastAsia" w:ascii="宋体" w:hAnsi="宋体" w:eastAsia="宋体" w:cs="宋体"/>
          <w:color w:val="auto"/>
          <w:highlight w:val="none"/>
        </w:rPr>
      </w:pPr>
      <w:bookmarkStart w:id="99" w:name="_Toc5247"/>
      <w:bookmarkStart w:id="100" w:name="_Toc20188"/>
      <w:r>
        <w:rPr>
          <w:rFonts w:hint="eastAsia" w:ascii="宋体" w:hAnsi="宋体" w:eastAsia="宋体" w:cs="宋体"/>
          <w:color w:val="auto"/>
          <w:highlight w:val="none"/>
        </w:rPr>
        <w:t>3. 投标文件</w:t>
      </w:r>
      <w:bookmarkEnd w:id="99"/>
      <w:bookmarkEnd w:id="100"/>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01" w:name="_Toc28916"/>
      <w:bookmarkStart w:id="102" w:name="_Toc17006"/>
      <w:r>
        <w:rPr>
          <w:rFonts w:hint="eastAsia" w:ascii="宋体" w:hAnsi="宋体" w:eastAsia="宋体" w:cs="宋体"/>
          <w:color w:val="auto"/>
          <w:sz w:val="24"/>
          <w:szCs w:val="24"/>
          <w:highlight w:val="none"/>
        </w:rPr>
        <w:t>3.1 投标文件的组成</w:t>
      </w:r>
      <w:bookmarkEnd w:id="101"/>
      <w:bookmarkEnd w:id="102"/>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3.1.1 投标文件应包括下列内容：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（2）法定代表人身份证明；</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（3）授权委托书（适用于有委托代理人的情况）；</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（4）投标保证金；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（5）资格审查资料；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（6）监理大纲；</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（7）其他资料。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pPr>
        <w:spacing w:line="360" w:lineRule="auto"/>
        <w:ind w:firstLine="410" w:firstLineChars="171"/>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3.1.2 投标人须知前附表规定不接受联合体投标的，或投标人没有组成联合体的，投标文件不包括本章第3.1.1（3）目所指的联合体协议书。</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3.1.3</w:t>
      </w:r>
      <w:r>
        <w:rPr>
          <w:rFonts w:hint="eastAsia" w:ascii="宋体" w:hAnsi="宋体" w:cs="宋体"/>
          <w:strike/>
          <w:color w:val="auto"/>
          <w:sz w:val="24"/>
          <w:szCs w:val="24"/>
          <w:highlight w:val="none"/>
        </w:rPr>
        <w:t xml:space="preserve"> 投标人须知前附表未要求提交投标保证金的，投标文件不包括本章第3.1.1（4）目所指的投标保证金</w:t>
      </w:r>
      <w:r>
        <w:rPr>
          <w:rFonts w:hint="eastAsia" w:ascii="宋体" w:hAnsi="宋体" w:cs="宋体"/>
          <w:color w:val="auto"/>
          <w:sz w:val="24"/>
          <w:szCs w:val="24"/>
          <w:highlight w:val="none"/>
        </w:rPr>
        <w:t>。</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03" w:name="_Toc6141"/>
      <w:bookmarkStart w:id="104" w:name="_Toc15761"/>
      <w:r>
        <w:rPr>
          <w:rFonts w:hint="eastAsia" w:ascii="宋体" w:hAnsi="宋体" w:eastAsia="宋体" w:cs="宋体"/>
          <w:color w:val="auto"/>
          <w:sz w:val="24"/>
          <w:szCs w:val="24"/>
          <w:highlight w:val="none"/>
        </w:rPr>
        <w:t>3.2 投标报价</w:t>
      </w:r>
      <w:bookmarkEnd w:id="103"/>
      <w:bookmarkEnd w:id="10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3.2.1投标报价应包括国家规定的增值税税金，除投标人须知前附表另有规定外，增值税税金按一般计税方法计算。投标人应按第六章“投标文件格式”的要求在投标函及投标函附录中进行报价。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 投标人应充分了解该项目的总体情况以及影响投标报价的其他要素。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w:t>
      </w:r>
      <w:bookmarkStart w:id="105" w:name="_Toc152042319"/>
      <w:bookmarkEnd w:id="105"/>
      <w:bookmarkStart w:id="106" w:name="_Toc300834964"/>
      <w:bookmarkEnd w:id="106"/>
      <w:bookmarkStart w:id="107" w:name="_Toc369531530"/>
      <w:bookmarkEnd w:id="107"/>
      <w:bookmarkStart w:id="108" w:name="_Toc352691487"/>
      <w:bookmarkEnd w:id="108"/>
      <w:bookmarkStart w:id="109" w:name="_Toc361508599"/>
      <w:bookmarkEnd w:id="109"/>
      <w:bookmarkStart w:id="110" w:name="_Toc247527568"/>
      <w:bookmarkEnd w:id="110"/>
      <w:bookmarkStart w:id="111" w:name="_Toc384308224"/>
      <w:bookmarkEnd w:id="111"/>
      <w:bookmarkStart w:id="112" w:name="_Toc15242"/>
      <w:bookmarkEnd w:id="112"/>
      <w:bookmarkStart w:id="113" w:name="_Toc152045543"/>
      <w:bookmarkEnd w:id="113"/>
      <w:bookmarkStart w:id="114" w:name="_Toc144974511"/>
      <w:bookmarkEnd w:id="114"/>
      <w:bookmarkStart w:id="115" w:name="_Toc247513967"/>
      <w:bookmarkEnd w:id="115"/>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本项目的报价方式见投标人须知前附表。投标人在投标截止时间前修改投标函中的投标报价总额须符合本章第4.3款的有关要求</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招标人设有最高投标限价的，投标人的投标报价不得超过最高投标限价，最高投标限价在投标</w:t>
      </w:r>
      <w:bookmarkStart w:id="116" w:name="_Toc152042320"/>
      <w:bookmarkStart w:id="117" w:name="_Toc247513968"/>
      <w:bookmarkStart w:id="118" w:name="_Toc361508600"/>
      <w:bookmarkStart w:id="119" w:name="_Toc352691488"/>
      <w:bookmarkStart w:id="120" w:name="_Toc369531531"/>
      <w:bookmarkStart w:id="121" w:name="_Toc247527569"/>
      <w:bookmarkStart w:id="122" w:name="_Toc10429"/>
      <w:bookmarkStart w:id="123" w:name="_Toc152045544"/>
      <w:bookmarkStart w:id="124" w:name="_Toc384308225"/>
      <w:bookmarkStart w:id="125" w:name="_Toc300834965"/>
      <w:bookmarkStart w:id="126" w:name="_Toc144974512"/>
      <w:r>
        <w:rPr>
          <w:rFonts w:hint="eastAsia" w:ascii="宋体" w:hAnsi="宋体" w:cs="宋体"/>
          <w:color w:val="auto"/>
          <w:sz w:val="24"/>
          <w:szCs w:val="24"/>
          <w:highlight w:val="none"/>
        </w:rPr>
        <w:t>人须知前附表中载明。</w:t>
      </w:r>
      <w:bookmarkEnd w:id="116"/>
      <w:bookmarkEnd w:id="117"/>
      <w:bookmarkEnd w:id="118"/>
      <w:bookmarkEnd w:id="119"/>
      <w:bookmarkEnd w:id="120"/>
      <w:bookmarkEnd w:id="121"/>
      <w:bookmarkEnd w:id="122"/>
      <w:bookmarkEnd w:id="123"/>
      <w:bookmarkEnd w:id="124"/>
      <w:bookmarkEnd w:id="125"/>
      <w:bookmarkEnd w:id="126"/>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3.2.5 投标报价的其他要求见投标人须知前附表。</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27" w:name="_Toc31578"/>
      <w:bookmarkStart w:id="128" w:name="_Toc26962"/>
      <w:r>
        <w:rPr>
          <w:rFonts w:hint="eastAsia" w:ascii="宋体" w:hAnsi="宋体" w:eastAsia="宋体" w:cs="宋体"/>
          <w:color w:val="auto"/>
          <w:sz w:val="24"/>
          <w:szCs w:val="24"/>
          <w:highlight w:val="none"/>
        </w:rPr>
        <w:t>3.3 投标有效期</w:t>
      </w:r>
      <w:bookmarkEnd w:id="127"/>
      <w:bookmarkEnd w:id="12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除投标人须知前附表另有规定外，投标有效期为90天。</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在投标有效期内，投标人撤销投标文件的，应承担招标文件和法律规定的责任。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strike w:val="0"/>
          <w:color w:val="auto"/>
          <w:sz w:val="24"/>
          <w:szCs w:val="24"/>
          <w:highlight w:val="none"/>
        </w:rPr>
        <w:t>不得</w:t>
      </w:r>
      <w:r>
        <w:rPr>
          <w:rFonts w:hint="eastAsia" w:ascii="宋体" w:hAnsi="宋体" w:cs="宋体"/>
          <w:color w:val="auto"/>
          <w:sz w:val="24"/>
          <w:szCs w:val="24"/>
          <w:highlight w:val="none"/>
        </w:rPr>
        <w:t>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pPr>
        <w:pStyle w:val="5"/>
        <w:keepNext w:val="0"/>
        <w:keepLines w:val="0"/>
        <w:spacing w:before="0" w:after="0" w:line="360" w:lineRule="auto"/>
        <w:ind w:firstLine="118"/>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3.4 投标保证金</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3.4.1 投标人在递交投标文件的同时，应按投标人须知前附表规定的金额</w:t>
      </w:r>
      <w:bookmarkStart w:id="129" w:name="_Toc369531532"/>
      <w:bookmarkStart w:id="130" w:name="_Toc384308226"/>
      <w:bookmarkStart w:id="131" w:name="_Toc300834966"/>
      <w:bookmarkStart w:id="132" w:name="_Toc247527570"/>
      <w:bookmarkStart w:id="133" w:name="_Toc361508601"/>
      <w:bookmarkStart w:id="134" w:name="_Toc352691489"/>
      <w:bookmarkStart w:id="135" w:name="_Toc4592"/>
      <w:bookmarkStart w:id="136" w:name="_Toc144974513"/>
      <w:bookmarkStart w:id="137" w:name="_Toc152042321"/>
      <w:bookmarkStart w:id="138" w:name="_Toc247513969"/>
      <w:bookmarkStart w:id="139" w:name="_Toc152045545"/>
      <w:r>
        <w:rPr>
          <w:rFonts w:hint="eastAsia" w:ascii="宋体" w:hAnsi="宋体" w:cs="宋体"/>
          <w:strike/>
          <w:color w:val="auto"/>
          <w:sz w:val="24"/>
          <w:szCs w:val="24"/>
          <w:highlight w:val="none"/>
        </w:rPr>
        <w:t>、形式和第六章“投标文</w:t>
      </w:r>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宋体"/>
          <w:strike/>
          <w:color w:val="auto"/>
          <w:sz w:val="24"/>
          <w:szCs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方递交，并应符合投标人须知前附表的规定。</w:t>
      </w:r>
    </w:p>
    <w:p>
      <w:pPr>
        <w:spacing w:line="360" w:lineRule="auto"/>
        <w:ind w:firstLine="480" w:firstLineChars="200"/>
        <w:jc w:val="left"/>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3.4.2 投标人不按本章第3.4.1项</w:t>
      </w:r>
      <w:bookmarkStart w:id="140" w:name="_Toc361508602"/>
      <w:bookmarkStart w:id="141" w:name="_Toc384308227"/>
      <w:bookmarkStart w:id="142" w:name="_Toc352691490"/>
      <w:bookmarkStart w:id="143" w:name="_Toc29025"/>
      <w:bookmarkStart w:id="144" w:name="_Toc369531533"/>
      <w:r>
        <w:rPr>
          <w:rFonts w:hint="eastAsia" w:ascii="宋体" w:hAnsi="宋体" w:cs="宋体"/>
          <w:strike/>
          <w:color w:val="auto"/>
          <w:sz w:val="24"/>
          <w:szCs w:val="24"/>
          <w:highlight w:val="none"/>
        </w:rPr>
        <w:t>要求提交投标保证金的，</w:t>
      </w:r>
      <w:bookmarkEnd w:id="140"/>
      <w:bookmarkEnd w:id="141"/>
      <w:bookmarkEnd w:id="142"/>
      <w:bookmarkEnd w:id="143"/>
      <w:bookmarkEnd w:id="144"/>
      <w:r>
        <w:rPr>
          <w:rFonts w:hint="eastAsia" w:ascii="宋体" w:hAnsi="宋体" w:cs="宋体"/>
          <w:strike/>
          <w:color w:val="auto"/>
          <w:sz w:val="24"/>
          <w:szCs w:val="24"/>
          <w:highlight w:val="none"/>
        </w:rPr>
        <w:t>评标委员会将否决其投标。</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3.4.3 招标人最迟将在与中标人</w:t>
      </w:r>
      <w:bookmarkStart w:id="145" w:name="_Toc247527571"/>
      <w:bookmarkStart w:id="146" w:name="_Toc352691491"/>
      <w:bookmarkStart w:id="147" w:name="_Toc144974514"/>
      <w:bookmarkStart w:id="148" w:name="_Toc152045546"/>
      <w:bookmarkStart w:id="149" w:name="_Toc300834967"/>
      <w:bookmarkStart w:id="150" w:name="_Toc384308228"/>
      <w:bookmarkStart w:id="151" w:name="_Toc247513970"/>
      <w:bookmarkStart w:id="152" w:name="_Toc152042322"/>
      <w:bookmarkStart w:id="153" w:name="_Toc361508603"/>
      <w:bookmarkStart w:id="154" w:name="_Toc14751"/>
      <w:bookmarkStart w:id="155" w:name="_Toc369531534"/>
      <w:r>
        <w:rPr>
          <w:rFonts w:hint="eastAsia" w:ascii="宋体" w:hAnsi="宋体" w:cs="宋体"/>
          <w:strike/>
          <w:color w:val="auto"/>
          <w:sz w:val="24"/>
          <w:szCs w:val="24"/>
          <w:highlight w:val="none"/>
        </w:rPr>
        <w:t>签订合同后5日</w:t>
      </w:r>
      <w:bookmarkEnd w:id="145"/>
      <w:bookmarkEnd w:id="146"/>
      <w:bookmarkEnd w:id="147"/>
      <w:bookmarkEnd w:id="148"/>
      <w:bookmarkEnd w:id="149"/>
      <w:bookmarkEnd w:id="150"/>
      <w:bookmarkEnd w:id="151"/>
      <w:bookmarkEnd w:id="152"/>
      <w:bookmarkEnd w:id="153"/>
      <w:bookmarkEnd w:id="154"/>
      <w:bookmarkEnd w:id="155"/>
      <w:r>
        <w:rPr>
          <w:rFonts w:hint="eastAsia" w:ascii="宋体" w:hAnsi="宋体" w:cs="宋体"/>
          <w:strike/>
          <w:color w:val="auto"/>
          <w:sz w:val="24"/>
          <w:szCs w:val="24"/>
          <w:highlight w:val="none"/>
        </w:rPr>
        <w:t>内</w:t>
      </w:r>
      <w:bookmarkStart w:id="156" w:name="_Toc152045547"/>
      <w:bookmarkStart w:id="157" w:name="_Toc17952"/>
      <w:bookmarkStart w:id="158" w:name="_Toc369531535"/>
      <w:bookmarkStart w:id="159" w:name="_Toc361508604"/>
      <w:bookmarkStart w:id="160" w:name="_Toc352691492"/>
      <w:bookmarkStart w:id="161" w:name="_Toc144974515"/>
      <w:bookmarkStart w:id="162" w:name="_Toc247513971"/>
      <w:bookmarkStart w:id="163" w:name="_Toc247527572"/>
      <w:bookmarkStart w:id="164" w:name="_Toc300834968"/>
      <w:bookmarkStart w:id="165" w:name="_Toc384308229"/>
      <w:bookmarkStart w:id="166" w:name="_Toc152042323"/>
      <w:r>
        <w:rPr>
          <w:rFonts w:hint="eastAsia" w:ascii="宋体" w:hAnsi="宋体" w:cs="宋体"/>
          <w:strike/>
          <w:color w:val="auto"/>
          <w:sz w:val="24"/>
          <w:szCs w:val="24"/>
          <w:highlight w:val="none"/>
        </w:rPr>
        <w:t>，向未中标的投标人和中</w:t>
      </w:r>
      <w:bookmarkEnd w:id="156"/>
      <w:bookmarkEnd w:id="157"/>
      <w:bookmarkEnd w:id="158"/>
      <w:bookmarkEnd w:id="159"/>
      <w:bookmarkEnd w:id="160"/>
      <w:bookmarkEnd w:id="161"/>
      <w:bookmarkEnd w:id="162"/>
      <w:bookmarkEnd w:id="163"/>
      <w:bookmarkEnd w:id="164"/>
      <w:bookmarkEnd w:id="165"/>
      <w:bookmarkEnd w:id="166"/>
      <w:r>
        <w:rPr>
          <w:rFonts w:hint="eastAsia" w:ascii="宋体" w:hAnsi="宋体" w:cs="宋体"/>
          <w:strike/>
          <w:color w:val="auto"/>
          <w:sz w:val="24"/>
          <w:szCs w:val="24"/>
          <w:highlight w:val="none"/>
        </w:rPr>
        <w:t>标人退还投标保证金。投标保证金以现金或者支票形式递交的，还应退还银行同期存款利息。</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3.4.4 有下列情形之一的，投标保证金将不予退还：</w:t>
      </w:r>
    </w:p>
    <w:p>
      <w:pPr>
        <w:spacing w:line="360" w:lineRule="auto"/>
        <w:ind w:firstLine="360" w:firstLineChars="15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（1）投标人在投标有效期内撤销投标文件；</w:t>
      </w:r>
    </w:p>
    <w:p>
      <w:pPr>
        <w:spacing w:line="360" w:lineRule="auto"/>
        <w:ind w:firstLine="360" w:firstLineChars="15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360" w:firstLineChars="15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（3）发生投标人须知前附表规定的其他可以不予退还投标保证金的情形。</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67" w:name="_Toc17845"/>
      <w:bookmarkStart w:id="168" w:name="_Toc1820"/>
      <w:r>
        <w:rPr>
          <w:rFonts w:hint="eastAsia" w:ascii="宋体" w:hAnsi="宋体" w:eastAsia="宋体" w:cs="宋体"/>
          <w:color w:val="auto"/>
          <w:sz w:val="24"/>
          <w:szCs w:val="24"/>
          <w:highlight w:val="none"/>
        </w:rPr>
        <w:t>3.5 资格审查资料（适用于未进行资格预审的）</w:t>
      </w:r>
      <w:bookmarkEnd w:id="167"/>
      <w:bookmarkEnd w:id="168"/>
    </w:p>
    <w:p>
      <w:pPr>
        <w:spacing w:line="360" w:lineRule="auto"/>
        <w:ind w:firstLine="480" w:firstLineChars="200"/>
        <w:rPr>
          <w:rFonts w:hint="eastAsia"/>
          <w:color w:val="auto"/>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除投标人须知前附表另有规定外，投标人应按下列规定提供资格审查资料，以证明其满足本章第1.4款规定的资质、财务、业绩、信誉等要求。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3.5.1投标人参加投标的意思表达清楚，投标人代表被授权有效。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3.5.2</w:t>
      </w:r>
      <w:r>
        <w:rPr>
          <w:rFonts w:hint="eastAsia" w:ascii="宋体" w:hAnsi="宋体" w:cs="宋体"/>
          <w:color w:val="auto"/>
          <w:sz w:val="24"/>
          <w:szCs w:val="24"/>
          <w:highlight w:val="none"/>
        </w:rPr>
        <w:t>投标人具有独立法人资格，持有事业单位登记管理部门核发的事业单位法人证书或市场监管部门（或工商行政管理部门）核发的企业法人营业执照，且在营业期限内</w:t>
      </w:r>
      <w:r>
        <w:rPr>
          <w:rFonts w:hint="eastAsia" w:ascii="宋体" w:hAnsi="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rPr>
        <w:t>3.5.3</w:t>
      </w:r>
      <w:r>
        <w:rPr>
          <w:rFonts w:hint="eastAsia" w:ascii="宋体" w:hAnsi="宋体"/>
          <w:b/>
          <w:bCs/>
          <w:color w:val="auto"/>
          <w:sz w:val="24"/>
          <w:highlight w:val="none"/>
          <w:lang w:val="en-US" w:eastAsia="zh-CN"/>
        </w:rPr>
        <w:t>投标人具有承接本工程所需的工程监理综合资质或市政公用工程监理乙级或以上资质。</w:t>
      </w:r>
      <w:r>
        <w:rPr>
          <w:rFonts w:hint="eastAsia" w:ascii="宋体" w:hAnsi="宋体"/>
          <w:color w:val="auto"/>
          <w:sz w:val="24"/>
          <w:highlight w:val="none"/>
        </w:rPr>
        <w:t>香港企业参加投标的，须在广东省住房和城乡建设主管部门备案且备案的业务范围满足本项目招标文件要求。</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注：①住房和城乡建设部或广东省各级住房城乡建设主管部门核发的工程监理企业资质，资质证书有效期按《住房和城乡建设部办公厅关于建设工程企业资质有关事宜的通知》(建办市函</w:t>
      </w:r>
      <w:r>
        <w:rPr>
          <w:rFonts w:hint="eastAsia" w:ascii="宋体" w:hAnsi="宋体"/>
          <w:color w:val="auto"/>
          <w:sz w:val="24"/>
          <w:highlight w:val="none"/>
          <w:lang w:eastAsia="zh-CN"/>
        </w:rPr>
        <w:t>〔</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361号)</w:t>
      </w:r>
      <w:r>
        <w:rPr>
          <w:rFonts w:hint="eastAsia" w:ascii="宋体" w:hAnsi="宋体"/>
          <w:color w:val="auto"/>
          <w:sz w:val="24"/>
          <w:highlight w:val="none"/>
          <w:lang w:eastAsia="zh-CN"/>
        </w:rPr>
        <w:t>、</w:t>
      </w:r>
      <w:r>
        <w:rPr>
          <w:rFonts w:hint="eastAsia" w:ascii="宋体" w:hAnsi="宋体"/>
          <w:color w:val="auto"/>
          <w:sz w:val="24"/>
          <w:highlight w:val="none"/>
        </w:rPr>
        <w:t>《广东省住房和城乡建设厅关于建设工程企业资质有关事宜的通知》(粤建许函</w:t>
      </w:r>
      <w:r>
        <w:rPr>
          <w:rFonts w:hint="eastAsia" w:ascii="宋体" w:hAnsi="宋体"/>
          <w:color w:val="auto"/>
          <w:sz w:val="24"/>
          <w:highlight w:val="none"/>
          <w:lang w:eastAsia="zh-CN"/>
        </w:rPr>
        <w:t>〔</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846号)、《住房城乡建设部建筑市场监管司关于建设工程企业资质延续有关事项的通知》(建司局函市</w:t>
      </w:r>
      <w:r>
        <w:rPr>
          <w:rFonts w:hint="eastAsia" w:ascii="宋体" w:hAnsi="宋体"/>
          <w:color w:val="auto"/>
          <w:sz w:val="24"/>
          <w:highlight w:val="none"/>
          <w:lang w:eastAsia="zh-CN"/>
        </w:rPr>
        <w:t>〔</w:t>
      </w: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116号)、《广东省住房和城乡建设厅关于建设工程企业资质延续有关事项的通知》(粤建许函</w:t>
      </w:r>
      <w:r>
        <w:rPr>
          <w:rFonts w:hint="eastAsia" w:ascii="宋体" w:hAnsi="宋体"/>
          <w:color w:val="auto"/>
          <w:sz w:val="24"/>
          <w:highlight w:val="none"/>
          <w:lang w:eastAsia="zh-CN"/>
        </w:rPr>
        <w:t>〔</w:t>
      </w: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820号)等相关规定执行。根据上述文件的要求，投标人需办理企业资质有效期延续的，应当按照相关规定及时办理。</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3.5.4</w:t>
      </w:r>
      <w:r>
        <w:rPr>
          <w:rFonts w:hint="eastAsia" w:ascii="宋体" w:hAnsi="宋体"/>
          <w:color w:val="auto"/>
          <w:sz w:val="24"/>
          <w:highlight w:val="none"/>
          <w:lang w:val="en-US" w:eastAsia="zh-CN"/>
        </w:rPr>
        <w:t>项目总监理工程师必须具有建设部2006年4月1日后颁发的中华人民共和国</w:t>
      </w:r>
      <w:r>
        <w:rPr>
          <w:rFonts w:hint="eastAsia" w:ascii="宋体" w:hAnsi="宋体"/>
          <w:b/>
          <w:bCs/>
          <w:color w:val="auto"/>
          <w:sz w:val="24"/>
          <w:highlight w:val="none"/>
          <w:lang w:val="en-US" w:eastAsia="zh-CN"/>
        </w:rPr>
        <w:t>注册监理工程师</w:t>
      </w:r>
      <w:r>
        <w:rPr>
          <w:rFonts w:hint="eastAsia" w:ascii="宋体" w:hAnsi="宋体"/>
          <w:color w:val="auto"/>
          <w:sz w:val="24"/>
          <w:highlight w:val="none"/>
          <w:lang w:val="en-US" w:eastAsia="zh-CN"/>
        </w:rPr>
        <w:t>注册执业证书且其注册证书专业为</w:t>
      </w:r>
      <w:r>
        <w:rPr>
          <w:rFonts w:hint="eastAsia" w:ascii="宋体" w:hAnsi="宋体"/>
          <w:b/>
          <w:bCs/>
          <w:color w:val="auto"/>
          <w:sz w:val="24"/>
          <w:highlight w:val="none"/>
          <w:lang w:val="en-US" w:eastAsia="zh-CN"/>
        </w:rPr>
        <w:t>市政公用工程并具备本科或以上学历</w:t>
      </w:r>
      <w:r>
        <w:rPr>
          <w:rFonts w:hint="eastAsia" w:ascii="宋体" w:hAnsi="宋体"/>
          <w:color w:val="auto"/>
          <w:sz w:val="24"/>
          <w:highlight w:val="none"/>
          <w:lang w:val="en-US" w:eastAsia="zh-CN"/>
        </w:rPr>
        <w:t>,注册执业单位为本公司。或在广东省住房和城乡建设主管部门备案且备案的业务范围符合本招标项目对总监理工程师要求的香港专业人士。</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注:香港专业人士的备案业务范围依据《广东省住房和城乡建设厅关于印发香港工程建设咨询企业和专业人士在粵港澳大湾区内地城市开业执业试点管理暂行办法的通知》(粤建规范〔2020〕1号)确定。</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3.5.5投标登记前，投标人</w:t>
      </w:r>
      <w:r>
        <w:rPr>
          <w:rFonts w:hint="eastAsia" w:ascii="宋体" w:hAnsi="宋体" w:cs="宋体"/>
          <w:color w:val="auto"/>
          <w:sz w:val="24"/>
          <w:highlight w:val="none"/>
        </w:rPr>
        <w:t>须</w:t>
      </w:r>
      <w:r>
        <w:rPr>
          <w:rFonts w:hint="eastAsia" w:ascii="宋体" w:hAnsi="宋体"/>
          <w:color w:val="auto"/>
          <w:sz w:val="24"/>
          <w:highlight w:val="none"/>
        </w:rPr>
        <w:t>已在广州公共资源交易中心办理企业信息登记及拟担任本工程总监理工程师须是本单位在企业库中的在册人员；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3.5.6投标人已按照</w:t>
      </w:r>
      <w:r>
        <w:rPr>
          <w:rFonts w:hint="eastAsia" w:ascii="宋体" w:hAnsi="宋体" w:cs="宋体"/>
          <w:bCs/>
          <w:color w:val="auto"/>
          <w:sz w:val="24"/>
          <w:szCs w:val="24"/>
          <w:highlight w:val="none"/>
        </w:rPr>
        <w:t>招标公告</w:t>
      </w:r>
      <w:r>
        <w:rPr>
          <w:rFonts w:hint="eastAsia" w:ascii="宋体" w:hAnsi="宋体"/>
          <w:color w:val="auto"/>
          <w:sz w:val="24"/>
          <w:highlight w:val="none"/>
        </w:rPr>
        <w:t>附件一的内容签署盖章的投标人声明。</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3.5.7关于联合体投标：本项目</w:t>
      </w:r>
      <w:r>
        <w:rPr>
          <w:rFonts w:hint="eastAsia" w:ascii="宋体" w:hAnsi="宋体"/>
          <w:color w:val="auto"/>
          <w:sz w:val="24"/>
          <w:highlight w:val="none"/>
          <w:lang w:val="en-US" w:eastAsia="zh-CN"/>
        </w:rPr>
        <w:t>不</w:t>
      </w:r>
      <w:r>
        <w:rPr>
          <w:rFonts w:hint="eastAsia" w:ascii="宋体" w:hAnsi="宋体"/>
          <w:color w:val="auto"/>
          <w:sz w:val="24"/>
          <w:highlight w:val="none"/>
        </w:rPr>
        <w:t>接受联合体投标。</w:t>
      </w:r>
    </w:p>
    <w:p>
      <w:pPr>
        <w:pStyle w:val="9"/>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3.5.8投标人未被纳入国家、省、市、区的失信联合惩戒名单且未被限制参加建设工程投标的（具体名单以递交投标文件截止时间“信用广州”https://credit.gz.gov.cn/公布的名单为准）</w:t>
      </w:r>
      <w:r>
        <w:rPr>
          <w:rFonts w:hint="eastAsia" w:ascii="宋体" w:hAnsi="宋体"/>
          <w:color w:val="auto"/>
          <w:sz w:val="24"/>
          <w:highlight w:val="none"/>
          <w:lang w:eastAsia="zh-CN"/>
        </w:rPr>
        <w:t>。</w:t>
      </w:r>
    </w:p>
    <w:p>
      <w:pPr>
        <w:pStyle w:val="5"/>
        <w:keepNext w:val="0"/>
        <w:keepLines w:val="0"/>
        <w:spacing w:before="0" w:after="0" w:line="360" w:lineRule="auto"/>
        <w:ind w:firstLine="480" w:firstLineChars="200"/>
        <w:rPr>
          <w:rFonts w:hint="eastAsia" w:ascii="宋体" w:hAnsi="宋体" w:eastAsia="宋体" w:cs="宋体"/>
          <w:color w:val="auto"/>
          <w:sz w:val="24"/>
          <w:szCs w:val="24"/>
          <w:highlight w:val="none"/>
        </w:rPr>
      </w:pPr>
      <w:bookmarkStart w:id="169" w:name="_Toc25775"/>
      <w:bookmarkStart w:id="170" w:name="_Toc824"/>
      <w:r>
        <w:rPr>
          <w:rFonts w:hint="eastAsia" w:ascii="宋体" w:hAnsi="宋体" w:eastAsia="宋体" w:cs="宋体"/>
          <w:color w:val="auto"/>
          <w:sz w:val="24"/>
          <w:szCs w:val="24"/>
          <w:highlight w:val="none"/>
        </w:rPr>
        <w:t>3.6 备选投标方案</w:t>
      </w:r>
      <w:bookmarkEnd w:id="169"/>
      <w:bookmarkEnd w:id="17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3.6.1 除投标人须知前附表规定允许外，投标人不得递交备选投标方案，否则其投标将被否决。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3.6.3 投标人提供两个或两个以上投标报价，或者在投标文件中提供一个报价，但同时提供两个或两个以上</w:t>
      </w:r>
      <w:bookmarkStart w:id="171" w:name="_Toc384308232"/>
      <w:bookmarkStart w:id="172" w:name="_Toc29902"/>
      <w:bookmarkStart w:id="173" w:name="_Toc247513974"/>
      <w:bookmarkStart w:id="174" w:name="_Toc300834971"/>
      <w:bookmarkStart w:id="175" w:name="_Toc247527575"/>
      <w:bookmarkStart w:id="176" w:name="_Toc152042326"/>
      <w:bookmarkStart w:id="177" w:name="_Toc144974518"/>
      <w:bookmarkStart w:id="178" w:name="_Toc152045550"/>
      <w:bookmarkStart w:id="179" w:name="_Toc369531538"/>
      <w:bookmarkStart w:id="180" w:name="_Toc352691495"/>
      <w:bookmarkStart w:id="181" w:name="_Toc361508607"/>
      <w:r>
        <w:rPr>
          <w:rFonts w:hint="eastAsia" w:ascii="宋体" w:hAnsi="宋体" w:cs="宋体"/>
          <w:color w:val="auto"/>
          <w:sz w:val="24"/>
          <w:szCs w:val="24"/>
          <w:highlight w:val="none"/>
        </w:rPr>
        <w:t>监理方案的</w:t>
      </w:r>
      <w:bookmarkEnd w:id="171"/>
      <w:bookmarkEnd w:id="172"/>
      <w:bookmarkEnd w:id="173"/>
      <w:bookmarkEnd w:id="174"/>
      <w:bookmarkEnd w:id="175"/>
      <w:bookmarkEnd w:id="176"/>
      <w:bookmarkEnd w:id="177"/>
      <w:bookmarkEnd w:id="178"/>
      <w:bookmarkEnd w:id="179"/>
      <w:bookmarkEnd w:id="180"/>
      <w:bookmarkEnd w:id="181"/>
      <w:r>
        <w:rPr>
          <w:rFonts w:hint="eastAsia" w:ascii="宋体" w:hAnsi="宋体" w:cs="宋体"/>
          <w:color w:val="auto"/>
          <w:sz w:val="24"/>
          <w:szCs w:val="24"/>
          <w:highlight w:val="none"/>
        </w:rPr>
        <w:t>，视为提供备选方案。</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82" w:name="_Toc23337"/>
      <w:bookmarkStart w:id="183" w:name="_Toc7422"/>
      <w:r>
        <w:rPr>
          <w:rFonts w:hint="eastAsia" w:ascii="宋体" w:hAnsi="宋体" w:eastAsia="宋体" w:cs="宋体"/>
          <w:color w:val="auto"/>
          <w:sz w:val="24"/>
          <w:szCs w:val="24"/>
          <w:highlight w:val="none"/>
        </w:rPr>
        <w:t>3.7 投标文件的编制</w:t>
      </w:r>
      <w:bookmarkEnd w:id="182"/>
      <w:bookmarkEnd w:id="18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3.7.2 投标文件应当对招标文件有关监理服务期限、投标有效期、委托人要求、招标范围等实质性内容作出响应。</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（2）投标文件正本一份，副本份数见投标人须知前附表。正本和副本的封面</w:t>
      </w:r>
      <w:r>
        <w:rPr>
          <w:rStyle w:val="33"/>
          <w:rFonts w:hint="eastAsia" w:ascii="宋体" w:hAnsi="宋体" w:cs="宋体"/>
          <w:strike/>
          <w:color w:val="auto"/>
          <w:kern w:val="0"/>
          <w:sz w:val="24"/>
          <w:szCs w:val="24"/>
          <w:highlight w:val="none"/>
        </w:rPr>
        <w:t>右上角</w:t>
      </w:r>
      <w:r>
        <w:rPr>
          <w:rFonts w:hint="eastAsia" w:ascii="宋体" w:hAnsi="宋体" w:cs="宋体"/>
          <w:strike/>
          <w:color w:val="auto"/>
          <w:sz w:val="24"/>
          <w:szCs w:val="24"/>
          <w:highlight w:val="none"/>
        </w:rPr>
        <w:t>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（3）投标文件的正本与副本应分别装订，并编制目录，投标文件需分册装订的，具体分册装订要求见投标人须知前附表规定。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3.7.3（B）投标文件全部采用电子文档，除投标人须知前附表另有规定外，投标文件所附证书证件均为原件扫描件，并采用单位</w:t>
      </w:r>
      <w:r>
        <w:rPr>
          <w:rFonts w:hint="eastAsia" w:ascii="宋体" w:hAnsi="宋体" w:cs="宋体"/>
          <w:strike/>
          <w:color w:val="auto"/>
          <w:sz w:val="24"/>
          <w:szCs w:val="24"/>
          <w:highlight w:val="none"/>
        </w:rPr>
        <w:t>和个人数字</w:t>
      </w:r>
      <w:r>
        <w:rPr>
          <w:rFonts w:hint="eastAsia" w:ascii="宋体" w:hAnsi="宋体" w:cs="宋体"/>
          <w:color w:val="auto"/>
          <w:sz w:val="24"/>
          <w:szCs w:val="24"/>
          <w:highlight w:val="none"/>
        </w:rPr>
        <w:t>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keepNext w:val="0"/>
        <w:keepLines w:val="0"/>
        <w:spacing w:before="0" w:after="0" w:line="360" w:lineRule="auto"/>
        <w:rPr>
          <w:rFonts w:hint="eastAsia" w:ascii="宋体" w:hAnsi="宋体" w:eastAsia="宋体" w:cs="宋体"/>
          <w:color w:val="auto"/>
          <w:highlight w:val="none"/>
        </w:rPr>
      </w:pPr>
      <w:bookmarkStart w:id="184" w:name="_Toc17129"/>
      <w:bookmarkStart w:id="185" w:name="_Toc16599"/>
      <w:r>
        <w:rPr>
          <w:rFonts w:hint="eastAsia" w:ascii="宋体" w:hAnsi="宋体" w:eastAsia="宋体" w:cs="宋体"/>
          <w:color w:val="auto"/>
          <w:highlight w:val="none"/>
        </w:rPr>
        <w:t>4. 投标</w:t>
      </w:r>
      <w:bookmarkEnd w:id="184"/>
      <w:bookmarkEnd w:id="185"/>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86" w:name="_Toc24271"/>
      <w:bookmarkStart w:id="187" w:name="_Toc10880"/>
      <w:r>
        <w:rPr>
          <w:rFonts w:hint="eastAsia" w:ascii="宋体" w:hAnsi="宋体" w:eastAsia="宋体" w:cs="宋体"/>
          <w:color w:val="auto"/>
          <w:sz w:val="24"/>
          <w:szCs w:val="24"/>
          <w:highlight w:val="none"/>
        </w:rPr>
        <w:t>4.1 投标文件的密封和标记</w:t>
      </w:r>
      <w:bookmarkEnd w:id="186"/>
      <w:bookmarkEnd w:id="187"/>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4.1.1 （A）投标文件应密封包装，并在封套的封口处加盖投标人单位章或由投标人的法定代表人或其授权的代理人签字。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 （B）投标人应当按照招标文件和电子招标投标交易平台的要求加密投标文件，具体要求见投标人须知前附表。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 未按本章第4.1.1项要求密封的投标文件，招标人将予以拒收。</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88" w:name="_Toc13212"/>
      <w:bookmarkStart w:id="189" w:name="_Toc13276"/>
      <w:r>
        <w:rPr>
          <w:rFonts w:hint="eastAsia" w:ascii="宋体" w:hAnsi="宋体" w:eastAsia="宋体" w:cs="宋体"/>
          <w:color w:val="auto"/>
          <w:sz w:val="24"/>
          <w:szCs w:val="24"/>
          <w:highlight w:val="none"/>
        </w:rPr>
        <w:t>4.2 投标文件的递交</w:t>
      </w:r>
      <w:bookmarkEnd w:id="188"/>
      <w:bookmarkEnd w:id="18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4.2.1 投标人应在投标人须知前附表规定的投标截止时间前递交投标文件。</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4.2.2 （A）投标人递交投标文件的地点：见投标人须知前附表。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4.2.2 （B）</w:t>
      </w:r>
      <w:r>
        <w:rPr>
          <w:rFonts w:hint="eastAsia" w:ascii="宋体" w:hAnsi="宋体" w:cs="宋体"/>
          <w:bCs/>
          <w:iCs/>
          <w:color w:val="auto"/>
          <w:sz w:val="24"/>
          <w:szCs w:val="24"/>
          <w:highlight w:val="none"/>
        </w:rPr>
        <w:t>投标人通过下载招标文件的电子招标投标交易平台递交电子投标文件。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4.2.4 （A）招标人收到投标文件后，向投标人出具签收凭证。</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4.2.4 （B）投标人完成电子投标文件上传后，</w:t>
      </w:r>
      <w:r>
        <w:rPr>
          <w:rFonts w:hint="eastAsia" w:ascii="宋体" w:hAnsi="宋体" w:cs="宋体"/>
          <w:bCs/>
          <w:iCs/>
          <w:color w:val="auto"/>
          <w:sz w:val="24"/>
          <w:szCs w:val="24"/>
          <w:highlight w:val="none"/>
        </w:rPr>
        <w:t>电子招标投标交易平台</w:t>
      </w:r>
      <w:r>
        <w:rPr>
          <w:rFonts w:hint="eastAsia" w:ascii="宋体" w:hAnsi="宋体" w:cs="宋体"/>
          <w:color w:val="auto"/>
          <w:sz w:val="24"/>
          <w:szCs w:val="24"/>
          <w:highlight w:val="none"/>
        </w:rPr>
        <w:t>即时向投标人发出递交回执通知。递交时间以递交回执通知载明的传输完成时间为准。</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4.2.5 （A）逾期送达的投标文件，招标人将予以拒收。</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4.2.5 （B）逾期送达的投标文件，电子招标投标交易平台将予以拒收。</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190" w:name="_Toc16752"/>
      <w:bookmarkStart w:id="191" w:name="_Toc1894"/>
      <w:r>
        <w:rPr>
          <w:rFonts w:hint="eastAsia" w:ascii="宋体" w:hAnsi="宋体" w:eastAsia="宋体" w:cs="宋体"/>
          <w:color w:val="auto"/>
          <w:sz w:val="24"/>
          <w:szCs w:val="24"/>
          <w:highlight w:val="none"/>
        </w:rPr>
        <w:t>4.3 投标文件的修改与撤回</w:t>
      </w:r>
      <w:bookmarkEnd w:id="190"/>
      <w:bookmarkEnd w:id="19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4.3.1 在本章第4.2.1项规定的投标截止时间前，投标人可以修改或撤回已递交的投标文件，但应以书面形式通知招标人。</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4.3.2 （A）投标人修改或撤回已递交投标文件的书面通知应按照本章第3.7.3（A）项的要求签字或盖章。招标人收到书面通知后，向投标人出具签收凭证。</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4.3.2 （B）投标人修改或撤回已递交投标文件的通知，应按照本章第3.7.3（B）项的要求加盖电子印章。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4.3.3 投标人撤回投标文件的，招标人自收到投标人书面撤回通知之日起5日内退还已收取的投标保证金。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w:t>
      </w:r>
      <w:bookmarkStart w:id="192" w:name="_Toc247513977"/>
      <w:bookmarkStart w:id="193" w:name="_Toc352691497"/>
      <w:bookmarkStart w:id="194" w:name="_Toc19203"/>
      <w:bookmarkStart w:id="195" w:name="_Toc369531541"/>
      <w:bookmarkStart w:id="196" w:name="_Toc361508610"/>
      <w:bookmarkStart w:id="197" w:name="_Toc144974521"/>
      <w:bookmarkStart w:id="198" w:name="_Toc384308235"/>
      <w:bookmarkStart w:id="199" w:name="_Toc247527578"/>
      <w:bookmarkStart w:id="200" w:name="_Toc152042329"/>
      <w:bookmarkStart w:id="201" w:name="_Toc300834974"/>
      <w:bookmarkStart w:id="202" w:name="_Toc152045553"/>
      <w:r>
        <w:rPr>
          <w:rFonts w:hint="eastAsia" w:ascii="宋体" w:hAnsi="宋体" w:cs="宋体"/>
          <w:color w:val="auto"/>
          <w:sz w:val="24"/>
          <w:szCs w:val="24"/>
          <w:highlight w:val="none"/>
        </w:rPr>
        <w:t>4 修改的内容为投标</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cs="宋体"/>
          <w:color w:val="auto"/>
          <w:sz w:val="24"/>
          <w:szCs w:val="24"/>
          <w:highlight w:val="none"/>
        </w:rPr>
        <w:t>文件的组成部分。修改的投标文件应按照本章第3条、第4条的规定进行编制、密封、标记和递交，并标明“修改”字样。</w:t>
      </w:r>
    </w:p>
    <w:p>
      <w:pPr>
        <w:pStyle w:val="4"/>
        <w:keepNext w:val="0"/>
        <w:keepLines w:val="0"/>
        <w:spacing w:before="0" w:after="0" w:line="360" w:lineRule="auto"/>
        <w:rPr>
          <w:rFonts w:hint="eastAsia" w:ascii="宋体" w:hAnsi="宋体" w:eastAsia="宋体" w:cs="宋体"/>
          <w:color w:val="auto"/>
          <w:highlight w:val="none"/>
        </w:rPr>
      </w:pPr>
      <w:bookmarkStart w:id="203" w:name="_Toc29281"/>
      <w:bookmarkStart w:id="204" w:name="_Toc26023"/>
      <w:r>
        <w:rPr>
          <w:rFonts w:hint="eastAsia" w:ascii="宋体" w:hAnsi="宋体" w:eastAsia="宋体" w:cs="宋体"/>
          <w:color w:val="auto"/>
          <w:highlight w:val="none"/>
        </w:rPr>
        <w:t>5. 开标</w:t>
      </w:r>
      <w:bookmarkEnd w:id="203"/>
      <w:bookmarkEnd w:id="204"/>
    </w:p>
    <w:p>
      <w:pPr>
        <w:pStyle w:val="5"/>
        <w:keepNext w:val="0"/>
        <w:keepLines w:val="0"/>
        <w:spacing w:before="0" w:after="0" w:line="360" w:lineRule="auto"/>
        <w:ind w:firstLine="118"/>
        <w:rPr>
          <w:rFonts w:hint="eastAsia" w:ascii="宋体" w:hAnsi="宋体" w:eastAsia="宋体" w:cs="宋体"/>
          <w:strike/>
          <w:color w:val="auto"/>
          <w:sz w:val="24"/>
          <w:szCs w:val="24"/>
          <w:highlight w:val="none"/>
        </w:rPr>
      </w:pPr>
      <w:bookmarkStart w:id="205" w:name="_Toc29787"/>
      <w:bookmarkStart w:id="206" w:name="_Toc10134"/>
      <w:r>
        <w:rPr>
          <w:rFonts w:hint="eastAsia" w:ascii="宋体" w:hAnsi="宋体" w:eastAsia="宋体" w:cs="宋体"/>
          <w:strike/>
          <w:color w:val="auto"/>
          <w:sz w:val="24"/>
          <w:szCs w:val="24"/>
          <w:highlight w:val="none"/>
        </w:rPr>
        <w:t>5.1 开标时间和地点（A）</w:t>
      </w:r>
      <w:bookmarkEnd w:id="205"/>
      <w:bookmarkEnd w:id="206"/>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招标人在本章第4.2.1项规定的投标截止时间（开标时间）和投标人须知前附表规定的地点公开开标，并邀请所有投标人的法定代表人或其委托代理人准时参加。</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07" w:name="_Toc28583"/>
      <w:bookmarkStart w:id="208" w:name="_Toc27125"/>
      <w:r>
        <w:rPr>
          <w:rFonts w:hint="eastAsia" w:ascii="宋体" w:hAnsi="宋体" w:eastAsia="宋体" w:cs="宋体"/>
          <w:color w:val="auto"/>
          <w:sz w:val="24"/>
          <w:szCs w:val="24"/>
          <w:highlight w:val="none"/>
        </w:rPr>
        <w:t>5.1 开标时间和地点（B）</w:t>
      </w:r>
      <w:bookmarkEnd w:id="207"/>
      <w:bookmarkEnd w:id="20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招标人在本章第4.2.1项规定的投标截止时间（开标时间）,通过电子招标投标交易平台公开开标，所有投标人的法定代表人或其委托代理人应当准时参加</w:t>
      </w:r>
      <w:r>
        <w:rPr>
          <w:rStyle w:val="34"/>
          <w:rFonts w:hint="eastAsia" w:ascii="宋体" w:hAnsi="宋体" w:cs="宋体"/>
          <w:color w:val="auto"/>
          <w:sz w:val="24"/>
          <w:szCs w:val="24"/>
          <w:highlight w:val="none"/>
        </w:rPr>
        <w:footnoteReference w:id="0"/>
      </w:r>
      <w:r>
        <w:rPr>
          <w:rFonts w:hint="eastAsia" w:ascii="宋体" w:hAnsi="宋体" w:cs="宋体"/>
          <w:color w:val="auto"/>
          <w:sz w:val="24"/>
          <w:szCs w:val="24"/>
          <w:highlight w:val="none"/>
        </w:rPr>
        <w:t>。</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09" w:name="_Toc31545"/>
      <w:bookmarkStart w:id="210" w:name="_Toc28561"/>
      <w:r>
        <w:rPr>
          <w:rFonts w:hint="eastAsia" w:ascii="宋体" w:hAnsi="宋体" w:eastAsia="宋体" w:cs="宋体"/>
          <w:color w:val="auto"/>
          <w:sz w:val="24"/>
          <w:szCs w:val="24"/>
          <w:highlight w:val="none"/>
        </w:rPr>
        <w:t>5.2 开标程序</w:t>
      </w:r>
      <w:bookmarkEnd w:id="209"/>
      <w:bookmarkEnd w:id="21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（3）宣布</w:t>
      </w:r>
      <w:bookmarkStart w:id="211" w:name="_Toc22119"/>
      <w:bookmarkStart w:id="212" w:name="_Toc152045554"/>
      <w:bookmarkStart w:id="213" w:name="_Toc369531542"/>
      <w:bookmarkStart w:id="214" w:name="_Toc352691498"/>
      <w:bookmarkStart w:id="215" w:name="_Toc247527579"/>
      <w:bookmarkStart w:id="216" w:name="_Toc152042330"/>
      <w:bookmarkStart w:id="217" w:name="_Toc300834975"/>
      <w:bookmarkStart w:id="218" w:name="_Toc144974522"/>
      <w:bookmarkStart w:id="219" w:name="_Toc361508611"/>
      <w:bookmarkStart w:id="220" w:name="_Toc384308236"/>
      <w:bookmarkStart w:id="221" w:name="_Toc247513978"/>
      <w:r>
        <w:rPr>
          <w:rFonts w:hint="eastAsia" w:ascii="宋体" w:hAnsi="宋体" w:cs="宋体"/>
          <w:color w:val="auto"/>
          <w:sz w:val="24"/>
          <w:szCs w:val="24"/>
          <w:highlight w:val="none"/>
        </w:rPr>
        <w:t>开标人、唱标人、记录人</w:t>
      </w:r>
      <w:bookmarkEnd w:id="211"/>
      <w:bookmarkEnd w:id="212"/>
      <w:bookmarkEnd w:id="213"/>
      <w:bookmarkEnd w:id="214"/>
      <w:bookmarkEnd w:id="215"/>
      <w:bookmarkEnd w:id="216"/>
      <w:bookmarkEnd w:id="217"/>
      <w:bookmarkEnd w:id="218"/>
      <w:bookmarkEnd w:id="219"/>
      <w:bookmarkEnd w:id="220"/>
      <w:bookmarkEnd w:id="221"/>
      <w:r>
        <w:rPr>
          <w:rFonts w:hint="eastAsia" w:ascii="宋体" w:hAnsi="宋体" w:cs="宋体"/>
          <w:color w:val="auto"/>
          <w:sz w:val="24"/>
          <w:szCs w:val="24"/>
          <w:highlight w:val="none"/>
        </w:rPr>
        <w:t>、监标人等有关人员姓名；</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（4）（B）投标人通过电子招标投标交易平台对已递交的电子投标文件进行解密，公布招标项目名称、投标人名称、</w:t>
      </w:r>
      <w:r>
        <w:rPr>
          <w:rFonts w:hint="eastAsia" w:ascii="宋体" w:hAnsi="宋体" w:cs="宋体"/>
          <w:strike/>
          <w:color w:val="auto"/>
          <w:sz w:val="24"/>
          <w:szCs w:val="24"/>
          <w:highlight w:val="none"/>
        </w:rPr>
        <w:t>投标保证金的递交情况、</w:t>
      </w:r>
      <w:r>
        <w:rPr>
          <w:rFonts w:hint="eastAsia" w:ascii="宋体" w:hAnsi="宋体" w:cs="宋体"/>
          <w:color w:val="auto"/>
          <w:sz w:val="24"/>
          <w:szCs w:val="24"/>
          <w:highlight w:val="none"/>
        </w:rPr>
        <w:t>投标报价、监理服务期限及其他内容，并记录在案；</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（5）（A）投标人代表、招标人代表、监标人、记录人等有关人员在开标记录上签字确认；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（5）（B）投标人代表、招标人代表、监标人、记录人等有关人员在开标记录上签字确认；若有关人员不签字的，不影响开标程序。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（6）开标结束。</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22" w:name="_Toc24705"/>
      <w:bookmarkStart w:id="223" w:name="_Toc17685"/>
      <w:r>
        <w:rPr>
          <w:rFonts w:hint="eastAsia" w:ascii="宋体" w:hAnsi="宋体" w:eastAsia="宋体" w:cs="宋体"/>
          <w:color w:val="auto"/>
          <w:sz w:val="24"/>
          <w:szCs w:val="24"/>
          <w:highlight w:val="none"/>
        </w:rPr>
        <w:t>5.3 开标异议</w:t>
      </w:r>
      <w:bookmarkEnd w:id="222"/>
      <w:bookmarkEnd w:id="223"/>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投标人代表对开标有异议的，应当在开标现场提出，同时出示本人身份证原件，招标人应当当场作出答复，并制作记录。参加在线开标的，投标人应通过广交易建设工程电子开标系统提出，招标人应通过系统答复，答复后方可结束开标。</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（1）具体操作详见“广州交易集团有限公司（广州公共资源交易中心）门户网站首页-&gt;服务指南-&gt;系统帮助-&gt;操作手册-&gt;发起及受理异议操作指引”。</w:t>
      </w:r>
    </w:p>
    <w:p>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pPr>
        <w:pStyle w:val="4"/>
        <w:keepNext w:val="0"/>
        <w:keepLines w:val="0"/>
        <w:spacing w:before="0" w:after="0" w:line="360" w:lineRule="auto"/>
        <w:rPr>
          <w:rFonts w:hint="eastAsia" w:ascii="宋体" w:hAnsi="宋体" w:eastAsia="宋体" w:cs="宋体"/>
          <w:color w:val="auto"/>
          <w:highlight w:val="none"/>
        </w:rPr>
      </w:pPr>
      <w:bookmarkStart w:id="224" w:name="_Toc4245"/>
      <w:bookmarkStart w:id="225" w:name="_Toc13048"/>
      <w:r>
        <w:rPr>
          <w:rFonts w:hint="eastAsia" w:ascii="宋体" w:hAnsi="宋体" w:eastAsia="宋体" w:cs="宋体"/>
          <w:color w:val="auto"/>
          <w:highlight w:val="none"/>
        </w:rPr>
        <w:t>6. 评标</w:t>
      </w:r>
      <w:bookmarkEnd w:id="224"/>
      <w:bookmarkEnd w:id="225"/>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26" w:name="_Toc4950"/>
      <w:bookmarkStart w:id="227" w:name="_Toc7968"/>
      <w:r>
        <w:rPr>
          <w:rFonts w:hint="eastAsia" w:ascii="宋体" w:hAnsi="宋体" w:eastAsia="宋体" w:cs="宋体"/>
          <w:color w:val="auto"/>
          <w:sz w:val="24"/>
          <w:szCs w:val="24"/>
          <w:highlight w:val="none"/>
        </w:rPr>
        <w:t>6.1 评标委员会</w:t>
      </w:r>
      <w:bookmarkEnd w:id="226"/>
      <w:bookmarkEnd w:id="22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w:t>
      </w:r>
      <w:r>
        <w:rPr>
          <w:rFonts w:hint="eastAsia" w:ascii="宋体" w:hAnsi="宋体" w:cs="宋体"/>
          <w:strike/>
          <w:color w:val="auto"/>
          <w:sz w:val="24"/>
          <w:szCs w:val="24"/>
          <w:highlight w:val="none"/>
        </w:rPr>
        <w:t>评标委员会由招标人或其委托的招标代理机构熟悉相关业务的代表，以及有关技术、经济等方面的专家组成。</w:t>
      </w:r>
      <w:r>
        <w:rPr>
          <w:rFonts w:hint="eastAsia" w:ascii="宋体" w:hAnsi="宋体" w:cs="宋体"/>
          <w:color w:val="auto"/>
          <w:sz w:val="24"/>
          <w:szCs w:val="24"/>
          <w:highlight w:val="none"/>
        </w:rPr>
        <w:t>评标委员会成员人数以及技术、经济等方面专家的确定方式见投标人须知前附表。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pPr>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pPr>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pPr>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pPr>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（4）曾因在招标、评</w:t>
      </w:r>
      <w:bookmarkStart w:id="228" w:name="_Toc300834976"/>
      <w:bookmarkStart w:id="229" w:name="_Toc352691499"/>
      <w:bookmarkStart w:id="230" w:name="_Toc369531543"/>
      <w:bookmarkStart w:id="231" w:name="_Toc6230"/>
      <w:bookmarkStart w:id="232" w:name="_Toc384308237"/>
      <w:bookmarkStart w:id="233" w:name="_Toc361508612"/>
      <w:bookmarkStart w:id="234" w:name="_Toc152042331"/>
      <w:bookmarkStart w:id="235" w:name="_Toc152045555"/>
      <w:bookmarkStart w:id="236" w:name="_Toc247513979"/>
      <w:bookmarkStart w:id="237" w:name="_Toc247527580"/>
      <w:bookmarkStart w:id="238" w:name="_Toc144974523"/>
      <w:r>
        <w:rPr>
          <w:rFonts w:hint="eastAsia" w:ascii="宋体" w:hAnsi="宋体" w:cs="宋体"/>
          <w:color w:val="auto"/>
          <w:sz w:val="24"/>
          <w:szCs w:val="24"/>
          <w:highlight w:val="none"/>
        </w:rPr>
        <w:t>标以及其他</w:t>
      </w:r>
      <w:bookmarkEnd w:id="228"/>
      <w:bookmarkEnd w:id="229"/>
      <w:bookmarkEnd w:id="230"/>
      <w:bookmarkEnd w:id="231"/>
      <w:bookmarkEnd w:id="232"/>
      <w:bookmarkEnd w:id="233"/>
      <w:bookmarkEnd w:id="234"/>
      <w:bookmarkEnd w:id="235"/>
      <w:bookmarkEnd w:id="236"/>
      <w:bookmarkEnd w:id="237"/>
      <w:bookmarkEnd w:id="238"/>
      <w:r>
        <w:rPr>
          <w:rFonts w:hint="eastAsia" w:ascii="宋体" w:hAnsi="宋体" w:cs="宋体"/>
          <w:color w:val="auto"/>
          <w:sz w:val="24"/>
          <w:szCs w:val="24"/>
          <w:highlight w:val="none"/>
        </w:rPr>
        <w:t>与</w:t>
      </w:r>
      <w:bookmarkStart w:id="239" w:name="_Toc384308238"/>
      <w:bookmarkStart w:id="240" w:name="_Toc17703"/>
      <w:bookmarkStart w:id="241" w:name="_Toc144974524"/>
      <w:bookmarkStart w:id="242" w:name="_Toc361508613"/>
      <w:bookmarkStart w:id="243" w:name="_Toc352691500"/>
      <w:bookmarkStart w:id="244" w:name="_Toc152045556"/>
      <w:bookmarkStart w:id="245" w:name="_Toc247513980"/>
      <w:bookmarkStart w:id="246" w:name="_Toc247527581"/>
      <w:bookmarkStart w:id="247" w:name="_Toc152042332"/>
      <w:bookmarkStart w:id="248" w:name="_Toc300834977"/>
      <w:bookmarkStart w:id="249" w:name="_Toc369531544"/>
      <w:r>
        <w:rPr>
          <w:rFonts w:hint="eastAsia" w:ascii="宋体" w:hAnsi="宋体" w:cs="宋体"/>
          <w:color w:val="auto"/>
          <w:sz w:val="24"/>
          <w:szCs w:val="24"/>
          <w:highlight w:val="none"/>
        </w:rPr>
        <w:t>招标投标有关活动中从事违法行</w:t>
      </w:r>
      <w:bookmarkEnd w:id="239"/>
      <w:bookmarkEnd w:id="240"/>
      <w:bookmarkEnd w:id="241"/>
      <w:bookmarkEnd w:id="242"/>
      <w:bookmarkEnd w:id="243"/>
      <w:bookmarkEnd w:id="244"/>
      <w:bookmarkEnd w:id="245"/>
      <w:bookmarkEnd w:id="246"/>
      <w:bookmarkEnd w:id="247"/>
      <w:bookmarkEnd w:id="248"/>
      <w:bookmarkEnd w:id="249"/>
      <w:r>
        <w:rPr>
          <w:rFonts w:hint="eastAsia" w:ascii="宋体" w:hAnsi="宋体" w:cs="宋体"/>
          <w:color w:val="auto"/>
          <w:sz w:val="24"/>
          <w:szCs w:val="24"/>
          <w:highlight w:val="none"/>
        </w:rPr>
        <w:t>为而受过行政处罚或刑事处罚的；</w:t>
      </w:r>
    </w:p>
    <w:p>
      <w:pPr>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50" w:name="_Toc24794"/>
      <w:bookmarkStart w:id="251" w:name="_Toc3800"/>
      <w:r>
        <w:rPr>
          <w:rFonts w:hint="eastAsia" w:ascii="宋体" w:hAnsi="宋体" w:eastAsia="宋体" w:cs="宋体"/>
          <w:color w:val="auto"/>
          <w:sz w:val="24"/>
          <w:szCs w:val="24"/>
          <w:highlight w:val="none"/>
        </w:rPr>
        <w:t>6.2 评标原则</w:t>
      </w:r>
      <w:bookmarkEnd w:id="250"/>
      <w:bookmarkEnd w:id="25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w:t>
      </w:r>
      <w:bookmarkStart w:id="252" w:name="_Toc152045557"/>
      <w:bookmarkStart w:id="253" w:name="_Toc152042333"/>
      <w:bookmarkStart w:id="254" w:name="_Toc247513981"/>
      <w:bookmarkStart w:id="255" w:name="_Toc384308239"/>
      <w:bookmarkStart w:id="256" w:name="_Toc18949"/>
      <w:bookmarkStart w:id="257" w:name="_Toc352691501"/>
      <w:bookmarkStart w:id="258" w:name="_Toc361508614"/>
      <w:bookmarkStart w:id="259" w:name="_Toc247527582"/>
      <w:bookmarkStart w:id="260" w:name="_Toc369531545"/>
      <w:bookmarkStart w:id="261" w:name="_Toc300834978"/>
      <w:bookmarkStart w:id="262" w:name="_Toc144974525"/>
      <w:r>
        <w:rPr>
          <w:rFonts w:hint="eastAsia" w:ascii="宋体" w:hAnsi="宋体" w:cs="宋体"/>
          <w:color w:val="auto"/>
          <w:sz w:val="24"/>
          <w:szCs w:val="24"/>
          <w:highlight w:val="none"/>
        </w:rPr>
        <w:t>则。</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63" w:name="_Toc13960"/>
      <w:bookmarkStart w:id="264" w:name="_Toc13935"/>
      <w:r>
        <w:rPr>
          <w:rFonts w:hint="eastAsia" w:ascii="宋体" w:hAnsi="宋体" w:eastAsia="宋体" w:cs="宋体"/>
          <w:color w:val="auto"/>
          <w:sz w:val="24"/>
          <w:szCs w:val="24"/>
          <w:highlight w:val="none"/>
        </w:rPr>
        <w:t>6.3 评标</w:t>
      </w:r>
      <w:bookmarkEnd w:id="263"/>
      <w:bookmarkEnd w:id="26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auto"/>
          <w:sz w:val="24"/>
          <w:szCs w:val="24"/>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6.3.2评标完成后，评标委员会应当向招标人提交书面评标报告和中标候选人名单。评标委员会推荐中标</w:t>
      </w:r>
      <w:bookmarkStart w:id="265" w:name="_Toc152045558"/>
      <w:bookmarkStart w:id="266" w:name="_Toc247513982"/>
      <w:bookmarkStart w:id="267" w:name="_Toc152042334"/>
      <w:bookmarkStart w:id="268" w:name="_Toc352691502"/>
      <w:bookmarkStart w:id="269" w:name="_Toc12259"/>
      <w:bookmarkStart w:id="270" w:name="_Toc369531546"/>
      <w:bookmarkStart w:id="271" w:name="_Toc247527583"/>
      <w:bookmarkStart w:id="272" w:name="_Toc300834979"/>
      <w:bookmarkStart w:id="273" w:name="_Toc361508615"/>
      <w:bookmarkStart w:id="274" w:name="_Toc384308240"/>
      <w:bookmarkStart w:id="275" w:name="_Toc144974526"/>
      <w:r>
        <w:rPr>
          <w:rFonts w:hint="eastAsia" w:ascii="宋体" w:hAnsi="宋体" w:cs="宋体"/>
          <w:color w:val="auto"/>
          <w:sz w:val="24"/>
          <w:szCs w:val="24"/>
          <w:highlight w:val="none"/>
        </w:rPr>
        <w:t>候选人的人数见投标人须知前附</w:t>
      </w:r>
      <w:bookmarkEnd w:id="265"/>
      <w:bookmarkEnd w:id="266"/>
      <w:bookmarkEnd w:id="267"/>
      <w:bookmarkEnd w:id="268"/>
      <w:bookmarkEnd w:id="269"/>
      <w:bookmarkEnd w:id="270"/>
      <w:bookmarkEnd w:id="271"/>
      <w:bookmarkEnd w:id="272"/>
      <w:bookmarkEnd w:id="273"/>
      <w:bookmarkEnd w:id="274"/>
      <w:bookmarkEnd w:id="275"/>
      <w:r>
        <w:rPr>
          <w:rFonts w:hint="eastAsia" w:ascii="宋体" w:hAnsi="宋体" w:cs="宋体"/>
          <w:color w:val="auto"/>
          <w:sz w:val="24"/>
          <w:szCs w:val="24"/>
          <w:highlight w:val="none"/>
        </w:rPr>
        <w:t>表。</w:t>
      </w:r>
    </w:p>
    <w:p>
      <w:pPr>
        <w:pStyle w:val="4"/>
        <w:keepNext w:val="0"/>
        <w:keepLines w:val="0"/>
        <w:spacing w:before="0" w:after="0" w:line="360" w:lineRule="auto"/>
        <w:rPr>
          <w:rFonts w:hint="eastAsia" w:ascii="宋体" w:hAnsi="宋体" w:eastAsia="宋体" w:cs="宋体"/>
          <w:color w:val="auto"/>
          <w:highlight w:val="none"/>
        </w:rPr>
      </w:pPr>
      <w:bookmarkStart w:id="276" w:name="_Toc31770"/>
      <w:bookmarkStart w:id="277" w:name="_Toc24960"/>
      <w:r>
        <w:rPr>
          <w:rFonts w:hint="eastAsia" w:ascii="宋体" w:hAnsi="宋体" w:eastAsia="宋体" w:cs="宋体"/>
          <w:color w:val="auto"/>
          <w:highlight w:val="none"/>
        </w:rPr>
        <w:t>7. 合同授予</w:t>
      </w:r>
      <w:bookmarkEnd w:id="276"/>
      <w:bookmarkEnd w:id="277"/>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78" w:name="_Toc27199"/>
      <w:bookmarkStart w:id="279" w:name="_Toc20992"/>
      <w:r>
        <w:rPr>
          <w:rFonts w:hint="eastAsia" w:ascii="宋体" w:hAnsi="宋体" w:eastAsia="宋体" w:cs="宋体"/>
          <w:color w:val="auto"/>
          <w:sz w:val="24"/>
          <w:szCs w:val="24"/>
          <w:highlight w:val="none"/>
        </w:rPr>
        <w:t>7.1 中标候选人公示</w:t>
      </w:r>
      <w:bookmarkEnd w:id="278"/>
      <w:bookmarkEnd w:id="27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招标人在收到评标报告之日起3日内，按照投标人须知前附表规定的公示媒介和期限公示中标候选人，公示期3天（最后一天为工作天）。</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80" w:name="_Toc9184"/>
      <w:bookmarkStart w:id="281" w:name="_Toc11562"/>
      <w:r>
        <w:rPr>
          <w:rFonts w:hint="eastAsia" w:ascii="宋体" w:hAnsi="宋体" w:eastAsia="宋体" w:cs="宋体"/>
          <w:color w:val="auto"/>
          <w:sz w:val="24"/>
          <w:szCs w:val="24"/>
          <w:highlight w:val="none"/>
        </w:rPr>
        <w:t>7.2 评标结果异议</w:t>
      </w:r>
      <w:bookmarkEnd w:id="280"/>
      <w:bookmarkEnd w:id="281"/>
    </w:p>
    <w:p>
      <w:pPr>
        <w:spacing w:after="0" w:line="360" w:lineRule="auto"/>
        <w:ind w:firstLine="480" w:firstLineChars="200"/>
        <w:rPr>
          <w:rFonts w:hint="eastAsia" w:ascii="宋体" w:hAnsi="宋体"/>
          <w:sz w:val="24"/>
          <w:highlight w:val="none"/>
        </w:rPr>
      </w:pPr>
      <w:r>
        <w:rPr>
          <w:rFonts w:hint="eastAsia" w:ascii="宋体" w:hAnsi="宋体"/>
          <w:sz w:val="24"/>
          <w:szCs w:val="24"/>
          <w:highlight w:val="none"/>
        </w:rPr>
        <w:t>投标人或者其他利害关系人对评标结果有异议的，应当在中标候选人公示期间提出，可以通过线下或线上的形式提出异议。</w:t>
      </w:r>
      <w:r>
        <w:rPr>
          <w:rFonts w:hint="eastAsia" w:ascii="宋体" w:hAnsi="宋体"/>
          <w:sz w:val="24"/>
          <w:szCs w:val="24"/>
          <w:highlight w:val="none"/>
          <w:u w:val="single"/>
        </w:rPr>
        <w:t>线上提出异议的，应通过交易平台进行提交，</w:t>
      </w:r>
      <w:r>
        <w:rPr>
          <w:rFonts w:ascii="宋体" w:hAnsi="宋体" w:cs="宋体"/>
          <w:sz w:val="24"/>
          <w:szCs w:val="24"/>
          <w:highlight w:val="none"/>
        </w:rPr>
        <w:t>招标人授权招标代理机构工作人员使用招标代理机构数字证书登录交易平台答复异议，异议答复是招标人真实意思表示</w:t>
      </w:r>
      <w:r>
        <w:rPr>
          <w:rFonts w:hint="eastAsia" w:ascii="宋体" w:hAnsi="宋体"/>
          <w:sz w:val="24"/>
          <w:szCs w:val="24"/>
          <w:highlight w:val="none"/>
        </w:rPr>
        <w:t>。具体按照交易平台相关指南进行操作。</w:t>
      </w:r>
    </w:p>
    <w:p>
      <w:pPr>
        <w:spacing w:line="360" w:lineRule="auto"/>
        <w:ind w:firstLine="480" w:firstLineChars="200"/>
        <w:rPr>
          <w:rFonts w:hint="eastAsia" w:ascii="宋体" w:hAnsi="宋体" w:cs="宋体"/>
          <w:color w:val="auto"/>
          <w:sz w:val="24"/>
          <w:szCs w:val="24"/>
          <w:highlight w:val="none"/>
        </w:rPr>
      </w:pP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82" w:name="_Toc21260"/>
      <w:bookmarkStart w:id="283" w:name="_Toc26195"/>
      <w:r>
        <w:rPr>
          <w:rFonts w:hint="eastAsia" w:ascii="宋体" w:hAnsi="宋体" w:eastAsia="宋体" w:cs="宋体"/>
          <w:color w:val="auto"/>
          <w:sz w:val="24"/>
          <w:szCs w:val="24"/>
          <w:highlight w:val="none"/>
        </w:rPr>
        <w:t>7.3 中标候选人履约能力审查</w:t>
      </w:r>
      <w:bookmarkEnd w:id="282"/>
      <w:bookmarkEnd w:id="28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84" w:name="_Toc4470"/>
      <w:bookmarkStart w:id="285" w:name="_Toc20519"/>
      <w:r>
        <w:rPr>
          <w:rFonts w:hint="eastAsia" w:ascii="宋体" w:hAnsi="宋体" w:eastAsia="宋体" w:cs="宋体"/>
          <w:color w:val="auto"/>
          <w:sz w:val="24"/>
          <w:szCs w:val="24"/>
          <w:highlight w:val="none"/>
        </w:rPr>
        <w:t>7.4 定标</w:t>
      </w:r>
      <w:bookmarkEnd w:id="284"/>
      <w:bookmarkEnd w:id="28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86" w:name="_Toc886"/>
      <w:bookmarkStart w:id="287" w:name="_Toc16786"/>
      <w:r>
        <w:rPr>
          <w:rFonts w:hint="eastAsia" w:ascii="宋体" w:hAnsi="宋体" w:eastAsia="宋体" w:cs="宋体"/>
          <w:color w:val="auto"/>
          <w:sz w:val="24"/>
          <w:szCs w:val="24"/>
          <w:highlight w:val="none"/>
        </w:rPr>
        <w:t>7.5 中标通知</w:t>
      </w:r>
      <w:bookmarkEnd w:id="286"/>
      <w:bookmarkEnd w:id="28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在本章第3.3款规定的投标有效期内，招标人以书面形式向中标人发出中标</w:t>
      </w:r>
      <w:bookmarkStart w:id="288" w:name="_Toc384308244"/>
      <w:bookmarkStart w:id="289" w:name="_Toc352691506"/>
      <w:bookmarkStart w:id="290" w:name="_Toc5668"/>
      <w:bookmarkStart w:id="291" w:name="_Toc361508619"/>
      <w:bookmarkStart w:id="292" w:name="_Toc369531550"/>
      <w:bookmarkStart w:id="293" w:name="_Toc300834983"/>
      <w:r>
        <w:rPr>
          <w:rFonts w:hint="eastAsia" w:ascii="宋体" w:hAnsi="宋体" w:cs="宋体"/>
          <w:color w:val="auto"/>
          <w:sz w:val="24"/>
          <w:szCs w:val="24"/>
          <w:highlight w:val="none"/>
        </w:rPr>
        <w:t>通知书，同时将中</w:t>
      </w:r>
      <w:bookmarkEnd w:id="288"/>
      <w:bookmarkEnd w:id="289"/>
      <w:bookmarkEnd w:id="290"/>
      <w:bookmarkEnd w:id="291"/>
      <w:bookmarkEnd w:id="292"/>
      <w:bookmarkEnd w:id="293"/>
      <w:r>
        <w:rPr>
          <w:rFonts w:hint="eastAsia" w:ascii="宋体" w:hAnsi="宋体" w:cs="宋体"/>
          <w:color w:val="auto"/>
          <w:sz w:val="24"/>
          <w:szCs w:val="24"/>
          <w:highlight w:val="none"/>
        </w:rPr>
        <w:t>标结果通知未中标的投标人。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出中标通知书前，中标人应未被纳入失信联合惩戒名单，失信联合惩戒名单以“信用广州”网站公布的名单为准。否则招标人取消其中标资格，招标人可以按照评标委员会提出的中标候选人名单排序依次确定其他中标候选人为中标人。</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94" w:name="_Toc22862"/>
      <w:bookmarkStart w:id="295" w:name="_Toc11627"/>
      <w:r>
        <w:rPr>
          <w:rFonts w:hint="eastAsia" w:ascii="宋体" w:hAnsi="宋体" w:eastAsia="宋体" w:cs="宋体"/>
          <w:color w:val="auto"/>
          <w:sz w:val="24"/>
          <w:szCs w:val="24"/>
          <w:highlight w:val="none"/>
        </w:rPr>
        <w:t>7.6 履约保证金</w:t>
      </w:r>
      <w:bookmarkEnd w:id="294"/>
      <w:bookmarkEnd w:id="295"/>
      <w:r>
        <w:rPr>
          <w:rFonts w:hint="eastAsia" w:ascii="宋体" w:hAnsi="宋体" w:eastAsia="宋体" w:cs="宋体"/>
          <w:color w:val="auto"/>
          <w:sz w:val="24"/>
          <w:szCs w:val="24"/>
          <w:highlight w:val="none"/>
          <w:u w:val="single"/>
        </w:rPr>
        <w:t>（本条不适用）</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color w:val="auto"/>
          <w:sz w:val="24"/>
          <w:szCs w:val="24"/>
          <w:highlight w:val="none"/>
        </w:rPr>
        <w:t xml:space="preserve">7.6.1 </w:t>
      </w:r>
      <w:r>
        <w:rPr>
          <w:rFonts w:hint="eastAsia" w:ascii="宋体" w:hAnsi="宋体" w:cs="宋体"/>
          <w:strike/>
          <w:color w:val="auto"/>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联合体中标的，其履约保证金以联合体各方或者联合体中牵头方的名义提交。</w:t>
      </w:r>
    </w:p>
    <w:p>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7.6.2 中标人不能按本章第7.6.1项要求提交履约保证金的，视为放弃中标，其投标保证金不予退还，给招标人造成的损失超过投标保证金数额的，中标人还应当对超过部分予以赔偿。</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296" w:name="_Toc22684"/>
      <w:bookmarkStart w:id="297" w:name="_Toc9236"/>
      <w:r>
        <w:rPr>
          <w:rFonts w:hint="eastAsia" w:ascii="宋体" w:hAnsi="宋体" w:eastAsia="宋体" w:cs="宋体"/>
          <w:color w:val="auto"/>
          <w:sz w:val="24"/>
          <w:szCs w:val="24"/>
          <w:highlight w:val="none"/>
        </w:rPr>
        <w:t>7.7 签订合同</w:t>
      </w:r>
      <w:bookmarkEnd w:id="296"/>
      <w:bookmarkEnd w:id="29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7.7.1 招标人和中标人应当在中标通知书发出之日起30日内，根据招标文件和中标人的投标文件订立书面合同。中标人无正当理由拒签合同，在签订合同时向招标人提出附加条件，</w:t>
      </w:r>
      <w:r>
        <w:rPr>
          <w:rFonts w:hint="eastAsia" w:ascii="宋体" w:hAnsi="宋体" w:cs="宋体"/>
          <w:strike/>
          <w:color w:val="auto"/>
          <w:sz w:val="24"/>
          <w:szCs w:val="24"/>
          <w:highlight w:val="none"/>
        </w:rPr>
        <w:t>或者不按照招标文件要求提交履约保证金的，</w:t>
      </w:r>
      <w:r>
        <w:rPr>
          <w:rFonts w:hint="eastAsia" w:ascii="宋体" w:hAnsi="宋体" w:cs="宋体"/>
          <w:color w:val="auto"/>
          <w:sz w:val="24"/>
          <w:szCs w:val="24"/>
          <w:highlight w:val="none"/>
        </w:rPr>
        <w:t>招标人有权取消其中标资格</w:t>
      </w:r>
      <w:r>
        <w:rPr>
          <w:rFonts w:hint="eastAsia" w:ascii="宋体" w:hAnsi="宋体" w:cs="宋体"/>
          <w:strike/>
          <w:color w:val="auto"/>
          <w:sz w:val="24"/>
          <w:szCs w:val="24"/>
          <w:highlight w:val="none"/>
        </w:rPr>
        <w:t>，其投标保证金不予退还</w:t>
      </w:r>
      <w:r>
        <w:rPr>
          <w:rFonts w:hint="eastAsia" w:ascii="宋体" w:hAnsi="宋体" w:cs="宋体"/>
          <w:color w:val="auto"/>
          <w:sz w:val="24"/>
          <w:szCs w:val="24"/>
          <w:highlight w:val="none"/>
        </w:rPr>
        <w:t>；给招标人造成的损失</w:t>
      </w:r>
      <w:r>
        <w:rPr>
          <w:rFonts w:hint="eastAsia" w:ascii="宋体" w:hAnsi="宋体" w:cs="宋体"/>
          <w:strike/>
          <w:color w:val="auto"/>
          <w:sz w:val="24"/>
          <w:szCs w:val="24"/>
          <w:highlight w:val="none"/>
        </w:rPr>
        <w:t>超过投标保证金数额</w:t>
      </w:r>
      <w:r>
        <w:rPr>
          <w:rFonts w:hint="eastAsia" w:ascii="宋体" w:hAnsi="宋体" w:cs="宋体"/>
          <w:color w:val="auto"/>
          <w:sz w:val="24"/>
          <w:szCs w:val="24"/>
          <w:highlight w:val="none"/>
        </w:rPr>
        <w:t>的，中标人</w:t>
      </w:r>
      <w:r>
        <w:rPr>
          <w:rFonts w:hint="eastAsia" w:ascii="宋体" w:hAnsi="宋体" w:cs="宋体"/>
          <w:strike w:val="0"/>
          <w:color w:val="auto"/>
          <w:sz w:val="24"/>
          <w:szCs w:val="24"/>
          <w:highlight w:val="none"/>
        </w:rPr>
        <w:t>还</w:t>
      </w:r>
      <w:r>
        <w:rPr>
          <w:rFonts w:hint="eastAsia" w:ascii="宋体" w:hAnsi="宋体" w:cs="宋体"/>
          <w:color w:val="auto"/>
          <w:sz w:val="24"/>
          <w:szCs w:val="24"/>
          <w:highlight w:val="none"/>
        </w:rPr>
        <w:t>应当</w:t>
      </w:r>
      <w:r>
        <w:rPr>
          <w:rFonts w:hint="eastAsia" w:ascii="宋体" w:hAnsi="宋体" w:cs="宋体"/>
          <w:strike/>
          <w:color w:val="auto"/>
          <w:sz w:val="24"/>
          <w:szCs w:val="24"/>
          <w:highlight w:val="none"/>
        </w:rPr>
        <w:t>对超过部分</w:t>
      </w:r>
      <w:r>
        <w:rPr>
          <w:rFonts w:hint="eastAsia" w:ascii="宋体" w:hAnsi="宋体" w:cs="宋体"/>
          <w:color w:val="auto"/>
          <w:sz w:val="24"/>
          <w:szCs w:val="24"/>
          <w:highlight w:val="none"/>
        </w:rPr>
        <w:t>予以赔偿。</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7.7.2 发出中标通知书后，招标人无正当理由拒签合同，或者在签订合同时向中标人提出附加条件的</w:t>
      </w:r>
      <w:r>
        <w:rPr>
          <w:rFonts w:hint="eastAsia" w:ascii="宋体" w:hAnsi="宋体" w:cs="宋体"/>
          <w:strike/>
          <w:color w:val="auto"/>
          <w:sz w:val="24"/>
          <w:szCs w:val="24"/>
          <w:highlight w:val="none"/>
        </w:rPr>
        <w:t>，招标人向中标人退还投标保证金</w:t>
      </w:r>
      <w:r>
        <w:rPr>
          <w:rFonts w:hint="eastAsia" w:ascii="宋体" w:hAnsi="宋体" w:cs="宋体"/>
          <w:color w:val="auto"/>
          <w:sz w:val="24"/>
          <w:szCs w:val="24"/>
          <w:highlight w:val="none"/>
        </w:rPr>
        <w:t>；给中标人造成损失的，还应当赔偿损失。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7.7.3联合体中标的，联合体各方应当共同与招标人签订合同，就中标项目向招标人承担连带责任。</w:t>
      </w:r>
    </w:p>
    <w:p>
      <w:pPr>
        <w:pStyle w:val="4"/>
        <w:keepNext w:val="0"/>
        <w:keepLines w:val="0"/>
        <w:spacing w:before="0" w:after="0" w:line="360" w:lineRule="auto"/>
        <w:rPr>
          <w:rFonts w:hint="eastAsia" w:ascii="宋体" w:hAnsi="宋体" w:eastAsia="宋体" w:cs="宋体"/>
          <w:color w:val="auto"/>
          <w:highlight w:val="none"/>
        </w:rPr>
      </w:pPr>
      <w:bookmarkStart w:id="298" w:name="_Toc361508627"/>
      <w:bookmarkStart w:id="299" w:name="_Toc384308252"/>
      <w:bookmarkStart w:id="300" w:name="_Toc24067"/>
      <w:bookmarkStart w:id="301" w:name="_Toc19459"/>
      <w:bookmarkStart w:id="302" w:name="_Toc8460"/>
      <w:bookmarkStart w:id="303" w:name="_Toc247513992"/>
      <w:bookmarkStart w:id="304" w:name="_Toc152042344"/>
      <w:bookmarkStart w:id="305" w:name="_Toc144974536"/>
      <w:bookmarkStart w:id="306" w:name="_Toc152045568"/>
      <w:bookmarkStart w:id="307" w:name="_Toc300834991"/>
      <w:bookmarkStart w:id="308" w:name="_Toc247527593"/>
      <w:r>
        <w:rPr>
          <w:rFonts w:hint="eastAsia" w:ascii="宋体" w:hAnsi="宋体" w:eastAsia="宋体" w:cs="宋体"/>
          <w:color w:val="auto"/>
          <w:highlight w:val="none"/>
        </w:rPr>
        <w:t>8.</w:t>
      </w:r>
      <w:bookmarkEnd w:id="298"/>
      <w:bookmarkEnd w:id="299"/>
      <w:bookmarkEnd w:id="300"/>
      <w:r>
        <w:rPr>
          <w:rFonts w:hint="eastAsia" w:ascii="宋体" w:hAnsi="宋体" w:eastAsia="宋体" w:cs="宋体"/>
          <w:color w:val="auto"/>
          <w:highlight w:val="none"/>
        </w:rPr>
        <w:t>纪律和监督</w:t>
      </w:r>
      <w:bookmarkEnd w:id="301"/>
      <w:bookmarkEnd w:id="302"/>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09" w:name="_Toc23080"/>
      <w:bookmarkStart w:id="310" w:name="_Toc16607"/>
      <w:r>
        <w:rPr>
          <w:rFonts w:hint="eastAsia" w:ascii="宋体" w:hAnsi="宋体" w:eastAsia="宋体" w:cs="宋体"/>
          <w:color w:val="auto"/>
          <w:sz w:val="24"/>
          <w:szCs w:val="24"/>
          <w:highlight w:val="none"/>
        </w:rPr>
        <w:t>8.1 对招标人的纪律要求</w:t>
      </w:r>
      <w:bookmarkEnd w:id="309"/>
      <w:bookmarkEnd w:id="31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11" w:name="_Toc26176"/>
      <w:bookmarkStart w:id="312" w:name="_Toc7775"/>
      <w:r>
        <w:rPr>
          <w:rFonts w:hint="eastAsia" w:ascii="宋体" w:hAnsi="宋体" w:eastAsia="宋体" w:cs="宋体"/>
          <w:color w:val="auto"/>
          <w:sz w:val="24"/>
          <w:szCs w:val="24"/>
          <w:highlight w:val="none"/>
        </w:rPr>
        <w:t>8.2 对投标人的纪律要求</w:t>
      </w:r>
      <w:bookmarkEnd w:id="311"/>
      <w:bookmarkEnd w:id="312"/>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13" w:name="_Toc4003"/>
      <w:bookmarkStart w:id="314" w:name="_Toc31006"/>
      <w:r>
        <w:rPr>
          <w:rFonts w:hint="eastAsia" w:ascii="宋体" w:hAnsi="宋体" w:eastAsia="宋体" w:cs="宋体"/>
          <w:color w:val="auto"/>
          <w:sz w:val="24"/>
          <w:szCs w:val="24"/>
          <w:highlight w:val="none"/>
        </w:rPr>
        <w:t>8.3 对评标委员会成员的纪律要求</w:t>
      </w:r>
      <w:bookmarkEnd w:id="313"/>
      <w:bookmarkEnd w:id="31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w:t>
      </w:r>
      <w:bookmarkStart w:id="315" w:name="_Toc369531559"/>
      <w:bookmarkStart w:id="316" w:name="_Toc361508628"/>
      <w:bookmarkStart w:id="317" w:name="_Toc13644"/>
      <w:bookmarkStart w:id="318" w:name="_Toc352691515"/>
      <w:bookmarkStart w:id="319" w:name="_Toc384308253"/>
      <w:r>
        <w:rPr>
          <w:rFonts w:hint="eastAsia" w:ascii="宋体" w:hAnsi="宋体" w:cs="宋体"/>
          <w:color w:val="auto"/>
          <w:sz w:val="24"/>
          <w:szCs w:val="24"/>
          <w:highlight w:val="none"/>
        </w:rPr>
        <w:t>和比较、中标候选人</w:t>
      </w:r>
      <w:bookmarkEnd w:id="303"/>
      <w:bookmarkEnd w:id="304"/>
      <w:bookmarkEnd w:id="305"/>
      <w:bookmarkEnd w:id="306"/>
      <w:bookmarkEnd w:id="307"/>
      <w:bookmarkEnd w:id="308"/>
      <w:bookmarkEnd w:id="315"/>
      <w:bookmarkEnd w:id="316"/>
      <w:bookmarkEnd w:id="317"/>
      <w:bookmarkEnd w:id="318"/>
      <w:bookmarkEnd w:id="319"/>
      <w:r>
        <w:rPr>
          <w:rFonts w:hint="eastAsia" w:ascii="宋体" w:hAnsi="宋体" w:cs="宋体"/>
          <w:color w:val="auto"/>
          <w:sz w:val="24"/>
          <w:szCs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20" w:name="_Toc11224"/>
      <w:bookmarkStart w:id="321" w:name="_Toc3751"/>
      <w:r>
        <w:rPr>
          <w:rFonts w:hint="eastAsia" w:ascii="宋体" w:hAnsi="宋体" w:eastAsia="宋体" w:cs="宋体"/>
          <w:color w:val="auto"/>
          <w:sz w:val="24"/>
          <w:szCs w:val="24"/>
          <w:highlight w:val="none"/>
        </w:rPr>
        <w:t>8.4 对与评标活动有关的工作人员的纪律要求</w:t>
      </w:r>
      <w:bookmarkEnd w:id="320"/>
      <w:bookmarkEnd w:id="32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w:t>
      </w:r>
      <w:bookmarkStart w:id="322" w:name="_Toc19429"/>
      <w:bookmarkStart w:id="323" w:name="_Toc300834992"/>
      <w:bookmarkStart w:id="324" w:name="_Toc384308254"/>
      <w:bookmarkStart w:id="325" w:name="_Toc369531560"/>
      <w:bookmarkStart w:id="326" w:name="_Toc152045569"/>
      <w:bookmarkStart w:id="327" w:name="_Toc352691516"/>
      <w:bookmarkStart w:id="328" w:name="_Toc144974537"/>
      <w:bookmarkStart w:id="329" w:name="_Toc152042345"/>
      <w:bookmarkStart w:id="330" w:name="_Toc247513993"/>
      <w:bookmarkStart w:id="331" w:name="_Toc361508629"/>
      <w:bookmarkStart w:id="332" w:name="_Toc247527594"/>
      <w:r>
        <w:rPr>
          <w:rFonts w:hint="eastAsia" w:ascii="宋体" w:hAnsi="宋体" w:cs="宋体"/>
          <w:color w:val="auto"/>
          <w:sz w:val="24"/>
          <w:szCs w:val="24"/>
          <w:highlight w:val="none"/>
        </w:rPr>
        <w:t>的评审和比较、中标</w:t>
      </w:r>
      <w:bookmarkEnd w:id="322"/>
      <w:bookmarkEnd w:id="323"/>
      <w:bookmarkEnd w:id="324"/>
      <w:bookmarkEnd w:id="325"/>
      <w:bookmarkEnd w:id="326"/>
      <w:bookmarkEnd w:id="327"/>
      <w:bookmarkEnd w:id="328"/>
      <w:bookmarkEnd w:id="329"/>
      <w:bookmarkEnd w:id="330"/>
      <w:bookmarkEnd w:id="331"/>
      <w:bookmarkEnd w:id="332"/>
      <w:r>
        <w:rPr>
          <w:rFonts w:hint="eastAsia" w:ascii="宋体" w:hAnsi="宋体" w:cs="宋体"/>
          <w:color w:val="auto"/>
          <w:sz w:val="24"/>
          <w:szCs w:val="24"/>
          <w:highlight w:val="none"/>
        </w:rPr>
        <w:t>候选人的推荐情况以及评标有关的其他情况。在评标活动中，与评标活动有关的工作人员不得擅离职守，影响评标程序正常进行。</w:t>
      </w:r>
    </w:p>
    <w:p>
      <w:pPr>
        <w:pStyle w:val="5"/>
        <w:keepNext w:val="0"/>
        <w:keepLines w:val="0"/>
        <w:spacing w:before="0" w:after="0" w:line="360" w:lineRule="auto"/>
        <w:ind w:firstLine="118"/>
        <w:rPr>
          <w:rFonts w:hint="eastAsia" w:ascii="宋体" w:hAnsi="宋体" w:eastAsia="宋体" w:cs="宋体"/>
          <w:color w:val="auto"/>
          <w:sz w:val="24"/>
          <w:szCs w:val="24"/>
          <w:highlight w:val="none"/>
        </w:rPr>
      </w:pPr>
      <w:bookmarkStart w:id="333" w:name="_Toc13185"/>
      <w:bookmarkStart w:id="334" w:name="_Toc24952"/>
      <w:r>
        <w:rPr>
          <w:rFonts w:hint="eastAsia" w:ascii="宋体" w:hAnsi="宋体" w:eastAsia="宋体" w:cs="宋体"/>
          <w:color w:val="auto"/>
          <w:sz w:val="24"/>
          <w:szCs w:val="24"/>
          <w:highlight w:val="none"/>
        </w:rPr>
        <w:t>8.5 投诉</w:t>
      </w:r>
      <w:bookmarkEnd w:id="333"/>
      <w:bookmarkEnd w:id="33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投标人或者其他利害关系人对招标文件、开标和评标结果提出投诉的，应当按照投标人须知第2.4款、第5.3款和第7.2款的规定先向招标人提出异议。异议答复期间</w:t>
      </w:r>
      <w:bookmarkStart w:id="335" w:name="_Toc12776"/>
      <w:bookmarkStart w:id="336" w:name="_Toc352691517"/>
      <w:bookmarkStart w:id="337" w:name="_Toc300834993"/>
      <w:bookmarkStart w:id="338" w:name="_Toc361508630"/>
      <w:bookmarkStart w:id="339" w:name="_Toc369531561"/>
      <w:bookmarkStart w:id="340" w:name="_Toc152045570"/>
      <w:bookmarkStart w:id="341" w:name="_Toc247527595"/>
      <w:bookmarkStart w:id="342" w:name="_Toc152042346"/>
      <w:bookmarkStart w:id="343" w:name="_Toc384308255"/>
      <w:bookmarkStart w:id="344" w:name="_Toc144974538"/>
      <w:bookmarkStart w:id="345" w:name="_Toc247513994"/>
      <w:r>
        <w:rPr>
          <w:rFonts w:hint="eastAsia" w:ascii="宋体" w:hAnsi="宋体" w:cs="宋体"/>
          <w:color w:val="auto"/>
          <w:sz w:val="24"/>
          <w:szCs w:val="24"/>
          <w:highlight w:val="none"/>
        </w:rPr>
        <w:t>不计算在第8.5.</w:t>
      </w:r>
      <w:bookmarkEnd w:id="335"/>
      <w:bookmarkEnd w:id="336"/>
      <w:bookmarkEnd w:id="337"/>
      <w:bookmarkEnd w:id="338"/>
      <w:bookmarkEnd w:id="339"/>
      <w:bookmarkEnd w:id="340"/>
      <w:bookmarkEnd w:id="341"/>
      <w:bookmarkEnd w:id="342"/>
      <w:bookmarkEnd w:id="343"/>
      <w:bookmarkEnd w:id="344"/>
      <w:bookmarkEnd w:id="345"/>
      <w:r>
        <w:rPr>
          <w:rFonts w:hint="eastAsia" w:ascii="宋体" w:hAnsi="宋体" w:cs="宋体"/>
          <w:color w:val="auto"/>
          <w:sz w:val="24"/>
          <w:szCs w:val="24"/>
          <w:highlight w:val="none"/>
        </w:rPr>
        <w:t>1项规定的期限内。</w:t>
      </w:r>
    </w:p>
    <w:p>
      <w:pPr>
        <w:pStyle w:val="4"/>
        <w:keepNext w:val="0"/>
        <w:keepLines w:val="0"/>
        <w:spacing w:before="0" w:after="0" w:line="360" w:lineRule="auto"/>
        <w:rPr>
          <w:rFonts w:hint="eastAsia" w:ascii="宋体" w:hAnsi="宋体" w:eastAsia="宋体" w:cs="宋体"/>
          <w:color w:val="auto"/>
          <w:highlight w:val="none"/>
        </w:rPr>
      </w:pPr>
      <w:bookmarkStart w:id="346" w:name="_Toc477134992"/>
      <w:bookmarkStart w:id="347" w:name="_Toc25843"/>
      <w:bookmarkStart w:id="348" w:name="_Toc21279"/>
      <w:r>
        <w:rPr>
          <w:rFonts w:hint="eastAsia" w:ascii="宋体" w:hAnsi="宋体" w:eastAsia="宋体" w:cs="宋体"/>
          <w:color w:val="auto"/>
          <w:highlight w:val="none"/>
        </w:rPr>
        <w:t>9. 是否采用电子招标投标</w:t>
      </w:r>
      <w:bookmarkEnd w:id="346"/>
      <w:bookmarkEnd w:id="347"/>
      <w:bookmarkEnd w:id="34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pPr>
        <w:pStyle w:val="4"/>
        <w:keepNext w:val="0"/>
        <w:keepLines w:val="0"/>
        <w:spacing w:before="0" w:after="0" w:line="360" w:lineRule="auto"/>
        <w:rPr>
          <w:rFonts w:hint="eastAsia" w:ascii="宋体" w:hAnsi="宋体" w:eastAsia="宋体" w:cs="宋体"/>
          <w:color w:val="auto"/>
          <w:highlight w:val="none"/>
        </w:rPr>
      </w:pPr>
      <w:bookmarkStart w:id="349" w:name="_Toc4810"/>
      <w:bookmarkStart w:id="350" w:name="_Toc8079"/>
      <w:r>
        <w:rPr>
          <w:rFonts w:hint="eastAsia" w:ascii="宋体" w:hAnsi="宋体" w:eastAsia="宋体" w:cs="宋体"/>
          <w:color w:val="auto"/>
          <w:highlight w:val="none"/>
        </w:rPr>
        <w:t>10. 需要补充的其他内容</w:t>
      </w:r>
      <w:bookmarkEnd w:id="21"/>
      <w:bookmarkEnd w:id="22"/>
      <w:bookmarkEnd w:id="23"/>
      <w:bookmarkEnd w:id="24"/>
      <w:bookmarkEnd w:id="349"/>
      <w:r>
        <w:rPr>
          <w:rFonts w:hint="eastAsia" w:ascii="宋体" w:hAnsi="宋体" w:eastAsia="宋体" w:cs="宋体"/>
          <w:color w:val="auto"/>
          <w:highlight w:val="none"/>
        </w:rPr>
        <w:br w:type="page"/>
      </w:r>
      <w:bookmarkStart w:id="351" w:name="_Toc527028503"/>
      <w:r>
        <w:rPr>
          <w:rFonts w:hint="eastAsia" w:ascii="宋体" w:hAnsi="宋体" w:eastAsia="宋体" w:cs="宋体"/>
          <w:color w:val="auto"/>
          <w:highlight w:val="none"/>
        </w:rPr>
        <w:t>附件一：开标记录表</w:t>
      </w:r>
      <w:bookmarkEnd w:id="350"/>
      <w:bookmarkEnd w:id="351"/>
    </w:p>
    <w:p>
      <w:pPr>
        <w:spacing w:line="440" w:lineRule="exact"/>
        <w:jc w:val="center"/>
        <w:rPr>
          <w:rFonts w:hint="eastAsia" w:ascii="宋体" w:hAnsi="宋体" w:cs="宋体"/>
          <w:color w:val="auto"/>
          <w:sz w:val="28"/>
          <w:highlight w:val="none"/>
        </w:rPr>
      </w:pPr>
      <w:r>
        <w:rPr>
          <w:rFonts w:hint="eastAsia" w:ascii="宋体" w:hAnsi="宋体" w:cs="宋体"/>
          <w:color w:val="auto"/>
          <w:sz w:val="28"/>
          <w:highlight w:val="none"/>
        </w:rPr>
        <w:t>开标记录表</w:t>
      </w:r>
    </w:p>
    <w:p>
      <w:pPr>
        <w:spacing w:before="120" w:beforeLines="50" w:after="120" w:afterLines="50" w:line="400" w:lineRule="exact"/>
        <w:ind w:right="420"/>
        <w:jc w:val="right"/>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p>
      <w:pPr>
        <w:pStyle w:val="16"/>
        <w:rPr>
          <w:rFonts w:hint="eastAsia" w:ascii="宋体" w:hAnsi="宋体" w:cs="宋体"/>
          <w:color w:val="auto"/>
          <w:highlight w:val="none"/>
        </w:rPr>
      </w:pPr>
    </w:p>
    <w:tbl>
      <w:tblPr>
        <w:tblStyle w:val="24"/>
        <w:tblW w:w="9647" w:type="dxa"/>
        <w:jc w:val="center"/>
        <w:tblLayout w:type="fixed"/>
        <w:tblCellMar>
          <w:top w:w="0" w:type="dxa"/>
          <w:left w:w="108" w:type="dxa"/>
          <w:bottom w:w="0" w:type="dxa"/>
          <w:right w:w="108" w:type="dxa"/>
        </w:tblCellMar>
      </w:tblPr>
      <w:tblGrid>
        <w:gridCol w:w="639"/>
        <w:gridCol w:w="1106"/>
        <w:gridCol w:w="1106"/>
        <w:gridCol w:w="1265"/>
        <w:gridCol w:w="1106"/>
        <w:gridCol w:w="1106"/>
        <w:gridCol w:w="1106"/>
        <w:gridCol w:w="1106"/>
        <w:gridCol w:w="1107"/>
      </w:tblGrid>
      <w:tr>
        <w:tblPrEx>
          <w:tblCellMar>
            <w:top w:w="0" w:type="dxa"/>
            <w:left w:w="108" w:type="dxa"/>
            <w:bottom w:w="0" w:type="dxa"/>
            <w:right w:w="108" w:type="dxa"/>
          </w:tblCellMar>
        </w:tblPrEx>
        <w:trPr>
          <w:trHeight w:val="115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序号</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投标人</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cs="宋体"/>
                <w:color w:val="auto"/>
                <w:sz w:val="18"/>
                <w:highlight w:val="none"/>
              </w:rPr>
            </w:pPr>
            <w:r>
              <w:rPr>
                <w:rFonts w:hint="eastAsia" w:ascii="宋体" w:hAnsi="宋体" w:cs="宋体"/>
                <w:color w:val="auto"/>
                <w:sz w:val="18"/>
                <w:highlight w:val="none"/>
              </w:rPr>
              <w:t>密封情况</w:t>
            </w:r>
          </w:p>
        </w:tc>
        <w:tc>
          <w:tcPr>
            <w:tcW w:w="126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strike/>
                <w:color w:val="auto"/>
                <w:sz w:val="18"/>
                <w:highlight w:val="none"/>
              </w:rPr>
              <w:t>投标保证金</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投标报价</w:t>
            </w:r>
          </w:p>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（万元）</w:t>
            </w: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投标下浮率（%）</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总监理工程师</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机器码是否相同</w:t>
            </w:r>
          </w:p>
        </w:tc>
        <w:tc>
          <w:tcPr>
            <w:tcW w:w="11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投标人代表签名</w:t>
            </w:r>
          </w:p>
        </w:tc>
      </w:tr>
      <w:tr>
        <w:tblPrEx>
          <w:tblCellMar>
            <w:top w:w="0" w:type="dxa"/>
            <w:left w:w="108" w:type="dxa"/>
            <w:bottom w:w="0" w:type="dxa"/>
            <w:right w:w="108" w:type="dxa"/>
          </w:tblCellMar>
        </w:tblPrEx>
        <w:trPr>
          <w:trHeight w:val="569"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88"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88"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69"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88"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88"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69"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88" w:hRule="atLeast"/>
          <w:jc w:val="center"/>
        </w:trPr>
        <w:tc>
          <w:tcPr>
            <w:tcW w:w="63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r>
        <w:tblPrEx>
          <w:tblCellMar>
            <w:top w:w="0" w:type="dxa"/>
            <w:left w:w="108" w:type="dxa"/>
            <w:bottom w:w="0" w:type="dxa"/>
            <w:right w:w="108" w:type="dxa"/>
          </w:tblCellMar>
        </w:tblPrEx>
        <w:trPr>
          <w:trHeight w:val="588" w:hRule="atLeast"/>
          <w:jc w:val="center"/>
        </w:trPr>
        <w:tc>
          <w:tcPr>
            <w:tcW w:w="4116" w:type="dxa"/>
            <w:gridSpan w:val="4"/>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r>
              <w:rPr>
                <w:rFonts w:hint="eastAsia" w:ascii="宋体" w:hAnsi="宋体" w:cs="宋体"/>
                <w:color w:val="auto"/>
                <w:highlight w:val="none"/>
              </w:rPr>
              <w:t>最高投标限价：</w:t>
            </w:r>
          </w:p>
        </w:tc>
        <w:tc>
          <w:tcPr>
            <w:tcW w:w="1106"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c>
          <w:tcPr>
            <w:tcW w:w="4425" w:type="dxa"/>
            <w:gridSpan w:val="4"/>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hAnsi="宋体" w:cs="宋体"/>
                <w:color w:val="auto"/>
                <w:highlight w:val="none"/>
              </w:rPr>
            </w:pPr>
          </w:p>
        </w:tc>
      </w:tr>
    </w:tbl>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spacing w:line="620" w:lineRule="exact"/>
        <w:rPr>
          <w:rFonts w:hint="eastAsia"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pPr>
        <w:spacing w:line="620" w:lineRule="exact"/>
        <w:jc w:val="right"/>
        <w:rPr>
          <w:rFonts w:hint="eastAsia" w:ascii="宋体" w:hAnsi="宋体" w:cs="宋体"/>
          <w:color w:val="auto"/>
          <w:sz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620" w:lineRule="exact"/>
        <w:jc w:val="left"/>
        <w:rPr>
          <w:rFonts w:hint="eastAsia" w:ascii="宋体" w:hAnsi="宋体" w:cs="宋体"/>
          <w:color w:val="auto"/>
          <w:sz w:val="20"/>
          <w:highlight w:val="none"/>
        </w:rPr>
      </w:pPr>
      <w:r>
        <w:rPr>
          <w:rFonts w:hint="eastAsia" w:ascii="宋体" w:hAnsi="宋体" w:cs="宋体"/>
          <w:color w:val="auto"/>
          <w:szCs w:val="21"/>
          <w:highlight w:val="none"/>
          <w:u w:val="single"/>
        </w:rPr>
        <w:t>本表仅供参考，具体以开标时的开标记录表为准。</w:t>
      </w:r>
    </w:p>
    <w:p>
      <w:pPr>
        <w:spacing w:line="440" w:lineRule="exact"/>
        <w:rPr>
          <w:rFonts w:hint="eastAsia" w:ascii="宋体" w:hAnsi="宋体" w:cs="宋体"/>
          <w:color w:val="auto"/>
          <w:highlight w:val="none"/>
        </w:rPr>
      </w:pPr>
    </w:p>
    <w:p>
      <w:pPr>
        <w:pStyle w:val="5"/>
        <w:keepNext w:val="0"/>
        <w:keepLines w:val="0"/>
        <w:ind w:firstLine="137"/>
        <w:rPr>
          <w:rFonts w:hint="eastAsia" w:ascii="宋体" w:hAnsi="宋体" w:eastAsia="宋体" w:cs="宋体"/>
          <w:color w:val="auto"/>
          <w:highlight w:val="none"/>
        </w:rPr>
      </w:pPr>
      <w:bookmarkStart w:id="352" w:name="_Toc527028504"/>
      <w:r>
        <w:rPr>
          <w:rFonts w:hint="eastAsia" w:ascii="宋体" w:hAnsi="宋体" w:eastAsia="宋体" w:cs="宋体"/>
          <w:color w:val="auto"/>
          <w:highlight w:val="none"/>
        </w:rPr>
        <w:br w:type="page"/>
      </w:r>
      <w:bookmarkStart w:id="353" w:name="_Toc13841"/>
      <w:r>
        <w:rPr>
          <w:rFonts w:hint="eastAsia" w:ascii="宋体" w:hAnsi="宋体" w:eastAsia="宋体" w:cs="宋体"/>
          <w:color w:val="auto"/>
          <w:highlight w:val="none"/>
        </w:rPr>
        <w:t>附件二：问题澄清通知</w:t>
      </w:r>
      <w:bookmarkEnd w:id="352"/>
      <w:bookmarkEnd w:id="353"/>
    </w:p>
    <w:p>
      <w:pPr>
        <w:spacing w:line="440" w:lineRule="exact"/>
        <w:jc w:val="center"/>
        <w:rPr>
          <w:rFonts w:hint="eastAsia" w:ascii="宋体" w:hAnsi="宋体" w:cs="宋体"/>
          <w:color w:val="auto"/>
          <w:highlight w:val="none"/>
        </w:rPr>
      </w:pPr>
    </w:p>
    <w:p>
      <w:pPr>
        <w:spacing w:line="440" w:lineRule="exact"/>
        <w:jc w:val="center"/>
        <w:rPr>
          <w:rFonts w:hint="eastAsia" w:ascii="宋体" w:hAnsi="宋体" w:cs="宋体"/>
          <w:color w:val="auto"/>
          <w:sz w:val="28"/>
          <w:highlight w:val="none"/>
        </w:rPr>
      </w:pPr>
      <w:r>
        <w:rPr>
          <w:rFonts w:hint="eastAsia" w:ascii="宋体" w:hAnsi="宋体" w:cs="宋体"/>
          <w:color w:val="auto"/>
          <w:sz w:val="28"/>
          <w:highlight w:val="none"/>
        </w:rPr>
        <w:t>问题澄清通知</w:t>
      </w:r>
    </w:p>
    <w:p>
      <w:pPr>
        <w:spacing w:line="440" w:lineRule="exact"/>
        <w:jc w:val="center"/>
        <w:rPr>
          <w:rFonts w:hint="eastAsia"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　　评标委员会对你方的投标文件进行了仔细的审查，现需你方对下列问题以书</w:t>
      </w:r>
      <w:bookmarkStart w:id="354" w:name="_Toc23050"/>
      <w:bookmarkStart w:id="355" w:name="_Toc144974544"/>
      <w:bookmarkStart w:id="356" w:name="_Toc152042352"/>
      <w:bookmarkStart w:id="357" w:name="_Toc247514000"/>
      <w:bookmarkStart w:id="358" w:name="_Toc352691521"/>
      <w:bookmarkStart w:id="359" w:name="_Toc384308260"/>
      <w:bookmarkStart w:id="360" w:name="_Toc247527601"/>
      <w:bookmarkStart w:id="361" w:name="_Toc361508634"/>
      <w:bookmarkStart w:id="362" w:name="_Toc300834996"/>
      <w:bookmarkStart w:id="363" w:name="_Toc152045576"/>
      <w:bookmarkStart w:id="364" w:name="_Toc369531565"/>
      <w:r>
        <w:rPr>
          <w:rFonts w:hint="eastAsia" w:ascii="宋体" w:hAnsi="宋体" w:cs="宋体"/>
          <w:color w:val="auto"/>
          <w:highlight w:val="none"/>
        </w:rPr>
        <w:t>面形式予以澄清、说明或补正：</w:t>
      </w:r>
    </w:p>
    <w:p>
      <w:pPr>
        <w:spacing w:line="440" w:lineRule="exact"/>
        <w:rPr>
          <w:rFonts w:hint="eastAsia" w:ascii="宋体" w:hAnsi="宋体" w:cs="宋体"/>
          <w:color w:val="auto"/>
          <w:highlight w:val="none"/>
        </w:rPr>
      </w:pPr>
      <w:r>
        <w:rPr>
          <w:rFonts w:hint="eastAsia" w:ascii="宋体" w:hAnsi="宋体" w:cs="宋体"/>
          <w:color w:val="auto"/>
          <w:highlight w:val="none"/>
        </w:rPr>
        <w:t>　　</w:t>
      </w:r>
    </w:p>
    <w:bookmarkEnd w:id="354"/>
    <w:bookmarkEnd w:id="355"/>
    <w:bookmarkEnd w:id="356"/>
    <w:bookmarkEnd w:id="357"/>
    <w:bookmarkEnd w:id="358"/>
    <w:bookmarkEnd w:id="359"/>
    <w:bookmarkEnd w:id="360"/>
    <w:bookmarkEnd w:id="361"/>
    <w:bookmarkEnd w:id="362"/>
    <w:bookmarkEnd w:id="363"/>
    <w:bookmarkEnd w:id="364"/>
    <w:p>
      <w:pPr>
        <w:spacing w:line="440" w:lineRule="exact"/>
        <w:rPr>
          <w:rFonts w:hint="eastAsia" w:ascii="宋体" w:hAnsi="宋体" w:cs="宋体"/>
          <w:color w:val="auto"/>
          <w:highlight w:val="none"/>
        </w:rPr>
      </w:pPr>
      <w:r>
        <w:rPr>
          <w:rFonts w:hint="eastAsia" w:ascii="宋体" w:hAnsi="宋体" w:cs="宋体"/>
          <w:color w:val="auto"/>
          <w:highlight w:val="none"/>
        </w:rPr>
        <w:t xml:space="preserve">    1.</w:t>
      </w:r>
    </w:p>
    <w:p>
      <w:pPr>
        <w:spacing w:line="440" w:lineRule="exact"/>
        <w:rPr>
          <w:rFonts w:hint="eastAsia" w:ascii="宋体" w:hAnsi="宋体" w:cs="宋体"/>
          <w:color w:val="auto"/>
          <w:highlight w:val="none"/>
        </w:rPr>
      </w:pPr>
      <w:r>
        <w:rPr>
          <w:rFonts w:hint="eastAsia" w:ascii="宋体" w:hAnsi="宋体" w:cs="宋体"/>
          <w:color w:val="auto"/>
          <w:highlight w:val="none"/>
        </w:rPr>
        <w:t xml:space="preserve">    2.</w:t>
      </w:r>
    </w:p>
    <w:p>
      <w:pPr>
        <w:spacing w:line="440" w:lineRule="exact"/>
        <w:rPr>
          <w:rFonts w:hint="eastAsia" w:ascii="宋体" w:hAnsi="宋体" w:cs="宋体"/>
          <w:color w:val="auto"/>
          <w:highlight w:val="none"/>
        </w:rPr>
      </w:pPr>
      <w:r>
        <w:rPr>
          <w:rFonts w:hint="eastAsia" w:ascii="宋体" w:hAnsi="宋体" w:cs="宋体"/>
          <w:color w:val="auto"/>
          <w:highlight w:val="none"/>
        </w:rPr>
        <w:t xml:space="preserve">     ......   </w:t>
      </w:r>
    </w:p>
    <w:p>
      <w:pPr>
        <w:spacing w:line="440" w:lineRule="exact"/>
        <w:rPr>
          <w:rFonts w:hint="eastAsia" w:ascii="宋体" w:hAnsi="宋体" w:cs="宋体"/>
          <w:color w:val="auto"/>
          <w:highlight w:val="none"/>
        </w:rPr>
      </w:pPr>
      <w:r>
        <w:rPr>
          <w:rFonts w:hint="eastAsia" w:ascii="宋体" w:hAnsi="宋体" w:cs="宋体"/>
          <w:color w:val="auto"/>
          <w:highlight w:val="none"/>
        </w:rPr>
        <w:t>　　　</w:t>
      </w:r>
    </w:p>
    <w:p>
      <w:pPr>
        <w:spacing w:line="440" w:lineRule="exact"/>
        <w:ind w:firstLine="405"/>
        <w:rPr>
          <w:rFonts w:hint="eastAsia"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bookmarkStart w:id="365" w:name="_Toc28385"/>
      <w:bookmarkStart w:id="366" w:name="_Toc369531566"/>
      <w:bookmarkStart w:id="367" w:name="_Toc384308261"/>
      <w:bookmarkStart w:id="368" w:name="_Toc247514001"/>
      <w:bookmarkStart w:id="369" w:name="_Toc361508635"/>
      <w:bookmarkStart w:id="370" w:name="_Toc152045577"/>
      <w:bookmarkStart w:id="371" w:name="_Toc247527602"/>
      <w:bookmarkStart w:id="372" w:name="_Toc152042353"/>
      <w:bookmarkStart w:id="373" w:name="_Toc352691522"/>
      <w:bookmarkStart w:id="374" w:name="_Toc300834997"/>
      <w:bookmarkStart w:id="375" w:name="_Toc144974545"/>
    </w:p>
    <w:p>
      <w:pPr>
        <w:spacing w:line="440" w:lineRule="exac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bookmarkEnd w:id="365"/>
      <w:bookmarkEnd w:id="366"/>
      <w:bookmarkEnd w:id="367"/>
      <w:bookmarkEnd w:id="368"/>
      <w:bookmarkEnd w:id="369"/>
      <w:bookmarkEnd w:id="370"/>
      <w:bookmarkEnd w:id="371"/>
      <w:bookmarkEnd w:id="372"/>
      <w:bookmarkEnd w:id="373"/>
      <w:bookmarkEnd w:id="374"/>
      <w:bookmarkEnd w:id="375"/>
      <w:r>
        <w:rPr>
          <w:rFonts w:hint="eastAsia" w:ascii="宋体" w:hAnsi="宋体" w:cs="宋体"/>
          <w:color w:val="auto"/>
          <w:highlight w:val="none"/>
          <w:u w:val="single"/>
        </w:rPr>
        <w:t xml:space="preserve">                     </w:t>
      </w:r>
      <w:r>
        <w:rPr>
          <w:rFonts w:hint="eastAsia" w:ascii="宋体" w:hAnsi="宋体" w:cs="宋体"/>
          <w:color w:val="auto"/>
          <w:highlight w:val="none"/>
        </w:rPr>
        <w:t>（传真号码）或通过下载招标文件的电子招标交易平台上传。采用传真方式的，应在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spacing w:line="440" w:lineRule="exac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spacing w:line="440" w:lineRule="exact"/>
        <w:ind w:firstLine="2100" w:firstLineChars="1000"/>
        <w:rPr>
          <w:rFonts w:hint="eastAsia" w:ascii="宋体" w:hAnsi="宋体" w:cs="宋体"/>
          <w:color w:val="auto"/>
          <w:highlight w:val="none"/>
        </w:rPr>
      </w:pPr>
      <w:r>
        <w:rPr>
          <w:rFonts w:hint="eastAsia" w:ascii="宋体" w:hAnsi="宋体" w:cs="宋体"/>
          <w:color w:val="auto"/>
          <w:highlight w:val="none"/>
        </w:rPr>
        <w:t>评标委员会授权的招标人或招标代理机构：</w:t>
      </w:r>
      <w:r>
        <w:rPr>
          <w:rFonts w:hint="eastAsia" w:ascii="宋体" w:hAnsi="宋体" w:cs="宋体"/>
          <w:color w:val="auto"/>
          <w:sz w:val="28"/>
          <w:highlight w:val="none"/>
          <w:u w:val="single"/>
        </w:rPr>
        <w:t xml:space="preserve">      </w:t>
      </w:r>
      <w:r>
        <w:rPr>
          <w:rFonts w:hint="eastAsia" w:ascii="宋体" w:hAnsi="宋体" w:cs="宋体"/>
          <w:color w:val="auto"/>
          <w:highlight w:val="none"/>
        </w:rPr>
        <w:t>（签字或盖章）</w:t>
      </w:r>
      <w:bookmarkStart w:id="376" w:name="_Toc152045578"/>
      <w:bookmarkStart w:id="377" w:name="_Toc247514002"/>
      <w:bookmarkStart w:id="378" w:name="_Toc152042354"/>
      <w:bookmarkStart w:id="379" w:name="_Toc352691523"/>
      <w:bookmarkStart w:id="380" w:name="_Toc6580"/>
      <w:bookmarkStart w:id="381" w:name="_Toc384308262"/>
      <w:bookmarkStart w:id="382" w:name="_Toc361508636"/>
      <w:bookmarkStart w:id="383" w:name="_Toc369531567"/>
      <w:bookmarkStart w:id="384" w:name="_Toc300834998"/>
      <w:bookmarkStart w:id="385" w:name="_Toc247527603"/>
      <w:bookmarkStart w:id="386" w:name="_Toc144974546"/>
    </w:p>
    <w:bookmarkEnd w:id="376"/>
    <w:bookmarkEnd w:id="377"/>
    <w:bookmarkEnd w:id="378"/>
    <w:bookmarkEnd w:id="379"/>
    <w:bookmarkEnd w:id="380"/>
    <w:bookmarkEnd w:id="381"/>
    <w:bookmarkEnd w:id="382"/>
    <w:bookmarkEnd w:id="383"/>
    <w:bookmarkEnd w:id="384"/>
    <w:bookmarkEnd w:id="385"/>
    <w:p>
      <w:pPr>
        <w:spacing w:line="440" w:lineRule="exact"/>
        <w:rPr>
          <w:rFonts w:hint="eastAsia" w:ascii="宋体" w:hAnsi="宋体" w:cs="宋体"/>
          <w:color w:val="auto"/>
          <w:highlight w:val="none"/>
        </w:rPr>
      </w:pPr>
      <w:bookmarkStart w:id="387" w:name="_Toc152042355"/>
    </w:p>
    <w:p>
      <w:pPr>
        <w:spacing w:line="440" w:lineRule="exact"/>
        <w:ind w:right="84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pStyle w:val="5"/>
        <w:keepNext w:val="0"/>
        <w:keepLines w:val="0"/>
        <w:ind w:firstLine="0" w:firstLineChars="0"/>
        <w:rPr>
          <w:rFonts w:hint="eastAsia" w:ascii="宋体" w:hAnsi="宋体" w:eastAsia="宋体" w:cs="宋体"/>
          <w:color w:val="auto"/>
          <w:highlight w:val="none"/>
        </w:rPr>
      </w:pPr>
    </w:p>
    <w:p>
      <w:pPr>
        <w:rPr>
          <w:rFonts w:hint="eastAsia" w:ascii="宋体" w:hAnsi="宋体" w:cs="宋体"/>
          <w:color w:val="auto"/>
          <w:highlight w:val="none"/>
        </w:rPr>
      </w:pPr>
    </w:p>
    <w:p>
      <w:pPr>
        <w:pStyle w:val="5"/>
        <w:keepNext w:val="0"/>
        <w:keepLines w:val="0"/>
        <w:ind w:firstLine="0" w:firstLineChars="0"/>
        <w:rPr>
          <w:rFonts w:hint="eastAsia" w:ascii="宋体" w:hAnsi="宋体" w:eastAsia="宋体" w:cs="宋体"/>
          <w:color w:val="auto"/>
          <w:highlight w:val="none"/>
        </w:rPr>
      </w:pPr>
    </w:p>
    <w:p>
      <w:pPr>
        <w:pStyle w:val="5"/>
        <w:keepNext w:val="0"/>
        <w:keepLines w:val="0"/>
        <w:ind w:firstLine="0" w:firstLineChars="0"/>
        <w:rPr>
          <w:rFonts w:hint="eastAsia" w:ascii="宋体" w:hAnsi="宋体" w:eastAsia="宋体" w:cs="宋体"/>
          <w:color w:val="auto"/>
          <w:highlight w:val="none"/>
        </w:rPr>
      </w:pPr>
      <w:bookmarkStart w:id="388" w:name="_Toc527028505"/>
      <w:r>
        <w:rPr>
          <w:rFonts w:hint="eastAsia" w:ascii="宋体" w:hAnsi="宋体" w:eastAsia="宋体" w:cs="宋体"/>
          <w:color w:val="auto"/>
          <w:highlight w:val="none"/>
        </w:rPr>
        <w:br w:type="page"/>
      </w:r>
      <w:bookmarkStart w:id="389" w:name="_Toc17913"/>
      <w:r>
        <w:rPr>
          <w:rFonts w:hint="eastAsia" w:ascii="宋体" w:hAnsi="宋体" w:eastAsia="宋体" w:cs="宋体"/>
          <w:color w:val="auto"/>
          <w:highlight w:val="none"/>
        </w:rPr>
        <w:t>附件三：问题的澄清</w:t>
      </w:r>
      <w:bookmarkEnd w:id="388"/>
      <w:bookmarkEnd w:id="389"/>
    </w:p>
    <w:p>
      <w:pPr>
        <w:spacing w:line="400" w:lineRule="exact"/>
        <w:jc w:val="center"/>
        <w:rPr>
          <w:rFonts w:hint="eastAsia" w:ascii="宋体" w:hAnsi="宋体" w:cs="宋体"/>
          <w:color w:val="auto"/>
          <w:sz w:val="28"/>
          <w:highlight w:val="none"/>
        </w:rPr>
      </w:pPr>
    </w:p>
    <w:p>
      <w:pPr>
        <w:spacing w:line="400" w:lineRule="exact"/>
        <w:jc w:val="center"/>
        <w:rPr>
          <w:rFonts w:hint="eastAsia" w:ascii="宋体" w:hAnsi="宋体" w:cs="宋体"/>
          <w:color w:val="auto"/>
          <w:sz w:val="28"/>
          <w:highlight w:val="none"/>
        </w:rPr>
      </w:pPr>
      <w:r>
        <w:rPr>
          <w:rFonts w:hint="eastAsia" w:ascii="宋体" w:hAnsi="宋体" w:cs="宋体"/>
          <w:color w:val="auto"/>
          <w:sz w:val="28"/>
          <w:highlight w:val="none"/>
        </w:rPr>
        <w:t>问</w:t>
      </w:r>
      <w:bookmarkEnd w:id="387"/>
      <w:r>
        <w:rPr>
          <w:rFonts w:hint="eastAsia" w:ascii="宋体" w:hAnsi="宋体" w:cs="宋体"/>
          <w:color w:val="auto"/>
          <w:sz w:val="28"/>
          <w:highlight w:val="none"/>
        </w:rPr>
        <w:t>题</w:t>
      </w:r>
      <w:bookmarkStart w:id="390" w:name="_Toc152042356"/>
      <w:bookmarkStart w:id="391" w:name="_Toc247514003"/>
      <w:bookmarkStart w:id="392" w:name="_Toc3622"/>
      <w:bookmarkStart w:id="393" w:name="_Toc384308263"/>
      <w:bookmarkStart w:id="394" w:name="_Toc352691524"/>
      <w:bookmarkStart w:id="395" w:name="_Toc152045579"/>
      <w:bookmarkStart w:id="396" w:name="_Toc247527604"/>
      <w:bookmarkStart w:id="397" w:name="_Toc361508637"/>
      <w:bookmarkStart w:id="398" w:name="_Toc369531568"/>
      <w:bookmarkStart w:id="399" w:name="_Toc300834999"/>
      <w:r>
        <w:rPr>
          <w:rFonts w:hint="eastAsia" w:ascii="宋体" w:hAnsi="宋体" w:cs="宋体"/>
          <w:color w:val="auto"/>
          <w:sz w:val="28"/>
          <w:highlight w:val="none"/>
        </w:rPr>
        <w:t>的澄清</w:t>
      </w:r>
    </w:p>
    <w:p>
      <w:pPr>
        <w:spacing w:line="400" w:lineRule="exact"/>
        <w:ind w:firstLine="3465" w:firstLineChars="1650"/>
        <w:rPr>
          <w:rFonts w:hint="eastAsia" w:ascii="宋体" w:hAnsi="宋体" w:cs="宋体"/>
          <w:color w:val="auto"/>
          <w:highlight w:val="none"/>
        </w:rPr>
      </w:pPr>
      <w:r>
        <w:rPr>
          <w:rFonts w:hint="eastAsia" w:ascii="宋体" w:hAnsi="宋体" w:cs="宋体"/>
          <w:color w:val="auto"/>
          <w:highlight w:val="none"/>
        </w:rPr>
        <w:t>（编号</w:t>
      </w:r>
      <w:bookmarkEnd w:id="386"/>
      <w:bookmarkEnd w:id="390"/>
      <w:bookmarkEnd w:id="391"/>
      <w:bookmarkEnd w:id="392"/>
      <w:bookmarkEnd w:id="393"/>
      <w:bookmarkEnd w:id="394"/>
      <w:bookmarkEnd w:id="395"/>
      <w:bookmarkEnd w:id="396"/>
      <w:bookmarkEnd w:id="397"/>
      <w:bookmarkEnd w:id="398"/>
      <w:bookmarkEnd w:id="399"/>
      <w:r>
        <w:rPr>
          <w:rFonts w:hint="eastAsia" w:ascii="宋体" w:hAnsi="宋体" w:cs="宋体"/>
          <w:color w:val="auto"/>
          <w:highlight w:val="none"/>
        </w:rPr>
        <w:t>：</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0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评标委员会：</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　　问题澄清通知（编号：</w:t>
      </w:r>
      <w:r>
        <w:rPr>
          <w:rFonts w:hint="eastAsia" w:ascii="宋体" w:hAnsi="宋体" w:cs="宋体"/>
          <w:color w:val="auto"/>
          <w:sz w:val="28"/>
          <w:highlight w:val="none"/>
          <w:u w:val="single"/>
        </w:rPr>
        <w:t xml:space="preserve">      </w:t>
      </w:r>
      <w:r>
        <w:rPr>
          <w:rFonts w:hint="eastAsia" w:ascii="宋体" w:hAnsi="宋体" w:cs="宋体"/>
          <w:color w:val="auto"/>
          <w:highlight w:val="none"/>
        </w:rPr>
        <w:t>）已收悉，现澄清、说明或补正如下：</w:t>
      </w:r>
    </w:p>
    <w:p>
      <w:pPr>
        <w:spacing w:line="440" w:lineRule="exact"/>
        <w:rPr>
          <w:rFonts w:hint="eastAsia" w:ascii="宋体" w:hAnsi="宋体" w:cs="宋体"/>
          <w:color w:val="auto"/>
          <w:highlight w:val="none"/>
        </w:rPr>
      </w:pPr>
      <w:r>
        <w:rPr>
          <w:rFonts w:hint="eastAsia" w:ascii="宋体" w:hAnsi="宋体" w:cs="宋体"/>
          <w:color w:val="auto"/>
          <w:highlight w:val="none"/>
        </w:rPr>
        <w:t>　     1.</w:t>
      </w:r>
    </w:p>
    <w:p>
      <w:pPr>
        <w:spacing w:line="440" w:lineRule="exact"/>
        <w:rPr>
          <w:rFonts w:hint="eastAsia" w:ascii="宋体" w:hAnsi="宋体" w:cs="宋体"/>
          <w:color w:val="auto"/>
          <w:highlight w:val="none"/>
        </w:rPr>
      </w:pPr>
      <w:r>
        <w:rPr>
          <w:rFonts w:hint="eastAsia" w:ascii="宋体" w:hAnsi="宋体" w:cs="宋体"/>
          <w:color w:val="auto"/>
          <w:highlight w:val="none"/>
        </w:rPr>
        <w:t>　     2.</w:t>
      </w:r>
    </w:p>
    <w:p>
      <w:pPr>
        <w:spacing w:line="440" w:lineRule="exact"/>
        <w:rPr>
          <w:rFonts w:hint="eastAsia" w:ascii="宋体" w:hAnsi="宋体" w:cs="宋体"/>
          <w:color w:val="auto"/>
          <w:highlight w:val="none"/>
        </w:rPr>
      </w:pPr>
      <w:r>
        <w:rPr>
          <w:rFonts w:hint="eastAsia" w:ascii="宋体" w:hAnsi="宋体" w:cs="宋体"/>
          <w:color w:val="auto"/>
          <w:highlight w:val="none"/>
        </w:rPr>
        <w:t>　    .....</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　</w:t>
      </w:r>
    </w:p>
    <w:p>
      <w:pPr>
        <w:spacing w:line="440" w:lineRule="exact"/>
        <w:rPr>
          <w:rFonts w:hint="eastAsia" w:ascii="宋体" w:hAnsi="宋体" w:cs="宋体"/>
          <w:color w:val="auto"/>
          <w:highlight w:val="none"/>
        </w:rPr>
      </w:pPr>
    </w:p>
    <w:p>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上述问题澄清、说明或补正，不改变我方投标文件的实质性内容，构成我方投标文件的组成部分。</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spacing w:line="480" w:lineRule="auto"/>
        <w:rPr>
          <w:rFonts w:hint="eastAsia" w:ascii="宋体" w:hAnsi="宋体" w:cs="宋体"/>
          <w:color w:val="auto"/>
          <w:highlight w:val="none"/>
        </w:rPr>
      </w:pPr>
      <w:r>
        <w:rPr>
          <w:rFonts w:hint="eastAsia" w:ascii="宋体" w:hAnsi="宋体" w:cs="宋体"/>
          <w:color w:val="auto"/>
          <w:highlight w:val="none"/>
        </w:rPr>
        <w:t>　　　　　　　　　　　　　　投标人：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pPr>
        <w:spacing w:line="480" w:lineRule="auto"/>
        <w:ind w:firstLine="2835" w:firstLineChars="1350"/>
        <w:rPr>
          <w:rFonts w:hint="eastAsia" w:ascii="宋体" w:hAnsi="宋体" w:cs="宋体"/>
          <w:color w:val="auto"/>
          <w:highlight w:val="none"/>
        </w:rPr>
      </w:pPr>
      <w:r>
        <w:rPr>
          <w:rFonts w:hint="eastAsia" w:ascii="宋体" w:hAnsi="宋体" w:cs="宋体"/>
          <w:color w:val="auto"/>
          <w:highlight w:val="none"/>
        </w:rPr>
        <w:t xml:space="preserve"> 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440" w:lineRule="exact"/>
        <w:rPr>
          <w:rFonts w:hint="eastAsia" w:ascii="宋体" w:hAnsi="宋体" w:cs="宋体"/>
          <w:color w:val="auto"/>
          <w:highlight w:val="none"/>
        </w:rPr>
      </w:pPr>
      <w:r>
        <w:rPr>
          <w:rFonts w:hint="eastAsia" w:ascii="宋体" w:hAnsi="宋体" w:cs="宋体"/>
          <w:color w:val="auto"/>
          <w:highlight w:val="none"/>
        </w:rPr>
        <w:t>　　　　　　　　　　　　　　　</w:t>
      </w:r>
    </w:p>
    <w:p>
      <w:pPr>
        <w:spacing w:line="440" w:lineRule="exact"/>
        <w:jc w:val="right"/>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u w:val="single"/>
        </w:rPr>
        <w:t xml:space="preserve">        </w:t>
      </w:r>
      <w:r>
        <w:rPr>
          <w:rFonts w:hint="eastAsia" w:ascii="宋体" w:hAnsi="宋体" w:cs="宋体"/>
          <w:color w:val="auto"/>
          <w:highlight w:val="none"/>
        </w:rPr>
        <w:t>年</w:t>
      </w:r>
      <w:bookmarkStart w:id="400" w:name="_Toc369531571"/>
      <w:bookmarkStart w:id="401" w:name="_Toc361508640"/>
      <w:bookmarkStart w:id="402" w:name="_Toc152045581"/>
      <w:bookmarkStart w:id="403" w:name="_Toc300835002"/>
      <w:bookmarkStart w:id="404" w:name="_Toc352691527"/>
      <w:bookmarkStart w:id="405" w:name="_Toc247527606"/>
      <w:bookmarkStart w:id="406" w:name="_Toc152042358"/>
      <w:bookmarkStart w:id="407" w:name="_Toc247514005"/>
      <w:bookmarkStart w:id="408" w:name="_Toc15139"/>
      <w:bookmarkStart w:id="409" w:name="_Toc384308266"/>
      <w:bookmarkStart w:id="410" w:name="_Toc144974548"/>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bookmarkEnd w:id="400"/>
    <w:bookmarkEnd w:id="401"/>
    <w:bookmarkEnd w:id="402"/>
    <w:bookmarkEnd w:id="403"/>
    <w:bookmarkEnd w:id="404"/>
    <w:bookmarkEnd w:id="405"/>
    <w:bookmarkEnd w:id="406"/>
    <w:bookmarkEnd w:id="407"/>
    <w:bookmarkEnd w:id="408"/>
    <w:bookmarkEnd w:id="409"/>
    <w:bookmarkEnd w:id="410"/>
    <w:p>
      <w:pPr>
        <w:spacing w:line="400" w:lineRule="exact"/>
        <w:rPr>
          <w:rFonts w:hint="eastAsia" w:ascii="宋体" w:hAnsi="宋体" w:cs="宋体"/>
          <w:color w:val="auto"/>
          <w:highlight w:val="none"/>
        </w:rPr>
      </w:pPr>
    </w:p>
    <w:p>
      <w:pPr>
        <w:pStyle w:val="5"/>
        <w:keepNext w:val="0"/>
        <w:keepLines w:val="0"/>
        <w:ind w:firstLine="137"/>
        <w:rPr>
          <w:rFonts w:hint="eastAsia" w:ascii="宋体" w:hAnsi="宋体" w:eastAsia="宋体" w:cs="宋体"/>
          <w:color w:val="auto"/>
          <w:highlight w:val="none"/>
        </w:rPr>
      </w:pPr>
      <w:bookmarkStart w:id="411" w:name="_Toc527028506"/>
      <w:r>
        <w:rPr>
          <w:rFonts w:hint="eastAsia" w:ascii="宋体" w:hAnsi="宋体" w:eastAsia="宋体" w:cs="宋体"/>
          <w:color w:val="auto"/>
          <w:highlight w:val="none"/>
        </w:rPr>
        <w:br w:type="page"/>
      </w:r>
      <w:bookmarkStart w:id="412" w:name="_Toc26799"/>
      <w:r>
        <w:rPr>
          <w:rFonts w:hint="eastAsia" w:ascii="宋体" w:hAnsi="宋体" w:eastAsia="宋体" w:cs="宋体"/>
          <w:color w:val="auto"/>
          <w:highlight w:val="none"/>
        </w:rPr>
        <w:t>附件四：确认通知</w:t>
      </w:r>
      <w:bookmarkEnd w:id="411"/>
      <w:bookmarkEnd w:id="412"/>
    </w:p>
    <w:p>
      <w:pPr>
        <w:spacing w:line="400" w:lineRule="exact"/>
        <w:rPr>
          <w:rFonts w:hint="eastAsia" w:ascii="宋体" w:hAnsi="宋体" w:cs="宋体"/>
          <w:color w:val="auto"/>
          <w:highlight w:val="none"/>
        </w:rPr>
      </w:pPr>
    </w:p>
    <w:p>
      <w:pPr>
        <w:spacing w:line="400" w:lineRule="exact"/>
        <w:jc w:val="center"/>
        <w:rPr>
          <w:rFonts w:hint="eastAsia" w:ascii="宋体" w:hAnsi="宋体" w:cs="宋体"/>
          <w:color w:val="auto"/>
          <w:sz w:val="28"/>
          <w:highlight w:val="none"/>
        </w:rPr>
      </w:pPr>
      <w:r>
        <w:rPr>
          <w:rFonts w:hint="eastAsia" w:ascii="宋体" w:hAnsi="宋体" w:cs="宋体"/>
          <w:color w:val="auto"/>
          <w:sz w:val="28"/>
          <w:highlight w:val="none"/>
        </w:rPr>
        <w:t>确认通知</w:t>
      </w:r>
    </w:p>
    <w:p>
      <w:pPr>
        <w:spacing w:line="40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（招标人名称）：</w:t>
      </w:r>
    </w:p>
    <w:p>
      <w:pPr>
        <w:spacing w:line="440" w:lineRule="exact"/>
        <w:rPr>
          <w:rFonts w:hint="eastAsia" w:ascii="宋体" w:hAnsi="宋体" w:cs="宋体"/>
          <w:color w:val="auto"/>
          <w:highlight w:val="none"/>
        </w:rPr>
      </w:pPr>
      <w:r>
        <w:rPr>
          <w:rFonts w:hint="eastAsia" w:ascii="宋体" w:hAnsi="宋体" w:cs="宋体"/>
          <w:color w:val="auto"/>
          <w:highlight w:val="none"/>
        </w:rPr>
        <w:t>　　</w:t>
      </w:r>
    </w:p>
    <w:p>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你方于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（项目名称）施工监理招标关于</w:t>
      </w:r>
      <w:r>
        <w:rPr>
          <w:rFonts w:hint="eastAsia" w:ascii="宋体" w:hAnsi="宋体" w:cs="宋体"/>
          <w:color w:val="auto"/>
          <w:highlight w:val="none"/>
          <w:u w:val="single"/>
        </w:rPr>
        <w:t>招标文件的澄清/修改</w:t>
      </w:r>
      <w:r>
        <w:rPr>
          <w:rFonts w:hint="eastAsia" w:ascii="宋体" w:hAnsi="宋体" w:cs="宋体"/>
          <w:color w:val="auto"/>
          <w:highlight w:val="none"/>
        </w:rPr>
        <w:t>的通知，我方已于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日收到。</w:t>
      </w:r>
    </w:p>
    <w:p>
      <w:pPr>
        <w:spacing w:line="440" w:lineRule="exact"/>
        <w:rPr>
          <w:rFonts w:hint="eastAsia" w:ascii="宋体" w:hAnsi="宋体" w:cs="宋体"/>
          <w:color w:val="auto"/>
          <w:highlight w:val="none"/>
        </w:rPr>
      </w:pPr>
      <w:r>
        <w:rPr>
          <w:rFonts w:hint="eastAsia" w:ascii="宋体" w:hAnsi="宋体" w:cs="宋体"/>
          <w:color w:val="auto"/>
          <w:highlight w:val="none"/>
        </w:rPr>
        <w:t>　　特此确认。</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spacing w:line="480" w:lineRule="auto"/>
        <w:ind w:firstLine="2415" w:firstLineChars="1150"/>
        <w:jc w:val="lef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pPr>
        <w:spacing w:line="480" w:lineRule="auto"/>
        <w:ind w:firstLine="2415" w:firstLineChars="1150"/>
        <w:jc w:val="left"/>
        <w:rPr>
          <w:rFonts w:hint="eastAsia" w:ascii="宋体" w:hAnsi="宋体" w:cs="宋体"/>
          <w:color w:val="auto"/>
          <w:highlight w:val="none"/>
        </w:rPr>
      </w:pPr>
      <w:r>
        <w:rPr>
          <w:rFonts w:hint="eastAsia" w:ascii="宋体" w:hAnsi="宋体" w:cs="宋体"/>
          <w:color w:val="auto"/>
          <w:highlight w:val="none"/>
        </w:rPr>
        <w:t>法定代表人或委托代理人：</w:t>
      </w:r>
      <w:r>
        <w:rPr>
          <w:rFonts w:hint="eastAsia" w:ascii="宋体" w:hAnsi="宋体" w:cs="宋体"/>
          <w:color w:val="auto"/>
          <w:sz w:val="28"/>
          <w:highlight w:val="none"/>
          <w:u w:val="single"/>
        </w:rPr>
        <w:t xml:space="preserve">      </w:t>
      </w:r>
      <w:r>
        <w:rPr>
          <w:rFonts w:hint="eastAsia" w:ascii="宋体" w:hAnsi="宋体" w:cs="宋体"/>
          <w:color w:val="auto"/>
          <w:highlight w:val="none"/>
        </w:rPr>
        <w:t>（签字）</w:t>
      </w:r>
    </w:p>
    <w:p>
      <w:pPr>
        <w:spacing w:line="440" w:lineRule="exact"/>
        <w:rPr>
          <w:rFonts w:hint="eastAsia" w:ascii="宋体" w:hAnsi="宋体" w:cs="宋体"/>
          <w:color w:val="auto"/>
          <w:highlight w:val="none"/>
        </w:rPr>
      </w:pPr>
    </w:p>
    <w:p>
      <w:pPr>
        <w:spacing w:line="440" w:lineRule="exact"/>
        <w:ind w:firstLine="105" w:firstLineChars="5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3"/>
        <w:keepNext w:val="0"/>
        <w:keepLines w:val="0"/>
        <w:spacing w:line="460" w:lineRule="exact"/>
        <w:jc w:val="center"/>
        <w:rPr>
          <w:rFonts w:hint="eastAsia" w:ascii="宋体" w:hAnsi="宋体" w:cs="宋体"/>
          <w:color w:val="auto"/>
          <w:highlight w:val="none"/>
        </w:rPr>
      </w:pPr>
      <w:r>
        <w:rPr>
          <w:rFonts w:hint="eastAsia" w:ascii="宋体" w:hAnsi="宋体" w:cs="宋体"/>
          <w:color w:val="auto"/>
          <w:highlight w:val="none"/>
        </w:rPr>
        <w:br w:type="page"/>
      </w:r>
      <w:bookmarkStart w:id="413" w:name="_Toc25395"/>
      <w:r>
        <w:rPr>
          <w:rFonts w:hint="eastAsia" w:ascii="宋体" w:hAnsi="宋体" w:cs="宋体"/>
          <w:color w:val="auto"/>
          <w:highlight w:val="none"/>
        </w:rPr>
        <w:t>第三章评标办法（综合评估法）</w:t>
      </w:r>
    </w:p>
    <w:p>
      <w:pPr>
        <w:pStyle w:val="3"/>
        <w:keepNext w:val="0"/>
        <w:keepLines w:val="0"/>
        <w:spacing w:line="460" w:lineRule="exact"/>
        <w:jc w:val="center"/>
        <w:rPr>
          <w:rFonts w:hint="eastAsia" w:ascii="宋体" w:hAnsi="宋体" w:cs="宋体"/>
          <w:color w:val="auto"/>
          <w:highlight w:val="none"/>
        </w:rPr>
      </w:pPr>
      <w:r>
        <w:rPr>
          <w:rFonts w:hint="eastAsia" w:ascii="宋体" w:hAnsi="宋体" w:cs="宋体"/>
          <w:color w:val="auto"/>
          <w:highlight w:val="none"/>
        </w:rPr>
        <w:t>评标办法前附表</w:t>
      </w:r>
    </w:p>
    <w:tbl>
      <w:tblPr>
        <w:tblStyle w:val="24"/>
        <w:tblW w:w="97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3"/>
        <w:gridCol w:w="1205"/>
        <w:gridCol w:w="1571"/>
        <w:gridCol w:w="6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818" w:type="dxa"/>
            <w:gridSpan w:val="2"/>
            <w:tcBorders>
              <w:top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评审因素</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613"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1</w:t>
            </w:r>
          </w:p>
        </w:tc>
        <w:tc>
          <w:tcPr>
            <w:tcW w:w="120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评标方法</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中标候选人排序方法</w:t>
            </w:r>
          </w:p>
        </w:tc>
        <w:tc>
          <w:tcPr>
            <w:tcW w:w="6345"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color w:val="auto"/>
                <w:szCs w:val="21"/>
                <w:highlight w:val="none"/>
              </w:rPr>
            </w:pPr>
            <w:r>
              <w:rPr>
                <w:rFonts w:ascii="宋体" w:hAnsi="宋体"/>
                <w:color w:val="auto"/>
                <w:szCs w:val="21"/>
                <w:highlight w:val="none"/>
                <w:u w:val="single"/>
              </w:rPr>
              <w:t>本次评标采用综合评估法。评标委员会对满足招标文件实质性要求的投标文件，按照本章第2.2款规定的评分标准进行打分，并按得分由高到低顺序推荐中标候选人，投标人</w:t>
            </w:r>
            <w:r>
              <w:rPr>
                <w:rFonts w:hint="eastAsia" w:ascii="宋体" w:hAnsi="宋体"/>
                <w:color w:val="auto"/>
                <w:szCs w:val="21"/>
                <w:highlight w:val="none"/>
                <w:u w:val="single"/>
              </w:rPr>
              <w:t>综合评分由高到低排序前</w:t>
            </w:r>
            <w:r>
              <w:rPr>
                <w:rFonts w:ascii="宋体" w:hAnsi="宋体"/>
                <w:color w:val="auto"/>
                <w:szCs w:val="21"/>
                <w:highlight w:val="none"/>
                <w:u w:val="single"/>
              </w:rPr>
              <w:t>3</w:t>
            </w:r>
            <w:r>
              <w:rPr>
                <w:rFonts w:hint="eastAsia" w:ascii="宋体" w:hAnsi="宋体"/>
                <w:color w:val="auto"/>
                <w:szCs w:val="21"/>
                <w:highlight w:val="none"/>
                <w:u w:val="single"/>
              </w:rPr>
              <w:t>名作为第一、第二、第三中标候选人，</w:t>
            </w:r>
            <w:r>
              <w:rPr>
                <w:rFonts w:ascii="宋体" w:hAnsi="宋体"/>
                <w:color w:val="auto"/>
                <w:szCs w:val="21"/>
                <w:highlight w:val="none"/>
                <w:u w:val="single"/>
              </w:rPr>
              <w:t>综合评分相等时，以监理大纲得分高的优先；如果监理大纲得分也相等，</w:t>
            </w:r>
            <w:r>
              <w:rPr>
                <w:rFonts w:hint="eastAsia" w:ascii="宋体" w:hAnsi="宋体"/>
                <w:color w:val="auto"/>
                <w:szCs w:val="21"/>
                <w:highlight w:val="none"/>
                <w:u w:val="single"/>
              </w:rPr>
              <w:t>以投标人投标报价得分低的优先；如仍存在相同情况，则对具有相同情况的投标人，按中标候选人数量规定，由评标委员会采用记名投票方式，以得票多的优先。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613" w:type="dxa"/>
            <w:vMerge w:val="restart"/>
            <w:tcBorders>
              <w:top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2.1.1</w:t>
            </w:r>
          </w:p>
        </w:tc>
        <w:tc>
          <w:tcPr>
            <w:tcW w:w="1205" w:type="dxa"/>
            <w:vMerge w:val="restart"/>
            <w:tcBorders>
              <w:top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形式评审标准</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投标人名称</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与营业执照</w:t>
            </w:r>
            <w:r>
              <w:rPr>
                <w:rFonts w:hint="eastAsia" w:ascii="宋体" w:hAnsi="宋体" w:eastAsia="宋体" w:cs="宋体"/>
                <w:sz w:val="21"/>
                <w:szCs w:val="21"/>
                <w:highlight w:val="none"/>
                <w:u w:val="single"/>
              </w:rPr>
              <w:t>（或事业单位法人证书）</w:t>
            </w:r>
            <w:r>
              <w:rPr>
                <w:rFonts w:ascii="宋体" w:hAnsi="宋体"/>
                <w:color w:val="auto"/>
                <w:szCs w:val="21"/>
                <w:highlight w:val="none"/>
              </w:rPr>
              <w:t>、资质证书一致</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trPr>
        <w:tc>
          <w:tcPr>
            <w:tcW w:w="613" w:type="dxa"/>
            <w:vMerge w:val="continue"/>
            <w:tcBorders>
              <w:top w:val="nil"/>
              <w:bottom w:val="single" w:color="auto" w:sz="4" w:space="0"/>
              <w:right w:val="single" w:color="auto" w:sz="4" w:space="0"/>
            </w:tcBorders>
            <w:vAlign w:val="center"/>
          </w:tcPr>
          <w:p>
            <w:pPr>
              <w:rPr>
                <w:color w:val="auto"/>
                <w:highlight w:val="none"/>
              </w:rPr>
            </w:pPr>
          </w:p>
        </w:tc>
        <w:tc>
          <w:tcPr>
            <w:tcW w:w="1205" w:type="dxa"/>
            <w:vMerge w:val="continue"/>
            <w:tcBorders>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及投标函附录</w:t>
            </w:r>
            <w:r>
              <w:rPr>
                <w:rFonts w:ascii="宋体" w:hAnsi="宋体"/>
                <w:color w:val="auto"/>
                <w:szCs w:val="21"/>
                <w:highlight w:val="none"/>
              </w:rPr>
              <w:t>签字盖章</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613" w:type="dxa"/>
            <w:vMerge w:val="continue"/>
            <w:tcBorders>
              <w:top w:val="nil"/>
              <w:bottom w:val="single" w:color="auto" w:sz="4" w:space="0"/>
              <w:right w:val="single" w:color="auto" w:sz="4" w:space="0"/>
            </w:tcBorders>
            <w:vAlign w:val="center"/>
          </w:tcPr>
          <w:p>
            <w:pPr>
              <w:rPr>
                <w:color w:val="auto"/>
                <w:highlight w:val="none"/>
              </w:rPr>
            </w:pPr>
          </w:p>
        </w:tc>
        <w:tc>
          <w:tcPr>
            <w:tcW w:w="1205" w:type="dxa"/>
            <w:vMerge w:val="continue"/>
            <w:tcBorders>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投标文件格式</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trPr>
        <w:tc>
          <w:tcPr>
            <w:tcW w:w="613" w:type="dxa"/>
            <w:vMerge w:val="continue"/>
            <w:tcBorders>
              <w:top w:val="nil"/>
              <w:bottom w:val="single" w:color="auto" w:sz="4" w:space="0"/>
              <w:right w:val="single" w:color="auto" w:sz="4" w:space="0"/>
            </w:tcBorders>
            <w:vAlign w:val="center"/>
          </w:tcPr>
          <w:p>
            <w:pPr>
              <w:rPr>
                <w:color w:val="auto"/>
                <w:highlight w:val="none"/>
              </w:rPr>
            </w:pPr>
          </w:p>
        </w:tc>
        <w:tc>
          <w:tcPr>
            <w:tcW w:w="1205" w:type="dxa"/>
            <w:vMerge w:val="continue"/>
            <w:tcBorders>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投标人机器码</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投标人与其他投标人加密打包投标文件电脑机器特征码一致的(以广州公共资源交易中心评标系统的检索信息为准),其投标将被否决。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613" w:type="dxa"/>
            <w:vMerge w:val="continue"/>
            <w:tcBorders>
              <w:top w:val="nil"/>
              <w:bottom w:val="single" w:color="auto" w:sz="4" w:space="0"/>
              <w:right w:val="single" w:color="auto" w:sz="4" w:space="0"/>
            </w:tcBorders>
            <w:vAlign w:val="center"/>
          </w:tcPr>
          <w:p>
            <w:pPr>
              <w:rPr>
                <w:color w:val="auto"/>
                <w:highlight w:val="none"/>
              </w:rPr>
            </w:pPr>
          </w:p>
        </w:tc>
        <w:tc>
          <w:tcPr>
            <w:tcW w:w="1205" w:type="dxa"/>
            <w:vMerge w:val="continue"/>
            <w:tcBorders>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val="0"/>
                <w:bCs w:val="0"/>
                <w:color w:val="auto"/>
                <w:szCs w:val="21"/>
                <w:highlight w:val="none"/>
              </w:rPr>
            </w:pPr>
            <w:r>
              <w:rPr>
                <w:rFonts w:ascii="宋体" w:hAnsi="宋体"/>
                <w:b w:val="0"/>
                <w:bCs w:val="0"/>
                <w:color w:val="auto"/>
                <w:szCs w:val="21"/>
                <w:highlight w:val="none"/>
              </w:rPr>
              <w:t>备选投标方案</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val="0"/>
                <w:bCs w:val="0"/>
                <w:color w:val="auto"/>
                <w:szCs w:val="21"/>
                <w:highlight w:val="none"/>
              </w:rPr>
            </w:pPr>
            <w:r>
              <w:rPr>
                <w:rFonts w:ascii="宋体" w:hAnsi="宋体"/>
                <w:b w:val="0"/>
                <w:bCs w:val="0"/>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613" w:type="dxa"/>
            <w:vMerge w:val="restart"/>
            <w:tcBorders>
              <w:top w:val="single" w:color="auto" w:sz="4" w:space="0"/>
              <w:right w:val="single" w:color="auto" w:sz="4" w:space="0"/>
            </w:tcBorders>
            <w:vAlign w:val="center"/>
          </w:tcPr>
          <w:p>
            <w:pPr>
              <w:jc w:val="center"/>
              <w:rPr>
                <w:color w:val="auto"/>
                <w:highlight w:val="none"/>
              </w:rPr>
            </w:pPr>
            <w:r>
              <w:rPr>
                <w:color w:val="auto"/>
                <w:highlight w:val="none"/>
              </w:rPr>
              <w:t>2.1.2</w:t>
            </w:r>
          </w:p>
        </w:tc>
        <w:tc>
          <w:tcPr>
            <w:tcW w:w="1205" w:type="dxa"/>
            <w:vMerge w:val="restart"/>
            <w:tcBorders>
              <w:top w:val="single" w:color="auto" w:sz="4" w:space="0"/>
              <w:left w:val="single" w:color="auto" w:sz="4" w:space="0"/>
              <w:right w:val="single" w:color="auto" w:sz="4" w:space="0"/>
            </w:tcBorders>
            <w:vAlign w:val="center"/>
          </w:tcPr>
          <w:p>
            <w:pPr>
              <w:snapToGrid w:val="0"/>
              <w:rPr>
                <w:rFonts w:hint="eastAsia" w:ascii="宋体" w:hAnsi="宋体"/>
                <w:color w:val="auto"/>
                <w:szCs w:val="21"/>
                <w:highlight w:val="none"/>
              </w:rPr>
            </w:pPr>
            <w:r>
              <w:rPr>
                <w:rFonts w:hint="eastAsia" w:ascii="宋体" w:hAnsi="宋体"/>
                <w:color w:val="auto"/>
                <w:szCs w:val="21"/>
                <w:highlight w:val="none"/>
              </w:rPr>
              <w:t xml:space="preserve">资格评审标准  </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投标人具有独立法人资格，持有事业单位登记管理部门核发的事业单位法人证书或市场监管部门（工商行政管理部门）核发的企业法人营业执照，且在营业期限内。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资质要求</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总监理工程师</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s="宋体"/>
                <w:color w:val="auto"/>
                <w:szCs w:val="21"/>
                <w:highlight w:val="none"/>
              </w:rPr>
              <w:t>其他要求</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1）投标人参加投标的意思表达清楚，投标人代表被授权有效。</w:t>
            </w:r>
          </w:p>
          <w:p>
            <w:pPr>
              <w:snapToGrid w:val="0"/>
              <w:rPr>
                <w:rFonts w:hint="eastAsia" w:ascii="宋体" w:hAnsi="宋体" w:cs="宋体"/>
                <w:color w:val="auto"/>
                <w:szCs w:val="21"/>
                <w:highlight w:val="none"/>
              </w:rPr>
            </w:pPr>
            <w:r>
              <w:rPr>
                <w:rFonts w:hint="eastAsia" w:ascii="宋体" w:hAnsi="宋体" w:cs="宋体"/>
                <w:color w:val="auto"/>
                <w:szCs w:val="21"/>
                <w:highlight w:val="none"/>
              </w:rPr>
              <w:t>2) 投标登记前，投标人须已在广州公共资源交易中心办理企业信息登记及拟担任本工程总监理工程师须是本单位在企业库中的在册人员。</w:t>
            </w:r>
          </w:p>
          <w:p>
            <w:pPr>
              <w:snapToGrid w:val="0"/>
              <w:rPr>
                <w:rFonts w:hint="eastAsia" w:ascii="宋体" w:hAnsi="宋体" w:cs="宋体"/>
                <w:color w:val="auto"/>
                <w:szCs w:val="21"/>
                <w:highlight w:val="none"/>
              </w:rPr>
            </w:pPr>
            <w:r>
              <w:rPr>
                <w:rFonts w:hint="eastAsia" w:ascii="宋体" w:hAnsi="宋体" w:cs="宋体"/>
                <w:color w:val="auto"/>
                <w:szCs w:val="21"/>
                <w:highlight w:val="none"/>
              </w:rPr>
              <w:t>3) 投标人已按照招标公告附件一要求的内容签署盖章的《投标人声明》。</w:t>
            </w:r>
          </w:p>
          <w:p>
            <w:pPr>
              <w:snapToGrid w:val="0"/>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olor w:val="auto"/>
                <w:sz w:val="24"/>
                <w:highlight w:val="none"/>
              </w:rPr>
              <w:t>投标人未被纳入国家、省、市、区的失信联合惩戒名单且未被限制参加建设工程投标的（具体名单以递交投标文件截止时间“信用广州”https://credit.gz.gov.cn/公布的名单为准）</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atLeas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snapToGrid w:val="0"/>
              <w:rPr>
                <w:rFonts w:ascii="宋体" w:hAnsi="宋体"/>
                <w:color w:val="auto"/>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联合体投标人</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olor w:val="auto"/>
                <w:szCs w:val="21"/>
                <w:highlight w:val="none"/>
              </w:rPr>
            </w:pPr>
            <w:r>
              <w:rPr>
                <w:rFonts w:ascii="宋体" w:hAnsi="宋体"/>
                <w:color w:val="auto"/>
                <w:szCs w:val="21"/>
                <w:highlight w:val="none"/>
              </w:rPr>
              <w:t>符合第二章“投标人须知”第1.4.</w:t>
            </w:r>
            <w:r>
              <w:rPr>
                <w:rFonts w:hint="eastAsia" w:ascii="宋体" w:hAnsi="宋体"/>
                <w:color w:val="auto"/>
                <w:szCs w:val="21"/>
                <w:highlight w:val="none"/>
              </w:rPr>
              <w:t>2</w:t>
            </w:r>
            <w:r>
              <w:rPr>
                <w:rFonts w:ascii="宋体" w:hAnsi="宋体"/>
                <w:color w:val="auto"/>
                <w:szCs w:val="21"/>
                <w:highlight w:val="none"/>
              </w:rPr>
              <w:t>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不存在禁止投标的情形</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不存在第二章“投标人须知”第1.4.3项规定的任何一种情形</w:t>
            </w:r>
            <w:r>
              <w:rPr>
                <w:rFonts w:hint="eastAsia" w:ascii="宋体" w:hAnsi="宋体"/>
                <w:color w:val="auto"/>
                <w:szCs w:val="21"/>
                <w:highlight w:val="none"/>
              </w:rPr>
              <w:t>。</w:t>
            </w:r>
            <w:r>
              <w:rPr>
                <w:rFonts w:hint="eastAsia" w:ascii="宋体" w:hAnsi="宋体" w:cs="宋体"/>
                <w:color w:val="auto"/>
                <w:szCs w:val="21"/>
                <w:highlight w:val="none"/>
              </w:rPr>
              <w:t>（以投标人声明为依据）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13" w:type="dxa"/>
            <w:vMerge w:val="restart"/>
            <w:tcBorders>
              <w:top w:val="single" w:color="auto" w:sz="4" w:space="0"/>
              <w:right w:val="single" w:color="auto" w:sz="4" w:space="0"/>
            </w:tcBorders>
            <w:vAlign w:val="center"/>
          </w:tcPr>
          <w:p>
            <w:pPr>
              <w:jc w:val="center"/>
              <w:rPr>
                <w:color w:val="auto"/>
                <w:highlight w:val="none"/>
              </w:rPr>
            </w:pPr>
            <w:r>
              <w:rPr>
                <w:color w:val="auto"/>
                <w:highlight w:val="none"/>
              </w:rPr>
              <w:t>2.1.3</w:t>
            </w:r>
          </w:p>
        </w:tc>
        <w:tc>
          <w:tcPr>
            <w:tcW w:w="1205" w:type="dxa"/>
            <w:vMerge w:val="restart"/>
            <w:tcBorders>
              <w:top w:val="single" w:color="auto" w:sz="4" w:space="0"/>
              <w:left w:val="single" w:color="auto" w:sz="4" w:space="0"/>
              <w:right w:val="single" w:color="auto" w:sz="4" w:space="0"/>
            </w:tcBorders>
            <w:vAlign w:val="center"/>
          </w:tcPr>
          <w:p>
            <w:pPr>
              <w:jc w:val="center"/>
              <w:rPr>
                <w:color w:val="auto"/>
                <w:highlight w:val="none"/>
              </w:rPr>
            </w:pPr>
            <w:r>
              <w:rPr>
                <w:color w:val="auto"/>
                <w:highlight w:val="none"/>
              </w:rPr>
              <w:t>响应性评审标准</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投标报价</w:t>
            </w:r>
          </w:p>
        </w:tc>
        <w:tc>
          <w:tcPr>
            <w:tcW w:w="6345" w:type="dxa"/>
            <w:tcBorders>
              <w:top w:val="single" w:color="auto" w:sz="4" w:space="0"/>
              <w:left w:val="single" w:color="auto" w:sz="4" w:space="0"/>
              <w:bottom w:val="single" w:color="auto" w:sz="4" w:space="0"/>
            </w:tcBorders>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符合第二章“投标人须知”第3.2款规定</w:t>
            </w:r>
            <w:r>
              <w:rPr>
                <w:rFonts w:hint="eastAsia" w:ascii="宋体" w:hAnsi="宋体"/>
                <w:color w:val="auto"/>
                <w:szCs w:val="21"/>
                <w:highlight w:val="none"/>
              </w:rPr>
              <w:t>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613" w:type="dxa"/>
            <w:vMerge w:val="continue"/>
            <w:tcBorders>
              <w:right w:val="single" w:color="auto" w:sz="4" w:space="0"/>
            </w:tcBorders>
            <w:vAlign w:val="center"/>
          </w:tcPr>
          <w:p>
            <w:pPr>
              <w:jc w:val="center"/>
              <w:rPr>
                <w:color w:val="auto"/>
                <w:highlight w:val="none"/>
              </w:rPr>
            </w:pPr>
          </w:p>
        </w:tc>
        <w:tc>
          <w:tcPr>
            <w:tcW w:w="1205" w:type="dxa"/>
            <w:vMerge w:val="continue"/>
            <w:tcBorders>
              <w:left w:val="single" w:color="auto" w:sz="4" w:space="0"/>
              <w:right w:val="single" w:color="auto" w:sz="4" w:space="0"/>
            </w:tcBorders>
            <w:vAlign w:val="center"/>
          </w:tcPr>
          <w:p>
            <w:pPr>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投标内容</w:t>
            </w:r>
          </w:p>
        </w:tc>
        <w:tc>
          <w:tcPr>
            <w:tcW w:w="6345" w:type="dxa"/>
            <w:tcBorders>
              <w:top w:val="single" w:color="auto" w:sz="4" w:space="0"/>
              <w:left w:val="single" w:color="auto" w:sz="4" w:space="0"/>
              <w:bottom w:val="single" w:color="auto" w:sz="4" w:space="0"/>
            </w:tcBorders>
            <w:vAlign w:val="center"/>
          </w:tcPr>
          <w:p>
            <w:pPr>
              <w:snapToGrid w:val="0"/>
              <w:jc w:val="left"/>
              <w:rPr>
                <w:rFonts w:ascii="宋体" w:hAnsi="宋体"/>
                <w:color w:val="auto"/>
                <w:szCs w:val="21"/>
                <w:highlight w:val="none"/>
              </w:rPr>
            </w:pPr>
            <w:r>
              <w:rPr>
                <w:rFonts w:hint="eastAsia" w:ascii="宋体" w:hAnsi="宋体"/>
                <w:color w:val="auto"/>
                <w:szCs w:val="21"/>
                <w:highlight w:val="none"/>
              </w:rPr>
              <w:t>符合第二章“投标人须知”第 1.3.1 项规定。</w:t>
            </w:r>
            <w:r>
              <w:rPr>
                <w:rFonts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613" w:type="dxa"/>
            <w:vMerge w:val="continue"/>
            <w:tcBorders>
              <w:right w:val="single" w:color="auto" w:sz="4" w:space="0"/>
            </w:tcBorders>
            <w:vAlign w:val="center"/>
          </w:tcPr>
          <w:p>
            <w:pPr>
              <w:jc w:val="center"/>
              <w:rPr>
                <w:color w:val="auto"/>
                <w:highlight w:val="none"/>
              </w:rPr>
            </w:pPr>
          </w:p>
        </w:tc>
        <w:tc>
          <w:tcPr>
            <w:tcW w:w="1205" w:type="dxa"/>
            <w:vMerge w:val="continue"/>
            <w:tcBorders>
              <w:left w:val="single" w:color="auto" w:sz="4" w:space="0"/>
              <w:right w:val="single" w:color="auto" w:sz="4" w:space="0"/>
            </w:tcBorders>
            <w:vAlign w:val="center"/>
          </w:tcPr>
          <w:p>
            <w:pPr>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监理服务期限</w:t>
            </w:r>
          </w:p>
        </w:tc>
        <w:tc>
          <w:tcPr>
            <w:tcW w:w="6345" w:type="dxa"/>
            <w:tcBorders>
              <w:top w:val="single" w:color="auto" w:sz="4" w:space="0"/>
              <w:left w:val="single" w:color="auto" w:sz="4" w:space="0"/>
              <w:bottom w:val="single" w:color="auto" w:sz="4" w:space="0"/>
            </w:tcBorders>
            <w:vAlign w:val="center"/>
          </w:tcPr>
          <w:p>
            <w:pPr>
              <w:snapToGrid w:val="0"/>
              <w:jc w:val="left"/>
              <w:rPr>
                <w:rFonts w:ascii="宋体" w:hAnsi="宋体"/>
                <w:color w:val="auto"/>
                <w:szCs w:val="21"/>
                <w:highlight w:val="none"/>
              </w:rPr>
            </w:pPr>
            <w:r>
              <w:rPr>
                <w:rFonts w:ascii="宋体" w:hAnsi="宋体"/>
                <w:color w:val="auto"/>
                <w:szCs w:val="21"/>
                <w:highlight w:val="none"/>
              </w:rPr>
              <w:t>符合第二章“投标人须知”第1.3.2项规定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1" w:hRule="atLeast"/>
        </w:trPr>
        <w:tc>
          <w:tcPr>
            <w:tcW w:w="613" w:type="dxa"/>
            <w:vMerge w:val="continue"/>
            <w:tcBorders>
              <w:right w:val="single" w:color="auto" w:sz="4" w:space="0"/>
            </w:tcBorders>
            <w:vAlign w:val="center"/>
          </w:tcPr>
          <w:p>
            <w:pPr>
              <w:jc w:val="center"/>
              <w:rPr>
                <w:color w:val="auto"/>
                <w:highlight w:val="none"/>
              </w:rPr>
            </w:pPr>
          </w:p>
        </w:tc>
        <w:tc>
          <w:tcPr>
            <w:tcW w:w="1205" w:type="dxa"/>
            <w:vMerge w:val="continue"/>
            <w:tcBorders>
              <w:left w:val="single" w:color="auto" w:sz="4" w:space="0"/>
              <w:right w:val="single" w:color="auto" w:sz="4" w:space="0"/>
            </w:tcBorders>
            <w:vAlign w:val="center"/>
          </w:tcPr>
          <w:p>
            <w:pPr>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质量标准</w:t>
            </w:r>
          </w:p>
        </w:tc>
        <w:tc>
          <w:tcPr>
            <w:tcW w:w="6345" w:type="dxa"/>
            <w:tcBorders>
              <w:top w:val="single" w:color="auto" w:sz="4" w:space="0"/>
              <w:left w:val="single" w:color="auto" w:sz="4" w:space="0"/>
              <w:bottom w:val="single" w:color="auto" w:sz="4"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613" w:type="dxa"/>
            <w:vMerge w:val="continue"/>
            <w:tcBorders>
              <w:right w:val="single" w:color="auto" w:sz="4" w:space="0"/>
            </w:tcBorders>
            <w:vAlign w:val="center"/>
          </w:tcPr>
          <w:p>
            <w:pPr>
              <w:jc w:val="center"/>
              <w:rPr>
                <w:color w:val="auto"/>
                <w:highlight w:val="none"/>
              </w:rPr>
            </w:pPr>
          </w:p>
        </w:tc>
        <w:tc>
          <w:tcPr>
            <w:tcW w:w="1205" w:type="dxa"/>
            <w:vMerge w:val="continue"/>
            <w:tcBorders>
              <w:left w:val="single" w:color="auto" w:sz="4" w:space="0"/>
              <w:right w:val="single" w:color="auto" w:sz="4" w:space="0"/>
            </w:tcBorders>
            <w:vAlign w:val="center"/>
          </w:tcPr>
          <w:p>
            <w:pPr>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投标有效期</w:t>
            </w:r>
          </w:p>
        </w:tc>
        <w:tc>
          <w:tcPr>
            <w:tcW w:w="6345" w:type="dxa"/>
            <w:tcBorders>
              <w:top w:val="single" w:color="auto" w:sz="4" w:space="0"/>
              <w:left w:val="single" w:color="auto" w:sz="4" w:space="0"/>
              <w:bottom w:val="single" w:color="auto" w:sz="4"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trike/>
                <w:color w:val="auto"/>
                <w:szCs w:val="21"/>
                <w:highlight w:val="none"/>
              </w:rPr>
            </w:pPr>
            <w:r>
              <w:rPr>
                <w:rFonts w:ascii="宋体" w:hAnsi="宋体"/>
                <w:strike/>
                <w:color w:val="auto"/>
                <w:szCs w:val="21"/>
                <w:highlight w:val="none"/>
              </w:rPr>
              <w:t>投标保证金</w:t>
            </w:r>
          </w:p>
        </w:tc>
        <w:tc>
          <w:tcPr>
            <w:tcW w:w="6345" w:type="dxa"/>
            <w:tcBorders>
              <w:top w:val="single" w:color="auto" w:sz="4" w:space="0"/>
              <w:left w:val="single" w:color="auto" w:sz="4" w:space="0"/>
              <w:bottom w:val="single" w:color="auto" w:sz="4" w:space="0"/>
            </w:tcBorders>
            <w:vAlign w:val="center"/>
          </w:tcPr>
          <w:p>
            <w:pPr>
              <w:snapToGrid w:val="0"/>
              <w:rPr>
                <w:rFonts w:ascii="宋体" w:hAnsi="宋体"/>
                <w:strike/>
                <w:color w:val="auto"/>
                <w:szCs w:val="21"/>
                <w:highlight w:val="none"/>
              </w:rPr>
            </w:pPr>
            <w:r>
              <w:rPr>
                <w:rFonts w:hint="eastAsia" w:ascii="宋体" w:hAnsi="宋体"/>
                <w:strike/>
                <w:color w:val="auto"/>
                <w:szCs w:val="21"/>
                <w:highlight w:val="none"/>
              </w:rPr>
              <w:t>符合第二章</w:t>
            </w:r>
            <w:r>
              <w:rPr>
                <w:rFonts w:ascii="宋体" w:hAnsi="宋体"/>
                <w:strike/>
                <w:color w:val="auto"/>
                <w:szCs w:val="21"/>
                <w:highlight w:val="none"/>
              </w:rPr>
              <w:t>“</w:t>
            </w:r>
            <w:r>
              <w:rPr>
                <w:rFonts w:hint="eastAsia" w:ascii="宋体" w:hAnsi="宋体"/>
                <w:strike/>
                <w:color w:val="auto"/>
                <w:szCs w:val="21"/>
                <w:highlight w:val="none"/>
              </w:rPr>
              <w:t>投标人须知</w:t>
            </w:r>
            <w:r>
              <w:rPr>
                <w:rFonts w:ascii="宋体" w:hAnsi="宋体"/>
                <w:strike/>
                <w:color w:val="auto"/>
                <w:szCs w:val="21"/>
                <w:highlight w:val="none"/>
              </w:rPr>
              <w:t>”</w:t>
            </w:r>
            <w:r>
              <w:rPr>
                <w:rFonts w:hint="eastAsia" w:ascii="宋体" w:hAnsi="宋体"/>
                <w:strike/>
                <w:color w:val="auto"/>
                <w:szCs w:val="21"/>
                <w:highlight w:val="none"/>
              </w:rPr>
              <w:t>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613" w:type="dxa"/>
            <w:vMerge w:val="continue"/>
            <w:tcBorders>
              <w:right w:val="single" w:color="auto" w:sz="4" w:space="0"/>
            </w:tcBorders>
            <w:vAlign w:val="center"/>
          </w:tcPr>
          <w:p>
            <w:pPr>
              <w:rPr>
                <w:color w:val="auto"/>
                <w:highlight w:val="none"/>
              </w:rPr>
            </w:pPr>
          </w:p>
        </w:tc>
        <w:tc>
          <w:tcPr>
            <w:tcW w:w="1205" w:type="dxa"/>
            <w:vMerge w:val="continue"/>
            <w:tcBorders>
              <w:left w:val="single" w:color="auto" w:sz="4" w:space="0"/>
              <w:right w:val="single" w:color="auto" w:sz="4" w:space="0"/>
            </w:tcBorders>
            <w:vAlign w:val="center"/>
          </w:tcPr>
          <w:p>
            <w:pP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宋体" w:hAnsi="宋体"/>
                <w:color w:val="auto"/>
                <w:szCs w:val="21"/>
                <w:highlight w:val="none"/>
              </w:rPr>
            </w:pPr>
            <w:r>
              <w:rPr>
                <w:rFonts w:hint="eastAsia" w:ascii="宋体" w:hAnsi="宋体"/>
                <w:color w:val="auto"/>
                <w:szCs w:val="21"/>
                <w:highlight w:val="none"/>
              </w:rPr>
              <w:t>串通投标情形</w:t>
            </w:r>
          </w:p>
        </w:tc>
        <w:tc>
          <w:tcPr>
            <w:tcW w:w="6345" w:type="dxa"/>
            <w:tcBorders>
              <w:top w:val="single" w:color="auto" w:sz="4" w:space="0"/>
              <w:left w:val="single" w:color="auto" w:sz="4" w:space="0"/>
              <w:bottom w:val="single" w:color="auto" w:sz="4" w:space="0"/>
            </w:tcBorders>
            <w:vAlign w:val="top"/>
          </w:tcPr>
          <w:p>
            <w:pPr>
              <w:snapToGrid w:val="0"/>
              <w:jc w:val="left"/>
              <w:rPr>
                <w:rFonts w:ascii="宋体" w:hAnsi="宋体"/>
                <w:color w:val="auto"/>
                <w:szCs w:val="21"/>
                <w:highlight w:val="none"/>
              </w:rPr>
            </w:pPr>
            <w:r>
              <w:rPr>
                <w:rFonts w:hint="eastAsia" w:ascii="宋体" w:hAnsi="宋体"/>
                <w:color w:val="auto"/>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818" w:type="dxa"/>
            <w:gridSpan w:val="2"/>
            <w:tcBorders>
              <w:top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条款内容</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1818" w:type="dxa"/>
            <w:gridSpan w:val="2"/>
            <w:tcBorders>
              <w:bottom w:val="single" w:color="auto" w:sz="4" w:space="0"/>
              <w:right w:val="single" w:color="auto" w:sz="4" w:space="0"/>
            </w:tcBorders>
            <w:vAlign w:val="center"/>
          </w:tcPr>
          <w:p>
            <w:pPr>
              <w:jc w:val="center"/>
              <w:rPr>
                <w:color w:val="auto"/>
                <w:highlight w:val="none"/>
              </w:rPr>
            </w:pPr>
            <w:r>
              <w:rPr>
                <w:color w:val="auto"/>
                <w:highlight w:val="none"/>
              </w:rPr>
              <w:t>2.2.1</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highlight w:val="none"/>
              </w:rPr>
            </w:pPr>
            <w:r>
              <w:rPr>
                <w:rFonts w:ascii="宋体" w:hAnsi="宋体"/>
                <w:color w:val="auto"/>
                <w:szCs w:val="21"/>
                <w:highlight w:val="none"/>
              </w:rPr>
              <w:t>分值构成</w:t>
            </w:r>
          </w:p>
          <w:p>
            <w:pPr>
              <w:snapToGrid w:val="0"/>
              <w:jc w:val="left"/>
              <w:rPr>
                <w:rFonts w:ascii="宋体" w:hAnsi="宋体"/>
                <w:color w:val="auto"/>
                <w:szCs w:val="21"/>
                <w:highlight w:val="none"/>
              </w:rPr>
            </w:pPr>
            <w:r>
              <w:rPr>
                <w:rFonts w:ascii="宋体" w:hAnsi="宋体"/>
                <w:color w:val="auto"/>
                <w:szCs w:val="21"/>
                <w:highlight w:val="none"/>
              </w:rPr>
              <w:t>(总分100分)</w:t>
            </w:r>
          </w:p>
        </w:tc>
        <w:tc>
          <w:tcPr>
            <w:tcW w:w="63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left"/>
              <w:rPr>
                <w:rFonts w:ascii="宋体" w:hAnsi="宋体" w:cs="宋体"/>
                <w:color w:val="auto"/>
                <w:szCs w:val="21"/>
                <w:highlight w:val="none"/>
              </w:rPr>
            </w:pPr>
            <w:r>
              <w:rPr>
                <w:rFonts w:hint="eastAsia" w:ascii="宋体" w:hAnsi="宋体" w:cs="宋体"/>
                <w:color w:val="auto"/>
                <w:szCs w:val="21"/>
                <w:highlight w:val="none"/>
              </w:rPr>
              <w:t>投标人总得分：</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分</w:t>
            </w:r>
          </w:p>
          <w:p>
            <w:pPr>
              <w:autoSpaceDE w:val="0"/>
              <w:autoSpaceDN w:val="0"/>
              <w:adjustRightInd w:val="0"/>
              <w:spacing w:line="310" w:lineRule="exact"/>
              <w:jc w:val="left"/>
              <w:rPr>
                <w:rFonts w:ascii="宋体" w:hAnsi="宋体" w:cs="宋体"/>
                <w:color w:val="auto"/>
                <w:szCs w:val="21"/>
                <w:highlight w:val="none"/>
              </w:rPr>
            </w:pPr>
            <w:r>
              <w:rPr>
                <w:rFonts w:hint="eastAsia" w:ascii="宋体" w:hAnsi="宋体" w:cs="宋体"/>
                <w:color w:val="auto"/>
                <w:szCs w:val="21"/>
                <w:highlight w:val="none"/>
              </w:rPr>
              <w:t>资信业绩部分：</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 </w:t>
            </w:r>
          </w:p>
          <w:p>
            <w:pPr>
              <w:autoSpaceDE w:val="0"/>
              <w:autoSpaceDN w:val="0"/>
              <w:adjustRightInd w:val="0"/>
              <w:spacing w:line="310" w:lineRule="exact"/>
              <w:jc w:val="left"/>
              <w:rPr>
                <w:rFonts w:ascii="宋体" w:hAnsi="宋体" w:cs="宋体"/>
                <w:color w:val="auto"/>
                <w:szCs w:val="21"/>
                <w:highlight w:val="none"/>
              </w:rPr>
            </w:pPr>
            <w:r>
              <w:rPr>
                <w:rFonts w:hint="eastAsia" w:ascii="宋体" w:hAnsi="宋体" w:cs="宋体"/>
                <w:color w:val="auto"/>
                <w:szCs w:val="21"/>
                <w:highlight w:val="none"/>
              </w:rPr>
              <w:t>监理大纲部分：</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 </w:t>
            </w:r>
          </w:p>
          <w:p>
            <w:pPr>
              <w:autoSpaceDE w:val="0"/>
              <w:autoSpaceDN w:val="0"/>
              <w:adjustRightInd w:val="0"/>
              <w:spacing w:line="31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pPr>
              <w:keepNext w:val="0"/>
              <w:keepLines w:val="0"/>
              <w:pageBreakBefore w:val="0"/>
              <w:widowControl w:val="0"/>
              <w:wordWrap w:val="0"/>
              <w:bidi w:val="0"/>
              <w:spacing w:line="240" w:lineRule="auto"/>
              <w:rPr>
                <w:rFonts w:hint="eastAsia" w:ascii="宋体" w:hAnsi="宋体"/>
                <w:color w:val="auto"/>
                <w:szCs w:val="21"/>
                <w:highlight w:val="none"/>
              </w:rPr>
            </w:pPr>
            <w:r>
              <w:rPr>
                <w:rFonts w:hint="eastAsia" w:ascii="宋体" w:hAnsi="宋体" w:eastAsia="宋体" w:cs="宋体"/>
                <w:sz w:val="21"/>
                <w:szCs w:val="21"/>
                <w:highlight w:val="none"/>
              </w:rPr>
              <w:t>投标人综合得分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资信业绩部分</w:t>
            </w:r>
            <w:r>
              <w:rPr>
                <w:rFonts w:hint="eastAsia" w:ascii="宋体" w:hAnsi="宋体" w:cs="宋体"/>
                <w:sz w:val="21"/>
                <w:szCs w:val="21"/>
                <w:highlight w:val="none"/>
                <w:lang w:val="en-US" w:eastAsia="zh-CN"/>
              </w:rPr>
              <w:t>得分+</w:t>
            </w:r>
            <w:r>
              <w:rPr>
                <w:rFonts w:hint="eastAsia" w:ascii="宋体" w:hAnsi="宋体" w:eastAsia="宋体" w:cs="宋体"/>
                <w:sz w:val="21"/>
                <w:szCs w:val="21"/>
                <w:highlight w:val="none"/>
              </w:rPr>
              <w:t>监理大纲部分</w:t>
            </w:r>
            <w:r>
              <w:rPr>
                <w:rFonts w:hint="eastAsia" w:ascii="宋体" w:hAnsi="宋体" w:cs="宋体"/>
                <w:sz w:val="21"/>
                <w:szCs w:val="21"/>
                <w:highlight w:val="none"/>
                <w:lang w:val="en-US" w:eastAsia="zh-CN"/>
              </w:rPr>
              <w:t>得分+</w:t>
            </w:r>
            <w:r>
              <w:rPr>
                <w:rFonts w:hint="eastAsia" w:ascii="宋体" w:hAnsi="宋体" w:eastAsia="宋体" w:cs="宋体"/>
                <w:sz w:val="21"/>
                <w:szCs w:val="21"/>
                <w:highlight w:val="none"/>
              </w:rPr>
              <w:t>投标报价</w:t>
            </w:r>
            <w:r>
              <w:rPr>
                <w:rFonts w:hint="eastAsia" w:ascii="宋体" w:hAnsi="宋体" w:cs="宋体"/>
                <w:sz w:val="21"/>
                <w:szCs w:val="21"/>
                <w:highlight w:val="none"/>
                <w:lang w:val="en-US" w:eastAsia="zh-CN"/>
              </w:rPr>
              <w:t>得分；</w:t>
            </w:r>
            <w:r>
              <w:rPr>
                <w:rFonts w:hint="eastAsia" w:ascii="宋体" w:hAnsi="宋体" w:eastAsia="宋体" w:cs="宋体"/>
                <w:sz w:val="21"/>
                <w:szCs w:val="21"/>
                <w:highlight w:val="none"/>
              </w:rPr>
              <w:t>监理大纲部分</w:t>
            </w:r>
            <w:r>
              <w:rPr>
                <w:rFonts w:hint="eastAsia" w:ascii="宋体" w:hAnsi="宋体" w:cs="宋体"/>
                <w:sz w:val="21"/>
                <w:szCs w:val="21"/>
                <w:highlight w:val="none"/>
                <w:lang w:val="en-US" w:eastAsia="zh-CN"/>
              </w:rPr>
              <w:t>得分</w:t>
            </w:r>
            <w:r>
              <w:rPr>
                <w:rFonts w:hint="eastAsia" w:ascii="宋体" w:hAnsi="宋体" w:eastAsia="宋体" w:cs="宋体"/>
                <w:sz w:val="21"/>
                <w:szCs w:val="21"/>
                <w:highlight w:val="none"/>
              </w:rPr>
              <w:t>为各评委的评分去掉一个最高分和一个最低分后计取的算术平均分（分数出现小数点时，保留小数点后二位，第三位小数四舍五入）。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1818" w:type="dxa"/>
            <w:gridSpan w:val="2"/>
            <w:tcBorders>
              <w:top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2.2.2</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highlight w:val="none"/>
              </w:rPr>
            </w:pPr>
            <w:r>
              <w:rPr>
                <w:rFonts w:ascii="宋体" w:hAnsi="宋体"/>
                <w:color w:val="auto"/>
                <w:szCs w:val="21"/>
                <w:highlight w:val="none"/>
              </w:rPr>
              <w:t>评标基准价计算方法</w:t>
            </w:r>
          </w:p>
        </w:tc>
        <w:tc>
          <w:tcPr>
            <w:tcW w:w="63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pacing w:val="-3"/>
                <w:highlight w:val="none"/>
              </w:rPr>
            </w:pPr>
            <w:r>
              <w:rPr>
                <w:rFonts w:hint="eastAsia" w:ascii="宋体" w:hAnsi="宋体"/>
                <w:color w:val="auto"/>
                <w:spacing w:val="-3"/>
                <w:highlight w:val="none"/>
              </w:rPr>
              <w:t>当通过形式评审、资格评审、响应性评审的</w:t>
            </w:r>
            <w:r>
              <w:rPr>
                <w:rFonts w:ascii="宋体" w:hAnsi="宋体"/>
                <w:color w:val="auto"/>
                <w:spacing w:val="-3"/>
                <w:highlight w:val="none"/>
              </w:rPr>
              <w:t>有效投标人且经算术校核的投标人的报价大于5个，去一个最高价和一个最低价后，剩余报价的算术平均值为评标基准价。若投标人的报价少于或等于5个，直接取投标价的算术平均值为评标基准价。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1818" w:type="dxa"/>
            <w:gridSpan w:val="2"/>
            <w:tcBorders>
              <w:top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2.2.3</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ascii="宋体" w:hAnsi="宋体"/>
                <w:color w:val="auto"/>
                <w:szCs w:val="21"/>
                <w:highlight w:val="none"/>
              </w:rPr>
              <w:t>投标报价的偏差率计算公式</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pacing w:val="-3"/>
                <w:highlight w:val="none"/>
              </w:rPr>
            </w:pPr>
            <w:r>
              <w:rPr>
                <w:rFonts w:ascii="宋体" w:hAnsi="宋体"/>
                <w:color w:val="auto"/>
                <w:spacing w:val="-3"/>
                <w:highlight w:val="none"/>
              </w:rPr>
              <w:t>偏差率=100% ×|（投标人报价-评标基准价）|/评标基准价（偏差率出现小数点时，保留小数点后2位，第三位小数四舍五入。）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blHeader/>
        </w:trPr>
        <w:tc>
          <w:tcPr>
            <w:tcW w:w="1818" w:type="dxa"/>
            <w:gridSpan w:val="2"/>
            <w:tcBorders>
              <w:top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1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评分因素</w:t>
            </w:r>
            <w:r>
              <w:rPr>
                <w:rFonts w:hint="eastAsia" w:ascii="宋体" w:hAnsi="宋体"/>
                <w:b/>
                <w:color w:val="auto"/>
                <w:szCs w:val="21"/>
                <w:highlight w:val="none"/>
              </w:rPr>
              <w:t>（偏差率）</w:t>
            </w:r>
          </w:p>
        </w:tc>
        <w:tc>
          <w:tcPr>
            <w:tcW w:w="6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0" w:hRule="atLeast"/>
        </w:trPr>
        <w:tc>
          <w:tcPr>
            <w:tcW w:w="613" w:type="dxa"/>
            <w:vMerge w:val="restart"/>
            <w:tcBorders>
              <w:top w:val="single" w:color="auto" w:sz="4" w:space="0"/>
              <w:bottom w:val="single" w:color="auto" w:sz="4" w:space="0"/>
              <w:right w:val="single" w:color="auto" w:sz="4" w:space="0"/>
            </w:tcBorders>
            <w:vAlign w:val="center"/>
          </w:tcPr>
          <w:p>
            <w:pPr>
              <w:pStyle w:val="48"/>
              <w:kinsoku w:val="0"/>
              <w:overflowPunct w:val="0"/>
              <w:ind w:left="-63" w:leftChars="-30" w:right="-111" w:rightChars="-53" w:firstLine="63" w:firstLineChars="30"/>
              <w:jc w:val="center"/>
              <w:rPr>
                <w:color w:val="auto"/>
                <w:highlight w:val="none"/>
              </w:rPr>
            </w:pPr>
            <w:r>
              <w:rPr>
                <w:color w:val="auto"/>
                <w:highlight w:val="none"/>
              </w:rPr>
              <w:t>2.2.4</w:t>
            </w:r>
          </w:p>
          <w:p>
            <w:pPr>
              <w:pStyle w:val="48"/>
              <w:kinsoku w:val="0"/>
              <w:overflowPunct w:val="0"/>
              <w:spacing w:before="6" w:line="110" w:lineRule="exact"/>
              <w:ind w:left="-63" w:leftChars="-30" w:right="-111" w:rightChars="-53" w:firstLine="33" w:firstLineChars="30"/>
              <w:jc w:val="center"/>
              <w:rPr>
                <w:color w:val="auto"/>
                <w:sz w:val="11"/>
                <w:highlight w:val="none"/>
              </w:rPr>
            </w:pPr>
          </w:p>
          <w:p>
            <w:pPr>
              <w:pStyle w:val="48"/>
              <w:kinsoku w:val="0"/>
              <w:overflowPunct w:val="0"/>
              <w:ind w:left="-63" w:leftChars="-30" w:right="-111" w:rightChars="-53" w:firstLine="62" w:firstLineChars="30"/>
              <w:jc w:val="center"/>
              <w:rPr>
                <w:color w:val="auto"/>
                <w:highlight w:val="none"/>
              </w:rPr>
            </w:pPr>
            <w:r>
              <w:rPr>
                <w:rFonts w:ascii="宋体" w:hAnsi="宋体"/>
                <w:color w:val="auto"/>
                <w:spacing w:val="-1"/>
                <w:highlight w:val="none"/>
              </w:rPr>
              <w:t>（</w:t>
            </w:r>
            <w:r>
              <w:rPr>
                <w:color w:val="auto"/>
                <w:highlight w:val="none"/>
              </w:rPr>
              <w:t>1</w:t>
            </w:r>
            <w:r>
              <w:rPr>
                <w:rFonts w:ascii="宋体" w:hAnsi="宋体"/>
                <w:color w:val="auto"/>
                <w:highlight w:val="none"/>
              </w:rPr>
              <w:t>）</w:t>
            </w:r>
          </w:p>
        </w:tc>
        <w:tc>
          <w:tcPr>
            <w:tcW w:w="1205" w:type="dxa"/>
            <w:vMerge w:val="restart"/>
            <w:tcBorders>
              <w:top w:val="single" w:color="auto" w:sz="4" w:space="0"/>
              <w:bottom w:val="single" w:color="auto" w:sz="4" w:space="0"/>
              <w:right w:val="single" w:color="auto" w:sz="4" w:space="0"/>
            </w:tcBorders>
            <w:vAlign w:val="center"/>
          </w:tcPr>
          <w:p>
            <w:pPr>
              <w:ind w:left="315" w:hanging="315" w:hangingChars="150"/>
              <w:jc w:val="center"/>
              <w:rPr>
                <w:rFonts w:hint="eastAsia" w:ascii="宋体" w:hAnsi="宋体"/>
                <w:color w:val="auto"/>
                <w:highlight w:val="none"/>
              </w:rPr>
            </w:pPr>
            <w:r>
              <w:rPr>
                <w:rFonts w:hint="eastAsia" w:ascii="宋体" w:hAnsi="宋体"/>
                <w:color w:val="auto"/>
                <w:highlight w:val="none"/>
              </w:rPr>
              <w:t>资信</w:t>
            </w:r>
            <w:r>
              <w:rPr>
                <w:rFonts w:hint="eastAsia" w:ascii="宋体" w:hAnsi="宋体"/>
                <w:color w:val="auto"/>
                <w:spacing w:val="-3"/>
                <w:highlight w:val="none"/>
              </w:rPr>
              <w:t>业</w:t>
            </w:r>
            <w:r>
              <w:rPr>
                <w:rFonts w:hint="eastAsia" w:ascii="宋体" w:hAnsi="宋体"/>
                <w:color w:val="auto"/>
                <w:highlight w:val="none"/>
              </w:rPr>
              <w:t>绩</w:t>
            </w:r>
          </w:p>
          <w:p>
            <w:pPr>
              <w:ind w:left="315" w:hanging="315" w:hangingChars="150"/>
              <w:jc w:val="center"/>
              <w:rPr>
                <w:rFonts w:hint="eastAsia"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ind w:left="315" w:hanging="315" w:hangingChars="150"/>
              <w:jc w:val="center"/>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45</w:t>
            </w:r>
            <w:r>
              <w:rPr>
                <w:rFonts w:hint="eastAsia" w:ascii="宋体" w:hAnsi="宋体"/>
                <w:color w:val="auto"/>
                <w:highlight w:val="none"/>
              </w:rPr>
              <w:t>分）</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wordWrap w:val="0"/>
              <w:bidi w:val="0"/>
              <w:snapToGrid w:val="0"/>
              <w:spacing w:line="240" w:lineRule="auto"/>
              <w:jc w:val="center"/>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类似项目业绩</w:t>
            </w:r>
          </w:p>
          <w:p>
            <w:pPr>
              <w:keepNext w:val="0"/>
              <w:keepLines w:val="0"/>
              <w:pageBreakBefore w:val="0"/>
              <w:widowControl w:val="0"/>
              <w:wordWrap w:val="0"/>
              <w:bidi w:val="0"/>
              <w:snapToGrid w:val="0"/>
              <w:spacing w:line="240" w:lineRule="auto"/>
              <w:jc w:val="center"/>
              <w:rPr>
                <w:rFonts w:hint="eastAsia" w:ascii="宋体" w:hAnsi="宋体" w:eastAsia="宋体" w:cs="宋体"/>
                <w:spacing w:val="-3"/>
                <w:kern w:val="2"/>
                <w:sz w:val="21"/>
                <w:szCs w:val="21"/>
                <w:highlight w:val="none"/>
                <w:lang w:val="zh-CN" w:eastAsia="zh-CN" w:bidi="ar-SA"/>
              </w:rPr>
            </w:pPr>
            <w:r>
              <w:rPr>
                <w:rFonts w:hint="eastAsia" w:ascii="宋体" w:hAnsi="宋体" w:eastAsia="宋体" w:cs="宋体"/>
                <w:spacing w:val="-3"/>
                <w:sz w:val="21"/>
                <w:szCs w:val="21"/>
                <w:highlight w:val="none"/>
                <w:lang w:val="zh-CN"/>
              </w:rPr>
              <w:t>（</w:t>
            </w:r>
            <w:r>
              <w:rPr>
                <w:rFonts w:hint="eastAsia" w:ascii="宋体" w:hAnsi="宋体" w:cs="宋体"/>
                <w:spacing w:val="-3"/>
                <w:sz w:val="21"/>
                <w:szCs w:val="21"/>
                <w:highlight w:val="none"/>
                <w:lang w:val="en-US" w:eastAsia="zh-CN"/>
              </w:rPr>
              <w:t>15</w:t>
            </w:r>
            <w:r>
              <w:rPr>
                <w:rFonts w:hint="eastAsia" w:ascii="宋体" w:hAnsi="宋体" w:eastAsia="宋体" w:cs="宋体"/>
                <w:spacing w:val="-3"/>
                <w:sz w:val="21"/>
                <w:szCs w:val="21"/>
                <w:highlight w:val="none"/>
                <w:lang w:val="zh-CN"/>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wordWrap w:val="0"/>
              <w:bidi w:val="0"/>
              <w:snapToGrid w:val="0"/>
              <w:spacing w:line="240" w:lineRule="auto"/>
              <w:jc w:val="left"/>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自20</w:t>
            </w:r>
            <w:r>
              <w:rPr>
                <w:rFonts w:hint="eastAsia" w:ascii="宋体" w:hAnsi="宋体" w:cs="宋体"/>
                <w:spacing w:val="-3"/>
                <w:sz w:val="21"/>
                <w:szCs w:val="21"/>
                <w:highlight w:val="none"/>
                <w:lang w:val="en-US" w:eastAsia="zh-CN"/>
              </w:rPr>
              <w:t>21</w:t>
            </w:r>
            <w:r>
              <w:rPr>
                <w:rFonts w:hint="eastAsia" w:ascii="宋体" w:hAnsi="宋体" w:eastAsia="宋体" w:cs="宋体"/>
                <w:spacing w:val="-3"/>
                <w:sz w:val="21"/>
                <w:szCs w:val="21"/>
                <w:highlight w:val="none"/>
                <w:lang w:val="zh-CN"/>
              </w:rPr>
              <w:t>年1月1日至今</w:t>
            </w:r>
            <w:r>
              <w:rPr>
                <w:rFonts w:hint="eastAsia" w:ascii="宋体" w:hAnsi="宋体" w:eastAsia="宋体" w:cs="宋体"/>
                <w:spacing w:val="-3"/>
                <w:sz w:val="21"/>
                <w:szCs w:val="21"/>
                <w:highlight w:val="none"/>
                <w:lang w:val="en-US" w:eastAsia="zh-CN"/>
              </w:rPr>
              <w:t>独立</w:t>
            </w:r>
            <w:r>
              <w:rPr>
                <w:rFonts w:hint="eastAsia" w:ascii="宋体" w:hAnsi="宋体" w:cs="宋体"/>
                <w:spacing w:val="-3"/>
                <w:sz w:val="21"/>
                <w:szCs w:val="21"/>
                <w:highlight w:val="none"/>
                <w:lang w:val="en-US" w:eastAsia="zh-CN"/>
              </w:rPr>
              <w:t>承接</w:t>
            </w:r>
            <w:r>
              <w:rPr>
                <w:rFonts w:hint="eastAsia" w:ascii="宋体" w:hAnsi="宋体" w:eastAsia="宋体" w:cs="宋体"/>
                <w:spacing w:val="-3"/>
                <w:sz w:val="21"/>
                <w:szCs w:val="21"/>
                <w:highlight w:val="none"/>
                <w:lang w:val="zh-CN"/>
              </w:rPr>
              <w:t>过</w:t>
            </w:r>
            <w:r>
              <w:rPr>
                <w:rFonts w:hint="eastAsia" w:ascii="宋体" w:hAnsi="宋体" w:cs="宋体"/>
                <w:spacing w:val="-3"/>
                <w:sz w:val="21"/>
                <w:szCs w:val="21"/>
                <w:highlight w:val="none"/>
                <w:lang w:val="en-US" w:eastAsia="zh-CN"/>
              </w:rPr>
              <w:t>工程</w:t>
            </w:r>
            <w:r>
              <w:rPr>
                <w:rFonts w:hint="eastAsia" w:ascii="宋体" w:hAnsi="宋体" w:eastAsia="宋体" w:cs="宋体"/>
                <w:spacing w:val="-3"/>
                <w:sz w:val="21"/>
                <w:szCs w:val="21"/>
                <w:highlight w:val="none"/>
                <w:lang w:val="zh-CN"/>
              </w:rPr>
              <w:t>总投资</w:t>
            </w:r>
            <w:r>
              <w:rPr>
                <w:rFonts w:hint="eastAsia" w:ascii="宋体" w:hAnsi="宋体" w:cs="宋体"/>
                <w:color w:val="auto"/>
                <w:spacing w:val="-3"/>
                <w:sz w:val="21"/>
                <w:szCs w:val="21"/>
                <w:highlight w:val="none"/>
                <w:lang w:val="en-US" w:eastAsia="zh-CN"/>
              </w:rPr>
              <w:t>2800</w:t>
            </w:r>
            <w:r>
              <w:rPr>
                <w:rFonts w:hint="eastAsia" w:ascii="宋体" w:hAnsi="宋体" w:eastAsia="宋体" w:cs="宋体"/>
                <w:spacing w:val="-3"/>
                <w:sz w:val="21"/>
                <w:szCs w:val="21"/>
                <w:highlight w:val="none"/>
                <w:lang w:val="zh-CN"/>
              </w:rPr>
              <w:t>万元或以上</w:t>
            </w:r>
            <w:r>
              <w:rPr>
                <w:rFonts w:hint="eastAsia" w:ascii="宋体" w:hAnsi="宋体" w:eastAsia="宋体" w:cs="宋体"/>
                <w:spacing w:val="-3"/>
                <w:sz w:val="21"/>
                <w:szCs w:val="21"/>
                <w:highlight w:val="none"/>
                <w:lang w:val="zh-CN"/>
              </w:rPr>
              <w:t>的</w:t>
            </w:r>
            <w:r>
              <w:rPr>
                <w:rFonts w:hint="eastAsia" w:ascii="宋体" w:hAnsi="宋体" w:eastAsia="宋体" w:cs="宋体"/>
                <w:sz w:val="21"/>
                <w:szCs w:val="21"/>
                <w:highlight w:val="none"/>
              </w:rPr>
              <w:t>市政公用工程监理项目</w:t>
            </w:r>
            <w:r>
              <w:rPr>
                <w:rFonts w:hint="eastAsia" w:ascii="宋体" w:hAnsi="宋体" w:eastAsia="宋体" w:cs="宋体"/>
                <w:spacing w:val="-3"/>
                <w:sz w:val="21"/>
                <w:szCs w:val="21"/>
                <w:highlight w:val="none"/>
                <w:lang w:val="zh-CN"/>
              </w:rPr>
              <w:t>业绩，每项得</w:t>
            </w:r>
            <w:r>
              <w:rPr>
                <w:rFonts w:hint="eastAsia" w:ascii="宋体" w:hAnsi="宋体" w:eastAsia="宋体" w:cs="宋体"/>
                <w:spacing w:val="-3"/>
                <w:sz w:val="21"/>
                <w:szCs w:val="21"/>
                <w:highlight w:val="none"/>
                <w:lang w:val="en-US" w:eastAsia="zh-CN"/>
              </w:rPr>
              <w:t>3</w:t>
            </w:r>
            <w:r>
              <w:rPr>
                <w:rFonts w:hint="eastAsia" w:ascii="宋体" w:hAnsi="宋体" w:eastAsia="宋体" w:cs="宋体"/>
                <w:spacing w:val="-3"/>
                <w:sz w:val="21"/>
                <w:szCs w:val="21"/>
                <w:highlight w:val="none"/>
                <w:lang w:val="zh-CN"/>
              </w:rPr>
              <w:t>分。</w:t>
            </w:r>
          </w:p>
          <w:p>
            <w:pPr>
              <w:keepNext w:val="0"/>
              <w:keepLines w:val="0"/>
              <w:pageBreakBefore w:val="0"/>
              <w:widowControl w:val="0"/>
              <w:wordWrap w:val="0"/>
              <w:topLinePunct/>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rPr>
              <w:t>注：</w:t>
            </w:r>
            <w:r>
              <w:rPr>
                <w:rFonts w:hint="eastAsia" w:ascii="宋体" w:hAnsi="宋体" w:eastAsia="宋体" w:cs="宋体"/>
                <w:spacing w:val="-3"/>
                <w:sz w:val="21"/>
                <w:szCs w:val="21"/>
                <w:highlight w:val="none"/>
                <w:lang w:val="en-US" w:eastAsia="zh-CN"/>
              </w:rPr>
              <w:t>本项最多得</w:t>
            </w:r>
            <w:r>
              <w:rPr>
                <w:rFonts w:hint="eastAsia" w:ascii="宋体" w:hAnsi="宋体" w:cs="宋体"/>
                <w:spacing w:val="-3"/>
                <w:sz w:val="21"/>
                <w:szCs w:val="21"/>
                <w:highlight w:val="none"/>
                <w:lang w:val="en-US" w:eastAsia="zh-CN"/>
              </w:rPr>
              <w:t>15</w:t>
            </w:r>
            <w:r>
              <w:rPr>
                <w:rFonts w:hint="eastAsia" w:ascii="宋体" w:hAnsi="宋体" w:eastAsia="宋体" w:cs="宋体"/>
                <w:spacing w:val="-3"/>
                <w:sz w:val="21"/>
                <w:szCs w:val="21"/>
                <w:highlight w:val="none"/>
                <w:lang w:val="en-US" w:eastAsia="zh-CN"/>
              </w:rPr>
              <w:t>分。</w:t>
            </w:r>
            <w:r>
              <w:rPr>
                <w:rFonts w:hint="eastAsia" w:ascii="宋体" w:hAnsi="宋体" w:eastAsia="宋体" w:cs="宋体"/>
                <w:sz w:val="21"/>
                <w:szCs w:val="21"/>
                <w:highlight w:val="none"/>
                <w:lang w:val="zh-CN"/>
              </w:rPr>
              <w:t>需提供中标通知书</w:t>
            </w:r>
            <w:r>
              <w:rPr>
                <w:rFonts w:hint="eastAsia" w:ascii="宋体" w:hAnsi="宋体" w:eastAsia="宋体" w:cs="宋体"/>
                <w:spacing w:val="-3"/>
                <w:sz w:val="21"/>
                <w:szCs w:val="21"/>
                <w:highlight w:val="none"/>
                <w:lang w:val="zh-CN"/>
              </w:rPr>
              <w:t>或免招标的相关证明</w:t>
            </w:r>
            <w:r>
              <w:rPr>
                <w:rFonts w:hint="eastAsia" w:ascii="宋体" w:hAnsi="宋体" w:eastAsia="宋体" w:cs="宋体"/>
                <w:sz w:val="21"/>
                <w:szCs w:val="21"/>
                <w:highlight w:val="none"/>
                <w:lang w:val="zh-CN"/>
              </w:rPr>
              <w:t>、监理合同</w:t>
            </w:r>
            <w:r>
              <w:rPr>
                <w:rFonts w:hint="eastAsia" w:ascii="宋体" w:hAnsi="宋体" w:eastAsia="宋体" w:cs="宋体"/>
                <w:sz w:val="21"/>
                <w:szCs w:val="21"/>
                <w:highlight w:val="none"/>
              </w:rPr>
              <w:t>，业绩时间以</w:t>
            </w:r>
            <w:r>
              <w:rPr>
                <w:rFonts w:hint="eastAsia" w:ascii="宋体" w:hAnsi="宋体" w:cs="宋体"/>
                <w:sz w:val="21"/>
                <w:szCs w:val="21"/>
                <w:highlight w:val="none"/>
                <w:lang w:val="en-US" w:eastAsia="zh-CN"/>
              </w:rPr>
              <w:t>合同签订</w:t>
            </w:r>
            <w:r>
              <w:rPr>
                <w:rFonts w:hint="eastAsia" w:ascii="宋体" w:hAnsi="宋体" w:eastAsia="宋体" w:cs="宋体"/>
                <w:sz w:val="21"/>
                <w:szCs w:val="21"/>
                <w:highlight w:val="none"/>
              </w:rPr>
              <w:t>时间为准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总</w:t>
            </w:r>
            <w:r>
              <w:rPr>
                <w:rFonts w:hint="eastAsia" w:ascii="宋体" w:hAnsi="宋体" w:cs="宋体"/>
                <w:szCs w:val="21"/>
                <w:highlight w:val="none"/>
              </w:rPr>
              <w:t>投资额以监理合同注明为准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同一项目不重复计分。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5"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wordWrap w:val="0"/>
              <w:bidi w:val="0"/>
              <w:snapToGrid w:val="0"/>
              <w:spacing w:line="240" w:lineRule="auto"/>
              <w:jc w:val="center"/>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获奖监理业绩</w:t>
            </w:r>
          </w:p>
          <w:p>
            <w:pPr>
              <w:keepNext w:val="0"/>
              <w:keepLines w:val="0"/>
              <w:pageBreakBefore w:val="0"/>
              <w:widowControl w:val="0"/>
              <w:wordWrap w:val="0"/>
              <w:bidi w:val="0"/>
              <w:snapToGrid w:val="0"/>
              <w:spacing w:line="240" w:lineRule="auto"/>
              <w:jc w:val="center"/>
              <w:rPr>
                <w:rFonts w:hint="eastAsia" w:ascii="宋体" w:hAnsi="宋体" w:eastAsia="宋体" w:cs="宋体"/>
                <w:spacing w:val="-3"/>
                <w:kern w:val="2"/>
                <w:sz w:val="21"/>
                <w:szCs w:val="21"/>
                <w:highlight w:val="none"/>
                <w:lang w:val="zh-CN" w:eastAsia="zh-CN" w:bidi="ar-SA"/>
              </w:rPr>
            </w:pPr>
            <w:r>
              <w:rPr>
                <w:rFonts w:hint="eastAsia" w:ascii="宋体" w:hAnsi="宋体" w:eastAsia="宋体" w:cs="宋体"/>
                <w:spacing w:val="-3"/>
                <w:sz w:val="21"/>
                <w:szCs w:val="21"/>
                <w:highlight w:val="none"/>
                <w:lang w:val="zh-CN"/>
              </w:rPr>
              <w:t>（</w:t>
            </w:r>
            <w:r>
              <w:rPr>
                <w:rFonts w:hint="eastAsia" w:ascii="宋体" w:hAnsi="宋体" w:cs="宋体"/>
                <w:spacing w:val="-3"/>
                <w:sz w:val="21"/>
                <w:szCs w:val="21"/>
                <w:highlight w:val="none"/>
                <w:lang w:val="en-US" w:eastAsia="zh-CN"/>
              </w:rPr>
              <w:t>12</w:t>
            </w:r>
            <w:r>
              <w:rPr>
                <w:rFonts w:hint="eastAsia" w:ascii="宋体" w:hAnsi="宋体" w:eastAsia="宋体" w:cs="宋体"/>
                <w:spacing w:val="-3"/>
                <w:sz w:val="21"/>
                <w:szCs w:val="21"/>
                <w:highlight w:val="none"/>
                <w:lang w:val="zh-CN"/>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wordWrap w:val="0"/>
              <w:bidi w:val="0"/>
              <w:snapToGrid w:val="0"/>
              <w:spacing w:line="240" w:lineRule="auto"/>
              <w:jc w:val="left"/>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自20</w:t>
            </w:r>
            <w:r>
              <w:rPr>
                <w:rFonts w:hint="eastAsia" w:ascii="宋体" w:hAnsi="宋体" w:cs="宋体"/>
                <w:spacing w:val="-3"/>
                <w:sz w:val="21"/>
                <w:szCs w:val="21"/>
                <w:highlight w:val="none"/>
                <w:lang w:val="en-US" w:eastAsia="zh-CN"/>
              </w:rPr>
              <w:t>21</w:t>
            </w:r>
            <w:r>
              <w:rPr>
                <w:rFonts w:hint="eastAsia" w:ascii="宋体" w:hAnsi="宋体" w:eastAsia="宋体" w:cs="宋体"/>
                <w:spacing w:val="-3"/>
                <w:sz w:val="21"/>
                <w:szCs w:val="21"/>
                <w:highlight w:val="none"/>
                <w:lang w:val="zh-CN"/>
              </w:rPr>
              <w:t>年1月1日至今完成过</w:t>
            </w:r>
            <w:r>
              <w:rPr>
                <w:rFonts w:hint="eastAsia" w:ascii="宋体" w:hAnsi="宋体" w:cs="宋体"/>
                <w:spacing w:val="-3"/>
                <w:sz w:val="21"/>
                <w:szCs w:val="21"/>
                <w:highlight w:val="none"/>
                <w:lang w:val="en-US" w:eastAsia="zh-CN"/>
              </w:rPr>
              <w:t>工程</w:t>
            </w:r>
            <w:r>
              <w:rPr>
                <w:rFonts w:hint="eastAsia" w:ascii="宋体" w:hAnsi="宋体" w:eastAsia="宋体" w:cs="宋体"/>
                <w:spacing w:val="-3"/>
                <w:sz w:val="21"/>
                <w:szCs w:val="21"/>
                <w:highlight w:val="none"/>
                <w:lang w:val="zh-CN"/>
              </w:rPr>
              <w:t>监理项目业绩</w:t>
            </w:r>
          </w:p>
          <w:p>
            <w:pPr>
              <w:keepNext w:val="0"/>
              <w:keepLines w:val="0"/>
              <w:pageBreakBefore w:val="0"/>
              <w:widowControl w:val="0"/>
              <w:wordWrap w:val="0"/>
              <w:bidi w:val="0"/>
              <w:snapToGrid w:val="0"/>
              <w:spacing w:line="240" w:lineRule="auto"/>
              <w:jc w:val="left"/>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获得国家级</w:t>
            </w:r>
            <w:r>
              <w:rPr>
                <w:rFonts w:hint="eastAsia" w:ascii="宋体" w:hAnsi="宋体" w:eastAsia="宋体" w:cs="宋体"/>
                <w:color w:val="auto"/>
                <w:sz w:val="21"/>
                <w:szCs w:val="21"/>
                <w:highlight w:val="none"/>
              </w:rPr>
              <w:t>奖项</w:t>
            </w:r>
            <w:r>
              <w:rPr>
                <w:rFonts w:hint="eastAsia" w:ascii="宋体" w:hAnsi="宋体" w:eastAsia="宋体" w:cs="宋体"/>
                <w:spacing w:val="-3"/>
                <w:sz w:val="21"/>
                <w:szCs w:val="21"/>
                <w:highlight w:val="none"/>
                <w:lang w:val="zh-CN"/>
              </w:rPr>
              <w:t>每项得</w:t>
            </w:r>
            <w:r>
              <w:rPr>
                <w:rFonts w:hint="eastAsia" w:ascii="宋体" w:hAnsi="宋体" w:cs="宋体"/>
                <w:spacing w:val="-3"/>
                <w:sz w:val="21"/>
                <w:szCs w:val="21"/>
                <w:highlight w:val="none"/>
                <w:lang w:val="en-US" w:eastAsia="zh-CN"/>
              </w:rPr>
              <w:t>6</w:t>
            </w:r>
            <w:r>
              <w:rPr>
                <w:rFonts w:hint="eastAsia" w:ascii="宋体" w:hAnsi="宋体" w:eastAsia="宋体" w:cs="宋体"/>
                <w:spacing w:val="-3"/>
                <w:sz w:val="21"/>
                <w:szCs w:val="21"/>
                <w:highlight w:val="none"/>
                <w:lang w:val="zh-CN"/>
              </w:rPr>
              <w:t>分，</w:t>
            </w:r>
          </w:p>
          <w:p>
            <w:pPr>
              <w:keepNext w:val="0"/>
              <w:keepLines w:val="0"/>
              <w:pageBreakBefore w:val="0"/>
              <w:widowControl w:val="0"/>
              <w:wordWrap w:val="0"/>
              <w:bidi w:val="0"/>
              <w:snapToGrid w:val="0"/>
              <w:spacing w:line="240" w:lineRule="auto"/>
              <w:jc w:val="left"/>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获得省级</w:t>
            </w:r>
            <w:r>
              <w:rPr>
                <w:rFonts w:hint="eastAsia" w:ascii="宋体" w:hAnsi="宋体" w:eastAsia="宋体" w:cs="宋体"/>
                <w:color w:val="auto"/>
                <w:sz w:val="21"/>
                <w:szCs w:val="21"/>
                <w:highlight w:val="none"/>
              </w:rPr>
              <w:t>奖项</w:t>
            </w:r>
            <w:r>
              <w:rPr>
                <w:rFonts w:hint="eastAsia" w:ascii="宋体" w:hAnsi="宋体" w:eastAsia="宋体" w:cs="宋体"/>
                <w:spacing w:val="-3"/>
                <w:sz w:val="21"/>
                <w:szCs w:val="21"/>
                <w:highlight w:val="none"/>
                <w:lang w:val="zh-CN"/>
              </w:rPr>
              <w:t>每项得</w:t>
            </w:r>
            <w:r>
              <w:rPr>
                <w:rFonts w:hint="eastAsia" w:ascii="宋体" w:hAnsi="宋体" w:cs="宋体"/>
                <w:spacing w:val="-3"/>
                <w:sz w:val="21"/>
                <w:szCs w:val="21"/>
                <w:highlight w:val="none"/>
                <w:lang w:val="en-US" w:eastAsia="zh-CN"/>
              </w:rPr>
              <w:t>3</w:t>
            </w:r>
            <w:r>
              <w:rPr>
                <w:rFonts w:hint="eastAsia" w:ascii="宋体" w:hAnsi="宋体" w:eastAsia="宋体" w:cs="宋体"/>
                <w:spacing w:val="-3"/>
                <w:sz w:val="21"/>
                <w:szCs w:val="21"/>
                <w:highlight w:val="none"/>
                <w:lang w:val="zh-CN"/>
              </w:rPr>
              <w:t>分，</w:t>
            </w:r>
          </w:p>
          <w:p>
            <w:pPr>
              <w:keepNext w:val="0"/>
              <w:keepLines w:val="0"/>
              <w:pageBreakBefore w:val="0"/>
              <w:widowControl w:val="0"/>
              <w:wordWrap w:val="0"/>
              <w:bidi w:val="0"/>
              <w:snapToGrid w:val="0"/>
              <w:spacing w:line="240" w:lineRule="auto"/>
              <w:jc w:val="left"/>
              <w:rPr>
                <w:rFonts w:hint="eastAsia" w:ascii="宋体" w:hAnsi="宋体" w:eastAsia="宋体" w:cs="宋体"/>
                <w:spacing w:val="-3"/>
                <w:sz w:val="21"/>
                <w:szCs w:val="21"/>
                <w:highlight w:val="none"/>
                <w:lang w:val="zh-CN"/>
              </w:rPr>
            </w:pPr>
            <w:r>
              <w:rPr>
                <w:rFonts w:hint="eastAsia" w:ascii="宋体" w:hAnsi="宋体" w:eastAsia="宋体" w:cs="宋体"/>
                <w:spacing w:val="-3"/>
                <w:sz w:val="21"/>
                <w:szCs w:val="21"/>
                <w:highlight w:val="none"/>
                <w:lang w:val="zh-CN"/>
              </w:rPr>
              <w:t>获得</w:t>
            </w:r>
            <w:r>
              <w:rPr>
                <w:rFonts w:hint="eastAsia" w:ascii="宋体" w:hAnsi="宋体" w:cs="宋体"/>
                <w:spacing w:val="-3"/>
                <w:sz w:val="21"/>
                <w:szCs w:val="21"/>
                <w:highlight w:val="none"/>
                <w:lang w:val="en-US" w:eastAsia="zh-CN"/>
              </w:rPr>
              <w:t>市</w:t>
            </w:r>
            <w:r>
              <w:rPr>
                <w:rFonts w:hint="eastAsia" w:ascii="宋体" w:hAnsi="宋体" w:eastAsia="宋体" w:cs="宋体"/>
                <w:spacing w:val="-3"/>
                <w:sz w:val="21"/>
                <w:szCs w:val="21"/>
                <w:highlight w:val="none"/>
                <w:lang w:val="zh-CN"/>
              </w:rPr>
              <w:t>级</w:t>
            </w:r>
            <w:r>
              <w:rPr>
                <w:rFonts w:hint="eastAsia" w:ascii="宋体" w:hAnsi="宋体" w:eastAsia="宋体" w:cs="宋体"/>
                <w:color w:val="auto"/>
                <w:sz w:val="21"/>
                <w:szCs w:val="21"/>
                <w:highlight w:val="none"/>
              </w:rPr>
              <w:t>奖项</w:t>
            </w:r>
            <w:r>
              <w:rPr>
                <w:rFonts w:hint="eastAsia" w:ascii="宋体" w:hAnsi="宋体" w:eastAsia="宋体" w:cs="宋体"/>
                <w:spacing w:val="-3"/>
                <w:sz w:val="21"/>
                <w:szCs w:val="21"/>
                <w:highlight w:val="none"/>
                <w:lang w:val="zh-CN"/>
              </w:rPr>
              <w:t>每项得</w:t>
            </w:r>
            <w:r>
              <w:rPr>
                <w:rFonts w:hint="eastAsia" w:ascii="宋体" w:hAnsi="宋体" w:cs="宋体"/>
                <w:spacing w:val="-3"/>
                <w:sz w:val="21"/>
                <w:szCs w:val="21"/>
                <w:highlight w:val="none"/>
                <w:lang w:val="en-US" w:eastAsia="zh-CN"/>
              </w:rPr>
              <w:t>1</w:t>
            </w:r>
            <w:r>
              <w:rPr>
                <w:rFonts w:hint="eastAsia" w:ascii="宋体" w:hAnsi="宋体" w:eastAsia="宋体" w:cs="宋体"/>
                <w:spacing w:val="-3"/>
                <w:sz w:val="21"/>
                <w:szCs w:val="21"/>
                <w:highlight w:val="none"/>
                <w:lang w:val="zh-CN"/>
              </w:rPr>
              <w:t>分</w:t>
            </w:r>
            <w:r>
              <w:rPr>
                <w:rFonts w:hint="eastAsia" w:ascii="宋体" w:hAnsi="宋体" w:cs="宋体"/>
                <w:spacing w:val="-3"/>
                <w:sz w:val="21"/>
                <w:szCs w:val="21"/>
                <w:highlight w:val="none"/>
                <w:lang w:val="zh-CN"/>
              </w:rPr>
              <w:t>。</w:t>
            </w:r>
          </w:p>
          <w:p>
            <w:pPr>
              <w:pStyle w:val="9"/>
              <w:rPr>
                <w:rFonts w:hint="eastAsia" w:ascii="宋体" w:hAnsi="宋体" w:eastAsia="宋体" w:cs="宋体"/>
                <w:spacing w:val="-3"/>
                <w:kern w:val="2"/>
                <w:sz w:val="21"/>
                <w:szCs w:val="21"/>
                <w:highlight w:val="none"/>
                <w:lang w:val="en-US" w:eastAsia="zh-CN" w:bidi="ar-SA"/>
              </w:rPr>
            </w:pPr>
            <w:r>
              <w:rPr>
                <w:rFonts w:hint="eastAsia" w:ascii="宋体" w:hAnsi="宋体" w:eastAsia="宋体" w:cs="宋体"/>
                <w:spacing w:val="-3"/>
                <w:sz w:val="21"/>
                <w:szCs w:val="21"/>
                <w:highlight w:val="none"/>
                <w:lang w:val="zh-CN"/>
              </w:rPr>
              <w:t>注：</w:t>
            </w:r>
            <w:r>
              <w:rPr>
                <w:rFonts w:hint="eastAsia" w:ascii="宋体" w:hAnsi="宋体" w:eastAsia="宋体" w:cs="宋体"/>
                <w:spacing w:val="-3"/>
                <w:sz w:val="21"/>
                <w:szCs w:val="21"/>
                <w:highlight w:val="none"/>
                <w:lang w:val="en-US" w:eastAsia="zh-CN"/>
              </w:rPr>
              <w:t>本项最多得</w:t>
            </w:r>
            <w:r>
              <w:rPr>
                <w:rFonts w:hint="eastAsia" w:ascii="宋体" w:hAnsi="宋体" w:cs="宋体"/>
                <w:spacing w:val="-3"/>
                <w:sz w:val="21"/>
                <w:szCs w:val="21"/>
                <w:highlight w:val="none"/>
                <w:lang w:val="en-US" w:eastAsia="zh-CN"/>
              </w:rPr>
              <w:t>12</w:t>
            </w:r>
            <w:r>
              <w:rPr>
                <w:rFonts w:hint="eastAsia" w:ascii="宋体" w:hAnsi="宋体" w:eastAsia="宋体" w:cs="宋体"/>
                <w:spacing w:val="-3"/>
                <w:sz w:val="21"/>
                <w:szCs w:val="21"/>
                <w:highlight w:val="none"/>
                <w:lang w:val="en-US" w:eastAsia="zh-CN"/>
              </w:rPr>
              <w:t>分。</w:t>
            </w:r>
            <w:r>
              <w:rPr>
                <w:rFonts w:hint="eastAsia" w:ascii="宋体" w:hAnsi="宋体" w:eastAsia="宋体" w:cs="宋体"/>
                <w:sz w:val="21"/>
                <w:szCs w:val="21"/>
                <w:highlight w:val="none"/>
                <w:lang w:val="zh-CN"/>
              </w:rPr>
              <w:t>投标人需提供获奖证书，时间以获奖证书发证日期为准。</w:t>
            </w:r>
            <w:r>
              <w:rPr>
                <w:rFonts w:hint="eastAsia" w:ascii="宋体" w:hAnsi="宋体"/>
                <w:color w:val="auto"/>
                <w:highlight w:val="none"/>
              </w:rPr>
              <w:t>如颁证单位为协会的，还应提供该协会在“全国社会组织信用信息公示平台（试运行）”登记的网页截</w:t>
            </w:r>
            <w:r>
              <w:rPr>
                <w:rFonts w:hint="eastAsia" w:ascii="宋体" w:hAnsi="宋体" w:cs="宋体"/>
                <w:color w:val="auto"/>
                <w:szCs w:val="21"/>
                <w:highlight w:val="none"/>
              </w:rPr>
              <w:t>图，否则不得分。</w:t>
            </w:r>
            <w:r>
              <w:rPr>
                <w:rFonts w:hint="eastAsia" w:ascii="宋体" w:hAnsi="宋体" w:eastAsia="宋体" w:cs="宋体"/>
                <w:sz w:val="21"/>
                <w:szCs w:val="21"/>
                <w:highlight w:val="none"/>
                <w:lang w:val="zh-CN"/>
              </w:rPr>
              <w:t>同一工程项目按最高奖项计</w:t>
            </w:r>
            <w:r>
              <w:rPr>
                <w:rFonts w:hint="eastAsia" w:ascii="宋体" w:hAnsi="宋体" w:eastAsia="宋体" w:cs="宋体"/>
                <w:sz w:val="21"/>
                <w:szCs w:val="21"/>
                <w:highlight w:val="none"/>
                <w:lang w:val="zh-CN"/>
              </w:rPr>
              <w:t>取，不重复计分。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0"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ind w:left="-115" w:leftChars="-55" w:right="-122" w:rightChars="-58"/>
              <w:jc w:val="center"/>
              <w:rPr>
                <w:color w:val="auto"/>
                <w:highlight w:val="none"/>
              </w:rPr>
            </w:pPr>
          </w:p>
        </w:tc>
        <w:tc>
          <w:tcPr>
            <w:tcW w:w="157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wordWrap w:val="0"/>
              <w:bidi w:val="0"/>
              <w:snapToGrid w:val="0"/>
              <w:spacing w:line="240" w:lineRule="auto"/>
              <w:jc w:val="center"/>
              <w:rPr>
                <w:rFonts w:hint="eastAsia" w:ascii="宋体" w:hAnsi="宋体" w:eastAsia="宋体" w:cs="宋体"/>
                <w:spacing w:val="-3"/>
                <w:sz w:val="21"/>
                <w:szCs w:val="21"/>
                <w:highlight w:val="none"/>
                <w:lang w:val="zh-CN" w:eastAsia="zh-CN"/>
              </w:rPr>
            </w:pPr>
            <w:r>
              <w:rPr>
                <w:rFonts w:hint="eastAsia" w:ascii="宋体" w:hAnsi="宋体" w:eastAsia="宋体" w:cs="宋体"/>
                <w:spacing w:val="-3"/>
                <w:sz w:val="21"/>
                <w:szCs w:val="21"/>
                <w:highlight w:val="none"/>
                <w:lang w:val="zh-CN" w:eastAsia="zh-CN"/>
              </w:rPr>
              <w:t>总监理工程师</w:t>
            </w:r>
          </w:p>
          <w:p>
            <w:pPr>
              <w:keepNext w:val="0"/>
              <w:keepLines w:val="0"/>
              <w:pageBreakBefore w:val="0"/>
              <w:widowControl w:val="0"/>
              <w:wordWrap w:val="0"/>
              <w:bidi w:val="0"/>
              <w:snapToGrid w:val="0"/>
              <w:spacing w:line="240" w:lineRule="auto"/>
              <w:jc w:val="center"/>
              <w:rPr>
                <w:rFonts w:hint="eastAsia" w:ascii="宋体" w:hAnsi="宋体" w:eastAsia="宋体" w:cs="宋体"/>
                <w:spacing w:val="-3"/>
                <w:kern w:val="2"/>
                <w:sz w:val="21"/>
                <w:szCs w:val="21"/>
                <w:highlight w:val="none"/>
                <w:lang w:val="zh-CN" w:eastAsia="zh-CN" w:bidi="ar-SA"/>
              </w:rPr>
            </w:pPr>
            <w:r>
              <w:rPr>
                <w:rFonts w:hint="eastAsia" w:ascii="宋体" w:hAnsi="宋体" w:eastAsia="宋体" w:cs="宋体"/>
                <w:spacing w:val="-3"/>
                <w:sz w:val="21"/>
                <w:szCs w:val="21"/>
                <w:highlight w:val="none"/>
                <w:lang w:val="zh-CN" w:eastAsia="zh-CN"/>
              </w:rPr>
              <w:t>资历（</w:t>
            </w:r>
            <w:r>
              <w:rPr>
                <w:rFonts w:hint="eastAsia" w:ascii="宋体" w:hAnsi="宋体" w:eastAsia="宋体" w:cs="宋体"/>
                <w:spacing w:val="-3"/>
                <w:sz w:val="21"/>
                <w:szCs w:val="21"/>
                <w:highlight w:val="none"/>
                <w:lang w:val="en-US" w:eastAsia="zh-CN"/>
              </w:rPr>
              <w:t>5</w:t>
            </w:r>
            <w:r>
              <w:rPr>
                <w:rFonts w:hint="eastAsia" w:ascii="宋体" w:hAnsi="宋体" w:eastAsia="宋体" w:cs="宋体"/>
                <w:spacing w:val="-3"/>
                <w:sz w:val="21"/>
                <w:szCs w:val="21"/>
                <w:highlight w:val="none"/>
                <w:lang w:val="zh-CN" w:eastAsia="zh-CN"/>
              </w:rPr>
              <w:t>分）</w:t>
            </w:r>
          </w:p>
        </w:tc>
        <w:tc>
          <w:tcPr>
            <w:tcW w:w="634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pacing w:val="-3"/>
                <w:kern w:val="2"/>
                <w:sz w:val="21"/>
                <w:szCs w:val="21"/>
                <w:highlight w:val="none"/>
                <w:lang w:val="zh-CN" w:eastAsia="zh-CN" w:bidi="ar-SA"/>
              </w:rPr>
            </w:pPr>
            <w:r>
              <w:rPr>
                <w:rFonts w:hint="eastAsia" w:ascii="宋体" w:hAnsi="宋体" w:eastAsia="宋体" w:cs="宋体"/>
                <w:spacing w:val="-3"/>
                <w:kern w:val="2"/>
                <w:sz w:val="21"/>
                <w:szCs w:val="21"/>
                <w:highlight w:val="none"/>
                <w:lang w:val="zh-CN" w:eastAsia="zh-CN" w:bidi="ar-SA"/>
              </w:rPr>
              <w:t>总监理工程师具有</w:t>
            </w:r>
            <w:r>
              <w:rPr>
                <w:rFonts w:hint="eastAsia" w:ascii="宋体" w:hAnsi="宋体" w:eastAsia="宋体" w:cs="宋体"/>
                <w:spacing w:val="-3"/>
                <w:kern w:val="2"/>
                <w:sz w:val="21"/>
                <w:szCs w:val="21"/>
                <w:highlight w:val="none"/>
                <w:lang w:val="en-US" w:eastAsia="zh-CN" w:bidi="ar-SA"/>
              </w:rPr>
              <w:t>15</w:t>
            </w:r>
            <w:r>
              <w:rPr>
                <w:rFonts w:hint="eastAsia" w:ascii="宋体" w:hAnsi="宋体" w:eastAsia="宋体" w:cs="宋体"/>
                <w:spacing w:val="-3"/>
                <w:kern w:val="2"/>
                <w:sz w:val="21"/>
                <w:szCs w:val="21"/>
                <w:highlight w:val="none"/>
                <w:lang w:val="zh-CN" w:eastAsia="zh-CN" w:bidi="ar-SA"/>
              </w:rPr>
              <w:t xml:space="preserve">年（不含本数）以上工作经验的得 </w:t>
            </w:r>
            <w:r>
              <w:rPr>
                <w:rFonts w:hint="eastAsia" w:ascii="宋体" w:hAnsi="宋体" w:eastAsia="宋体" w:cs="宋体"/>
                <w:spacing w:val="-3"/>
                <w:kern w:val="2"/>
                <w:sz w:val="21"/>
                <w:szCs w:val="21"/>
                <w:highlight w:val="none"/>
                <w:lang w:val="en-US" w:eastAsia="zh-CN" w:bidi="ar-SA"/>
              </w:rPr>
              <w:t>5</w:t>
            </w:r>
            <w:r>
              <w:rPr>
                <w:rFonts w:hint="eastAsia" w:ascii="宋体" w:hAnsi="宋体" w:eastAsia="宋体" w:cs="宋体"/>
                <w:spacing w:val="-3"/>
                <w:kern w:val="2"/>
                <w:sz w:val="21"/>
                <w:szCs w:val="21"/>
                <w:highlight w:val="none"/>
                <w:lang w:val="zh-CN" w:eastAsia="zh-CN" w:bidi="ar-SA"/>
              </w:rPr>
              <w:t>分；具有</w:t>
            </w:r>
            <w:r>
              <w:rPr>
                <w:rFonts w:hint="eastAsia" w:ascii="宋体" w:hAnsi="宋体" w:eastAsia="宋体" w:cs="宋体"/>
                <w:spacing w:val="-3"/>
                <w:kern w:val="2"/>
                <w:sz w:val="21"/>
                <w:szCs w:val="21"/>
                <w:highlight w:val="none"/>
                <w:lang w:val="en-US" w:eastAsia="zh-CN" w:bidi="ar-SA"/>
              </w:rPr>
              <w:t>10</w:t>
            </w:r>
            <w:r>
              <w:rPr>
                <w:rFonts w:hint="eastAsia" w:ascii="宋体" w:hAnsi="宋体" w:eastAsia="宋体" w:cs="宋体"/>
                <w:spacing w:val="-3"/>
                <w:kern w:val="2"/>
                <w:sz w:val="21"/>
                <w:szCs w:val="21"/>
                <w:highlight w:val="none"/>
                <w:lang w:val="zh-CN" w:eastAsia="zh-CN" w:bidi="ar-SA"/>
              </w:rPr>
              <w:t>年（不含本数）-</w:t>
            </w:r>
            <w:r>
              <w:rPr>
                <w:rFonts w:hint="eastAsia" w:ascii="宋体" w:hAnsi="宋体" w:eastAsia="宋体" w:cs="宋体"/>
                <w:spacing w:val="-3"/>
                <w:kern w:val="2"/>
                <w:sz w:val="21"/>
                <w:szCs w:val="21"/>
                <w:highlight w:val="none"/>
                <w:lang w:val="en-US" w:eastAsia="zh-CN" w:bidi="ar-SA"/>
              </w:rPr>
              <w:t>15</w:t>
            </w:r>
            <w:r>
              <w:rPr>
                <w:rFonts w:hint="eastAsia" w:ascii="宋体" w:hAnsi="宋体" w:eastAsia="宋体" w:cs="宋体"/>
                <w:spacing w:val="-3"/>
                <w:kern w:val="2"/>
                <w:sz w:val="21"/>
                <w:szCs w:val="21"/>
                <w:highlight w:val="none"/>
                <w:lang w:val="zh-CN" w:eastAsia="zh-CN" w:bidi="ar-SA"/>
              </w:rPr>
              <w:t xml:space="preserve"> 年（含本数）工作经验的得</w:t>
            </w:r>
            <w:r>
              <w:rPr>
                <w:rFonts w:hint="eastAsia" w:ascii="宋体" w:hAnsi="宋体" w:eastAsia="宋体" w:cs="宋体"/>
                <w:spacing w:val="-3"/>
                <w:kern w:val="2"/>
                <w:sz w:val="21"/>
                <w:szCs w:val="21"/>
                <w:highlight w:val="none"/>
                <w:lang w:val="en-US" w:eastAsia="zh-CN" w:bidi="ar-SA"/>
              </w:rPr>
              <w:t>3</w:t>
            </w:r>
            <w:r>
              <w:rPr>
                <w:rFonts w:hint="eastAsia" w:ascii="宋体" w:hAnsi="宋体" w:eastAsia="宋体" w:cs="宋体"/>
                <w:spacing w:val="-3"/>
                <w:kern w:val="2"/>
                <w:sz w:val="21"/>
                <w:szCs w:val="21"/>
                <w:highlight w:val="none"/>
                <w:lang w:val="zh-CN" w:eastAsia="zh-CN" w:bidi="ar-SA"/>
              </w:rPr>
              <w:t>分；具有</w:t>
            </w:r>
            <w:r>
              <w:rPr>
                <w:rFonts w:hint="eastAsia" w:ascii="宋体" w:hAnsi="宋体" w:eastAsia="宋体" w:cs="宋体"/>
                <w:spacing w:val="-3"/>
                <w:kern w:val="2"/>
                <w:sz w:val="21"/>
                <w:szCs w:val="21"/>
                <w:highlight w:val="none"/>
                <w:lang w:val="en-US" w:eastAsia="zh-CN" w:bidi="ar-SA"/>
              </w:rPr>
              <w:t>5</w:t>
            </w:r>
            <w:r>
              <w:rPr>
                <w:rFonts w:hint="eastAsia" w:ascii="宋体" w:hAnsi="宋体" w:eastAsia="宋体" w:cs="宋体"/>
                <w:spacing w:val="-3"/>
                <w:kern w:val="2"/>
                <w:sz w:val="21"/>
                <w:szCs w:val="21"/>
                <w:highlight w:val="none"/>
                <w:lang w:val="zh-CN" w:eastAsia="zh-CN" w:bidi="ar-SA"/>
              </w:rPr>
              <w:t>年（不含本数）-</w:t>
            </w:r>
            <w:r>
              <w:rPr>
                <w:rFonts w:hint="eastAsia" w:ascii="宋体" w:hAnsi="宋体" w:eastAsia="宋体" w:cs="宋体"/>
                <w:spacing w:val="-3"/>
                <w:kern w:val="2"/>
                <w:sz w:val="21"/>
                <w:szCs w:val="21"/>
                <w:highlight w:val="none"/>
                <w:lang w:val="en-US" w:eastAsia="zh-CN" w:bidi="ar-SA"/>
              </w:rPr>
              <w:t>10</w:t>
            </w:r>
            <w:r>
              <w:rPr>
                <w:rFonts w:hint="eastAsia" w:ascii="宋体" w:hAnsi="宋体" w:eastAsia="宋体" w:cs="宋体"/>
                <w:spacing w:val="-3"/>
                <w:kern w:val="2"/>
                <w:sz w:val="21"/>
                <w:szCs w:val="21"/>
                <w:highlight w:val="none"/>
                <w:lang w:val="zh-CN" w:eastAsia="zh-CN" w:bidi="ar-SA"/>
              </w:rPr>
              <w:t>年（含本数）工作经验的得1分；无或其他不得分。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pacing w:val="-3"/>
                <w:kern w:val="2"/>
                <w:sz w:val="21"/>
                <w:szCs w:val="21"/>
                <w:highlight w:val="none"/>
                <w:lang w:val="zh-CN" w:eastAsia="zh-CN" w:bidi="ar-SA"/>
              </w:rPr>
            </w:pPr>
            <w:r>
              <w:rPr>
                <w:rFonts w:hint="eastAsia" w:ascii="宋体" w:hAnsi="宋体" w:eastAsia="宋体" w:cs="宋体"/>
                <w:spacing w:val="-3"/>
                <w:kern w:val="2"/>
                <w:sz w:val="21"/>
                <w:szCs w:val="21"/>
                <w:highlight w:val="none"/>
                <w:lang w:val="zh-CN" w:eastAsia="zh-CN" w:bidi="ar-SA"/>
              </w:rPr>
              <w:t>注：本项最多得</w:t>
            </w:r>
            <w:r>
              <w:rPr>
                <w:rFonts w:hint="eastAsia" w:ascii="宋体" w:hAnsi="宋体" w:eastAsia="宋体" w:cs="宋体"/>
                <w:spacing w:val="-3"/>
                <w:kern w:val="2"/>
                <w:sz w:val="21"/>
                <w:szCs w:val="21"/>
                <w:highlight w:val="none"/>
                <w:lang w:val="en-US" w:eastAsia="zh-CN" w:bidi="ar-SA"/>
              </w:rPr>
              <w:t>5</w:t>
            </w:r>
            <w:r>
              <w:rPr>
                <w:rFonts w:hint="eastAsia" w:ascii="宋体" w:hAnsi="宋体" w:eastAsia="宋体" w:cs="宋体"/>
                <w:spacing w:val="-3"/>
                <w:kern w:val="2"/>
                <w:sz w:val="21"/>
                <w:szCs w:val="21"/>
                <w:highlight w:val="none"/>
                <w:lang w:val="zh-CN" w:eastAsia="zh-CN" w:bidi="ar-SA"/>
              </w:rPr>
              <w:t>分。须提供毕业证及近一个月（即招标公告发布当月的前一个月）社保缴纳证明复印件加盖公章作为评审依据，否则不得分。工作经验以本科或以上学历证明的发证时 间起至投标截止时间为准。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8"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wordWrap w:val="0"/>
              <w:bidi w:val="0"/>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监理机构人员和专业的配备</w:t>
            </w:r>
          </w:p>
          <w:p>
            <w:pPr>
              <w:keepNext w:val="0"/>
              <w:keepLines w:val="0"/>
              <w:pageBreakBefore w:val="0"/>
              <w:widowControl w:val="0"/>
              <w:wordWrap w:val="0"/>
              <w:bidi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3"/>
                <w:sz w:val="21"/>
                <w:szCs w:val="21"/>
                <w:highlight w:val="none"/>
                <w:lang w:val="zh-CN"/>
              </w:rPr>
              <w:t>（</w:t>
            </w:r>
            <w:r>
              <w:rPr>
                <w:rFonts w:hint="eastAsia" w:ascii="宋体" w:hAnsi="宋体" w:cs="宋体"/>
                <w:spacing w:val="-3"/>
                <w:sz w:val="21"/>
                <w:szCs w:val="21"/>
                <w:highlight w:val="none"/>
                <w:lang w:val="en-US" w:eastAsia="zh-CN"/>
              </w:rPr>
              <w:t>9</w:t>
            </w:r>
            <w:r>
              <w:rPr>
                <w:rFonts w:hint="eastAsia" w:ascii="宋体" w:hAnsi="宋体" w:eastAsia="宋体" w:cs="宋体"/>
                <w:spacing w:val="-3"/>
                <w:sz w:val="21"/>
                <w:szCs w:val="21"/>
                <w:highlight w:val="none"/>
                <w:lang w:val="zh-CN"/>
              </w:rPr>
              <w:t>分）</w:t>
            </w:r>
          </w:p>
        </w:tc>
        <w:tc>
          <w:tcPr>
            <w:tcW w:w="634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center"/>
              <w:rPr>
                <w:rFonts w:hint="eastAsia" w:ascii="宋体" w:hAnsi="宋体" w:eastAsia="宋体" w:cs="宋体"/>
                <w:spacing w:val="-3"/>
                <w:kern w:val="2"/>
                <w:sz w:val="21"/>
                <w:szCs w:val="21"/>
                <w:highlight w:val="none"/>
                <w:lang w:val="zh-CN" w:eastAsia="zh-CN" w:bidi="ar-SA"/>
              </w:rPr>
            </w:pPr>
            <w:r>
              <w:rPr>
                <w:rFonts w:hint="eastAsia" w:ascii="宋体" w:hAnsi="宋体" w:eastAsia="宋体" w:cs="宋体"/>
                <w:kern w:val="0"/>
                <w:sz w:val="21"/>
                <w:szCs w:val="21"/>
                <w:highlight w:val="none"/>
                <w:lang w:val="en-US" w:eastAsia="zh-CN"/>
              </w:rPr>
              <w:t>拟投入本工程</w:t>
            </w:r>
            <w:r>
              <w:rPr>
                <w:rFonts w:hint="eastAsia" w:ascii="宋体" w:hAnsi="宋体" w:eastAsia="宋体" w:cs="宋体"/>
                <w:kern w:val="0"/>
                <w:sz w:val="21"/>
                <w:szCs w:val="21"/>
                <w:highlight w:val="none"/>
              </w:rPr>
              <w:t>监理机构人员</w:t>
            </w:r>
            <w:r>
              <w:rPr>
                <w:rFonts w:hint="eastAsia" w:ascii="宋体" w:hAnsi="宋体" w:eastAsia="宋体" w:cs="宋体"/>
                <w:spacing w:val="-3"/>
                <w:kern w:val="2"/>
                <w:sz w:val="21"/>
                <w:szCs w:val="21"/>
                <w:highlight w:val="none"/>
                <w:lang w:val="zh-CN" w:eastAsia="zh-CN" w:bidi="ar-SA"/>
              </w:rPr>
              <w:t>（除总监理工程师外）</w:t>
            </w:r>
          </w:p>
          <w:p>
            <w:pPr>
              <w:widowControl w:val="0"/>
              <w:wordWrap w:val="0"/>
              <w:ind w:right="0"/>
              <w:jc w:val="left"/>
              <w:textAlignment w:val="center"/>
              <w:rPr>
                <w:rFonts w:hint="eastAsia" w:eastAsia="宋体"/>
                <w:color w:val="auto"/>
                <w:szCs w:val="21"/>
                <w:highlight w:val="none"/>
                <w:lang w:eastAsia="zh-CN"/>
              </w:rPr>
            </w:pPr>
            <w:r>
              <w:rPr>
                <w:rFonts w:hint="eastAsia"/>
                <w:color w:val="auto"/>
                <w:szCs w:val="21"/>
                <w:highlight w:val="none"/>
              </w:rPr>
              <w:t>配有</w:t>
            </w:r>
            <w:r>
              <w:rPr>
                <w:rFonts w:hint="eastAsia"/>
                <w:color w:val="auto"/>
                <w:szCs w:val="21"/>
                <w:highlight w:val="none"/>
                <w:lang w:eastAsia="zh-CN"/>
              </w:rPr>
              <w:t>：</w:t>
            </w:r>
          </w:p>
          <w:p>
            <w:pPr>
              <w:widowControl w:val="0"/>
              <w:wordWrap w:val="0"/>
              <w:ind w:right="0"/>
              <w:jc w:val="left"/>
              <w:textAlignment w:val="center"/>
              <w:rPr>
                <w:rFonts w:hint="default" w:eastAsia="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一名市政监理工程师，具有</w:t>
            </w:r>
            <w:r>
              <w:rPr>
                <w:rFonts w:hint="eastAsia"/>
                <w:color w:val="auto"/>
                <w:szCs w:val="21"/>
                <w:highlight w:val="none"/>
              </w:rPr>
              <w:t>市政公用工程专业</w:t>
            </w:r>
            <w:r>
              <w:rPr>
                <w:rFonts w:hint="eastAsia"/>
                <w:color w:val="auto"/>
                <w:szCs w:val="21"/>
                <w:highlight w:val="none"/>
                <w:lang w:val="en-US" w:eastAsia="zh-CN"/>
              </w:rPr>
              <w:t>注册</w:t>
            </w:r>
            <w:r>
              <w:rPr>
                <w:rFonts w:hint="eastAsia"/>
                <w:color w:val="auto"/>
                <w:szCs w:val="21"/>
                <w:highlight w:val="none"/>
              </w:rPr>
              <w:t>监理工程师</w:t>
            </w:r>
            <w:r>
              <w:rPr>
                <w:rFonts w:hint="eastAsia"/>
                <w:color w:val="auto"/>
                <w:szCs w:val="21"/>
                <w:highlight w:val="none"/>
                <w:lang w:val="en-US" w:eastAsia="zh-CN"/>
              </w:rPr>
              <w:t>证</w:t>
            </w:r>
            <w:r>
              <w:rPr>
                <w:rFonts w:hint="eastAsia"/>
                <w:color w:val="auto"/>
                <w:szCs w:val="21"/>
                <w:highlight w:val="none"/>
                <w:lang w:eastAsia="zh-CN"/>
              </w:rPr>
              <w:t>，</w:t>
            </w:r>
            <w:r>
              <w:rPr>
                <w:rFonts w:hint="eastAsia"/>
                <w:color w:val="auto"/>
                <w:szCs w:val="21"/>
                <w:highlight w:val="none"/>
                <w:lang w:val="en-US" w:eastAsia="zh-CN"/>
              </w:rPr>
              <w:t>得3分，</w:t>
            </w:r>
            <w:r>
              <w:rPr>
                <w:rFonts w:hint="eastAsia" w:ascii="宋体" w:hAnsi="宋体" w:eastAsia="宋体" w:cs="宋体"/>
                <w:sz w:val="21"/>
                <w:szCs w:val="21"/>
                <w:highlight w:val="none"/>
                <w:lang w:val="en-US" w:eastAsia="zh-CN"/>
              </w:rPr>
              <w:t>本</w:t>
            </w:r>
            <w:r>
              <w:rPr>
                <w:rFonts w:hint="eastAsia" w:ascii="宋体" w:hAnsi="宋体" w:cs="宋体"/>
                <w:sz w:val="21"/>
                <w:szCs w:val="21"/>
                <w:highlight w:val="none"/>
                <w:lang w:val="en-US" w:eastAsia="zh-CN"/>
              </w:rPr>
              <w:t>小</w:t>
            </w:r>
            <w:r>
              <w:rPr>
                <w:rFonts w:hint="eastAsia" w:ascii="宋体" w:hAnsi="宋体" w:eastAsia="宋体" w:cs="宋体"/>
                <w:sz w:val="21"/>
                <w:szCs w:val="21"/>
                <w:highlight w:val="none"/>
                <w:lang w:val="en-US" w:eastAsia="zh-CN"/>
              </w:rPr>
              <w:t>项</w:t>
            </w:r>
            <w:r>
              <w:rPr>
                <w:rFonts w:hint="eastAsia" w:ascii="宋体" w:hAnsi="宋体" w:eastAsia="宋体" w:cs="宋体"/>
                <w:spacing w:val="-3"/>
                <w:kern w:val="2"/>
                <w:sz w:val="21"/>
                <w:szCs w:val="21"/>
                <w:highlight w:val="none"/>
                <w:lang w:val="en-US" w:eastAsia="zh-CN" w:bidi="ar-SA"/>
              </w:rPr>
              <w:t>最高得</w:t>
            </w:r>
            <w:r>
              <w:rPr>
                <w:rFonts w:hint="eastAsia" w:ascii="宋体" w:hAnsi="宋体" w:cs="宋体"/>
                <w:spacing w:val="-3"/>
                <w:kern w:val="2"/>
                <w:sz w:val="21"/>
                <w:szCs w:val="21"/>
                <w:highlight w:val="none"/>
                <w:lang w:val="en-US" w:eastAsia="zh-CN" w:bidi="ar-SA"/>
              </w:rPr>
              <w:t>3</w:t>
            </w:r>
            <w:r>
              <w:rPr>
                <w:rFonts w:hint="eastAsia" w:ascii="宋体" w:hAnsi="宋体" w:eastAsia="宋体" w:cs="宋体"/>
                <w:spacing w:val="-3"/>
                <w:kern w:val="2"/>
                <w:sz w:val="21"/>
                <w:szCs w:val="21"/>
                <w:highlight w:val="none"/>
                <w:lang w:val="en-US" w:eastAsia="zh-CN" w:bidi="ar-SA"/>
              </w:rPr>
              <w:t>分</w:t>
            </w:r>
            <w:r>
              <w:rPr>
                <w:rFonts w:hint="eastAsia" w:ascii="宋体" w:hAnsi="宋体" w:cs="宋体"/>
                <w:spacing w:val="-3"/>
                <w:kern w:val="2"/>
                <w:sz w:val="21"/>
                <w:szCs w:val="21"/>
                <w:highlight w:val="none"/>
                <w:lang w:val="en-US" w:eastAsia="zh-CN" w:bidi="ar-SA"/>
              </w:rPr>
              <w:t>；</w:t>
            </w:r>
          </w:p>
          <w:p>
            <w:pPr>
              <w:widowControl w:val="0"/>
              <w:wordWrap w:val="0"/>
              <w:ind w:right="0"/>
              <w:jc w:val="left"/>
              <w:textAlignment w:val="center"/>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一名造价工程师，</w:t>
            </w:r>
            <w:r>
              <w:rPr>
                <w:rFonts w:hint="eastAsia" w:ascii="宋体" w:hAnsi="宋体" w:eastAsia="宋体" w:cs="宋体"/>
                <w:color w:val="auto"/>
                <w:sz w:val="21"/>
                <w:szCs w:val="21"/>
                <w:highlight w:val="none"/>
              </w:rPr>
              <w:t>注册造价工程师或一级注册造价工程师执业资格</w:t>
            </w:r>
            <w:r>
              <w:rPr>
                <w:rFonts w:hint="eastAsia" w:ascii="宋体" w:hAnsi="宋体" w:eastAsia="宋体" w:cs="宋体"/>
                <w:color w:val="auto"/>
                <w:sz w:val="21"/>
                <w:szCs w:val="21"/>
                <w:highlight w:val="none"/>
                <w:lang w:val="en-US" w:eastAsia="zh-CN"/>
              </w:rPr>
              <w:t>证</w:t>
            </w:r>
            <w:r>
              <w:rPr>
                <w:rFonts w:hint="eastAsia"/>
                <w:color w:val="auto"/>
                <w:szCs w:val="21"/>
                <w:highlight w:val="none"/>
                <w:lang w:eastAsia="zh-CN"/>
              </w:rPr>
              <w:t>，</w:t>
            </w:r>
            <w:r>
              <w:rPr>
                <w:rFonts w:hint="eastAsia"/>
                <w:color w:val="auto"/>
                <w:szCs w:val="21"/>
                <w:highlight w:val="none"/>
                <w:lang w:val="en-US" w:eastAsia="zh-CN"/>
              </w:rPr>
              <w:t>得3分，</w:t>
            </w:r>
            <w:r>
              <w:rPr>
                <w:rFonts w:hint="eastAsia" w:ascii="宋体" w:hAnsi="宋体" w:eastAsia="宋体" w:cs="宋体"/>
                <w:sz w:val="21"/>
                <w:szCs w:val="21"/>
                <w:highlight w:val="none"/>
                <w:lang w:val="en-US" w:eastAsia="zh-CN"/>
              </w:rPr>
              <w:t>本</w:t>
            </w:r>
            <w:r>
              <w:rPr>
                <w:rFonts w:hint="eastAsia" w:ascii="宋体" w:hAnsi="宋体" w:cs="宋体"/>
                <w:sz w:val="21"/>
                <w:szCs w:val="21"/>
                <w:highlight w:val="none"/>
                <w:lang w:val="en-US" w:eastAsia="zh-CN"/>
              </w:rPr>
              <w:t>小</w:t>
            </w:r>
            <w:r>
              <w:rPr>
                <w:rFonts w:hint="eastAsia" w:ascii="宋体" w:hAnsi="宋体" w:eastAsia="宋体" w:cs="宋体"/>
                <w:sz w:val="21"/>
                <w:szCs w:val="21"/>
                <w:highlight w:val="none"/>
                <w:lang w:val="en-US" w:eastAsia="zh-CN"/>
              </w:rPr>
              <w:t>项</w:t>
            </w:r>
            <w:r>
              <w:rPr>
                <w:rFonts w:hint="eastAsia" w:ascii="宋体" w:hAnsi="宋体" w:eastAsia="宋体" w:cs="宋体"/>
                <w:spacing w:val="-3"/>
                <w:kern w:val="2"/>
                <w:sz w:val="21"/>
                <w:szCs w:val="21"/>
                <w:highlight w:val="none"/>
                <w:lang w:val="en-US" w:eastAsia="zh-CN" w:bidi="ar-SA"/>
              </w:rPr>
              <w:t>最高得</w:t>
            </w:r>
            <w:r>
              <w:rPr>
                <w:rFonts w:hint="eastAsia" w:ascii="宋体" w:hAnsi="宋体" w:cs="宋体"/>
                <w:spacing w:val="-3"/>
                <w:kern w:val="2"/>
                <w:sz w:val="21"/>
                <w:szCs w:val="21"/>
                <w:highlight w:val="none"/>
                <w:lang w:val="en-US" w:eastAsia="zh-CN" w:bidi="ar-SA"/>
              </w:rPr>
              <w:t>3</w:t>
            </w:r>
            <w:r>
              <w:rPr>
                <w:rFonts w:hint="eastAsia" w:ascii="宋体" w:hAnsi="宋体" w:eastAsia="宋体" w:cs="宋体"/>
                <w:spacing w:val="-3"/>
                <w:kern w:val="2"/>
                <w:sz w:val="21"/>
                <w:szCs w:val="21"/>
                <w:highlight w:val="none"/>
                <w:lang w:val="en-US" w:eastAsia="zh-CN" w:bidi="ar-SA"/>
              </w:rPr>
              <w:t>分</w:t>
            </w:r>
            <w:r>
              <w:rPr>
                <w:rFonts w:hint="eastAsia" w:ascii="宋体" w:hAnsi="宋体" w:cs="宋体"/>
                <w:spacing w:val="-3"/>
                <w:kern w:val="2"/>
                <w:sz w:val="21"/>
                <w:szCs w:val="21"/>
                <w:highlight w:val="none"/>
                <w:lang w:val="en-US" w:eastAsia="zh-CN" w:bidi="ar-SA"/>
              </w:rPr>
              <w:t>；</w:t>
            </w:r>
          </w:p>
          <w:p>
            <w:pPr>
              <w:widowControl w:val="0"/>
              <w:wordWrap w:val="0"/>
              <w:ind w:right="0"/>
              <w:jc w:val="left"/>
              <w:textAlignment w:val="center"/>
              <w:rPr>
                <w:rFonts w:hint="eastAsia"/>
                <w:color w:val="auto"/>
                <w:szCs w:val="21"/>
                <w:highlight w:val="none"/>
              </w:rPr>
            </w:pPr>
            <w:r>
              <w:rPr>
                <w:rFonts w:hint="eastAsia"/>
                <w:color w:val="auto"/>
                <w:szCs w:val="21"/>
                <w:highlight w:val="none"/>
              </w:rPr>
              <w:t>（3）</w:t>
            </w:r>
            <w:r>
              <w:rPr>
                <w:rFonts w:hint="eastAsia"/>
                <w:color w:val="auto"/>
                <w:szCs w:val="21"/>
                <w:highlight w:val="none"/>
                <w:lang w:val="en-US" w:eastAsia="zh-CN"/>
              </w:rPr>
              <w:t>一名安全监理员，具有具备安全监理员证书或注册安全工程师注册证。，得3分，</w:t>
            </w:r>
            <w:r>
              <w:rPr>
                <w:rFonts w:hint="eastAsia" w:ascii="宋体" w:hAnsi="宋体" w:eastAsia="宋体" w:cs="宋体"/>
                <w:sz w:val="21"/>
                <w:szCs w:val="21"/>
                <w:highlight w:val="none"/>
                <w:lang w:val="en-US" w:eastAsia="zh-CN"/>
              </w:rPr>
              <w:t>本</w:t>
            </w:r>
            <w:r>
              <w:rPr>
                <w:rFonts w:hint="eastAsia" w:ascii="宋体" w:hAnsi="宋体" w:cs="宋体"/>
                <w:sz w:val="21"/>
                <w:szCs w:val="21"/>
                <w:highlight w:val="none"/>
                <w:lang w:val="en-US" w:eastAsia="zh-CN"/>
              </w:rPr>
              <w:t>小</w:t>
            </w:r>
            <w:r>
              <w:rPr>
                <w:rFonts w:hint="eastAsia" w:ascii="宋体" w:hAnsi="宋体" w:eastAsia="宋体" w:cs="宋体"/>
                <w:sz w:val="21"/>
                <w:szCs w:val="21"/>
                <w:highlight w:val="none"/>
                <w:lang w:val="en-US" w:eastAsia="zh-CN"/>
              </w:rPr>
              <w:t>项</w:t>
            </w:r>
            <w:r>
              <w:rPr>
                <w:rFonts w:hint="eastAsia" w:ascii="宋体" w:hAnsi="宋体" w:eastAsia="宋体" w:cs="宋体"/>
                <w:spacing w:val="-3"/>
                <w:kern w:val="2"/>
                <w:sz w:val="21"/>
                <w:szCs w:val="21"/>
                <w:highlight w:val="none"/>
                <w:lang w:val="en-US" w:eastAsia="zh-CN" w:bidi="ar-SA"/>
              </w:rPr>
              <w:t>最高得</w:t>
            </w:r>
            <w:r>
              <w:rPr>
                <w:rFonts w:hint="eastAsia" w:ascii="宋体" w:hAnsi="宋体" w:cs="宋体"/>
                <w:spacing w:val="-3"/>
                <w:kern w:val="2"/>
                <w:sz w:val="21"/>
                <w:szCs w:val="21"/>
                <w:highlight w:val="none"/>
                <w:lang w:val="en-US" w:eastAsia="zh-CN" w:bidi="ar-SA"/>
              </w:rPr>
              <w:t>3</w:t>
            </w:r>
            <w:r>
              <w:rPr>
                <w:rFonts w:hint="eastAsia" w:ascii="宋体" w:hAnsi="宋体" w:eastAsia="宋体" w:cs="宋体"/>
                <w:spacing w:val="-3"/>
                <w:kern w:val="2"/>
                <w:sz w:val="21"/>
                <w:szCs w:val="21"/>
                <w:highlight w:val="none"/>
                <w:lang w:val="en-US" w:eastAsia="zh-CN" w:bidi="ar-SA"/>
              </w:rPr>
              <w:t>分</w:t>
            </w:r>
            <w:r>
              <w:rPr>
                <w:rFonts w:hint="eastAsia" w:ascii="宋体" w:hAnsi="宋体" w:cs="宋体"/>
                <w:spacing w:val="-3"/>
                <w:kern w:val="2"/>
                <w:sz w:val="21"/>
                <w:szCs w:val="21"/>
                <w:highlight w:val="none"/>
                <w:lang w:val="en-US" w:eastAsia="zh-CN" w:bidi="ar-SA"/>
              </w:rPr>
              <w:t>。</w:t>
            </w:r>
          </w:p>
          <w:p>
            <w:pPr>
              <w:keepNext w:val="0"/>
              <w:keepLines w:val="0"/>
              <w:pageBreakBefore w:val="0"/>
              <w:widowControl w:val="0"/>
              <w:wordWrap w:val="0"/>
              <w:bidi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本项</w:t>
            </w:r>
            <w:r>
              <w:rPr>
                <w:rFonts w:hint="eastAsia" w:ascii="宋体" w:hAnsi="宋体" w:eastAsia="宋体" w:cs="宋体"/>
                <w:spacing w:val="-3"/>
                <w:kern w:val="2"/>
                <w:sz w:val="21"/>
                <w:szCs w:val="21"/>
                <w:highlight w:val="none"/>
                <w:lang w:val="en-US" w:eastAsia="zh-CN" w:bidi="ar-SA"/>
              </w:rPr>
              <w:t>最高得9分</w:t>
            </w:r>
            <w:r>
              <w:rPr>
                <w:rFonts w:hint="eastAsia" w:ascii="宋体" w:hAnsi="宋体" w:eastAsia="宋体" w:cs="宋体"/>
                <w:sz w:val="21"/>
                <w:szCs w:val="21"/>
                <w:highlight w:val="none"/>
              </w:rPr>
              <w:t>。提供相关证书复印件及拟投入人员需提供近一个月（即招标公告发布当月的前一个月）</w:t>
            </w:r>
            <w:r>
              <w:rPr>
                <w:rFonts w:hint="eastAsia" w:ascii="宋体" w:hAnsi="宋体" w:cs="宋体"/>
                <w:szCs w:val="21"/>
                <w:highlight w:val="none"/>
              </w:rPr>
              <w:t>社保缴纳证明</w:t>
            </w:r>
            <w:r>
              <w:rPr>
                <w:rFonts w:hint="eastAsia" w:ascii="宋体" w:hAnsi="宋体" w:eastAsia="宋体" w:cs="宋体"/>
                <w:sz w:val="21"/>
                <w:szCs w:val="21"/>
                <w:highlight w:val="none"/>
              </w:rPr>
              <w:t>复印件加盖公章作为评审依据。没有提供相关证明材料的有效复印件的不得分。根据住房城乡建设部、交通运输部、水利部、人力资源社会保障部关于印发《造价工程师职业资格制度规定》《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0"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wordWrap w:val="0"/>
              <w:bidi w:val="0"/>
              <w:spacing w:line="240" w:lineRule="auto"/>
              <w:ind w:firstLine="210" w:firstLineChars="100"/>
              <w:jc w:val="center"/>
              <w:rPr>
                <w:rFonts w:hint="eastAsia" w:ascii="宋体" w:hAnsi="宋体" w:eastAsia="宋体" w:cs="宋体"/>
                <w:spacing w:val="-4"/>
                <w:sz w:val="21"/>
                <w:szCs w:val="21"/>
                <w:highlight w:val="none"/>
              </w:rPr>
            </w:pPr>
            <w:r>
              <w:rPr>
                <w:rFonts w:hint="eastAsia"/>
                <w:highlight w:val="none"/>
                <w:lang w:eastAsia="zh-CN"/>
              </w:rPr>
              <w:t>第三方评价</w:t>
            </w:r>
          </w:p>
          <w:p>
            <w:pPr>
              <w:keepNext w:val="0"/>
              <w:keepLines w:val="0"/>
              <w:pageBreakBefore w:val="0"/>
              <w:widowControl w:val="0"/>
              <w:wordWrap w:val="0"/>
              <w:bidi w:val="0"/>
              <w:spacing w:line="240" w:lineRule="auto"/>
              <w:jc w:val="center"/>
              <w:rPr>
                <w:rFonts w:hint="eastAsia" w:ascii="宋体" w:hAnsi="宋体" w:eastAsia="宋体" w:cs="宋体"/>
                <w:strike/>
                <w:dstrike w:val="0"/>
                <w:color w:val="FF0000"/>
                <w:kern w:val="2"/>
                <w:sz w:val="21"/>
                <w:szCs w:val="21"/>
                <w:highlight w:val="none"/>
                <w:lang w:val="en-US" w:eastAsia="zh-CN" w:bidi="ar-SA"/>
              </w:rPr>
            </w:pPr>
            <w:r>
              <w:rPr>
                <w:rFonts w:hint="eastAsia" w:ascii="宋体" w:hAnsi="宋体" w:eastAsia="宋体" w:cs="宋体"/>
                <w:spacing w:val="-3"/>
                <w:sz w:val="21"/>
                <w:szCs w:val="21"/>
                <w:highlight w:val="none"/>
                <w:lang w:val="zh-CN"/>
              </w:rPr>
              <w:t>（</w:t>
            </w:r>
            <w:r>
              <w:rPr>
                <w:rFonts w:hint="eastAsia" w:ascii="宋体" w:hAnsi="宋体" w:cs="宋体"/>
                <w:color w:val="auto"/>
                <w:spacing w:val="-3"/>
                <w:sz w:val="21"/>
                <w:szCs w:val="21"/>
                <w:highlight w:val="none"/>
                <w:lang w:val="en-US" w:eastAsia="zh-CN"/>
              </w:rPr>
              <w:t>4</w:t>
            </w:r>
            <w:r>
              <w:rPr>
                <w:rFonts w:hint="eastAsia" w:ascii="宋体" w:hAnsi="宋体" w:eastAsia="宋体" w:cs="宋体"/>
                <w:spacing w:val="-3"/>
                <w:sz w:val="21"/>
                <w:szCs w:val="21"/>
                <w:highlight w:val="none"/>
                <w:lang w:val="zh-CN"/>
              </w:rPr>
              <w:t>分）</w:t>
            </w:r>
          </w:p>
        </w:tc>
        <w:tc>
          <w:tcPr>
            <w:tcW w:w="634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wordWrap w:val="0"/>
              <w:bidi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投标人同时具有有效期内质量管理</w:t>
            </w:r>
            <w:r>
              <w:rPr>
                <w:rFonts w:hint="eastAsia" w:ascii="宋体" w:hAnsi="宋体" w:eastAsia="宋体" w:cs="宋体"/>
                <w:sz w:val="21"/>
                <w:szCs w:val="21"/>
                <w:highlight w:val="none"/>
                <w:lang w:val="en-US" w:eastAsia="zh-CN"/>
              </w:rPr>
              <w:t>类</w:t>
            </w:r>
            <w:r>
              <w:rPr>
                <w:rFonts w:hint="eastAsia" w:ascii="宋体" w:hAnsi="宋体" w:eastAsia="宋体" w:cs="宋体"/>
                <w:sz w:val="21"/>
                <w:szCs w:val="21"/>
                <w:highlight w:val="none"/>
              </w:rPr>
              <w:t>体系认证证书、环境管理</w:t>
            </w:r>
            <w:r>
              <w:rPr>
                <w:rFonts w:hint="eastAsia" w:ascii="宋体" w:hAnsi="宋体" w:eastAsia="宋体" w:cs="宋体"/>
                <w:sz w:val="21"/>
                <w:szCs w:val="21"/>
                <w:highlight w:val="none"/>
                <w:lang w:val="en-US" w:eastAsia="zh-CN"/>
              </w:rPr>
              <w:t>类</w:t>
            </w:r>
            <w:r>
              <w:rPr>
                <w:rFonts w:hint="eastAsia" w:ascii="宋体" w:hAnsi="宋体" w:eastAsia="宋体" w:cs="宋体"/>
                <w:sz w:val="21"/>
                <w:szCs w:val="21"/>
                <w:highlight w:val="none"/>
              </w:rPr>
              <w:t>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职业健康安全管理</w:t>
            </w:r>
            <w:r>
              <w:rPr>
                <w:rFonts w:hint="eastAsia" w:ascii="宋体" w:hAnsi="宋体" w:eastAsia="宋体" w:cs="宋体"/>
                <w:sz w:val="21"/>
                <w:szCs w:val="21"/>
                <w:highlight w:val="none"/>
                <w:lang w:val="en-US" w:eastAsia="zh-CN"/>
              </w:rPr>
              <w:t>类</w:t>
            </w:r>
            <w:r>
              <w:rPr>
                <w:rFonts w:hint="eastAsia" w:ascii="宋体" w:hAnsi="宋体" w:eastAsia="宋体" w:cs="宋体"/>
                <w:sz w:val="21"/>
                <w:szCs w:val="21"/>
                <w:highlight w:val="none"/>
              </w:rPr>
              <w:t>体系认证证书的得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分，无或其他不得分。 </w:t>
            </w:r>
          </w:p>
          <w:p>
            <w:pPr>
              <w:keepNext w:val="0"/>
              <w:keepLines w:val="0"/>
              <w:pageBreakBefore w:val="0"/>
              <w:widowControl w:val="0"/>
              <w:wordWrap w:val="0"/>
              <w:bidi w:val="0"/>
              <w:spacing w:line="240" w:lineRule="auto"/>
              <w:jc w:val="left"/>
              <w:textAlignment w:val="center"/>
              <w:rPr>
                <w:rFonts w:hint="eastAsia" w:ascii="宋体" w:hAnsi="宋体" w:eastAsia="宋体" w:cs="宋体"/>
                <w:strike/>
                <w:dstrike w:val="0"/>
                <w:color w:val="FF0000"/>
                <w:kern w:val="2"/>
                <w:sz w:val="21"/>
                <w:szCs w:val="21"/>
                <w:highlight w:val="none"/>
                <w:lang w:val="en-US" w:eastAsia="zh-CN" w:bidi="ar-SA"/>
              </w:rPr>
            </w:pPr>
            <w:r>
              <w:rPr>
                <w:rFonts w:hint="eastAsia" w:ascii="宋体" w:hAnsi="宋体" w:eastAsia="宋体" w:cs="宋体"/>
                <w:sz w:val="21"/>
                <w:szCs w:val="21"/>
                <w:highlight w:val="none"/>
              </w:rPr>
              <w:t>注：本项最高得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分；须提供相关证书等有效证明材料，否则不得分。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613" w:type="dxa"/>
            <w:vMerge w:val="restart"/>
            <w:tcBorders>
              <w:top w:val="single" w:color="auto" w:sz="4" w:space="0"/>
              <w:bottom w:val="single" w:color="auto" w:sz="4" w:space="0"/>
              <w:right w:val="single" w:color="auto" w:sz="4" w:space="0"/>
            </w:tcBorders>
            <w:vAlign w:val="center"/>
          </w:tcPr>
          <w:p>
            <w:pPr>
              <w:pStyle w:val="48"/>
              <w:kinsoku w:val="0"/>
              <w:overflowPunct w:val="0"/>
              <w:ind w:left="-63" w:leftChars="-30" w:right="-111" w:rightChars="-53" w:firstLine="63" w:firstLineChars="30"/>
              <w:jc w:val="center"/>
              <w:rPr>
                <w:color w:val="auto"/>
                <w:highlight w:val="none"/>
              </w:rPr>
            </w:pPr>
            <w:r>
              <w:rPr>
                <w:color w:val="auto"/>
                <w:highlight w:val="none"/>
              </w:rPr>
              <w:t>2.2.4</w:t>
            </w:r>
          </w:p>
          <w:p>
            <w:pPr>
              <w:pStyle w:val="48"/>
              <w:kinsoku w:val="0"/>
              <w:overflowPunct w:val="0"/>
              <w:spacing w:before="4" w:line="110" w:lineRule="exact"/>
              <w:ind w:left="-63" w:leftChars="-30" w:right="-111" w:rightChars="-53" w:firstLine="33" w:firstLineChars="30"/>
              <w:jc w:val="center"/>
              <w:rPr>
                <w:color w:val="auto"/>
                <w:sz w:val="11"/>
                <w:highlight w:val="none"/>
              </w:rPr>
            </w:pPr>
          </w:p>
          <w:p>
            <w:pPr>
              <w:pStyle w:val="48"/>
              <w:kinsoku w:val="0"/>
              <w:overflowPunct w:val="0"/>
              <w:ind w:left="-63" w:leftChars="-30" w:right="-111" w:rightChars="-53" w:firstLine="62" w:firstLineChars="30"/>
              <w:jc w:val="center"/>
              <w:rPr>
                <w:color w:val="auto"/>
                <w:highlight w:val="none"/>
              </w:rPr>
            </w:pPr>
            <w:r>
              <w:rPr>
                <w:rFonts w:ascii="宋体" w:hAnsi="宋体"/>
                <w:color w:val="auto"/>
                <w:spacing w:val="-1"/>
                <w:highlight w:val="none"/>
              </w:rPr>
              <w:t>（</w:t>
            </w:r>
            <w:r>
              <w:rPr>
                <w:color w:val="auto"/>
                <w:highlight w:val="none"/>
              </w:rPr>
              <w:t>2</w:t>
            </w:r>
            <w:r>
              <w:rPr>
                <w:rFonts w:ascii="宋体" w:hAnsi="宋体"/>
                <w:color w:val="auto"/>
                <w:highlight w:val="none"/>
              </w:rPr>
              <w:t>）</w:t>
            </w:r>
          </w:p>
        </w:tc>
        <w:tc>
          <w:tcPr>
            <w:tcW w:w="1205"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wordWrap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w:t>
            </w:r>
          </w:p>
          <w:p>
            <w:pPr>
              <w:spacing w:line="260" w:lineRule="exact"/>
              <w:ind w:left="315" w:hanging="315" w:hangingChars="150"/>
              <w:jc w:val="center"/>
              <w:rPr>
                <w:color w:val="auto"/>
                <w:highlight w:val="none"/>
              </w:rPr>
            </w:pPr>
            <w:r>
              <w:rPr>
                <w:rFonts w:hint="eastAsia" w:ascii="宋体" w:hAnsi="宋体" w:eastAsia="宋体" w:cs="宋体"/>
                <w:color w:val="auto"/>
                <w:sz w:val="21"/>
                <w:szCs w:val="21"/>
                <w:highlight w:val="none"/>
              </w:rPr>
              <w:t>（45分</w:t>
            </w:r>
            <w:r>
              <w:rPr>
                <w:rFonts w:hint="eastAsia" w:ascii="宋体" w:hAnsi="宋体"/>
                <w:color w:val="auto"/>
                <w:highlight w:val="none"/>
              </w:rPr>
              <w:t>）</w:t>
            </w: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eastAsia="宋体" w:cs="宋体"/>
                <w:color w:val="FF0000"/>
                <w:kern w:val="2"/>
                <w:sz w:val="21"/>
                <w:szCs w:val="21"/>
                <w:highlight w:val="none"/>
                <w:lang w:val="en-US" w:eastAsia="zh-CN" w:bidi="ar-SA"/>
              </w:rPr>
            </w:pPr>
            <w:r>
              <w:rPr>
                <w:rFonts w:ascii="宋体" w:hAnsi="宋体"/>
                <w:color w:val="auto"/>
                <w:highlight w:val="none"/>
              </w:rPr>
              <w:t>监理范围、监理内容</w:t>
            </w: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76" w:lineRule="auto"/>
              <w:rPr>
                <w:rFonts w:hint="eastAsia" w:ascii="宋体" w:hAnsi="宋体" w:eastAsia="宋体" w:cs="宋体"/>
                <w:color w:val="FF0000"/>
                <w:kern w:val="2"/>
                <w:sz w:val="21"/>
                <w:szCs w:val="21"/>
                <w:highlight w:val="none"/>
                <w:lang w:val="en-US" w:eastAsia="zh-CN" w:bidi="ar-SA"/>
              </w:rPr>
            </w:pPr>
            <w:r>
              <w:rPr>
                <w:rFonts w:hint="eastAsia" w:ascii="宋体" w:hAnsi="宋体"/>
                <w:color w:val="auto"/>
                <w:highlight w:val="none"/>
              </w:rPr>
              <w:t>对监理工作范围内容明确，描述清晰。优得</w:t>
            </w:r>
            <w:r>
              <w:rPr>
                <w:rFonts w:hint="eastAsia" w:ascii="宋体" w:hAnsi="宋体"/>
                <w:color w:val="auto"/>
                <w:highlight w:val="none"/>
                <w:lang w:val="en-US" w:eastAsia="zh-CN"/>
              </w:rPr>
              <w:t>2</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1</w:t>
            </w:r>
            <w:r>
              <w:rPr>
                <w:rFonts w:ascii="宋体" w:hAnsi="宋体"/>
                <w:color w:val="auto"/>
                <w:highlight w:val="none"/>
              </w:rPr>
              <w:t>分；差得</w:t>
            </w:r>
            <w:r>
              <w:rPr>
                <w:rFonts w:hint="eastAsia" w:ascii="宋体" w:hAnsi="宋体"/>
                <w:color w:val="auto"/>
                <w:highlight w:val="none"/>
                <w:lang w:val="en-US" w:eastAsia="zh-CN"/>
              </w:rPr>
              <w:t>0.5</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eastAsia="宋体" w:cs="宋体"/>
                <w:color w:val="FF0000"/>
                <w:kern w:val="2"/>
                <w:sz w:val="21"/>
                <w:szCs w:val="21"/>
                <w:highlight w:val="none"/>
                <w:lang w:val="en-US" w:eastAsia="zh-CN" w:bidi="ar-SA"/>
              </w:rPr>
            </w:pPr>
            <w:r>
              <w:rPr>
                <w:rFonts w:ascii="宋体" w:hAnsi="宋体"/>
                <w:color w:val="auto"/>
                <w:highlight w:val="none"/>
              </w:rPr>
              <w:t>监理依据、监理工作目标</w:t>
            </w: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auto"/>
                <w:kern w:val="0"/>
                <w:highlight w:val="none"/>
              </w:rPr>
              <w:t>要求依据充分，目标明确。</w:t>
            </w:r>
            <w:r>
              <w:rPr>
                <w:rFonts w:hint="eastAsia" w:ascii="宋体" w:hAnsi="宋体"/>
                <w:color w:val="auto"/>
                <w:highlight w:val="none"/>
              </w:rPr>
              <w:t>优得</w:t>
            </w:r>
            <w:r>
              <w:rPr>
                <w:rFonts w:hint="eastAsia" w:ascii="宋体" w:hAnsi="宋体"/>
                <w:color w:val="auto"/>
                <w:highlight w:val="none"/>
                <w:lang w:val="en-US" w:eastAsia="zh-CN"/>
              </w:rPr>
              <w:t>2</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1</w:t>
            </w:r>
            <w:r>
              <w:rPr>
                <w:rFonts w:ascii="宋体" w:hAnsi="宋体"/>
                <w:color w:val="auto"/>
                <w:highlight w:val="none"/>
              </w:rPr>
              <w:t>分；差得</w:t>
            </w:r>
            <w:r>
              <w:rPr>
                <w:rFonts w:hint="eastAsia" w:ascii="宋体" w:hAnsi="宋体"/>
                <w:color w:val="auto"/>
                <w:highlight w:val="none"/>
                <w:lang w:val="en-US" w:eastAsia="zh-CN"/>
              </w:rPr>
              <w:t>0.5</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eastAsia="宋体" w:cs="宋体"/>
                <w:color w:val="FF0000"/>
                <w:kern w:val="2"/>
                <w:sz w:val="21"/>
                <w:szCs w:val="21"/>
                <w:highlight w:val="none"/>
                <w:lang w:val="en-US" w:eastAsia="zh-CN" w:bidi="ar-SA"/>
              </w:rPr>
            </w:pPr>
            <w:r>
              <w:rPr>
                <w:rFonts w:ascii="宋体" w:hAnsi="宋体"/>
                <w:color w:val="auto"/>
                <w:highlight w:val="none"/>
              </w:rPr>
              <w:t>监理机构</w:t>
            </w:r>
            <w:r>
              <w:rPr>
                <w:rFonts w:hint="eastAsia" w:ascii="宋体" w:hAnsi="宋体"/>
                <w:color w:val="auto"/>
                <w:highlight w:val="none"/>
              </w:rPr>
              <w:t>（框图）</w:t>
            </w:r>
            <w:r>
              <w:rPr>
                <w:rFonts w:ascii="宋体" w:hAnsi="宋体"/>
                <w:color w:val="auto"/>
                <w:highlight w:val="none"/>
              </w:rPr>
              <w:t>设置和岗位职责</w:t>
            </w: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hint="eastAsia" w:ascii="宋体" w:hAnsi="宋体" w:eastAsia="宋体" w:cs="宋体"/>
                <w:color w:val="FF0000"/>
                <w:kern w:val="2"/>
                <w:sz w:val="21"/>
                <w:szCs w:val="21"/>
                <w:highlight w:val="none"/>
                <w:lang w:val="en-US" w:eastAsia="zh-CN" w:bidi="ar-SA"/>
              </w:rPr>
            </w:pPr>
            <w:r>
              <w:rPr>
                <w:rFonts w:hint="eastAsia" w:ascii="宋体" w:hAnsi="宋体"/>
                <w:color w:val="auto"/>
                <w:highlight w:val="none"/>
              </w:rPr>
              <w:t>机构设置合理，</w:t>
            </w:r>
            <w:r>
              <w:rPr>
                <w:rFonts w:ascii="宋体" w:hAnsi="宋体"/>
                <w:color w:val="auto"/>
                <w:highlight w:val="none"/>
              </w:rPr>
              <w:t>岗位职责</w:t>
            </w:r>
            <w:r>
              <w:rPr>
                <w:rFonts w:hint="eastAsia" w:ascii="宋体" w:hAnsi="宋体"/>
                <w:color w:val="auto"/>
                <w:highlight w:val="none"/>
              </w:rPr>
              <w:t>分工</w:t>
            </w:r>
            <w:r>
              <w:rPr>
                <w:rFonts w:hint="eastAsia" w:ascii="宋体" w:hAnsi="宋体" w:cs="宋体"/>
                <w:color w:val="auto"/>
                <w:kern w:val="0"/>
                <w:highlight w:val="none"/>
              </w:rPr>
              <w:t>明确合理</w:t>
            </w:r>
            <w:r>
              <w:rPr>
                <w:rFonts w:hint="eastAsia" w:ascii="宋体" w:hAnsi="宋体"/>
                <w:color w:val="auto"/>
                <w:highlight w:val="none"/>
              </w:rPr>
              <w:t>。优得</w:t>
            </w:r>
            <w:r>
              <w:rPr>
                <w:rFonts w:hint="eastAsia" w:ascii="宋体" w:hAnsi="宋体"/>
                <w:color w:val="auto"/>
                <w:highlight w:val="none"/>
                <w:lang w:val="en-US" w:eastAsia="zh-CN"/>
              </w:rPr>
              <w:t>2</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1</w:t>
            </w:r>
            <w:r>
              <w:rPr>
                <w:rFonts w:ascii="宋体" w:hAnsi="宋体"/>
                <w:color w:val="auto"/>
                <w:highlight w:val="none"/>
              </w:rPr>
              <w:t>分；差得</w:t>
            </w:r>
            <w:r>
              <w:rPr>
                <w:rFonts w:hint="eastAsia" w:ascii="宋体" w:hAnsi="宋体"/>
                <w:color w:val="auto"/>
                <w:highlight w:val="none"/>
                <w:lang w:val="en-US" w:eastAsia="zh-CN"/>
              </w:rPr>
              <w:t>0.5</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9"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w w:val="95"/>
                <w:highlight w:val="none"/>
              </w:rPr>
            </w:pPr>
            <w:r>
              <w:rPr>
                <w:rFonts w:ascii="宋体" w:hAnsi="宋体"/>
                <w:color w:val="auto"/>
                <w:highlight w:val="none"/>
              </w:rPr>
              <w:t>监理工作程序、方法和制</w:t>
            </w:r>
            <w:r>
              <w:rPr>
                <w:rFonts w:ascii="宋体" w:hAnsi="宋体"/>
                <w:color w:val="auto"/>
                <w:w w:val="95"/>
                <w:highlight w:val="none"/>
              </w:rPr>
              <w:t>度</w:t>
            </w:r>
          </w:p>
          <w:p>
            <w:pPr>
              <w:snapToGrid w:val="0"/>
              <w:spacing w:line="276"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auto"/>
                <w:kern w:val="0"/>
                <w:highlight w:val="none"/>
              </w:rPr>
              <w:t>有清晰的工作流程图、工作准则、方法合理、制度健全。</w:t>
            </w:r>
            <w:r>
              <w:rPr>
                <w:rFonts w:hint="eastAsia" w:ascii="宋体" w:hAnsi="宋体"/>
                <w:color w:val="auto"/>
                <w:highlight w:val="none"/>
              </w:rPr>
              <w:t>优得</w:t>
            </w:r>
            <w:r>
              <w:rPr>
                <w:rFonts w:hint="eastAsia" w:ascii="宋体" w:hAnsi="宋体"/>
                <w:color w:val="auto"/>
                <w:highlight w:val="none"/>
                <w:lang w:val="en-US" w:eastAsia="zh-CN"/>
              </w:rPr>
              <w:t>4</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highlight w:val="none"/>
              </w:rPr>
            </w:pPr>
            <w:r>
              <w:rPr>
                <w:rFonts w:ascii="宋体" w:hAnsi="宋体"/>
                <w:color w:val="auto"/>
                <w:highlight w:val="none"/>
              </w:rPr>
              <w:t>质量监理措施</w:t>
            </w:r>
          </w:p>
          <w:p>
            <w:pPr>
              <w:snapToGrid w:val="0"/>
              <w:spacing w:line="276" w:lineRule="auto"/>
              <w:jc w:val="center"/>
              <w:rPr>
                <w:rFonts w:hint="eastAsia" w:ascii="宋体" w:hAnsi="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kern w:val="2"/>
                <w:sz w:val="21"/>
                <w:szCs w:val="21"/>
                <w:highlight w:val="none"/>
                <w:lang w:val="en-US" w:eastAsia="zh-CN" w:bidi="ar-SA"/>
              </w:rPr>
            </w:pPr>
            <w:r>
              <w:rPr>
                <w:rFonts w:hint="eastAsia" w:ascii="宋体" w:hAnsi="宋体"/>
                <w:color w:val="auto"/>
                <w:highlight w:val="none"/>
              </w:rPr>
              <w:t>质量监理措施：</w:t>
            </w:r>
            <w:r>
              <w:rPr>
                <w:rFonts w:hint="eastAsia" w:ascii="宋体" w:hAnsi="宋体" w:cs="宋体"/>
                <w:color w:val="auto"/>
                <w:kern w:val="0"/>
                <w:highlight w:val="none"/>
              </w:rPr>
              <w:t>要求目标明确、方法合理可行、措施具体、针对性强。</w:t>
            </w:r>
            <w:r>
              <w:rPr>
                <w:rFonts w:hint="eastAsia" w:ascii="宋体" w:hAnsi="宋体"/>
                <w:color w:val="auto"/>
                <w:highlight w:val="none"/>
              </w:rPr>
              <w:t>优得</w:t>
            </w:r>
            <w:r>
              <w:rPr>
                <w:rFonts w:hint="eastAsia" w:ascii="宋体" w:hAnsi="宋体"/>
                <w:color w:val="auto"/>
                <w:highlight w:val="none"/>
                <w:lang w:val="en-US" w:eastAsia="zh-CN"/>
              </w:rPr>
              <w:t>4</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highlight w:val="none"/>
              </w:rPr>
            </w:pPr>
            <w:r>
              <w:rPr>
                <w:rFonts w:ascii="宋体" w:hAnsi="宋体"/>
                <w:color w:val="auto"/>
                <w:highlight w:val="none"/>
              </w:rPr>
              <w:t>进度监理措施</w:t>
            </w:r>
          </w:p>
          <w:p>
            <w:pPr>
              <w:snapToGrid w:val="0"/>
              <w:spacing w:line="276" w:lineRule="auto"/>
              <w:jc w:val="center"/>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spacing w:val="-3"/>
                <w:kern w:val="2"/>
                <w:sz w:val="21"/>
                <w:szCs w:val="21"/>
                <w:highlight w:val="none"/>
                <w:lang w:val="en-US" w:eastAsia="zh-CN" w:bidi="ar-SA"/>
              </w:rPr>
            </w:pPr>
            <w:r>
              <w:rPr>
                <w:rFonts w:hint="eastAsia" w:ascii="宋体" w:hAnsi="宋体"/>
                <w:color w:val="auto"/>
                <w:highlight w:val="none"/>
              </w:rPr>
              <w:t>进度监理措施：</w:t>
            </w:r>
            <w:r>
              <w:rPr>
                <w:rFonts w:hint="eastAsia" w:ascii="宋体" w:hAnsi="宋体" w:cs="宋体"/>
                <w:color w:val="auto"/>
                <w:kern w:val="0"/>
                <w:highlight w:val="none"/>
              </w:rPr>
              <w:t>要求目标明确、方法合理可行、措施具体、针对性强。</w:t>
            </w:r>
            <w:r>
              <w:rPr>
                <w:rFonts w:hint="eastAsia" w:ascii="宋体" w:hAnsi="宋体"/>
                <w:color w:val="auto"/>
                <w:highlight w:val="none"/>
              </w:rPr>
              <w:t>优得</w:t>
            </w:r>
            <w:r>
              <w:rPr>
                <w:rFonts w:hint="eastAsia" w:ascii="宋体" w:hAnsi="宋体"/>
                <w:color w:val="auto"/>
                <w:highlight w:val="none"/>
                <w:lang w:val="en-US" w:eastAsia="zh-CN"/>
              </w:rPr>
              <w:t>4</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highlight w:val="none"/>
              </w:rPr>
            </w:pPr>
            <w:r>
              <w:rPr>
                <w:rFonts w:hint="eastAsia" w:ascii="宋体" w:hAnsi="宋体"/>
                <w:color w:val="auto"/>
                <w:highlight w:val="none"/>
              </w:rPr>
              <w:t>投资</w:t>
            </w:r>
            <w:r>
              <w:rPr>
                <w:rFonts w:ascii="宋体" w:hAnsi="宋体"/>
                <w:color w:val="auto"/>
                <w:highlight w:val="none"/>
              </w:rPr>
              <w:t>监理措施</w:t>
            </w:r>
          </w:p>
          <w:p>
            <w:pPr>
              <w:snapToGrid w:val="0"/>
              <w:spacing w:line="276" w:lineRule="auto"/>
              <w:jc w:val="center"/>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spacing w:val="-3"/>
                <w:kern w:val="2"/>
                <w:sz w:val="21"/>
                <w:szCs w:val="21"/>
                <w:highlight w:val="none"/>
                <w:lang w:val="en-US" w:eastAsia="zh-CN" w:bidi="ar-SA"/>
              </w:rPr>
            </w:pPr>
            <w:r>
              <w:rPr>
                <w:rFonts w:hint="eastAsia" w:ascii="宋体" w:hAnsi="宋体"/>
                <w:color w:val="auto"/>
                <w:highlight w:val="none"/>
              </w:rPr>
              <w:t>投资监理措施：</w:t>
            </w:r>
            <w:r>
              <w:rPr>
                <w:rFonts w:hint="eastAsia" w:ascii="宋体" w:hAnsi="宋体" w:cs="宋体"/>
                <w:color w:val="auto"/>
                <w:kern w:val="0"/>
                <w:highlight w:val="none"/>
              </w:rPr>
              <w:t>要求目标明确、方法合理可行、措施具体、针对性强。</w:t>
            </w:r>
            <w:r>
              <w:rPr>
                <w:rFonts w:hint="eastAsia" w:ascii="宋体" w:hAnsi="宋体"/>
                <w:color w:val="auto"/>
                <w:highlight w:val="none"/>
              </w:rPr>
              <w:t>优得</w:t>
            </w:r>
            <w:r>
              <w:rPr>
                <w:rFonts w:hint="eastAsia" w:ascii="宋体" w:hAnsi="宋体"/>
                <w:color w:val="auto"/>
                <w:highlight w:val="none"/>
                <w:lang w:val="en-US" w:eastAsia="zh-CN"/>
              </w:rPr>
              <w:t>4</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highlight w:val="none"/>
              </w:rPr>
            </w:pPr>
            <w:r>
              <w:rPr>
                <w:rFonts w:ascii="宋体" w:hAnsi="宋体"/>
                <w:color w:val="auto"/>
                <w:highlight w:val="none"/>
              </w:rPr>
              <w:t>安全监理措施</w:t>
            </w:r>
          </w:p>
          <w:p>
            <w:pPr>
              <w:snapToGrid w:val="0"/>
              <w:spacing w:line="276" w:lineRule="auto"/>
              <w:jc w:val="center"/>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spacing w:val="-3"/>
                <w:kern w:val="2"/>
                <w:sz w:val="21"/>
                <w:szCs w:val="21"/>
                <w:highlight w:val="none"/>
                <w:lang w:val="en-US" w:eastAsia="zh-CN" w:bidi="ar-SA"/>
              </w:rPr>
            </w:pPr>
            <w:r>
              <w:rPr>
                <w:rFonts w:hint="eastAsia" w:ascii="宋体" w:hAnsi="宋体"/>
                <w:color w:val="auto"/>
                <w:highlight w:val="none"/>
              </w:rPr>
              <w:t>安全监理措施：</w:t>
            </w:r>
            <w:r>
              <w:rPr>
                <w:rFonts w:hint="eastAsia" w:ascii="宋体" w:hAnsi="宋体" w:cs="宋体"/>
                <w:color w:val="auto"/>
                <w:kern w:val="0"/>
                <w:highlight w:val="none"/>
              </w:rPr>
              <w:t>要求目标明确、方法合理可行、措施具体、针对性强。</w:t>
            </w:r>
            <w:r>
              <w:rPr>
                <w:rFonts w:hint="eastAsia" w:ascii="宋体" w:hAnsi="宋体"/>
                <w:color w:val="auto"/>
                <w:highlight w:val="none"/>
              </w:rPr>
              <w:t>优得</w:t>
            </w:r>
            <w:r>
              <w:rPr>
                <w:rFonts w:hint="eastAsia" w:ascii="宋体" w:hAnsi="宋体"/>
                <w:color w:val="auto"/>
                <w:highlight w:val="none"/>
                <w:lang w:val="en-US" w:eastAsia="zh-CN"/>
              </w:rPr>
              <w:t>4</w:t>
            </w:r>
            <w:r>
              <w:rPr>
                <w:rFonts w:ascii="宋体" w:hAnsi="宋体"/>
                <w:color w:val="auto"/>
                <w:highlight w:val="none"/>
              </w:rPr>
              <w:t xml:space="preserve">分； </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ascii="宋体" w:hAnsi="宋体"/>
                <w:color w:val="auto"/>
                <w:highlight w:val="none"/>
              </w:rPr>
            </w:pPr>
            <w:r>
              <w:rPr>
                <w:rFonts w:ascii="宋体" w:hAnsi="宋体"/>
                <w:color w:val="auto"/>
                <w:highlight w:val="none"/>
              </w:rPr>
              <w:t>环保监理措施</w:t>
            </w:r>
          </w:p>
          <w:p>
            <w:pPr>
              <w:pStyle w:val="16"/>
              <w:jc w:val="center"/>
              <w:rPr>
                <w:rFonts w:hint="eastAsia" w:ascii="Calibri" w:hAnsi="Calibri" w:eastAsia="宋体" w:cs="Times New Roman"/>
                <w:kern w:val="2"/>
                <w:sz w:val="18"/>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w:t>
            </w:r>
            <w:r>
              <w:rPr>
                <w:rFonts w:hint="eastAsia" w:ascii="宋体" w:hAnsi="宋体" w:cs="Times New Roman"/>
                <w:color w:val="auto"/>
                <w:kern w:val="2"/>
                <w:sz w:val="21"/>
                <w:szCs w:val="22"/>
                <w:highlight w:val="none"/>
                <w:lang w:val="en-US" w:eastAsia="zh-CN" w:bidi="ar-SA"/>
              </w:rPr>
              <w:t>4</w:t>
            </w:r>
            <w:r>
              <w:rPr>
                <w:rFonts w:hint="eastAsia" w:ascii="宋体" w:hAnsi="宋体" w:eastAsia="宋体" w:cs="Times New Roman"/>
                <w:color w:val="auto"/>
                <w:kern w:val="2"/>
                <w:sz w:val="21"/>
                <w:szCs w:val="22"/>
                <w:highlight w:val="none"/>
                <w:lang w:val="en-US" w:eastAsia="zh-CN" w:bidi="ar-SA"/>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spacing w:val="-3"/>
                <w:kern w:val="2"/>
                <w:sz w:val="21"/>
                <w:szCs w:val="21"/>
                <w:highlight w:val="none"/>
                <w:lang w:val="en-US" w:eastAsia="zh-CN" w:bidi="ar-SA"/>
              </w:rPr>
            </w:pPr>
            <w:r>
              <w:rPr>
                <w:rFonts w:hint="eastAsia" w:ascii="宋体" w:hAnsi="宋体"/>
                <w:color w:val="auto"/>
                <w:highlight w:val="none"/>
              </w:rPr>
              <w:t>环保监理措施：</w:t>
            </w:r>
            <w:r>
              <w:rPr>
                <w:rFonts w:hint="eastAsia" w:ascii="宋体" w:hAnsi="宋体" w:cs="宋体"/>
                <w:color w:val="auto"/>
                <w:kern w:val="0"/>
                <w:highlight w:val="none"/>
              </w:rPr>
              <w:t>要求针对性强、措施具体、可操作。</w:t>
            </w:r>
            <w:r>
              <w:rPr>
                <w:rFonts w:hint="eastAsia" w:ascii="宋体" w:hAnsi="宋体"/>
                <w:color w:val="auto"/>
                <w:highlight w:val="none"/>
              </w:rPr>
              <w:t>优得</w:t>
            </w:r>
            <w:r>
              <w:rPr>
                <w:rFonts w:hint="eastAsia" w:ascii="宋体" w:hAnsi="宋体"/>
                <w:color w:val="auto"/>
                <w:highlight w:val="none"/>
                <w:lang w:val="en-US" w:eastAsia="zh-CN"/>
              </w:rPr>
              <w:t>4</w:t>
            </w:r>
            <w:r>
              <w:rPr>
                <w:rFonts w:ascii="宋体" w:hAnsi="宋体"/>
                <w:color w:val="auto"/>
                <w:highlight w:val="none"/>
              </w:rPr>
              <w:t>分；良得</w:t>
            </w:r>
            <w:r>
              <w:rPr>
                <w:rFonts w:hint="eastAsia" w:ascii="宋体" w:hAnsi="宋体"/>
                <w:color w:val="auto"/>
                <w:highlight w:val="none"/>
                <w:lang w:val="en-US" w:eastAsia="zh-CN"/>
              </w:rPr>
              <w:t>2</w:t>
            </w:r>
            <w:r>
              <w:rPr>
                <w:rFonts w:hint="eastAsia"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1"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eastAsia="宋体" w:cs="宋体"/>
                <w:color w:val="FF0000"/>
                <w:spacing w:val="-3"/>
                <w:kern w:val="2"/>
                <w:sz w:val="21"/>
                <w:szCs w:val="21"/>
                <w:highlight w:val="none"/>
                <w:lang w:val="en-US" w:eastAsia="zh-CN" w:bidi="ar-SA"/>
              </w:rPr>
            </w:pPr>
            <w:r>
              <w:rPr>
                <w:rFonts w:ascii="宋体" w:hAnsi="宋体"/>
                <w:color w:val="auto"/>
                <w:highlight w:val="none"/>
              </w:rPr>
              <w:t>合同、信息管理方案</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Times New Roman"/>
                <w:color w:val="auto"/>
                <w:kern w:val="2"/>
                <w:sz w:val="21"/>
                <w:szCs w:val="22"/>
                <w:highlight w:val="none"/>
                <w:lang w:val="en-US" w:eastAsia="zh-CN" w:bidi="ar-SA"/>
              </w:rPr>
            </w:pPr>
            <w:r>
              <w:rPr>
                <w:rFonts w:hint="eastAsia" w:ascii="宋体" w:hAnsi="宋体" w:cs="宋体"/>
                <w:color w:val="auto"/>
                <w:kern w:val="0"/>
                <w:highlight w:val="none"/>
              </w:rPr>
              <w:t>合同管理、信息管理方</w:t>
            </w:r>
            <w:r>
              <w:rPr>
                <w:rFonts w:ascii="宋体" w:hAnsi="宋体"/>
                <w:color w:val="auto"/>
                <w:highlight w:val="none"/>
              </w:rPr>
              <w:t>案</w:t>
            </w:r>
            <w:r>
              <w:rPr>
                <w:rFonts w:hint="eastAsia" w:ascii="宋体" w:hAnsi="宋体" w:cs="宋体"/>
                <w:color w:val="auto"/>
                <w:kern w:val="0"/>
                <w:highlight w:val="none"/>
                <w:lang w:eastAsia="zh-CN"/>
              </w:rPr>
              <w:t>，</w:t>
            </w:r>
            <w:r>
              <w:rPr>
                <w:rFonts w:hint="eastAsia" w:ascii="宋体" w:hAnsi="宋体" w:cs="宋体"/>
                <w:color w:val="auto"/>
                <w:kern w:val="0"/>
                <w:highlight w:val="none"/>
              </w:rPr>
              <w:t>针对性强、措施具体。</w:t>
            </w:r>
            <w:r>
              <w:rPr>
                <w:rFonts w:hint="eastAsia" w:ascii="宋体" w:hAnsi="宋体"/>
                <w:color w:val="auto"/>
                <w:highlight w:val="none"/>
              </w:rPr>
              <w:t>优得</w:t>
            </w:r>
            <w:r>
              <w:rPr>
                <w:rFonts w:hint="eastAsia" w:ascii="宋体" w:hAnsi="宋体"/>
                <w:color w:val="auto"/>
                <w:highlight w:val="none"/>
                <w:lang w:val="en-US" w:eastAsia="zh-CN"/>
              </w:rPr>
              <w:t>3</w:t>
            </w:r>
            <w:r>
              <w:rPr>
                <w:rFonts w:ascii="宋体" w:hAnsi="宋体"/>
                <w:color w:val="auto"/>
                <w:highlight w:val="none"/>
              </w:rPr>
              <w:t>分；</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eastAsia="宋体" w:cs="宋体"/>
                <w:color w:val="FF0000"/>
                <w:spacing w:val="-3"/>
                <w:kern w:val="2"/>
                <w:sz w:val="21"/>
                <w:szCs w:val="21"/>
                <w:highlight w:val="none"/>
                <w:lang w:val="en-US" w:eastAsia="zh-CN" w:bidi="ar-SA"/>
              </w:rPr>
            </w:pPr>
            <w:r>
              <w:rPr>
                <w:rFonts w:ascii="宋体" w:hAnsi="宋体"/>
                <w:color w:val="auto"/>
                <w:highlight w:val="none"/>
              </w:rPr>
              <w:t>监理组织协调内容及措施</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spacing w:val="-3"/>
                <w:kern w:val="2"/>
                <w:sz w:val="21"/>
                <w:szCs w:val="21"/>
                <w:highlight w:val="none"/>
                <w:lang w:val="en-US" w:eastAsia="zh-CN" w:bidi="ar-SA"/>
              </w:rPr>
            </w:pPr>
            <w:r>
              <w:rPr>
                <w:rFonts w:hint="eastAsia" w:ascii="宋体" w:hAnsi="宋体" w:cs="宋体"/>
                <w:color w:val="auto"/>
                <w:kern w:val="0"/>
                <w:highlight w:val="none"/>
              </w:rPr>
              <w:t>协调方法清晰合理，有具体措施。</w:t>
            </w:r>
            <w:r>
              <w:rPr>
                <w:rFonts w:hint="eastAsia" w:ascii="宋体" w:hAnsi="宋体"/>
                <w:color w:val="auto"/>
                <w:highlight w:val="none"/>
              </w:rPr>
              <w:t>优得</w:t>
            </w:r>
            <w:r>
              <w:rPr>
                <w:rFonts w:hint="eastAsia" w:ascii="宋体" w:hAnsi="宋体"/>
                <w:color w:val="auto"/>
                <w:highlight w:val="none"/>
                <w:lang w:val="en-US" w:eastAsia="zh-CN"/>
              </w:rPr>
              <w:t>3</w:t>
            </w:r>
            <w:r>
              <w:rPr>
                <w:rFonts w:ascii="宋体" w:hAnsi="宋体"/>
                <w:color w:val="auto"/>
                <w:highlight w:val="none"/>
              </w:rPr>
              <w:t>分；</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eastAsia="宋体" w:cs="宋体"/>
                <w:color w:val="FF0000"/>
                <w:spacing w:val="-3"/>
                <w:kern w:val="2"/>
                <w:sz w:val="21"/>
                <w:szCs w:val="21"/>
                <w:highlight w:val="none"/>
                <w:lang w:val="en-US" w:eastAsia="zh-CN" w:bidi="ar-SA"/>
              </w:rPr>
            </w:pPr>
            <w:r>
              <w:rPr>
                <w:rFonts w:ascii="宋体" w:hAnsi="宋体"/>
                <w:color w:val="auto"/>
                <w:highlight w:val="none"/>
              </w:rPr>
              <w:t>监理工作重点、难点分析</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rPr>
                <w:rFonts w:hint="eastAsia" w:ascii="宋体" w:hAnsi="宋体" w:eastAsia="宋体" w:cs="宋体"/>
                <w:color w:val="FF0000"/>
                <w:spacing w:val="-3"/>
                <w:kern w:val="2"/>
                <w:sz w:val="21"/>
                <w:szCs w:val="21"/>
                <w:highlight w:val="none"/>
                <w:lang w:val="en-US" w:eastAsia="zh-CN" w:bidi="ar-SA"/>
              </w:rPr>
            </w:pPr>
            <w:r>
              <w:rPr>
                <w:rFonts w:hint="eastAsia" w:ascii="宋体" w:hAnsi="宋体" w:cs="宋体"/>
                <w:color w:val="auto"/>
                <w:kern w:val="0"/>
                <w:highlight w:val="none"/>
              </w:rPr>
              <w:t>要求针对性强、措施具体、可操作。</w:t>
            </w:r>
            <w:r>
              <w:rPr>
                <w:rFonts w:hint="eastAsia" w:ascii="宋体" w:hAnsi="宋体"/>
                <w:color w:val="auto"/>
                <w:highlight w:val="none"/>
              </w:rPr>
              <w:t>优得</w:t>
            </w:r>
            <w:r>
              <w:rPr>
                <w:rFonts w:hint="eastAsia" w:ascii="宋体" w:hAnsi="宋体"/>
                <w:color w:val="auto"/>
                <w:highlight w:val="none"/>
                <w:lang w:val="en-US" w:eastAsia="zh-CN"/>
              </w:rPr>
              <w:t>3</w:t>
            </w:r>
            <w:r>
              <w:rPr>
                <w:rFonts w:ascii="宋体" w:hAnsi="宋体"/>
                <w:color w:val="auto"/>
                <w:highlight w:val="none"/>
              </w:rPr>
              <w:t>分；</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highlight w:val="none"/>
              </w:rPr>
            </w:pPr>
            <w:r>
              <w:rPr>
                <w:rFonts w:hint="eastAsia" w:ascii="宋体" w:hAnsi="宋体"/>
                <w:color w:val="auto"/>
                <w:highlight w:val="none"/>
              </w:rPr>
              <w:t>会议制度</w:t>
            </w:r>
          </w:p>
          <w:p>
            <w:pPr>
              <w:snapToGrid w:val="0"/>
              <w:spacing w:line="276" w:lineRule="auto"/>
              <w:jc w:val="center"/>
              <w:rPr>
                <w:rFonts w:hint="eastAsia" w:ascii="宋体" w:hAnsi="宋体" w:eastAsia="宋体" w:cs="宋体"/>
                <w:color w:val="FF0000"/>
                <w:spacing w:val="-3"/>
                <w:kern w:val="2"/>
                <w:sz w:val="21"/>
                <w:szCs w:val="21"/>
                <w:highlight w:val="none"/>
                <w:lang w:val="en-US" w:eastAsia="zh-CN" w:bidi="ar-SA"/>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ind w:left="1" w:leftChars="0"/>
              <w:rPr>
                <w:rFonts w:hint="eastAsia" w:ascii="宋体" w:hAnsi="宋体" w:eastAsia="宋体" w:cs="宋体"/>
                <w:color w:val="FF0000"/>
                <w:spacing w:val="-3"/>
                <w:kern w:val="2"/>
                <w:sz w:val="21"/>
                <w:szCs w:val="21"/>
                <w:highlight w:val="none"/>
                <w:lang w:val="en-US" w:eastAsia="zh-CN" w:bidi="ar-SA"/>
              </w:rPr>
            </w:pPr>
            <w:r>
              <w:rPr>
                <w:rFonts w:hint="eastAsia" w:ascii="宋体" w:hAnsi="宋体" w:cs="宋体"/>
                <w:color w:val="auto"/>
                <w:kern w:val="0"/>
                <w:highlight w:val="none"/>
              </w:rPr>
              <w:t>建立完善的工地会议制度。</w:t>
            </w:r>
            <w:r>
              <w:rPr>
                <w:rFonts w:hint="eastAsia" w:ascii="宋体" w:hAnsi="宋体"/>
                <w:color w:val="auto"/>
                <w:highlight w:val="none"/>
              </w:rPr>
              <w:t>优得</w:t>
            </w:r>
            <w:r>
              <w:rPr>
                <w:rFonts w:hint="eastAsia" w:ascii="宋体" w:hAnsi="宋体"/>
                <w:color w:val="auto"/>
                <w:highlight w:val="none"/>
                <w:lang w:val="en-US" w:eastAsia="zh-CN"/>
              </w:rPr>
              <w:t>3</w:t>
            </w:r>
            <w:r>
              <w:rPr>
                <w:rFonts w:ascii="宋体" w:hAnsi="宋体"/>
                <w:color w:val="auto"/>
                <w:highlight w:val="none"/>
              </w:rPr>
              <w:t>分；</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613" w:type="dxa"/>
            <w:vMerge w:val="continue"/>
            <w:tcBorders>
              <w:top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p>
        </w:tc>
        <w:tc>
          <w:tcPr>
            <w:tcW w:w="1205" w:type="dxa"/>
            <w:vMerge w:val="continue"/>
            <w:tcBorders>
              <w:top w:val="single" w:color="auto" w:sz="4" w:space="0"/>
              <w:bottom w:val="single" w:color="auto" w:sz="4" w:space="0"/>
              <w:right w:val="single" w:color="auto" w:sz="4" w:space="0"/>
            </w:tcBorders>
            <w:vAlign w:val="top"/>
          </w:tcPr>
          <w:p>
            <w:pPr>
              <w:pStyle w:val="48"/>
              <w:kinsoku w:val="0"/>
              <w:overflowPunct w:val="0"/>
              <w:spacing w:line="260" w:lineRule="exact"/>
              <w:ind w:left="-115" w:leftChars="-55" w:right="-122" w:rightChars="-58"/>
              <w:jc w:val="center"/>
              <w:rPr>
                <w:color w:val="auto"/>
                <w:highlight w:val="none"/>
              </w:rPr>
            </w:pPr>
          </w:p>
        </w:tc>
        <w:tc>
          <w:tcPr>
            <w:tcW w:w="1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76" w:lineRule="auto"/>
              <w:jc w:val="center"/>
              <w:rPr>
                <w:rFonts w:hint="eastAsia" w:ascii="宋体" w:hAnsi="宋体"/>
                <w:color w:val="auto"/>
                <w:highlight w:val="none"/>
              </w:rPr>
            </w:pPr>
            <w:r>
              <w:rPr>
                <w:rFonts w:ascii="宋体" w:hAnsi="宋体"/>
                <w:color w:val="auto"/>
                <w:highlight w:val="none"/>
              </w:rPr>
              <w:t>合理化建议</w:t>
            </w:r>
          </w:p>
          <w:p>
            <w:pPr>
              <w:snapToGrid w:val="0"/>
              <w:spacing w:line="276" w:lineRule="auto"/>
              <w:jc w:val="center"/>
              <w:rPr>
                <w:rFonts w:hint="eastAsia" w:ascii="宋体" w:hAnsi="宋体" w:eastAsia="宋体" w:cs="宋体"/>
                <w:color w:val="FF0000"/>
                <w:spacing w:val="-3"/>
                <w:kern w:val="2"/>
                <w:sz w:val="21"/>
                <w:szCs w:val="21"/>
                <w:highlight w:val="none"/>
                <w:lang w:val="en-US" w:eastAsia="zh-CN" w:bidi="ar-SA"/>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napToGrid w:val="0"/>
              <w:spacing w:line="288" w:lineRule="auto"/>
              <w:ind w:left="1" w:leftChars="0"/>
              <w:rPr>
                <w:rFonts w:hint="eastAsia" w:ascii="宋体" w:hAnsi="宋体" w:eastAsia="宋体" w:cs="宋体"/>
                <w:color w:val="FF0000"/>
                <w:spacing w:val="-3"/>
                <w:kern w:val="2"/>
                <w:sz w:val="21"/>
                <w:szCs w:val="21"/>
                <w:highlight w:val="none"/>
                <w:lang w:val="en-US" w:eastAsia="zh-CN" w:bidi="ar-SA"/>
              </w:rPr>
            </w:pPr>
            <w:r>
              <w:rPr>
                <w:rFonts w:hint="eastAsia" w:ascii="宋体" w:hAnsi="宋体" w:cs="宋体"/>
                <w:color w:val="auto"/>
                <w:kern w:val="0"/>
                <w:highlight w:val="none"/>
              </w:rPr>
              <w:t>具有科学、合理、可行及具体措施的建议并经评委分析论证认同的。</w:t>
            </w:r>
            <w:r>
              <w:rPr>
                <w:rFonts w:hint="eastAsia" w:ascii="宋体" w:hAnsi="宋体"/>
                <w:color w:val="auto"/>
                <w:highlight w:val="none"/>
              </w:rPr>
              <w:t>优得</w:t>
            </w:r>
            <w:r>
              <w:rPr>
                <w:rFonts w:hint="eastAsia" w:ascii="宋体" w:hAnsi="宋体"/>
                <w:color w:val="auto"/>
                <w:highlight w:val="none"/>
                <w:lang w:val="en-US" w:eastAsia="zh-CN"/>
              </w:rPr>
              <w:t>3</w:t>
            </w:r>
            <w:r>
              <w:rPr>
                <w:rFonts w:ascii="宋体" w:hAnsi="宋体"/>
                <w:color w:val="auto"/>
                <w:highlight w:val="none"/>
              </w:rPr>
              <w:t>分；</w:t>
            </w:r>
            <w:r>
              <w:rPr>
                <w:rFonts w:hint="eastAsia" w:ascii="宋体" w:hAnsi="宋体"/>
                <w:color w:val="auto"/>
                <w:highlight w:val="none"/>
              </w:rPr>
              <w:t>中得</w:t>
            </w:r>
            <w:r>
              <w:rPr>
                <w:rFonts w:hint="eastAsia" w:ascii="宋体" w:hAnsi="宋体"/>
                <w:color w:val="auto"/>
                <w:highlight w:val="none"/>
                <w:lang w:val="en-US" w:eastAsia="zh-CN"/>
              </w:rPr>
              <w:t>2</w:t>
            </w:r>
            <w:r>
              <w:rPr>
                <w:rFonts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不提供不得分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2" w:hRule="atLeast"/>
        </w:trPr>
        <w:tc>
          <w:tcPr>
            <w:tcW w:w="613" w:type="dxa"/>
            <w:tcBorders>
              <w:top w:val="single" w:color="auto" w:sz="4" w:space="0"/>
              <w:bottom w:val="single" w:color="auto" w:sz="4" w:space="0"/>
              <w:right w:val="single" w:color="auto" w:sz="4" w:space="0"/>
            </w:tcBorders>
            <w:vAlign w:val="center"/>
          </w:tcPr>
          <w:p>
            <w:pPr>
              <w:pStyle w:val="48"/>
              <w:kinsoku w:val="0"/>
              <w:overflowPunct w:val="0"/>
              <w:ind w:left="-63" w:leftChars="-30" w:right="-111" w:rightChars="-53" w:firstLine="63" w:firstLineChars="30"/>
              <w:jc w:val="center"/>
              <w:rPr>
                <w:color w:val="auto"/>
                <w:highlight w:val="none"/>
              </w:rPr>
            </w:pPr>
          </w:p>
          <w:p>
            <w:pPr>
              <w:pStyle w:val="48"/>
              <w:kinsoku w:val="0"/>
              <w:overflowPunct w:val="0"/>
              <w:ind w:left="-63" w:leftChars="-30" w:right="-111" w:rightChars="-53" w:firstLine="63" w:firstLineChars="30"/>
              <w:jc w:val="center"/>
              <w:rPr>
                <w:color w:val="auto"/>
                <w:highlight w:val="none"/>
              </w:rPr>
            </w:pPr>
            <w:r>
              <w:rPr>
                <w:color w:val="auto"/>
                <w:highlight w:val="none"/>
              </w:rPr>
              <w:t>2.2.4</w:t>
            </w:r>
          </w:p>
          <w:p>
            <w:pPr>
              <w:pStyle w:val="48"/>
              <w:kinsoku w:val="0"/>
              <w:overflowPunct w:val="0"/>
              <w:ind w:left="-63" w:leftChars="-30" w:right="-111" w:rightChars="-53" w:firstLine="63" w:firstLineChars="30"/>
              <w:jc w:val="center"/>
              <w:rPr>
                <w:color w:val="auto"/>
                <w:highlight w:val="none"/>
              </w:rPr>
            </w:pPr>
            <w:r>
              <w:rPr>
                <w:color w:val="auto"/>
                <w:highlight w:val="none"/>
              </w:rPr>
              <w:t>（3）</w:t>
            </w:r>
          </w:p>
        </w:tc>
        <w:tc>
          <w:tcPr>
            <w:tcW w:w="1205" w:type="dxa"/>
            <w:tcBorders>
              <w:top w:val="single" w:color="auto" w:sz="4" w:space="0"/>
              <w:bottom w:val="single" w:color="auto" w:sz="4" w:space="0"/>
              <w:right w:val="single" w:color="auto" w:sz="4" w:space="0"/>
            </w:tcBorders>
            <w:vAlign w:val="center"/>
          </w:tcPr>
          <w:p>
            <w:pPr>
              <w:spacing w:line="260" w:lineRule="exact"/>
              <w:ind w:left="315" w:hanging="315" w:hangingChars="150"/>
              <w:jc w:val="center"/>
              <w:rPr>
                <w:rFonts w:hint="eastAsia" w:ascii="宋体" w:hAnsi="Courier New"/>
                <w:color w:val="auto"/>
                <w:szCs w:val="21"/>
                <w:highlight w:val="none"/>
              </w:rPr>
            </w:pPr>
            <w:r>
              <w:rPr>
                <w:rFonts w:hint="eastAsia" w:ascii="宋体" w:hAnsi="宋体"/>
                <w:color w:val="auto"/>
                <w:highlight w:val="none"/>
              </w:rPr>
              <w:t>投标</w:t>
            </w:r>
            <w:r>
              <w:rPr>
                <w:rFonts w:hint="eastAsia" w:ascii="宋体" w:hAnsi="Courier New"/>
                <w:color w:val="auto"/>
                <w:szCs w:val="21"/>
                <w:highlight w:val="none"/>
              </w:rPr>
              <w:t>报价</w:t>
            </w:r>
          </w:p>
          <w:p>
            <w:pPr>
              <w:spacing w:line="260" w:lineRule="exact"/>
              <w:ind w:left="315" w:hanging="315" w:hangingChars="150"/>
              <w:jc w:val="center"/>
              <w:rPr>
                <w:rFonts w:hint="eastAsia"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spacing w:line="260" w:lineRule="exact"/>
              <w:ind w:left="315" w:hanging="315" w:hangingChars="150"/>
              <w:jc w:val="center"/>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分</w:t>
            </w:r>
            <w:r>
              <w:rPr>
                <w:rFonts w:hint="eastAsia" w:ascii="宋体" w:hAnsi="宋体"/>
                <w:color w:val="auto"/>
                <w:highlight w:val="none"/>
              </w:rPr>
              <w:t>）</w:t>
            </w:r>
          </w:p>
        </w:tc>
        <w:tc>
          <w:tcPr>
            <w:tcW w:w="1571" w:type="dxa"/>
            <w:tcBorders>
              <w:top w:val="single" w:color="auto" w:sz="4" w:space="0"/>
              <w:left w:val="single" w:color="auto" w:sz="4" w:space="0"/>
              <w:right w:val="single" w:color="auto" w:sz="4" w:space="0"/>
            </w:tcBorders>
            <w:tcMar>
              <w:left w:w="57" w:type="dxa"/>
              <w:right w:w="57" w:type="dxa"/>
            </w:tcMar>
            <w:vAlign w:val="center"/>
          </w:tcPr>
          <w:p>
            <w:pPr>
              <w:pStyle w:val="48"/>
              <w:kinsoku w:val="0"/>
              <w:overflowPunct w:val="0"/>
              <w:spacing w:before="14" w:line="260" w:lineRule="exact"/>
              <w:ind w:left="-102" w:leftChars="-49" w:hanging="1"/>
              <w:jc w:val="center"/>
              <w:rPr>
                <w:rFonts w:ascii="宋体" w:hAnsi="宋体"/>
                <w:color w:val="auto"/>
                <w:szCs w:val="21"/>
                <w:highlight w:val="none"/>
              </w:rPr>
            </w:pPr>
            <w:r>
              <w:rPr>
                <w:rFonts w:ascii="宋体" w:hAnsi="宋体"/>
                <w:color w:val="auto"/>
                <w:highlight w:val="none"/>
              </w:rPr>
              <w:t>报价得分</w:t>
            </w:r>
          </w:p>
        </w:tc>
        <w:tc>
          <w:tcPr>
            <w:tcW w:w="6345" w:type="dxa"/>
            <w:tcBorders>
              <w:top w:val="single" w:color="auto" w:sz="4" w:space="0"/>
              <w:left w:val="single" w:color="auto" w:sz="4" w:space="0"/>
              <w:right w:val="single" w:color="auto" w:sz="4" w:space="0"/>
            </w:tcBorders>
            <w:tcMar>
              <w:left w:w="57" w:type="dxa"/>
              <w:right w:w="57" w:type="dxa"/>
            </w:tcMar>
            <w:vAlign w:val="center"/>
          </w:tcPr>
          <w:p>
            <w:pPr>
              <w:pStyle w:val="48"/>
              <w:kinsoku w:val="0"/>
              <w:overflowPunct w:val="0"/>
              <w:spacing w:line="360" w:lineRule="auto"/>
              <w:ind w:right="-57"/>
              <w:rPr>
                <w:rFonts w:ascii="宋体" w:hAnsi="宋体"/>
                <w:color w:val="auto"/>
                <w:szCs w:val="21"/>
                <w:highlight w:val="none"/>
              </w:rPr>
            </w:pPr>
            <w:r>
              <w:rPr>
                <w:rFonts w:ascii="宋体" w:hAnsi="宋体" w:cs="宋体"/>
                <w:color w:val="auto"/>
                <w:szCs w:val="21"/>
                <w:highlight w:val="none"/>
              </w:rPr>
              <w:t>以评标基准价作为计算各有效投标价得分的基础，当有效投标报价等于评标基准价时得</w:t>
            </w:r>
            <w:r>
              <w:rPr>
                <w:rFonts w:hint="eastAsia" w:ascii="宋体" w:hAnsi="宋体" w:cs="宋体"/>
                <w:color w:val="auto"/>
                <w:szCs w:val="21"/>
                <w:highlight w:val="none"/>
                <w:lang w:val="en-US" w:eastAsia="zh-CN"/>
              </w:rPr>
              <w:t>10</w:t>
            </w:r>
            <w:r>
              <w:rPr>
                <w:rFonts w:ascii="宋体" w:hAnsi="宋体" w:cs="宋体"/>
                <w:color w:val="auto"/>
                <w:szCs w:val="21"/>
                <w:highlight w:val="none"/>
              </w:rPr>
              <w:t>分</w:t>
            </w:r>
            <w:r>
              <w:rPr>
                <w:rFonts w:ascii="宋体" w:hAnsi="宋体" w:cs="宋体"/>
                <w:color w:val="auto"/>
                <w:szCs w:val="21"/>
                <w:highlight w:val="none"/>
              </w:rPr>
              <w:t>；投标有效报价与评标基准价之差，每上偏1%扣</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r>
              <w:rPr>
                <w:rFonts w:ascii="宋体" w:hAnsi="宋体" w:cs="宋体"/>
                <w:color w:val="auto"/>
                <w:szCs w:val="21"/>
                <w:highlight w:val="none"/>
              </w:rPr>
              <w:t>，下偏1%扣</w:t>
            </w:r>
            <w:r>
              <w:rPr>
                <w:rFonts w:hint="eastAsia" w:ascii="宋体" w:hAnsi="宋体" w:cs="宋体"/>
                <w:color w:val="auto"/>
                <w:szCs w:val="21"/>
                <w:highlight w:val="none"/>
                <w:lang w:val="en-US" w:eastAsia="zh-CN"/>
              </w:rPr>
              <w:t>0.3</w:t>
            </w:r>
            <w:r>
              <w:rPr>
                <w:rFonts w:ascii="宋体" w:hAnsi="宋体" w:cs="宋体"/>
                <w:color w:val="auto"/>
                <w:szCs w:val="21"/>
                <w:highlight w:val="none"/>
              </w:rPr>
              <w:t>分</w:t>
            </w:r>
            <w:r>
              <w:rPr>
                <w:rFonts w:ascii="宋体" w:hAnsi="宋体" w:cs="宋体"/>
                <w:color w:val="auto"/>
                <w:szCs w:val="21"/>
                <w:highlight w:val="none"/>
              </w:rPr>
              <w:t>。（得分扣至0分止）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613" w:type="dxa"/>
            <w:tcBorders>
              <w:top w:val="single" w:color="auto" w:sz="4" w:space="0"/>
              <w:left w:val="single" w:color="auto" w:sz="4" w:space="0"/>
              <w:bottom w:val="single" w:color="auto" w:sz="4" w:space="0"/>
              <w:right w:val="single" w:color="auto" w:sz="4" w:space="0"/>
            </w:tcBorders>
            <w:vAlign w:val="top"/>
          </w:tcPr>
          <w:p>
            <w:pPr>
              <w:pStyle w:val="48"/>
              <w:kinsoku w:val="0"/>
              <w:overflowPunct w:val="0"/>
              <w:ind w:left="-63" w:leftChars="-30" w:right="-111" w:rightChars="-53" w:firstLine="63" w:firstLineChars="30"/>
              <w:jc w:val="center"/>
              <w:rPr>
                <w:color w:val="auto"/>
                <w:highlight w:val="none"/>
              </w:rPr>
            </w:pPr>
            <w:r>
              <w:rPr>
                <w:color w:val="auto"/>
                <w:highlight w:val="none"/>
              </w:rPr>
              <w:t>2.2.4</w:t>
            </w:r>
          </w:p>
          <w:p>
            <w:pPr>
              <w:pStyle w:val="48"/>
              <w:kinsoku w:val="0"/>
              <w:overflowPunct w:val="0"/>
              <w:ind w:left="-63" w:leftChars="-30" w:right="-111" w:rightChars="-53" w:firstLine="63" w:firstLineChars="30"/>
              <w:jc w:val="center"/>
              <w:rPr>
                <w:color w:val="auto"/>
                <w:highlight w:val="none"/>
              </w:rPr>
            </w:pPr>
            <w:r>
              <w:rPr>
                <w:color w:val="auto"/>
                <w:highlight w:val="none"/>
              </w:rPr>
              <w:t>说明</w:t>
            </w:r>
          </w:p>
        </w:tc>
        <w:tc>
          <w:tcPr>
            <w:tcW w:w="9121" w:type="dxa"/>
            <w:gridSpan w:val="3"/>
            <w:tcBorders>
              <w:top w:val="single" w:color="auto" w:sz="4" w:space="0"/>
              <w:left w:val="single" w:color="auto" w:sz="4" w:space="0"/>
              <w:bottom w:val="single" w:color="auto" w:sz="4" w:space="0"/>
              <w:right w:val="single" w:color="auto" w:sz="4" w:space="0"/>
            </w:tcBorders>
            <w:vAlign w:val="top"/>
          </w:tcPr>
          <w:p>
            <w:pPr>
              <w:spacing w:line="360" w:lineRule="exact"/>
              <w:rPr>
                <w:color w:val="auto"/>
                <w:highlight w:val="none"/>
              </w:rPr>
            </w:pPr>
            <w:r>
              <w:rPr>
                <w:rFonts w:hint="eastAsia"/>
                <w:color w:val="auto"/>
                <w:highlight w:val="none"/>
              </w:rPr>
              <w:t>（1）投标人的综合得分为将各评委的评分去掉一个最高分和去掉一个最低分后取算术平均分（分数出现小数点时，保留小数点后二位，第三位小数四舍五入）。</w:t>
            </w:r>
          </w:p>
          <w:p>
            <w:pPr>
              <w:spacing w:line="360" w:lineRule="exact"/>
              <w:rPr>
                <w:color w:val="auto"/>
                <w:highlight w:val="none"/>
              </w:rPr>
            </w:pPr>
            <w:r>
              <w:rPr>
                <w:rFonts w:hint="eastAsia"/>
                <w:color w:val="auto"/>
                <w:highlight w:val="none"/>
              </w:rPr>
              <w:t>（2）投标单位必须确保投标文件中证明资料的真实性，否则将上报上级主管部门记入不良行为档案和在广州公共资源交易中心通报。</w:t>
            </w:r>
          </w:p>
        </w:tc>
      </w:tr>
      <w:bookmarkEnd w:id="413"/>
    </w:tbl>
    <w:p>
      <w:pPr>
        <w:pStyle w:val="4"/>
        <w:keepNext w:val="0"/>
        <w:keepLines w:val="0"/>
        <w:spacing w:line="360" w:lineRule="auto"/>
        <w:rPr>
          <w:rFonts w:ascii="Times New Roman" w:hAnsi="Times New Roman"/>
          <w:color w:val="auto"/>
          <w:highlight w:val="none"/>
        </w:rPr>
      </w:pPr>
      <w:bookmarkStart w:id="414" w:name="_Toc4308"/>
    </w:p>
    <w:p>
      <w:pPr>
        <w:pStyle w:val="4"/>
        <w:keepNext w:val="0"/>
        <w:keepLines w:val="0"/>
        <w:spacing w:line="360" w:lineRule="auto"/>
        <w:rPr>
          <w:rFonts w:hint="eastAsia" w:ascii="Times New Roman" w:hAnsi="Times New Roman"/>
          <w:color w:val="auto"/>
          <w:highlight w:val="none"/>
        </w:rPr>
      </w:pPr>
      <w:r>
        <w:rPr>
          <w:rFonts w:ascii="Times New Roman" w:hAnsi="Times New Roman"/>
          <w:color w:val="auto"/>
          <w:highlight w:val="none"/>
        </w:rPr>
        <w:t>1. 评标方法</w:t>
      </w:r>
      <w:bookmarkEnd w:id="414"/>
    </w:p>
    <w:p>
      <w:pPr>
        <w:spacing w:line="360" w:lineRule="auto"/>
        <w:ind w:firstLine="480" w:firstLineChars="200"/>
        <w:rPr>
          <w:color w:val="auto"/>
          <w:sz w:val="24"/>
          <w:szCs w:val="24"/>
          <w:highlight w:val="none"/>
          <w:u w:val="single"/>
        </w:rPr>
      </w:pPr>
      <w:r>
        <w:rPr>
          <w:color w:val="auto"/>
          <w:sz w:val="24"/>
          <w:szCs w:val="24"/>
          <w:highlight w:val="none"/>
          <w:u w:val="single"/>
        </w:rPr>
        <w:t>本次评标采用综合评估法。评标委员会对满足招标文件实质性要求的投标文件，按照本章第2.2款规定的评分标准进行打分，并按得分由高到低顺序推荐中标候选人，投标人</w:t>
      </w:r>
      <w:r>
        <w:rPr>
          <w:rFonts w:hint="eastAsia"/>
          <w:color w:val="auto"/>
          <w:sz w:val="24"/>
          <w:szCs w:val="24"/>
          <w:highlight w:val="none"/>
          <w:u w:val="single"/>
        </w:rPr>
        <w:t>综合评分由高到低排序前</w:t>
      </w:r>
      <w:r>
        <w:rPr>
          <w:color w:val="auto"/>
          <w:sz w:val="24"/>
          <w:szCs w:val="24"/>
          <w:highlight w:val="none"/>
          <w:u w:val="single"/>
        </w:rPr>
        <w:t>3</w:t>
      </w:r>
      <w:r>
        <w:rPr>
          <w:rFonts w:hint="eastAsia"/>
          <w:color w:val="auto"/>
          <w:sz w:val="24"/>
          <w:szCs w:val="24"/>
          <w:highlight w:val="none"/>
          <w:u w:val="single"/>
        </w:rPr>
        <w:t>名作为第一、第二、第三中标候选人，</w:t>
      </w:r>
      <w:r>
        <w:rPr>
          <w:color w:val="auto"/>
          <w:sz w:val="24"/>
          <w:szCs w:val="24"/>
          <w:highlight w:val="none"/>
          <w:u w:val="single"/>
        </w:rPr>
        <w:t>综合评分相等时，以监理大纲得分高的优先；如果监理大纲得分也相等，</w:t>
      </w:r>
      <w:r>
        <w:rPr>
          <w:rFonts w:hint="eastAsia"/>
          <w:color w:val="auto"/>
          <w:sz w:val="24"/>
          <w:szCs w:val="24"/>
          <w:highlight w:val="none"/>
          <w:u w:val="single"/>
        </w:rPr>
        <w:t>以投标人投标报价得分低的优先；如仍存在相同情况，则对具有相同情况的投标人，按中标候选人数量规定，由评标委员会采用记名投票方式，以得票多的优先。</w:t>
      </w:r>
    </w:p>
    <w:p>
      <w:pPr>
        <w:pStyle w:val="4"/>
        <w:keepNext w:val="0"/>
        <w:keepLines w:val="0"/>
        <w:spacing w:line="260" w:lineRule="exact"/>
        <w:rPr>
          <w:rFonts w:ascii="Times New Roman" w:hAnsi="Times New Roman"/>
          <w:color w:val="auto"/>
          <w:highlight w:val="none"/>
        </w:rPr>
      </w:pPr>
      <w:bookmarkStart w:id="415" w:name="_Toc5331"/>
      <w:r>
        <w:rPr>
          <w:rFonts w:ascii="Times New Roman" w:hAnsi="Times New Roman"/>
          <w:color w:val="auto"/>
          <w:highlight w:val="none"/>
        </w:rPr>
        <w:t>2. 评审标准</w:t>
      </w:r>
      <w:bookmarkEnd w:id="415"/>
    </w:p>
    <w:p>
      <w:pPr>
        <w:pStyle w:val="5"/>
        <w:keepNext w:val="0"/>
        <w:keepLines w:val="0"/>
        <w:ind w:firstLine="137"/>
        <w:rPr>
          <w:rFonts w:ascii="Times New Roman"/>
          <w:color w:val="auto"/>
          <w:highlight w:val="none"/>
        </w:rPr>
      </w:pPr>
      <w:bookmarkStart w:id="416" w:name="_Toc27696"/>
      <w:r>
        <w:rPr>
          <w:rFonts w:ascii="Times New Roman"/>
          <w:color w:val="auto"/>
          <w:highlight w:val="none"/>
        </w:rPr>
        <w:t>2.1 初步评审标准</w:t>
      </w:r>
      <w:bookmarkEnd w:id="416"/>
    </w:p>
    <w:p>
      <w:pPr>
        <w:spacing w:line="400" w:lineRule="exact"/>
        <w:ind w:firstLine="480" w:firstLineChars="200"/>
        <w:rPr>
          <w:color w:val="auto"/>
          <w:sz w:val="24"/>
          <w:szCs w:val="24"/>
          <w:highlight w:val="none"/>
        </w:rPr>
      </w:pPr>
      <w:r>
        <w:rPr>
          <w:color w:val="auto"/>
          <w:sz w:val="24"/>
          <w:szCs w:val="24"/>
          <w:highlight w:val="none"/>
        </w:rPr>
        <w:t>2.1.1 形式评审标准：见评标办法前附表。</w:t>
      </w:r>
    </w:p>
    <w:p>
      <w:pPr>
        <w:spacing w:line="400" w:lineRule="exact"/>
        <w:ind w:firstLine="480" w:firstLineChars="200"/>
        <w:rPr>
          <w:color w:val="auto"/>
          <w:sz w:val="24"/>
          <w:szCs w:val="24"/>
          <w:highlight w:val="none"/>
        </w:rPr>
      </w:pPr>
      <w:r>
        <w:rPr>
          <w:color w:val="auto"/>
          <w:sz w:val="24"/>
          <w:szCs w:val="24"/>
          <w:highlight w:val="none"/>
        </w:rPr>
        <w:t>2.1.2 资格评审标准：见评标办法前附表。</w:t>
      </w:r>
    </w:p>
    <w:p>
      <w:pPr>
        <w:spacing w:line="400" w:lineRule="exact"/>
        <w:ind w:firstLine="480" w:firstLineChars="200"/>
        <w:rPr>
          <w:color w:val="auto"/>
          <w:highlight w:val="none"/>
        </w:rPr>
      </w:pPr>
      <w:r>
        <w:rPr>
          <w:color w:val="auto"/>
          <w:sz w:val="24"/>
          <w:szCs w:val="24"/>
          <w:highlight w:val="none"/>
        </w:rPr>
        <w:t>2.1.3 响应性评审标准：见评标办法前附表。</w:t>
      </w:r>
    </w:p>
    <w:p>
      <w:pPr>
        <w:pStyle w:val="5"/>
        <w:keepNext w:val="0"/>
        <w:keepLines w:val="0"/>
        <w:ind w:firstLine="137"/>
        <w:rPr>
          <w:rFonts w:ascii="Times New Roman"/>
          <w:color w:val="auto"/>
          <w:highlight w:val="none"/>
        </w:rPr>
      </w:pPr>
      <w:bookmarkStart w:id="417" w:name="_Toc24574"/>
      <w:r>
        <w:rPr>
          <w:rFonts w:ascii="Times New Roman"/>
          <w:color w:val="auto"/>
          <w:highlight w:val="none"/>
        </w:rPr>
        <w:t>2.2 分值构成与评分标准</w:t>
      </w:r>
      <w:bookmarkEnd w:id="417"/>
    </w:p>
    <w:p>
      <w:pPr>
        <w:spacing w:line="400" w:lineRule="exact"/>
        <w:ind w:firstLine="480" w:firstLineChars="200"/>
        <w:rPr>
          <w:color w:val="auto"/>
          <w:sz w:val="24"/>
          <w:szCs w:val="24"/>
          <w:highlight w:val="none"/>
        </w:rPr>
      </w:pPr>
      <w:r>
        <w:rPr>
          <w:color w:val="auto"/>
          <w:sz w:val="24"/>
          <w:szCs w:val="24"/>
          <w:highlight w:val="none"/>
        </w:rPr>
        <w:t>2.2.1 分值构成</w:t>
      </w:r>
    </w:p>
    <w:p>
      <w:pPr>
        <w:spacing w:line="400" w:lineRule="exact"/>
        <w:ind w:firstLine="480" w:firstLineChars="200"/>
        <w:rPr>
          <w:color w:val="auto"/>
          <w:sz w:val="24"/>
          <w:szCs w:val="24"/>
          <w:highlight w:val="none"/>
        </w:rPr>
      </w:pPr>
      <w:r>
        <w:rPr>
          <w:color w:val="auto"/>
          <w:sz w:val="24"/>
          <w:szCs w:val="24"/>
          <w:highlight w:val="none"/>
        </w:rPr>
        <w:t>（1）资信业绩部分：见评标办法前附表；</w:t>
      </w:r>
    </w:p>
    <w:p>
      <w:pPr>
        <w:spacing w:line="400" w:lineRule="exact"/>
        <w:ind w:firstLine="480" w:firstLineChars="200"/>
        <w:rPr>
          <w:color w:val="auto"/>
          <w:sz w:val="24"/>
          <w:szCs w:val="24"/>
          <w:highlight w:val="none"/>
        </w:rPr>
      </w:pPr>
      <w:r>
        <w:rPr>
          <w:color w:val="auto"/>
          <w:sz w:val="24"/>
          <w:szCs w:val="24"/>
          <w:highlight w:val="none"/>
        </w:rPr>
        <w:t>（2）监理大纲部分：见评标办法前附表；</w:t>
      </w:r>
    </w:p>
    <w:p>
      <w:pPr>
        <w:spacing w:line="400" w:lineRule="exact"/>
        <w:ind w:firstLine="480" w:firstLineChars="200"/>
        <w:rPr>
          <w:color w:val="auto"/>
          <w:sz w:val="24"/>
          <w:szCs w:val="24"/>
          <w:highlight w:val="none"/>
        </w:rPr>
      </w:pPr>
      <w:r>
        <w:rPr>
          <w:color w:val="auto"/>
          <w:sz w:val="24"/>
          <w:szCs w:val="24"/>
          <w:highlight w:val="none"/>
        </w:rPr>
        <w:t>（3）投标报价：见评标办法前附表；</w:t>
      </w:r>
    </w:p>
    <w:p>
      <w:pPr>
        <w:spacing w:line="400" w:lineRule="exact"/>
        <w:ind w:firstLine="480" w:firstLineChars="200"/>
        <w:rPr>
          <w:color w:val="auto"/>
          <w:sz w:val="24"/>
          <w:szCs w:val="24"/>
          <w:highlight w:val="none"/>
        </w:rPr>
      </w:pPr>
      <w:r>
        <w:rPr>
          <w:color w:val="auto"/>
          <w:sz w:val="24"/>
          <w:szCs w:val="24"/>
          <w:highlight w:val="none"/>
        </w:rPr>
        <w:t>（4）其他评分因素：见评标办法前附表。</w:t>
      </w:r>
    </w:p>
    <w:p>
      <w:pPr>
        <w:spacing w:line="400" w:lineRule="exact"/>
        <w:ind w:firstLine="480" w:firstLineChars="200"/>
        <w:rPr>
          <w:color w:val="auto"/>
          <w:sz w:val="24"/>
          <w:szCs w:val="24"/>
          <w:highlight w:val="none"/>
        </w:rPr>
      </w:pPr>
      <w:r>
        <w:rPr>
          <w:color w:val="auto"/>
          <w:sz w:val="24"/>
          <w:szCs w:val="24"/>
          <w:highlight w:val="none"/>
        </w:rPr>
        <w:t>2.2.2 评标基准价计算</w:t>
      </w:r>
    </w:p>
    <w:p>
      <w:pPr>
        <w:spacing w:line="400" w:lineRule="exact"/>
        <w:ind w:firstLine="480" w:firstLineChars="200"/>
        <w:rPr>
          <w:color w:val="auto"/>
          <w:sz w:val="24"/>
          <w:szCs w:val="24"/>
          <w:highlight w:val="none"/>
        </w:rPr>
      </w:pPr>
      <w:r>
        <w:rPr>
          <w:color w:val="auto"/>
          <w:sz w:val="24"/>
          <w:szCs w:val="24"/>
          <w:highlight w:val="none"/>
        </w:rPr>
        <w:t>评标基准价计算方法：见评标办法前附表。</w:t>
      </w:r>
    </w:p>
    <w:p>
      <w:pPr>
        <w:spacing w:line="400" w:lineRule="exact"/>
        <w:ind w:firstLine="480" w:firstLineChars="200"/>
        <w:rPr>
          <w:color w:val="auto"/>
          <w:sz w:val="24"/>
          <w:szCs w:val="24"/>
          <w:highlight w:val="none"/>
        </w:rPr>
      </w:pPr>
      <w:r>
        <w:rPr>
          <w:color w:val="auto"/>
          <w:sz w:val="24"/>
          <w:szCs w:val="24"/>
          <w:highlight w:val="none"/>
        </w:rPr>
        <w:t>2.2.3 投标报价的偏差率计算</w:t>
      </w:r>
    </w:p>
    <w:p>
      <w:pPr>
        <w:spacing w:line="400" w:lineRule="exact"/>
        <w:ind w:firstLine="480" w:firstLineChars="200"/>
        <w:rPr>
          <w:color w:val="auto"/>
          <w:sz w:val="24"/>
          <w:szCs w:val="24"/>
          <w:highlight w:val="none"/>
        </w:rPr>
      </w:pPr>
      <w:r>
        <w:rPr>
          <w:color w:val="auto"/>
          <w:sz w:val="24"/>
          <w:szCs w:val="24"/>
          <w:highlight w:val="none"/>
        </w:rPr>
        <w:t>投标报价的偏差率计算公式：见评标办法前附表。</w:t>
      </w:r>
    </w:p>
    <w:p>
      <w:pPr>
        <w:spacing w:line="400" w:lineRule="exact"/>
        <w:ind w:firstLine="480" w:firstLineChars="200"/>
        <w:rPr>
          <w:color w:val="auto"/>
          <w:sz w:val="24"/>
          <w:szCs w:val="24"/>
          <w:highlight w:val="none"/>
        </w:rPr>
      </w:pPr>
      <w:r>
        <w:rPr>
          <w:color w:val="auto"/>
          <w:sz w:val="24"/>
          <w:szCs w:val="24"/>
          <w:highlight w:val="none"/>
        </w:rPr>
        <w:t>2.2.4 评分标准</w:t>
      </w:r>
    </w:p>
    <w:p>
      <w:pPr>
        <w:spacing w:line="400" w:lineRule="exact"/>
        <w:ind w:firstLine="480" w:firstLineChars="200"/>
        <w:rPr>
          <w:color w:val="auto"/>
          <w:sz w:val="24"/>
          <w:szCs w:val="24"/>
          <w:highlight w:val="none"/>
        </w:rPr>
      </w:pPr>
      <w:r>
        <w:rPr>
          <w:color w:val="auto"/>
          <w:sz w:val="24"/>
          <w:szCs w:val="24"/>
          <w:highlight w:val="none"/>
        </w:rPr>
        <w:t>（1）资信业绩评分标准：见评标办法前附表；</w:t>
      </w:r>
    </w:p>
    <w:p>
      <w:pPr>
        <w:spacing w:line="400" w:lineRule="exact"/>
        <w:ind w:firstLine="480" w:firstLineChars="200"/>
        <w:rPr>
          <w:color w:val="auto"/>
          <w:sz w:val="24"/>
          <w:szCs w:val="24"/>
          <w:highlight w:val="none"/>
        </w:rPr>
      </w:pPr>
      <w:r>
        <w:rPr>
          <w:color w:val="auto"/>
          <w:sz w:val="24"/>
          <w:szCs w:val="24"/>
          <w:highlight w:val="none"/>
        </w:rPr>
        <w:t>（2）监理大纲评分标准：见评标办法前附表；</w:t>
      </w:r>
    </w:p>
    <w:p>
      <w:pPr>
        <w:spacing w:line="400" w:lineRule="exact"/>
        <w:ind w:firstLine="480" w:firstLineChars="200"/>
        <w:rPr>
          <w:color w:val="auto"/>
          <w:sz w:val="24"/>
          <w:szCs w:val="24"/>
          <w:highlight w:val="none"/>
        </w:rPr>
      </w:pPr>
      <w:r>
        <w:rPr>
          <w:color w:val="auto"/>
          <w:sz w:val="24"/>
          <w:szCs w:val="24"/>
          <w:highlight w:val="none"/>
        </w:rPr>
        <w:t>（3）投标报价评分标准：见评标办法前附表；</w:t>
      </w:r>
    </w:p>
    <w:p>
      <w:pPr>
        <w:spacing w:line="400" w:lineRule="exact"/>
        <w:ind w:firstLine="480" w:firstLineChars="200"/>
        <w:rPr>
          <w:color w:val="auto"/>
          <w:sz w:val="24"/>
          <w:szCs w:val="24"/>
          <w:highlight w:val="none"/>
        </w:rPr>
      </w:pPr>
      <w:r>
        <w:rPr>
          <w:color w:val="auto"/>
          <w:sz w:val="24"/>
          <w:szCs w:val="24"/>
          <w:highlight w:val="none"/>
        </w:rPr>
        <w:t>（4）其他因素评分标准：见评标办法前附表。</w:t>
      </w:r>
    </w:p>
    <w:p>
      <w:pPr>
        <w:pStyle w:val="4"/>
        <w:keepNext w:val="0"/>
        <w:keepLines w:val="0"/>
        <w:spacing w:line="260" w:lineRule="exact"/>
        <w:rPr>
          <w:rFonts w:ascii="Times New Roman" w:hAnsi="Times New Roman"/>
          <w:color w:val="auto"/>
          <w:highlight w:val="none"/>
        </w:rPr>
      </w:pPr>
      <w:bookmarkStart w:id="418" w:name="_Toc27407"/>
      <w:r>
        <w:rPr>
          <w:rFonts w:ascii="Times New Roman" w:hAnsi="Times New Roman"/>
          <w:color w:val="auto"/>
          <w:highlight w:val="none"/>
        </w:rPr>
        <w:t>3. 评标程序</w:t>
      </w:r>
      <w:bookmarkEnd w:id="418"/>
    </w:p>
    <w:p>
      <w:pPr>
        <w:pStyle w:val="5"/>
        <w:keepNext w:val="0"/>
        <w:keepLines w:val="0"/>
        <w:ind w:firstLine="137"/>
        <w:rPr>
          <w:rFonts w:ascii="Times New Roman"/>
          <w:color w:val="auto"/>
          <w:highlight w:val="none"/>
        </w:rPr>
      </w:pPr>
      <w:bookmarkStart w:id="419" w:name="_Toc23006"/>
      <w:r>
        <w:rPr>
          <w:rFonts w:ascii="Times New Roman"/>
          <w:color w:val="auto"/>
          <w:highlight w:val="none"/>
        </w:rPr>
        <w:t>3.1 初步评审</w:t>
      </w:r>
      <w:bookmarkEnd w:id="419"/>
    </w:p>
    <w:p>
      <w:pPr>
        <w:spacing w:line="400" w:lineRule="exact"/>
        <w:ind w:firstLine="480" w:firstLineChars="200"/>
        <w:rPr>
          <w:color w:val="auto"/>
          <w:sz w:val="24"/>
          <w:szCs w:val="24"/>
          <w:highlight w:val="none"/>
        </w:rPr>
      </w:pPr>
      <w:r>
        <w:rPr>
          <w:color w:val="auto"/>
          <w:sz w:val="24"/>
          <w:szCs w:val="24"/>
          <w:highlight w:val="none"/>
        </w:rPr>
        <w:t>3.1.1评标委员会依据本章第2.1款规定的标准对投标文件进行初步评审。有一项不符合评审标准的，评标委员会应当否决其投标。</w:t>
      </w:r>
    </w:p>
    <w:p>
      <w:pPr>
        <w:spacing w:line="400" w:lineRule="exact"/>
        <w:ind w:firstLine="480" w:firstLineChars="200"/>
        <w:rPr>
          <w:color w:val="auto"/>
          <w:sz w:val="24"/>
          <w:szCs w:val="24"/>
          <w:highlight w:val="none"/>
        </w:rPr>
      </w:pPr>
      <w:r>
        <w:rPr>
          <w:color w:val="auto"/>
          <w:sz w:val="24"/>
          <w:szCs w:val="24"/>
          <w:highlight w:val="none"/>
        </w:rPr>
        <w:t>3.1.2 投标人有以下情形之一的，评标委员会应当否决其投标：</w:t>
      </w:r>
    </w:p>
    <w:p>
      <w:pPr>
        <w:spacing w:line="400" w:lineRule="exact"/>
        <w:ind w:firstLine="480" w:firstLineChars="200"/>
        <w:rPr>
          <w:color w:val="auto"/>
          <w:sz w:val="24"/>
          <w:szCs w:val="24"/>
          <w:highlight w:val="none"/>
        </w:rPr>
      </w:pPr>
      <w:r>
        <w:rPr>
          <w:color w:val="auto"/>
          <w:sz w:val="24"/>
          <w:szCs w:val="24"/>
          <w:highlight w:val="none"/>
        </w:rPr>
        <w:t>（1）投标文件没有对招标文件的实质性要求和条件作出响应，或者对招标文件的偏差超出招标文件规定的偏差范围或最高项数；</w:t>
      </w:r>
    </w:p>
    <w:p>
      <w:pPr>
        <w:spacing w:line="400" w:lineRule="exact"/>
        <w:ind w:firstLine="480" w:firstLineChars="200"/>
        <w:rPr>
          <w:color w:val="auto"/>
          <w:sz w:val="24"/>
          <w:szCs w:val="24"/>
          <w:highlight w:val="none"/>
        </w:rPr>
      </w:pPr>
      <w:r>
        <w:rPr>
          <w:color w:val="auto"/>
          <w:sz w:val="24"/>
          <w:szCs w:val="24"/>
          <w:highlight w:val="none"/>
        </w:rPr>
        <w:t>（2）有串通投标、弄虚作假、行贿等违法行为。</w:t>
      </w:r>
    </w:p>
    <w:p>
      <w:pPr>
        <w:spacing w:line="400" w:lineRule="exact"/>
        <w:ind w:firstLine="480" w:firstLineChars="200"/>
        <w:rPr>
          <w:color w:val="auto"/>
          <w:sz w:val="24"/>
          <w:szCs w:val="24"/>
          <w:highlight w:val="none"/>
        </w:rPr>
      </w:pPr>
      <w:r>
        <w:rPr>
          <w:color w:val="auto"/>
          <w:sz w:val="24"/>
          <w:szCs w:val="24"/>
          <w:highlight w:val="none"/>
        </w:rPr>
        <w:t>3.1.3 投标报价有算术错误及其他错误的，评标委员会按以下原则要求投标人对投标报价进</w:t>
      </w:r>
      <w:bookmarkStart w:id="420" w:name="_Toc247514027"/>
      <w:bookmarkStart w:id="421" w:name="_Toc2907"/>
      <w:bookmarkStart w:id="422" w:name="_Toc144974570"/>
      <w:bookmarkStart w:id="423" w:name="_Toc152045603"/>
      <w:bookmarkStart w:id="424" w:name="_Toc247527628"/>
      <w:bookmarkStart w:id="425" w:name="_Toc369531582"/>
      <w:bookmarkStart w:id="426" w:name="_Toc384308277"/>
      <w:bookmarkStart w:id="427" w:name="_Toc361508651"/>
      <w:bookmarkStart w:id="428" w:name="_Toc352691538"/>
      <w:bookmarkStart w:id="429" w:name="_Toc300835013"/>
      <w:bookmarkStart w:id="430" w:name="_Toc152042380"/>
      <w:r>
        <w:rPr>
          <w:color w:val="auto"/>
          <w:sz w:val="24"/>
          <w:szCs w:val="24"/>
          <w:highlight w:val="none"/>
        </w:rPr>
        <w:t>行修正，并要求投标人书面澄清确认。</w:t>
      </w:r>
      <w:bookmarkEnd w:id="420"/>
      <w:bookmarkEnd w:id="421"/>
      <w:bookmarkEnd w:id="422"/>
      <w:bookmarkEnd w:id="423"/>
      <w:bookmarkEnd w:id="424"/>
      <w:bookmarkEnd w:id="425"/>
      <w:bookmarkEnd w:id="426"/>
      <w:bookmarkEnd w:id="427"/>
      <w:bookmarkEnd w:id="428"/>
      <w:bookmarkEnd w:id="429"/>
      <w:bookmarkEnd w:id="430"/>
      <w:r>
        <w:rPr>
          <w:color w:val="auto"/>
          <w:sz w:val="24"/>
          <w:szCs w:val="24"/>
          <w:highlight w:val="none"/>
        </w:rPr>
        <w:t>投标人拒不澄清确认的，评标委员会应当否决其投标：</w:t>
      </w:r>
    </w:p>
    <w:p>
      <w:pPr>
        <w:spacing w:line="400" w:lineRule="exact"/>
        <w:ind w:firstLine="480" w:firstLineChars="200"/>
        <w:rPr>
          <w:color w:val="auto"/>
          <w:sz w:val="24"/>
          <w:szCs w:val="24"/>
          <w:highlight w:val="none"/>
        </w:rPr>
      </w:pPr>
      <w:r>
        <w:rPr>
          <w:color w:val="auto"/>
          <w:sz w:val="24"/>
          <w:szCs w:val="24"/>
          <w:highlight w:val="none"/>
        </w:rPr>
        <w:t>（1）投标文件中的大写金额与小写金额不一致的，以大写金额为准；</w:t>
      </w:r>
    </w:p>
    <w:p>
      <w:pPr>
        <w:spacing w:line="400" w:lineRule="exact"/>
        <w:ind w:firstLine="480" w:firstLineChars="200"/>
        <w:rPr>
          <w:color w:val="auto"/>
          <w:sz w:val="24"/>
          <w:szCs w:val="24"/>
          <w:highlight w:val="none"/>
        </w:rPr>
      </w:pPr>
      <w:r>
        <w:rPr>
          <w:color w:val="auto"/>
          <w:sz w:val="24"/>
          <w:szCs w:val="24"/>
          <w:highlight w:val="none"/>
        </w:rPr>
        <w:t>（2）总价金额与单价金额不一致的，以单价金额为准，但单价金额小数点有明显错误的除外</w:t>
      </w:r>
      <w:r>
        <w:rPr>
          <w:rFonts w:hint="eastAsia"/>
          <w:color w:val="auto"/>
          <w:sz w:val="24"/>
          <w:szCs w:val="24"/>
          <w:highlight w:val="none"/>
        </w:rPr>
        <w:t>。</w:t>
      </w:r>
    </w:p>
    <w:p>
      <w:pPr>
        <w:pStyle w:val="5"/>
        <w:keepNext w:val="0"/>
        <w:keepLines w:val="0"/>
        <w:spacing w:line="260" w:lineRule="exact"/>
        <w:ind w:firstLine="137"/>
        <w:rPr>
          <w:rFonts w:ascii="Times New Roman"/>
          <w:color w:val="auto"/>
          <w:highlight w:val="none"/>
        </w:rPr>
      </w:pPr>
      <w:bookmarkStart w:id="431" w:name="_Toc21276"/>
      <w:r>
        <w:rPr>
          <w:rFonts w:ascii="Times New Roman"/>
          <w:color w:val="auto"/>
          <w:highlight w:val="none"/>
        </w:rPr>
        <w:t>3.2 详细评审</w:t>
      </w:r>
      <w:bookmarkEnd w:id="431"/>
    </w:p>
    <w:p>
      <w:pPr>
        <w:spacing w:line="400" w:lineRule="exact"/>
        <w:ind w:firstLine="480" w:firstLineChars="200"/>
        <w:rPr>
          <w:color w:val="auto"/>
          <w:sz w:val="24"/>
          <w:szCs w:val="24"/>
          <w:highlight w:val="none"/>
        </w:rPr>
      </w:pPr>
      <w:r>
        <w:rPr>
          <w:color w:val="auto"/>
          <w:sz w:val="24"/>
          <w:szCs w:val="24"/>
          <w:highlight w:val="none"/>
        </w:rPr>
        <w:t>3.2.1 评标委员会按本章第2.2款规定的量化因素和分值进行打分，并计算出综合评估得分。</w:t>
      </w:r>
    </w:p>
    <w:p>
      <w:pPr>
        <w:spacing w:line="400" w:lineRule="exact"/>
        <w:ind w:firstLine="480" w:firstLineChars="200"/>
        <w:rPr>
          <w:color w:val="auto"/>
          <w:sz w:val="24"/>
          <w:szCs w:val="24"/>
          <w:highlight w:val="none"/>
        </w:rPr>
      </w:pPr>
      <w:r>
        <w:rPr>
          <w:color w:val="auto"/>
          <w:sz w:val="24"/>
          <w:szCs w:val="24"/>
          <w:highlight w:val="none"/>
        </w:rPr>
        <w:t>（1）按本章第2.2.4（1）目规定的评审因素和分值对资信业绩部分计算出得分A；</w:t>
      </w:r>
    </w:p>
    <w:p>
      <w:pPr>
        <w:spacing w:line="400" w:lineRule="exact"/>
        <w:ind w:firstLine="480" w:firstLineChars="200"/>
        <w:rPr>
          <w:color w:val="auto"/>
          <w:sz w:val="24"/>
          <w:szCs w:val="24"/>
          <w:highlight w:val="none"/>
        </w:rPr>
      </w:pPr>
      <w:r>
        <w:rPr>
          <w:color w:val="auto"/>
          <w:sz w:val="24"/>
          <w:szCs w:val="24"/>
          <w:highlight w:val="none"/>
        </w:rPr>
        <w:t>（2）按本章第2.2.4（2）目规定的评审因素和分值对监理大纲部分计算出得分B；</w:t>
      </w:r>
    </w:p>
    <w:p>
      <w:pPr>
        <w:spacing w:line="400" w:lineRule="exact"/>
        <w:ind w:firstLine="480" w:firstLineChars="200"/>
        <w:rPr>
          <w:strike/>
          <w:color w:val="auto"/>
          <w:sz w:val="24"/>
          <w:szCs w:val="24"/>
          <w:highlight w:val="none"/>
        </w:rPr>
      </w:pPr>
      <w:r>
        <w:rPr>
          <w:color w:val="auto"/>
          <w:sz w:val="24"/>
          <w:szCs w:val="24"/>
          <w:highlight w:val="none"/>
        </w:rPr>
        <w:t>（3）按本章第2.2.4（3）目规定的评审因素和</w:t>
      </w:r>
      <w:bookmarkStart w:id="432" w:name="_Toc384308278"/>
      <w:bookmarkStart w:id="433" w:name="_Toc247527629"/>
      <w:bookmarkStart w:id="434" w:name="_Toc352691539"/>
      <w:bookmarkStart w:id="435" w:name="_Toc144974571"/>
      <w:bookmarkStart w:id="436" w:name="_Toc152045604"/>
      <w:bookmarkStart w:id="437" w:name="_Toc361508652"/>
      <w:bookmarkStart w:id="438" w:name="_Toc24330"/>
      <w:bookmarkStart w:id="439" w:name="_Toc247514028"/>
      <w:bookmarkStart w:id="440" w:name="_Toc369531583"/>
      <w:bookmarkStart w:id="441" w:name="_Toc152042381"/>
      <w:bookmarkStart w:id="442" w:name="_Toc300835014"/>
      <w:r>
        <w:rPr>
          <w:color w:val="auto"/>
          <w:sz w:val="24"/>
          <w:szCs w:val="24"/>
          <w:highlight w:val="none"/>
        </w:rPr>
        <w:t>分值对投标报价</w:t>
      </w:r>
      <w:bookmarkEnd w:id="432"/>
      <w:bookmarkEnd w:id="433"/>
      <w:bookmarkEnd w:id="434"/>
      <w:bookmarkEnd w:id="435"/>
      <w:bookmarkEnd w:id="436"/>
      <w:bookmarkEnd w:id="437"/>
      <w:bookmarkEnd w:id="438"/>
      <w:bookmarkEnd w:id="439"/>
      <w:bookmarkEnd w:id="440"/>
      <w:bookmarkEnd w:id="441"/>
      <w:bookmarkEnd w:id="442"/>
      <w:r>
        <w:rPr>
          <w:color w:val="auto"/>
          <w:sz w:val="24"/>
          <w:szCs w:val="24"/>
          <w:highlight w:val="none"/>
        </w:rPr>
        <w:t>计</w:t>
      </w:r>
      <w:bookmarkStart w:id="443" w:name="_Toc152042382"/>
      <w:bookmarkStart w:id="444" w:name="_Toc247514029"/>
      <w:bookmarkStart w:id="445" w:name="_Toc352691540"/>
      <w:bookmarkStart w:id="446" w:name="_Toc361508653"/>
      <w:bookmarkStart w:id="447" w:name="_Toc369531584"/>
      <w:bookmarkStart w:id="448" w:name="_Toc18141"/>
      <w:bookmarkStart w:id="449" w:name="_Toc152045605"/>
      <w:bookmarkStart w:id="450" w:name="_Toc144974572"/>
      <w:bookmarkStart w:id="451" w:name="_Toc384308279"/>
      <w:bookmarkStart w:id="452" w:name="_Toc247527630"/>
      <w:bookmarkStart w:id="453" w:name="_Toc300835015"/>
      <w:r>
        <w:rPr>
          <w:color w:val="auto"/>
          <w:sz w:val="24"/>
          <w:szCs w:val="24"/>
          <w:highlight w:val="none"/>
        </w:rPr>
        <w:t>算出得分C；</w:t>
      </w:r>
      <w:bookmarkEnd w:id="443"/>
      <w:bookmarkEnd w:id="444"/>
      <w:bookmarkEnd w:id="445"/>
      <w:bookmarkEnd w:id="446"/>
      <w:bookmarkEnd w:id="447"/>
      <w:bookmarkEnd w:id="448"/>
      <w:bookmarkEnd w:id="449"/>
      <w:bookmarkEnd w:id="450"/>
      <w:bookmarkEnd w:id="451"/>
      <w:bookmarkEnd w:id="452"/>
      <w:bookmarkEnd w:id="453"/>
    </w:p>
    <w:p>
      <w:pPr>
        <w:spacing w:line="400" w:lineRule="exact"/>
        <w:ind w:firstLine="480" w:firstLineChars="200"/>
        <w:rPr>
          <w:color w:val="auto"/>
          <w:sz w:val="24"/>
          <w:szCs w:val="24"/>
          <w:highlight w:val="none"/>
        </w:rPr>
      </w:pPr>
      <w:r>
        <w:rPr>
          <w:color w:val="auto"/>
          <w:sz w:val="24"/>
          <w:szCs w:val="24"/>
          <w:highlight w:val="none"/>
        </w:rPr>
        <w:t>3.2.2 评分分值计算保留小数点后两位，小数点后第三位“四舍五入”。</w:t>
      </w:r>
    </w:p>
    <w:p>
      <w:pPr>
        <w:spacing w:line="400" w:lineRule="exact"/>
        <w:ind w:firstLine="480" w:firstLineChars="200"/>
        <w:rPr>
          <w:color w:val="auto"/>
          <w:sz w:val="24"/>
          <w:szCs w:val="24"/>
          <w:highlight w:val="none"/>
        </w:rPr>
      </w:pPr>
      <w:r>
        <w:rPr>
          <w:color w:val="auto"/>
          <w:sz w:val="24"/>
          <w:szCs w:val="24"/>
          <w:highlight w:val="none"/>
        </w:rPr>
        <w:t>3.2.3 投标人得分=A+B+C。</w:t>
      </w:r>
    </w:p>
    <w:p>
      <w:pPr>
        <w:spacing w:line="400" w:lineRule="exact"/>
        <w:ind w:firstLine="480" w:firstLineChars="200"/>
        <w:rPr>
          <w:color w:val="auto"/>
          <w:sz w:val="24"/>
          <w:szCs w:val="24"/>
          <w:highlight w:val="none"/>
        </w:rPr>
      </w:pPr>
      <w:r>
        <w:rPr>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keepNext w:val="0"/>
        <w:keepLines w:val="0"/>
        <w:ind w:firstLine="137"/>
        <w:rPr>
          <w:rFonts w:ascii="Times New Roman"/>
          <w:color w:val="auto"/>
          <w:highlight w:val="none"/>
        </w:rPr>
      </w:pPr>
      <w:bookmarkStart w:id="454" w:name="_Toc30034"/>
      <w:r>
        <w:rPr>
          <w:rFonts w:ascii="Times New Roman"/>
          <w:color w:val="auto"/>
          <w:highlight w:val="none"/>
        </w:rPr>
        <w:t>3.3 投标文件的澄清</w:t>
      </w:r>
      <w:bookmarkEnd w:id="454"/>
    </w:p>
    <w:p>
      <w:pPr>
        <w:spacing w:line="400" w:lineRule="exact"/>
        <w:ind w:firstLine="480" w:firstLineChars="200"/>
        <w:rPr>
          <w:color w:val="auto"/>
          <w:sz w:val="24"/>
          <w:szCs w:val="24"/>
          <w:highlight w:val="none"/>
        </w:rPr>
      </w:pPr>
      <w:r>
        <w:rPr>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color w:val="auto"/>
          <w:sz w:val="24"/>
          <w:szCs w:val="24"/>
          <w:highlight w:val="none"/>
        </w:rPr>
      </w:pPr>
      <w:r>
        <w:rPr>
          <w:color w:val="auto"/>
          <w:sz w:val="24"/>
          <w:szCs w:val="24"/>
          <w:highlight w:val="none"/>
        </w:rPr>
        <w:t>3.3.2 澄清、说明或补正不得超出投标文件的范围且不得改变投标文件的实质性内容，并构成投标文件的组成部分。</w:t>
      </w:r>
    </w:p>
    <w:p>
      <w:pPr>
        <w:spacing w:line="400" w:lineRule="exact"/>
        <w:ind w:firstLine="480" w:firstLineChars="200"/>
        <w:rPr>
          <w:color w:val="auto"/>
          <w:sz w:val="24"/>
          <w:szCs w:val="24"/>
          <w:highlight w:val="none"/>
        </w:rPr>
      </w:pPr>
      <w:r>
        <w:rPr>
          <w:color w:val="auto"/>
          <w:sz w:val="24"/>
          <w:szCs w:val="24"/>
          <w:highlight w:val="none"/>
        </w:rPr>
        <w:t>3.3.3 评标委员会对投标人提交的澄清、说明或补正有疑问的，可以要求投标人进一步澄清、说明或补正，直至满足评标委员会的要求。</w:t>
      </w:r>
    </w:p>
    <w:p>
      <w:pPr>
        <w:pStyle w:val="5"/>
        <w:keepNext w:val="0"/>
        <w:keepLines w:val="0"/>
        <w:ind w:firstLine="137"/>
        <w:rPr>
          <w:rFonts w:ascii="Times New Roman"/>
          <w:color w:val="auto"/>
          <w:highlight w:val="none"/>
        </w:rPr>
      </w:pPr>
      <w:bookmarkStart w:id="455" w:name="_Toc2067"/>
      <w:r>
        <w:rPr>
          <w:rFonts w:ascii="Times New Roman"/>
          <w:color w:val="auto"/>
          <w:highlight w:val="none"/>
        </w:rPr>
        <w:t>3.4 评标结果</w:t>
      </w:r>
      <w:bookmarkEnd w:id="455"/>
    </w:p>
    <w:p>
      <w:pPr>
        <w:spacing w:line="400" w:lineRule="exact"/>
        <w:ind w:firstLine="480" w:firstLineChars="200"/>
        <w:rPr>
          <w:color w:val="auto"/>
          <w:sz w:val="24"/>
          <w:szCs w:val="24"/>
          <w:highlight w:val="none"/>
        </w:rPr>
      </w:pPr>
      <w:r>
        <w:rPr>
          <w:color w:val="auto"/>
          <w:sz w:val="24"/>
          <w:szCs w:val="24"/>
          <w:highlight w:val="none"/>
        </w:rPr>
        <w:t>3.4.1 除第二章“投标人须知”前附表授权直接确定中标人外，评标委员会按照得分由高到低的顺序推荐中标候选人，并标明排序。</w:t>
      </w:r>
    </w:p>
    <w:p>
      <w:pPr>
        <w:spacing w:line="400" w:lineRule="exact"/>
        <w:ind w:firstLine="480" w:firstLineChars="200"/>
        <w:rPr>
          <w:color w:val="auto"/>
          <w:sz w:val="24"/>
          <w:szCs w:val="24"/>
          <w:highlight w:val="none"/>
        </w:rPr>
      </w:pPr>
      <w:r>
        <w:rPr>
          <w:color w:val="auto"/>
          <w:sz w:val="24"/>
          <w:szCs w:val="24"/>
          <w:highlight w:val="none"/>
        </w:rPr>
        <w:t>3.4.2 评标委员会完成评标后，应当向招标人提交书面评标报告和中标候选人名单。</w:t>
      </w:r>
    </w:p>
    <w:p>
      <w:pPr>
        <w:pStyle w:val="16"/>
        <w:rPr>
          <w:rFonts w:hint="eastAsia"/>
          <w:color w:val="auto"/>
          <w:highlight w:val="none"/>
        </w:rPr>
      </w:pPr>
    </w:p>
    <w:p>
      <w:pPr>
        <w:pStyle w:val="16"/>
        <w:rPr>
          <w:rFonts w:hint="eastAsia"/>
          <w:color w:val="auto"/>
          <w:highlight w:val="none"/>
        </w:rPr>
        <w:sectPr>
          <w:pgSz w:w="12240" w:h="15840"/>
          <w:pgMar w:top="1247" w:right="1247" w:bottom="1247" w:left="1247" w:header="720" w:footer="720" w:gutter="0"/>
          <w:cols w:space="720" w:num="1"/>
          <w:docGrid w:linePitch="285" w:charSpace="0"/>
        </w:sectPr>
      </w:pPr>
    </w:p>
    <w:p>
      <w:pPr>
        <w:pStyle w:val="3"/>
        <w:keepNext w:val="0"/>
        <w:keepLines w:val="0"/>
        <w:spacing w:after="240" w:afterLines="100" w:line="240" w:lineRule="auto"/>
        <w:jc w:val="center"/>
        <w:rPr>
          <w:rFonts w:hint="eastAsia" w:ascii="宋体" w:hAnsi="宋体" w:cs="宋体"/>
          <w:color w:val="auto"/>
          <w:highlight w:val="none"/>
        </w:rPr>
      </w:pPr>
      <w:bookmarkStart w:id="456" w:name="_Toc7448"/>
      <w:r>
        <w:rPr>
          <w:rFonts w:hint="eastAsia" w:ascii="宋体" w:hAnsi="宋体" w:cs="宋体"/>
          <w:color w:val="auto"/>
          <w:highlight w:val="none"/>
        </w:rPr>
        <w:t>第四章合同条款及格式</w:t>
      </w:r>
      <w:bookmarkEnd w:id="456"/>
    </w:p>
    <w:p>
      <w:pPr>
        <w:autoSpaceDE w:val="0"/>
        <w:autoSpaceDN w:val="0"/>
        <w:adjustRightInd w:val="0"/>
        <w:snapToGrid w:val="0"/>
        <w:spacing w:line="300" w:lineRule="auto"/>
        <w:jc w:val="center"/>
        <w:rPr>
          <w:rFonts w:hint="eastAsia" w:hAnsi="宋体"/>
          <w:b/>
          <w:bCs/>
          <w:color w:val="auto"/>
          <w:kern w:val="0"/>
          <w:sz w:val="28"/>
          <w:szCs w:val="28"/>
          <w:highlight w:val="none"/>
        </w:rPr>
      </w:pPr>
    </w:p>
    <w:p>
      <w:pPr>
        <w:autoSpaceDE w:val="0"/>
        <w:autoSpaceDN w:val="0"/>
        <w:adjustRightInd w:val="0"/>
        <w:snapToGrid w:val="0"/>
        <w:spacing w:line="300" w:lineRule="auto"/>
        <w:jc w:val="center"/>
        <w:rPr>
          <w:b/>
          <w:bCs/>
          <w:color w:val="auto"/>
          <w:kern w:val="0"/>
          <w:sz w:val="28"/>
          <w:szCs w:val="28"/>
          <w:highlight w:val="none"/>
        </w:rPr>
      </w:pPr>
      <w:r>
        <w:rPr>
          <w:rFonts w:hAnsi="宋体"/>
          <w:b/>
          <w:bCs/>
          <w:color w:val="auto"/>
          <w:kern w:val="0"/>
          <w:sz w:val="28"/>
          <w:szCs w:val="28"/>
          <w:highlight w:val="none"/>
        </w:rPr>
        <w:t>建设监理合同书</w:t>
      </w:r>
      <w:r>
        <w:rPr>
          <w:b/>
          <w:bCs/>
          <w:color w:val="auto"/>
          <w:kern w:val="0"/>
          <w:sz w:val="28"/>
          <w:szCs w:val="28"/>
          <w:highlight w:val="none"/>
        </w:rPr>
        <w:t>(</w:t>
      </w:r>
      <w:r>
        <w:rPr>
          <w:rFonts w:hAnsi="宋体"/>
          <w:b/>
          <w:bCs/>
          <w:color w:val="auto"/>
          <w:kern w:val="0"/>
          <w:sz w:val="28"/>
          <w:szCs w:val="28"/>
          <w:highlight w:val="none"/>
        </w:rPr>
        <w:t>格式</w:t>
      </w:r>
      <w:r>
        <w:rPr>
          <w:b/>
          <w:bCs/>
          <w:color w:val="auto"/>
          <w:kern w:val="0"/>
          <w:sz w:val="28"/>
          <w:szCs w:val="28"/>
          <w:highlight w:val="none"/>
        </w:rPr>
        <w:t>)</w:t>
      </w:r>
    </w:p>
    <w:p>
      <w:pPr>
        <w:spacing w:line="360" w:lineRule="auto"/>
        <w:ind w:firstLine="420" w:firstLineChars="200"/>
        <w:jc w:val="center"/>
        <w:rPr>
          <w:rFonts w:hint="eastAsia"/>
          <w:color w:val="auto"/>
          <w:highlight w:val="none"/>
        </w:rPr>
      </w:pPr>
    </w:p>
    <w:p>
      <w:pPr>
        <w:spacing w:line="360" w:lineRule="auto"/>
        <w:ind w:firstLine="420" w:firstLineChars="200"/>
        <w:jc w:val="center"/>
        <w:rPr>
          <w:rFonts w:hint="eastAsia"/>
          <w:color w:val="auto"/>
          <w:highlight w:val="none"/>
        </w:rPr>
      </w:pPr>
    </w:p>
    <w:p>
      <w:pPr>
        <w:spacing w:before="50" w:after="120" w:afterLines="50" w:line="360" w:lineRule="auto"/>
        <w:rPr>
          <w:rFonts w:hint="eastAsia" w:ascii="宋体" w:hAnsi="宋体" w:cs="宋体"/>
          <w:b/>
          <w:color w:val="auto"/>
          <w:sz w:val="44"/>
          <w:szCs w:val="44"/>
          <w:highlight w:val="none"/>
          <w:u w:val="single"/>
        </w:rPr>
      </w:pPr>
    </w:p>
    <w:p>
      <w:pPr>
        <w:autoSpaceDE w:val="0"/>
        <w:autoSpaceDN w:val="0"/>
        <w:adjustRightInd w:val="0"/>
        <w:rPr>
          <w:rFonts w:hint="eastAsia" w:ascii="宋体" w:hAnsi="宋体" w:cs="宋体"/>
          <w:color w:val="auto"/>
          <w:kern w:val="0"/>
          <w:highlight w:val="none"/>
        </w:rPr>
      </w:pPr>
      <w:r>
        <w:rPr>
          <w:rFonts w:hint="eastAsia" w:ascii="宋体" w:hAnsi="宋体" w:cs="宋体"/>
          <w:color w:val="auto"/>
          <w:kern w:val="0"/>
          <w:highlight w:val="none"/>
        </w:rPr>
        <w:br w:type="page"/>
      </w:r>
    </w:p>
    <w:p>
      <w:pPr>
        <w:pStyle w:val="3"/>
        <w:keepNext w:val="0"/>
        <w:keepLines w:val="0"/>
        <w:spacing w:line="440" w:lineRule="exact"/>
        <w:jc w:val="center"/>
        <w:rPr>
          <w:rFonts w:hint="eastAsia" w:ascii="宋体" w:hAnsi="宋体" w:cs="宋体"/>
          <w:color w:val="auto"/>
          <w:highlight w:val="none"/>
        </w:rPr>
      </w:pPr>
      <w:bookmarkStart w:id="457" w:name="_Toc29308"/>
      <w:bookmarkStart w:id="458" w:name="_Toc246996338"/>
      <w:bookmarkStart w:id="459" w:name="_Toc246997081"/>
      <w:bookmarkStart w:id="460" w:name="_Toc247085853"/>
      <w:bookmarkStart w:id="461" w:name="_Toc179632787"/>
      <w:bookmarkStart w:id="462" w:name="_Toc152042549"/>
      <w:bookmarkStart w:id="463" w:name="_Toc152045610"/>
      <w:bookmarkStart w:id="464" w:name="_Toc247514197"/>
      <w:bookmarkStart w:id="465" w:name="_Toc184635122"/>
      <w:bookmarkStart w:id="466" w:name="_Toc247527798"/>
      <w:bookmarkStart w:id="467" w:name="_Toc152042388"/>
      <w:bookmarkStart w:id="468" w:name="_Toc144974578"/>
      <w:bookmarkStart w:id="469" w:name="_Toc144974829"/>
      <w:bookmarkStart w:id="470" w:name="_Toc300835199"/>
      <w:r>
        <w:rPr>
          <w:rFonts w:hint="eastAsia" w:ascii="宋体" w:hAnsi="宋体" w:cs="宋体"/>
          <w:color w:val="auto"/>
          <w:highlight w:val="none"/>
        </w:rPr>
        <w:t>第二卷</w:t>
      </w:r>
      <w:bookmarkEnd w:id="457"/>
    </w:p>
    <w:p>
      <w:pPr>
        <w:pStyle w:val="3"/>
        <w:keepNext w:val="0"/>
        <w:keepLines w:val="0"/>
        <w:jc w:val="center"/>
        <w:rPr>
          <w:rFonts w:hint="eastAsia" w:ascii="宋体" w:hAnsi="宋体" w:cs="宋体"/>
          <w:color w:val="auto"/>
          <w:highlight w:val="none"/>
        </w:rPr>
      </w:pPr>
      <w:bookmarkStart w:id="471" w:name="_Toc26734"/>
      <w:r>
        <w:rPr>
          <w:rFonts w:hint="eastAsia" w:ascii="宋体" w:hAnsi="宋体" w:cs="宋体"/>
          <w:color w:val="auto"/>
          <w:highlight w:val="none"/>
        </w:rPr>
        <w:t>第五章委托人要求</w:t>
      </w:r>
      <w:bookmarkEnd w:id="458"/>
      <w:bookmarkEnd w:id="459"/>
      <w:bookmarkEnd w:id="460"/>
      <w:bookmarkEnd w:id="461"/>
      <w:bookmarkEnd w:id="471"/>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委托人要求通常包括但不限于以下内容：</w:t>
      </w:r>
    </w:p>
    <w:p>
      <w:pPr>
        <w:pStyle w:val="4"/>
        <w:keepNext w:val="0"/>
        <w:keepLines w:val="0"/>
        <w:rPr>
          <w:rFonts w:hint="eastAsia" w:ascii="宋体" w:hAnsi="宋体" w:eastAsia="宋体" w:cs="宋体"/>
          <w:b w:val="0"/>
          <w:color w:val="auto"/>
          <w:sz w:val="28"/>
          <w:szCs w:val="28"/>
          <w:highlight w:val="none"/>
        </w:rPr>
      </w:pPr>
      <w:bookmarkStart w:id="472" w:name="_Toc527028520"/>
      <w:bookmarkStart w:id="473" w:name="_Toc343"/>
      <w:bookmarkStart w:id="474" w:name="_Toc511557110"/>
      <w:bookmarkStart w:id="475" w:name="_Toc482188637"/>
      <w:r>
        <w:rPr>
          <w:rFonts w:hint="eastAsia" w:ascii="宋体" w:hAnsi="宋体" w:eastAsia="宋体" w:cs="宋体"/>
          <w:b w:val="0"/>
          <w:color w:val="auto"/>
          <w:sz w:val="28"/>
          <w:szCs w:val="28"/>
          <w:highlight w:val="none"/>
        </w:rPr>
        <w:t>一、监理要求</w:t>
      </w:r>
      <w:bookmarkEnd w:id="472"/>
      <w:bookmarkEnd w:id="473"/>
      <w:bookmarkEnd w:id="474"/>
      <w:bookmarkEnd w:id="475"/>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招标人应当根据项目情况在本章中明确相应的监理要求，一般应包括以下内容：</w:t>
      </w:r>
    </w:p>
    <w:p>
      <w:pPr>
        <w:numPr>
          <w:ilvl w:val="0"/>
          <w:numId w:val="2"/>
        </w:num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pPr>
        <w:spacing w:line="360" w:lineRule="auto"/>
        <w:ind w:firstLine="480" w:firstLineChars="200"/>
        <w:jc w:val="left"/>
        <w:rPr>
          <w:rFonts w:ascii="宋体" w:hAnsi="宋体" w:cs="宋体"/>
          <w:color w:val="auto"/>
          <w:sz w:val="24"/>
          <w:highlight w:val="none"/>
        </w:rPr>
      </w:pPr>
      <w:r>
        <w:rPr>
          <w:rFonts w:hint="eastAsia" w:ascii="宋体" w:hAnsi="宋体" w:eastAsia="宋体" w:cs="宋体"/>
          <w:i w:val="0"/>
          <w:iCs w:val="0"/>
          <w:caps w:val="0"/>
          <w:color w:val="000000"/>
          <w:spacing w:val="0"/>
          <w:sz w:val="24"/>
          <w:szCs w:val="24"/>
          <w:highlight w:val="none"/>
          <w:u w:val="single"/>
          <w:shd w:val="clear" w:color="auto" w:fill="auto"/>
          <w:lang w:bidi="ar"/>
        </w:rPr>
        <w:t>新建12米设施带并布置市政管线，市政部分实施内容主要包括:铺设d300-d1650雨水管,长度为2565m、铺设DN500-DN800污水管,长度为2019m、预制沉砂井、污水管道、破除及修复现状路面、电力管沟、背河侧12米宽度范围的路基(含边坡、土方等)、绿化以及给水、土石方挖填及支护等工程。具体详见工程量清单及图纸。</w:t>
      </w:r>
    </w:p>
    <w:p>
      <w:pPr>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项目建安费约</w:t>
      </w:r>
      <w:r>
        <w:rPr>
          <w:rFonts w:hint="eastAsia" w:ascii="宋体" w:hAnsi="宋体" w:eastAsia="宋体" w:cs="宋体"/>
          <w:color w:val="000000"/>
          <w:sz w:val="24"/>
          <w:szCs w:val="24"/>
          <w:highlight w:val="none"/>
          <w:u w:val="single"/>
          <w:shd w:val="clear" w:color="auto" w:fill="auto"/>
          <w:lang w:eastAsia="zh-CN" w:bidi="ar"/>
        </w:rPr>
        <w:t>43348359.82</w:t>
      </w:r>
      <w:r>
        <w:rPr>
          <w:rFonts w:hint="eastAsia" w:ascii="宋体" w:hAnsi="宋体" w:cs="宋体"/>
          <w:color w:val="auto"/>
          <w:kern w:val="0"/>
          <w:sz w:val="24"/>
          <w:highlight w:val="none"/>
          <w:u w:val="single"/>
        </w:rPr>
        <w:t>元。</w:t>
      </w:r>
    </w:p>
    <w:p>
      <w:pPr>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szCs w:val="24"/>
          <w:highlight w:val="none"/>
        </w:rPr>
        <w:t>2. 招标范围及内容</w:t>
      </w:r>
    </w:p>
    <w:p>
      <w:pPr>
        <w:adjustRightInd w:val="0"/>
        <w:snapToGrid w:val="0"/>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szCs w:val="24"/>
          <w:highlight w:val="none"/>
        </w:rPr>
        <w:t>招标内容：</w:t>
      </w:r>
      <w:r>
        <w:rPr>
          <w:rFonts w:hint="eastAsia" w:ascii="宋体" w:hAnsi="宋体" w:cs="宋体"/>
          <w:color w:val="auto"/>
          <w:sz w:val="24"/>
          <w:highlight w:val="none"/>
          <w:u w:val="single"/>
        </w:rPr>
        <w:t>负责本项目施工准备阶段、施工阶段、工程收尾阶段（包括但不限于竣工验收、整改、工程移交、工程结算等）、保修阶段（缺陷责任期）的质量控制、职业健康、安全生产及环境监督管理、投资控制、进度控制、合同管理、信息管理、组织协调等全过程监理工作。</w:t>
      </w:r>
    </w:p>
    <w:p>
      <w:pPr>
        <w:tabs>
          <w:tab w:val="left" w:pos="7513"/>
        </w:tabs>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3.监理服务期：</w:t>
      </w:r>
      <w:r>
        <w:rPr>
          <w:rFonts w:hint="eastAsia" w:ascii="宋体" w:hAnsi="宋体" w:cs="宋体"/>
          <w:color w:val="auto"/>
          <w:sz w:val="24"/>
          <w:szCs w:val="24"/>
          <w:highlight w:val="none"/>
          <w:u w:val="single"/>
        </w:rPr>
        <w:t>从中标人收到招标人中标通知或参加由招标人组织的进场动员会开始算起，至本项目工程质量保修期结束且本合同工程结算金额经政府主管部门审定之日止。</w:t>
      </w:r>
    </w:p>
    <w:p>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4.监理依据：</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（1）适用的法律、行政法规及部门规章；</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（2）与工程有关的规范、标准、规程；</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（3）工程勘察文件、设计文件及其他文件；</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（4）本工程监理的委托合同及补充合同；</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（5）委托人签订的勘察、设计和施工承包合同；</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（6）合同履行中与监理服务有关的来往函件；</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（7）其他监理依据。</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5.监理的技术要求：</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（1）符合法律、行政法规及部门规章；</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（2）符合本工程有关的规范、标准、规程；</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6.监理人员、设备要求：详见本项目招标文件和招标公告。</w:t>
      </w:r>
    </w:p>
    <w:p>
      <w:pPr>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8.监理工作目标要求</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①质量控制目标：执行国家、地方或行业现行的工程建设质量验收标准及规范，须达到合格标准。</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②进度控制目标：施工工期为业主下达开工令或开工报告审批之日起。按施工进度要求控制。</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③投资控制目标：投资控制在政府批准的工程投资总概算及预算内。</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④安全文明管理目标：确保工程无重大安全事故。</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⑤合同管理目标：\</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⑥信息管理目标：\</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⑦建筑节能目标：\</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9. 其他要求</w:t>
      </w:r>
    </w:p>
    <w:p>
      <w:pPr>
        <w:pStyle w:val="4"/>
        <w:keepNext w:val="0"/>
        <w:keepLines w:val="0"/>
        <w:rPr>
          <w:rFonts w:hint="eastAsia" w:ascii="宋体" w:hAnsi="宋体" w:eastAsia="宋体" w:cs="宋体"/>
          <w:b w:val="0"/>
          <w:color w:val="auto"/>
          <w:sz w:val="28"/>
          <w:szCs w:val="28"/>
          <w:highlight w:val="none"/>
        </w:rPr>
      </w:pPr>
      <w:bookmarkStart w:id="476" w:name="_Toc482188638"/>
      <w:bookmarkStart w:id="477" w:name="_Toc511557111"/>
      <w:bookmarkStart w:id="478" w:name="_Toc17300"/>
      <w:bookmarkStart w:id="479" w:name="_Toc527028521"/>
      <w:r>
        <w:rPr>
          <w:rFonts w:hint="eastAsia" w:ascii="宋体" w:hAnsi="宋体" w:eastAsia="宋体" w:cs="宋体"/>
          <w:b w:val="0"/>
          <w:color w:val="auto"/>
          <w:sz w:val="28"/>
          <w:szCs w:val="28"/>
          <w:highlight w:val="none"/>
        </w:rPr>
        <w:t>二、适用规范标准</w:t>
      </w:r>
      <w:bookmarkEnd w:id="476"/>
      <w:bookmarkEnd w:id="477"/>
      <w:bookmarkEnd w:id="478"/>
      <w:bookmarkEnd w:id="479"/>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 国家、行业、项目所在地规范名录：</w:t>
      </w:r>
      <w:r>
        <w:rPr>
          <w:rFonts w:hint="eastAsia" w:ascii="宋体" w:hAnsi="宋体" w:cs="宋体"/>
          <w:color w:val="auto"/>
          <w:sz w:val="24"/>
          <w:szCs w:val="24"/>
          <w:highlight w:val="none"/>
          <w:u w:val="single"/>
        </w:rPr>
        <w:t>按国家、行业、项目所在地规范名录执行。</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 国家、行业、项目所在地标准名录：</w:t>
      </w:r>
      <w:r>
        <w:rPr>
          <w:rFonts w:hint="eastAsia" w:ascii="宋体" w:hAnsi="宋体" w:cs="宋体"/>
          <w:color w:val="auto"/>
          <w:sz w:val="24"/>
          <w:szCs w:val="24"/>
          <w:highlight w:val="none"/>
          <w:u w:val="single"/>
        </w:rPr>
        <w:t>按国家、行业、项目所在地规范标准执行。</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 国家、行业、项目所在地规程名录：</w:t>
      </w:r>
      <w:r>
        <w:rPr>
          <w:rFonts w:hint="eastAsia" w:ascii="宋体" w:hAnsi="宋体" w:cs="宋体"/>
          <w:color w:val="auto"/>
          <w:sz w:val="24"/>
          <w:szCs w:val="24"/>
          <w:highlight w:val="none"/>
          <w:u w:val="single"/>
        </w:rPr>
        <w:t>按国家、行业、项目所在地规范规程执行。</w:t>
      </w:r>
    </w:p>
    <w:p>
      <w:pPr>
        <w:pStyle w:val="4"/>
        <w:keepNext w:val="0"/>
        <w:keepLines w:val="0"/>
        <w:rPr>
          <w:rFonts w:hint="eastAsia" w:ascii="宋体" w:hAnsi="宋体" w:eastAsia="宋体" w:cs="宋体"/>
          <w:b w:val="0"/>
          <w:color w:val="auto"/>
          <w:sz w:val="28"/>
          <w:szCs w:val="28"/>
          <w:highlight w:val="none"/>
        </w:rPr>
      </w:pPr>
      <w:bookmarkStart w:id="480" w:name="_Toc482188639"/>
      <w:bookmarkStart w:id="481" w:name="_Toc527028522"/>
      <w:bookmarkStart w:id="482" w:name="_Toc511557112"/>
      <w:bookmarkStart w:id="483" w:name="_Toc7782"/>
      <w:r>
        <w:rPr>
          <w:rFonts w:hint="eastAsia" w:ascii="宋体" w:hAnsi="宋体" w:eastAsia="宋体" w:cs="宋体"/>
          <w:b w:val="0"/>
          <w:color w:val="auto"/>
          <w:sz w:val="28"/>
          <w:szCs w:val="28"/>
          <w:highlight w:val="none"/>
        </w:rPr>
        <w:t>三、成果文件要求</w:t>
      </w:r>
      <w:bookmarkEnd w:id="480"/>
      <w:bookmarkEnd w:id="481"/>
      <w:bookmarkEnd w:id="482"/>
      <w:bookmarkEnd w:id="48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成果文件的组成</w:t>
      </w:r>
    </w:p>
    <w:p>
      <w:pPr>
        <w:numPr>
          <w:ilvl w:val="0"/>
          <w:numId w:val="3"/>
        </w:numPr>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1、勘察设计文件、建设工程监理合同及其他合同文件；</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2、监理规划、监理实施细则；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3、设计交底和图纸会审会议纪要；</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4、施工组织设计、（专项）施工方案、施工进度计划报审文件资料；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5、分包单位资格报审文件资料；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6、施工控制测量成果报验文件资料；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7、总监理工程师任命书、工程开工令、暂停令、复工令、开工或复工报审文件资料；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8、工程材料、设备、构配件报验文件资料；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9、见证取样和平行检验文件资料；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10、工程质量检查报验资料及工程有关验收资料；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11、工程变更、费用索赔及工程延期文件资料；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12、工程计量、工程款支付文件资料；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13、监理通知单、工作联系单与监理报告；</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14、第一次工地会议、监理例会、专题会议等会议纪要；</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15、监理月报、监理日志、旁站记录；</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16、工程质量或生产安全事故处理文件资料；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17、工程质量评估报告及竣工验收监理文件资料；</w:t>
      </w:r>
    </w:p>
    <w:p>
      <w:pPr>
        <w:numPr>
          <w:ilvl w:val="0"/>
          <w:numId w:val="3"/>
        </w:numPr>
        <w:tabs>
          <w:tab w:val="left" w:pos="680"/>
        </w:tabs>
        <w:snapToGrid w:val="0"/>
        <w:spacing w:after="200"/>
        <w:ind w:hanging="720" w:hangingChars="3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18、监理工作总结。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成果文件的深度:</w:t>
      </w:r>
      <w:r>
        <w:rPr>
          <w:rFonts w:hint="eastAsia" w:ascii="宋体" w:hAnsi="宋体" w:cs="宋体"/>
          <w:color w:val="auto"/>
          <w:sz w:val="24"/>
          <w:szCs w:val="24"/>
          <w:highlight w:val="none"/>
          <w:u w:val="single"/>
        </w:rPr>
        <w:t xml:space="preserve"> 满足本项目监理服务要求。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成果文件的格式要求:</w:t>
      </w:r>
      <w:r>
        <w:rPr>
          <w:rFonts w:hint="eastAsia" w:ascii="宋体" w:hAnsi="宋体" w:cs="宋体"/>
          <w:color w:val="auto"/>
          <w:sz w:val="24"/>
          <w:szCs w:val="24"/>
          <w:highlight w:val="none"/>
          <w:u w:val="single"/>
        </w:rPr>
        <w:t xml:space="preserve"> 满足本项目监理服务要求。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成果文件的份数要求:</w:t>
      </w:r>
      <w:r>
        <w:rPr>
          <w:rFonts w:hint="eastAsia" w:ascii="宋体" w:hAnsi="宋体" w:cs="宋体"/>
          <w:color w:val="auto"/>
          <w:sz w:val="24"/>
          <w:szCs w:val="24"/>
          <w:highlight w:val="none"/>
          <w:u w:val="single"/>
        </w:rPr>
        <w:t xml:space="preserve"> 一式六份；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成果文件的载体要求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（1）纸质版的要求：:</w:t>
      </w:r>
      <w:r>
        <w:rPr>
          <w:rFonts w:hint="eastAsia" w:ascii="宋体" w:hAnsi="宋体" w:cs="宋体"/>
          <w:color w:val="auto"/>
          <w:sz w:val="24"/>
          <w:szCs w:val="24"/>
          <w:highlight w:val="none"/>
          <w:u w:val="single"/>
        </w:rPr>
        <w:t xml:space="preserve"> 一式六份；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（2）电子版的要求：:</w:t>
      </w:r>
      <w:r>
        <w:rPr>
          <w:rFonts w:hint="eastAsia" w:ascii="宋体" w:hAnsi="宋体" w:cs="宋体"/>
          <w:color w:val="auto"/>
          <w:sz w:val="24"/>
          <w:szCs w:val="24"/>
          <w:highlight w:val="none"/>
          <w:u w:val="single"/>
        </w:rPr>
        <w:t xml:space="preserve"> 与纸质版一致的电子版文件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（3）其他要求。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 成果文件的其他要求:</w:t>
      </w:r>
      <w:r>
        <w:rPr>
          <w:rFonts w:hint="eastAsia" w:ascii="宋体" w:hAnsi="宋体" w:cs="宋体"/>
          <w:color w:val="auto"/>
          <w:sz w:val="24"/>
          <w:szCs w:val="24"/>
          <w:highlight w:val="none"/>
          <w:u w:val="single"/>
        </w:rPr>
        <w:t xml:space="preserve"> 满足本项目监理服务要求。</w:t>
      </w:r>
    </w:p>
    <w:p>
      <w:pPr>
        <w:pStyle w:val="4"/>
        <w:keepNext w:val="0"/>
        <w:keepLines w:val="0"/>
        <w:spacing w:before="0" w:after="0" w:line="260" w:lineRule="exact"/>
        <w:ind w:firstLine="47" w:firstLineChars="17"/>
        <w:rPr>
          <w:rFonts w:hint="eastAsia" w:ascii="宋体" w:hAnsi="宋体" w:eastAsia="宋体" w:cs="宋体"/>
          <w:color w:val="auto"/>
          <w:sz w:val="21"/>
          <w:szCs w:val="21"/>
          <w:highlight w:val="none"/>
        </w:rPr>
      </w:pPr>
      <w:bookmarkStart w:id="484" w:name="_Toc527028523"/>
      <w:bookmarkStart w:id="485" w:name="_Toc4097"/>
      <w:bookmarkStart w:id="486" w:name="_Toc511557113"/>
      <w:bookmarkStart w:id="487" w:name="_Toc482188640"/>
      <w:r>
        <w:rPr>
          <w:rFonts w:hint="eastAsia" w:ascii="宋体" w:hAnsi="宋体" w:eastAsia="宋体" w:cs="宋体"/>
          <w:b w:val="0"/>
          <w:color w:val="auto"/>
          <w:sz w:val="28"/>
          <w:szCs w:val="28"/>
          <w:highlight w:val="none"/>
        </w:rPr>
        <w:t>四、委托人财产清单</w:t>
      </w:r>
      <w:bookmarkEnd w:id="484"/>
      <w:bookmarkEnd w:id="485"/>
      <w:bookmarkEnd w:id="486"/>
      <w:bookmarkEnd w:id="487"/>
      <w:bookmarkStart w:id="488" w:name="_Toc527028703"/>
      <w:bookmarkStart w:id="489" w:name="_Toc482188641"/>
      <w:bookmarkStart w:id="490" w:name="_Toc527028524"/>
      <w:bookmarkStart w:id="491" w:name="_Toc511557114"/>
      <w:bookmarkStart w:id="492" w:name="_Toc527028874"/>
    </w:p>
    <w:p>
      <w:pPr>
        <w:pStyle w:val="5"/>
        <w:keepNext w:val="0"/>
        <w:keepLines w:val="0"/>
        <w:spacing w:line="260" w:lineRule="exact"/>
        <w:ind w:firstLine="47" w:firstLineChars="17"/>
        <w:rPr>
          <w:rFonts w:hint="eastAsia" w:ascii="宋体" w:hAnsi="宋体" w:eastAsia="宋体" w:cs="宋体"/>
          <w:color w:val="auto"/>
          <w:highlight w:val="none"/>
        </w:rPr>
      </w:pPr>
      <w:bookmarkStart w:id="493" w:name="_Toc16618"/>
      <w:r>
        <w:rPr>
          <w:rFonts w:hint="eastAsia" w:ascii="宋体" w:hAnsi="宋体" w:eastAsia="宋体" w:cs="宋体"/>
          <w:color w:val="auto"/>
          <w:highlight w:val="none"/>
        </w:rPr>
        <w:t>（一）委托人提供的设备、设施</w:t>
      </w:r>
      <w:bookmarkEnd w:id="488"/>
      <w:bookmarkEnd w:id="489"/>
      <w:bookmarkEnd w:id="490"/>
      <w:bookmarkEnd w:id="491"/>
      <w:bookmarkEnd w:id="492"/>
      <w:bookmarkEnd w:id="493"/>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委托人提供的办公房屋及冷暖设施：</w:t>
      </w:r>
      <w:r>
        <w:rPr>
          <w:rFonts w:hint="eastAsia" w:ascii="宋体" w:hAnsi="宋体" w:cs="宋体"/>
          <w:color w:val="auto"/>
          <w:sz w:val="24"/>
          <w:szCs w:val="24"/>
          <w:highlight w:val="none"/>
          <w:u w:val="single"/>
        </w:rPr>
        <w:t>根据项目实际情况需求提供；</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 委托人提供的设备清单：</w:t>
      </w:r>
      <w:r>
        <w:rPr>
          <w:rFonts w:hint="eastAsia" w:ascii="宋体" w:hAnsi="宋体" w:cs="宋体"/>
          <w:color w:val="auto"/>
          <w:sz w:val="24"/>
          <w:szCs w:val="24"/>
          <w:highlight w:val="none"/>
          <w:u w:val="single"/>
        </w:rPr>
        <w:t>根据项目实际情况需求提供；</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 委托人提供的设施清单：</w:t>
      </w:r>
      <w:r>
        <w:rPr>
          <w:rFonts w:hint="eastAsia" w:ascii="宋体" w:hAnsi="宋体" w:cs="宋体"/>
          <w:color w:val="auto"/>
          <w:sz w:val="24"/>
          <w:szCs w:val="24"/>
          <w:highlight w:val="none"/>
          <w:u w:val="single"/>
        </w:rPr>
        <w:t>根据项目实际情况需求提供；</w:t>
      </w:r>
    </w:p>
    <w:p>
      <w:pPr>
        <w:pStyle w:val="7"/>
        <w:rPr>
          <w:rFonts w:hint="eastAsia" w:ascii="宋体" w:hAnsi="宋体" w:cs="宋体"/>
          <w:color w:val="auto"/>
          <w:sz w:val="24"/>
          <w:szCs w:val="24"/>
          <w:highlight w:val="none"/>
          <w:u w:val="single"/>
        </w:rPr>
      </w:pPr>
    </w:p>
    <w:p>
      <w:pPr>
        <w:pStyle w:val="7"/>
        <w:rPr>
          <w:rFonts w:hint="eastAsia" w:ascii="宋体" w:hAnsi="宋体" w:cs="宋体"/>
          <w:color w:val="auto"/>
          <w:sz w:val="24"/>
          <w:szCs w:val="24"/>
          <w:highlight w:val="none"/>
          <w:u w:val="single"/>
        </w:rPr>
      </w:pPr>
    </w:p>
    <w:p>
      <w:pPr>
        <w:pStyle w:val="5"/>
        <w:keepNext w:val="0"/>
        <w:keepLines w:val="0"/>
        <w:spacing w:line="260" w:lineRule="exact"/>
        <w:ind w:firstLine="47" w:firstLineChars="17"/>
        <w:rPr>
          <w:rFonts w:hint="eastAsia" w:ascii="宋体" w:hAnsi="宋体" w:eastAsia="宋体" w:cs="宋体"/>
          <w:color w:val="auto"/>
          <w:highlight w:val="none"/>
        </w:rPr>
      </w:pPr>
      <w:bookmarkStart w:id="494" w:name="_Toc527028704"/>
      <w:bookmarkStart w:id="495" w:name="_Toc527028525"/>
      <w:bookmarkStart w:id="496" w:name="_Toc482188642"/>
      <w:bookmarkStart w:id="497" w:name="_Toc14642"/>
      <w:bookmarkStart w:id="498" w:name="_Toc511557115"/>
      <w:bookmarkStart w:id="499" w:name="_Toc527028875"/>
      <w:r>
        <w:rPr>
          <w:rFonts w:hint="eastAsia" w:ascii="宋体" w:hAnsi="宋体" w:eastAsia="宋体" w:cs="宋体"/>
          <w:color w:val="auto"/>
          <w:highlight w:val="none"/>
        </w:rPr>
        <w:t>（二）委托人提供的资料</w:t>
      </w:r>
      <w:bookmarkEnd w:id="494"/>
      <w:bookmarkEnd w:id="495"/>
      <w:bookmarkEnd w:id="496"/>
      <w:bookmarkEnd w:id="497"/>
      <w:bookmarkEnd w:id="498"/>
      <w:bookmarkEnd w:id="49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定位放线的基准点、基准线和基准标高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委托人取得的有关审批、核准和备案材料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勘察文件、设计文件等资料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技术标准、规范</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 工程承包合同及其他相关合同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其他资料</w:t>
      </w:r>
    </w:p>
    <w:p>
      <w:pPr>
        <w:pStyle w:val="5"/>
        <w:keepNext w:val="0"/>
        <w:keepLines w:val="0"/>
        <w:ind w:firstLine="0" w:firstLineChars="0"/>
        <w:rPr>
          <w:rFonts w:hint="eastAsia" w:ascii="宋体" w:hAnsi="宋体" w:eastAsia="宋体" w:cs="宋体"/>
          <w:color w:val="auto"/>
          <w:highlight w:val="none"/>
        </w:rPr>
      </w:pPr>
      <w:bookmarkStart w:id="500" w:name="_Toc511557116"/>
      <w:bookmarkStart w:id="501" w:name="_Toc527028705"/>
      <w:bookmarkStart w:id="502" w:name="_Toc527028526"/>
      <w:bookmarkStart w:id="503" w:name="_Toc527028876"/>
      <w:bookmarkStart w:id="504" w:name="_Toc482188643"/>
      <w:bookmarkStart w:id="505" w:name="_Toc6846"/>
      <w:r>
        <w:rPr>
          <w:rFonts w:hint="eastAsia" w:ascii="宋体" w:hAnsi="宋体" w:eastAsia="宋体" w:cs="宋体"/>
          <w:color w:val="auto"/>
          <w:highlight w:val="none"/>
        </w:rPr>
        <w:t>（三）委托人财产使用要求及退还要求</w:t>
      </w:r>
      <w:bookmarkEnd w:id="500"/>
      <w:bookmarkEnd w:id="501"/>
      <w:bookmarkEnd w:id="502"/>
      <w:bookmarkEnd w:id="503"/>
      <w:bookmarkEnd w:id="504"/>
      <w:bookmarkEnd w:id="50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委托人财产使用要求：</w:t>
      </w:r>
      <w:r>
        <w:rPr>
          <w:rFonts w:hint="eastAsia" w:ascii="宋体" w:hAnsi="宋体" w:cs="宋体"/>
          <w:color w:val="auto"/>
          <w:sz w:val="24"/>
          <w:szCs w:val="24"/>
          <w:highlight w:val="none"/>
          <w:u w:val="single"/>
        </w:rPr>
        <w:t>监理人对委托人财产保存完好，避免有损坏或丢失等情况发生；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委托人财产退还要求：</w:t>
      </w:r>
      <w:r>
        <w:rPr>
          <w:rFonts w:hint="eastAsia" w:ascii="宋体" w:hAnsi="宋体" w:cs="宋体"/>
          <w:color w:val="auto"/>
          <w:sz w:val="24"/>
          <w:szCs w:val="24"/>
          <w:highlight w:val="none"/>
          <w:u w:val="single"/>
        </w:rPr>
        <w:t>工程完工后监理人将委托人财产全数完好地退还给委托人。</w:t>
      </w:r>
    </w:p>
    <w:p>
      <w:pPr>
        <w:pStyle w:val="4"/>
        <w:keepNext w:val="0"/>
        <w:keepLines w:val="0"/>
        <w:rPr>
          <w:rFonts w:hint="eastAsia" w:ascii="宋体" w:hAnsi="宋体" w:eastAsia="宋体" w:cs="宋体"/>
          <w:b w:val="0"/>
          <w:color w:val="auto"/>
          <w:sz w:val="28"/>
          <w:szCs w:val="28"/>
          <w:highlight w:val="none"/>
        </w:rPr>
      </w:pPr>
      <w:bookmarkStart w:id="506" w:name="_Toc527028527"/>
      <w:bookmarkStart w:id="507" w:name="_Toc511557117"/>
      <w:bookmarkStart w:id="508" w:name="_Toc482188644"/>
      <w:bookmarkStart w:id="509" w:name="_Toc5280"/>
      <w:r>
        <w:rPr>
          <w:rFonts w:hint="eastAsia" w:ascii="宋体" w:hAnsi="宋体" w:eastAsia="宋体" w:cs="宋体"/>
          <w:b w:val="0"/>
          <w:color w:val="auto"/>
          <w:sz w:val="28"/>
          <w:szCs w:val="28"/>
          <w:highlight w:val="none"/>
        </w:rPr>
        <w:t>五、委托人提供的便利条件</w:t>
      </w:r>
      <w:bookmarkEnd w:id="506"/>
      <w:bookmarkEnd w:id="507"/>
      <w:bookmarkEnd w:id="508"/>
      <w:bookmarkEnd w:id="50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委托人提供的生活条件：</w:t>
      </w:r>
      <w:r>
        <w:rPr>
          <w:rFonts w:hint="eastAsia" w:ascii="宋体" w:hAnsi="宋体" w:cs="宋体"/>
          <w:color w:val="auto"/>
          <w:sz w:val="24"/>
          <w:szCs w:val="24"/>
          <w:highlight w:val="none"/>
          <w:u w:val="single"/>
        </w:rPr>
        <w:t>根据项目实际情况需求提供；</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委托人提供的交通条件：</w:t>
      </w:r>
      <w:r>
        <w:rPr>
          <w:rFonts w:hint="eastAsia" w:ascii="宋体" w:hAnsi="宋体" w:cs="宋体"/>
          <w:color w:val="auto"/>
          <w:sz w:val="24"/>
          <w:szCs w:val="24"/>
          <w:highlight w:val="none"/>
          <w:u w:val="single"/>
        </w:rPr>
        <w:t>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委托人提供的网络、通讯条件：</w:t>
      </w:r>
      <w:r>
        <w:rPr>
          <w:rFonts w:hint="eastAsia" w:ascii="宋体" w:hAnsi="宋体" w:cs="宋体"/>
          <w:color w:val="auto"/>
          <w:sz w:val="24"/>
          <w:szCs w:val="24"/>
          <w:highlight w:val="none"/>
          <w:u w:val="single"/>
        </w:rPr>
        <w:t>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委托人提供的协助人员：</w:t>
      </w:r>
      <w:r>
        <w:rPr>
          <w:rFonts w:hint="eastAsia" w:ascii="宋体" w:hAnsi="宋体" w:cs="宋体"/>
          <w:color w:val="auto"/>
          <w:sz w:val="24"/>
          <w:szCs w:val="24"/>
          <w:highlight w:val="none"/>
          <w:u w:val="single"/>
        </w:rPr>
        <w:t>无</w:t>
      </w:r>
      <w:bookmarkStart w:id="510" w:name="_Toc482188645"/>
      <w:r>
        <w:rPr>
          <w:rFonts w:hint="eastAsia" w:ascii="宋体" w:hAnsi="宋体" w:cs="宋体"/>
          <w:color w:val="auto"/>
          <w:sz w:val="24"/>
          <w:szCs w:val="24"/>
          <w:highlight w:val="none"/>
        </w:rPr>
        <w:t>……</w:t>
      </w:r>
    </w:p>
    <w:p>
      <w:pPr>
        <w:pStyle w:val="4"/>
        <w:keepNext w:val="0"/>
        <w:keepLines w:val="0"/>
        <w:spacing w:line="240" w:lineRule="exact"/>
        <w:rPr>
          <w:rFonts w:hint="eastAsia" w:ascii="宋体" w:hAnsi="宋体" w:eastAsia="宋体" w:cs="宋体"/>
          <w:b w:val="0"/>
          <w:color w:val="auto"/>
          <w:sz w:val="28"/>
          <w:szCs w:val="28"/>
          <w:highlight w:val="none"/>
        </w:rPr>
      </w:pPr>
      <w:bookmarkStart w:id="511" w:name="_Toc527028528"/>
      <w:bookmarkStart w:id="512" w:name="_Toc4698"/>
      <w:bookmarkStart w:id="513" w:name="_Toc511557118"/>
      <w:r>
        <w:rPr>
          <w:rFonts w:hint="eastAsia" w:ascii="宋体" w:hAnsi="宋体" w:eastAsia="宋体" w:cs="宋体"/>
          <w:b w:val="0"/>
          <w:color w:val="auto"/>
          <w:sz w:val="28"/>
          <w:szCs w:val="28"/>
          <w:highlight w:val="none"/>
        </w:rPr>
        <w:t>六、监理人需要自备的工作条件</w:t>
      </w:r>
      <w:bookmarkEnd w:id="510"/>
      <w:bookmarkEnd w:id="511"/>
      <w:bookmarkEnd w:id="512"/>
      <w:bookmarkEnd w:id="513"/>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1. 监理人自备的工作手册： </w:t>
      </w:r>
      <w:r>
        <w:rPr>
          <w:rFonts w:hint="eastAsia" w:ascii="宋体" w:hAnsi="宋体" w:cs="宋体"/>
          <w:color w:val="auto"/>
          <w:sz w:val="24"/>
          <w:szCs w:val="24"/>
          <w:highlight w:val="none"/>
          <w:u w:val="single"/>
        </w:rPr>
        <w:t xml:space="preserve">             /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2. 监理人自备的办公设备： </w:t>
      </w:r>
      <w:r>
        <w:rPr>
          <w:rFonts w:hint="eastAsia" w:ascii="宋体" w:hAnsi="宋体" w:cs="宋体"/>
          <w:color w:val="auto"/>
          <w:sz w:val="24"/>
          <w:szCs w:val="24"/>
          <w:highlight w:val="none"/>
          <w:u w:val="single"/>
        </w:rPr>
        <w:t xml:space="preserve">             /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 监理人自备的交通工具： </w:t>
      </w:r>
      <w:r>
        <w:rPr>
          <w:rFonts w:hint="eastAsia" w:ascii="宋体" w:hAnsi="宋体" w:cs="宋体"/>
          <w:color w:val="auto"/>
          <w:sz w:val="24"/>
          <w:szCs w:val="24"/>
          <w:highlight w:val="none"/>
          <w:u w:val="single"/>
        </w:rPr>
        <w:t xml:space="preserve">             /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 监理人自备的现场办公设施： </w:t>
      </w:r>
      <w:r>
        <w:rPr>
          <w:rFonts w:hint="eastAsia" w:ascii="宋体" w:hAnsi="宋体" w:cs="宋体"/>
          <w:color w:val="auto"/>
          <w:sz w:val="24"/>
          <w:szCs w:val="24"/>
          <w:highlight w:val="none"/>
          <w:u w:val="single"/>
        </w:rPr>
        <w:t xml:space="preserve">             /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 监理人自备的安全设施： </w:t>
      </w:r>
      <w:r>
        <w:rPr>
          <w:rFonts w:hint="eastAsia" w:ascii="宋体" w:hAnsi="宋体" w:cs="宋体"/>
          <w:color w:val="auto"/>
          <w:sz w:val="24"/>
          <w:szCs w:val="24"/>
          <w:highlight w:val="none"/>
          <w:u w:val="single"/>
        </w:rPr>
        <w:t xml:space="preserve">             /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6. 监理人自备的试验检测仪器、设备、工具： </w:t>
      </w:r>
      <w:r>
        <w:rPr>
          <w:rFonts w:hint="eastAsia" w:ascii="宋体" w:hAnsi="宋体" w:cs="宋体"/>
          <w:color w:val="auto"/>
          <w:sz w:val="24"/>
          <w:szCs w:val="24"/>
          <w:highlight w:val="none"/>
          <w:u w:val="single"/>
        </w:rPr>
        <w:t xml:space="preserve">             /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监理人自备的试验用房、样品用房：</w:t>
      </w:r>
      <w:r>
        <w:rPr>
          <w:rFonts w:hint="eastAsia" w:ascii="宋体" w:hAnsi="宋体" w:cs="宋体"/>
          <w:color w:val="auto"/>
          <w:sz w:val="24"/>
          <w:szCs w:val="24"/>
          <w:highlight w:val="none"/>
          <w:u w:val="single"/>
        </w:rPr>
        <w:t xml:space="preserve">             /               </w:t>
      </w:r>
    </w:p>
    <w:p>
      <w:pPr>
        <w:pStyle w:val="4"/>
        <w:keepNext w:val="0"/>
        <w:keepLines w:val="0"/>
        <w:rPr>
          <w:rFonts w:hint="eastAsia" w:ascii="宋体" w:hAnsi="宋体" w:eastAsia="宋体" w:cs="宋体"/>
          <w:b w:val="0"/>
          <w:color w:val="auto"/>
          <w:sz w:val="28"/>
          <w:szCs w:val="28"/>
          <w:highlight w:val="none"/>
        </w:rPr>
      </w:pPr>
      <w:bookmarkStart w:id="514" w:name="_Toc511557119"/>
      <w:bookmarkStart w:id="515" w:name="_Toc16954"/>
      <w:bookmarkStart w:id="516" w:name="_Toc482188646"/>
      <w:bookmarkStart w:id="517" w:name="_Toc527028529"/>
      <w:r>
        <w:rPr>
          <w:rFonts w:hint="eastAsia" w:ascii="宋体" w:hAnsi="宋体" w:eastAsia="宋体" w:cs="宋体"/>
          <w:b w:val="0"/>
          <w:color w:val="auto"/>
          <w:sz w:val="28"/>
          <w:szCs w:val="28"/>
          <w:highlight w:val="none"/>
        </w:rPr>
        <w:t>七、委托人的其他要求</w:t>
      </w:r>
      <w:bookmarkEnd w:id="514"/>
      <w:bookmarkEnd w:id="515"/>
      <w:bookmarkEnd w:id="516"/>
      <w:bookmarkEnd w:id="51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委托人的其他要求：</w:t>
      </w:r>
      <w:r>
        <w:rPr>
          <w:rFonts w:hint="eastAsia" w:ascii="宋体" w:hAnsi="宋体" w:cs="宋体"/>
          <w:color w:val="auto"/>
          <w:sz w:val="24"/>
          <w:szCs w:val="24"/>
          <w:highlight w:val="none"/>
          <w:u w:val="single"/>
        </w:rPr>
        <w:t>其他要求详见按监理合同。</w:t>
      </w:r>
    </w:p>
    <w:p>
      <w:pPr>
        <w:pStyle w:val="16"/>
        <w:rPr>
          <w:rFonts w:hint="eastAsia" w:ascii="宋体" w:hAnsi="宋体" w:cs="宋体"/>
          <w:color w:val="auto"/>
          <w:highlight w:val="none"/>
        </w:rPr>
      </w:pPr>
      <w:r>
        <w:rPr>
          <w:rFonts w:hint="eastAsia" w:ascii="宋体" w:hAnsi="宋体" w:cs="宋体"/>
          <w:color w:val="auto"/>
          <w:sz w:val="21"/>
          <w:highlight w:val="none"/>
        </w:rPr>
        <w:br w:type="page"/>
      </w:r>
    </w:p>
    <w:p>
      <w:pPr>
        <w:pStyle w:val="3"/>
        <w:keepNext w:val="0"/>
        <w:keepLines w:val="0"/>
        <w:jc w:val="center"/>
        <w:rPr>
          <w:rFonts w:hint="eastAsia" w:ascii="宋体" w:hAnsi="宋体" w:cs="宋体"/>
          <w:color w:val="auto"/>
          <w:highlight w:val="none"/>
        </w:rPr>
      </w:pPr>
      <w:bookmarkStart w:id="518" w:name="_Toc13796"/>
      <w:r>
        <w:rPr>
          <w:rFonts w:hint="eastAsia" w:ascii="宋体" w:hAnsi="宋体" w:cs="宋体"/>
          <w:color w:val="auto"/>
          <w:highlight w:val="none"/>
        </w:rPr>
        <w:t>第三卷</w:t>
      </w:r>
      <w:bookmarkEnd w:id="518"/>
    </w:p>
    <w:p>
      <w:pPr>
        <w:rPr>
          <w:rFonts w:hint="eastAsia" w:ascii="宋体" w:hAnsi="宋体" w:cs="宋体"/>
          <w:color w:val="auto"/>
          <w:highlight w:val="none"/>
        </w:rPr>
      </w:pPr>
    </w:p>
    <w:p>
      <w:pPr>
        <w:spacing w:line="400" w:lineRule="exact"/>
        <w:jc w:val="center"/>
        <w:rPr>
          <w:rFonts w:hint="eastAsia" w:ascii="宋体" w:hAnsi="宋体" w:cs="宋体"/>
          <w:color w:val="auto"/>
          <w:highlight w:val="none"/>
        </w:rPr>
      </w:pPr>
    </w:p>
    <w:p>
      <w:pPr>
        <w:pStyle w:val="3"/>
        <w:keepNext w:val="0"/>
        <w:keepLines w:val="0"/>
        <w:jc w:val="center"/>
        <w:rPr>
          <w:rFonts w:hint="eastAsia" w:ascii="宋体" w:hAnsi="宋体" w:cs="宋体"/>
          <w:color w:val="auto"/>
          <w:highlight w:val="none"/>
        </w:rPr>
      </w:pPr>
      <w:bookmarkStart w:id="519" w:name="_Toc5560"/>
      <w:r>
        <w:rPr>
          <w:rFonts w:hint="eastAsia" w:ascii="宋体" w:hAnsi="宋体" w:cs="宋体"/>
          <w:color w:val="auto"/>
          <w:highlight w:val="none"/>
        </w:rPr>
        <w:t>第六章 投标文件格式</w:t>
      </w:r>
      <w:bookmarkEnd w:id="519"/>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br w:type="page"/>
      </w:r>
    </w:p>
    <w:p>
      <w:pPr>
        <w:autoSpaceDE w:val="0"/>
        <w:autoSpaceDN w:val="0"/>
        <w:adjustRightInd w:val="0"/>
        <w:jc w:val="center"/>
        <w:rPr>
          <w:rFonts w:hint="eastAsia" w:ascii="宋体" w:hAnsi="宋体" w:cs="宋体"/>
          <w:color w:val="auto"/>
          <w:highlight w:val="none"/>
        </w:rPr>
      </w:pPr>
    </w:p>
    <w:p>
      <w:pPr>
        <w:autoSpaceDE w:val="0"/>
        <w:autoSpaceDN w:val="0"/>
        <w:adjustRightIn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增城国家级开发区仙村园区西福河堤防达标整治（仙村园区段）及环园路建设工程（市政部分）</w:t>
      </w:r>
    </w:p>
    <w:p>
      <w:pPr>
        <w:autoSpaceDE w:val="0"/>
        <w:autoSpaceDN w:val="0"/>
        <w:adjustRightIn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施工监理</w:t>
      </w:r>
    </w:p>
    <w:p>
      <w:pPr>
        <w:spacing w:line="400" w:lineRule="exact"/>
        <w:rPr>
          <w:rFonts w:hint="eastAsia" w:ascii="宋体" w:hAnsi="宋体" w:cs="宋体"/>
          <w:color w:val="auto"/>
          <w:highlight w:val="none"/>
        </w:rPr>
      </w:pPr>
    </w:p>
    <w:p>
      <w:pPr>
        <w:autoSpaceDE w:val="0"/>
        <w:autoSpaceDN w:val="0"/>
        <w:adjustRightInd w:val="0"/>
        <w:jc w:val="center"/>
        <w:rPr>
          <w:rFonts w:hint="eastAsia" w:ascii="宋体" w:hAnsi="宋体" w:cs="宋体"/>
          <w:b/>
          <w:color w:val="auto"/>
          <w:sz w:val="44"/>
          <w:szCs w:val="44"/>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投 标 文 件</w:t>
      </w:r>
    </w:p>
    <w:p>
      <w:pPr>
        <w:jc w:val="center"/>
        <w:rPr>
          <w:rFonts w:hint="eastAsia" w:ascii="宋体" w:hAnsi="宋体" w:cs="宋体"/>
          <w:color w:val="auto"/>
          <w:sz w:val="44"/>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pStyle w:val="16"/>
        <w:rPr>
          <w:rFonts w:hint="eastAsia"/>
          <w:color w:val="auto"/>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spacing w:line="360" w:lineRule="auto"/>
        <w:rPr>
          <w:rFonts w:hint="eastAsia" w:ascii="宋体" w:hAnsi="宋体" w:cs="宋体"/>
          <w:color w:val="auto"/>
          <w:sz w:val="28"/>
          <w:highlight w:val="none"/>
        </w:rPr>
      </w:pPr>
    </w:p>
    <w:p>
      <w:pPr>
        <w:spacing w:line="360" w:lineRule="auto"/>
        <w:ind w:firstLine="1120" w:firstLineChars="400"/>
        <w:rPr>
          <w:rFonts w:hint="eastAsia" w:ascii="宋体" w:hAnsi="宋体" w:cs="宋体"/>
          <w:color w:val="auto"/>
          <w:sz w:val="28"/>
          <w:highlight w:val="none"/>
          <w:u w:val="single"/>
        </w:rPr>
      </w:pPr>
      <w:r>
        <w:rPr>
          <w:rFonts w:hint="eastAsia" w:ascii="宋体" w:hAnsi="宋体" w:cs="宋体"/>
          <w:color w:val="auto"/>
          <w:sz w:val="28"/>
          <w:highlight w:val="none"/>
        </w:rPr>
        <w:t>投标人：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pPr>
        <w:spacing w:line="360" w:lineRule="auto"/>
        <w:ind w:firstLine="1120" w:firstLineChars="400"/>
        <w:jc w:val="left"/>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rPr>
        <w:t>（签字）</w:t>
      </w:r>
    </w:p>
    <w:p>
      <w:pPr>
        <w:jc w:val="center"/>
        <w:rPr>
          <w:rFonts w:hint="eastAsia" w:ascii="宋体" w:hAnsi="宋体" w:cs="宋体"/>
          <w:color w:val="auto"/>
          <w:sz w:val="28"/>
          <w:highlight w:val="none"/>
        </w:rPr>
      </w:pPr>
    </w:p>
    <w:p>
      <w:pPr>
        <w:spacing w:line="400" w:lineRule="exact"/>
        <w:jc w:val="center"/>
        <w:rPr>
          <w:rFonts w:hint="eastAsia" w:ascii="宋体" w:hAnsi="宋体" w:cs="宋体"/>
          <w:color w:val="auto"/>
          <w:sz w:val="28"/>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p>
    <w:p>
      <w:pPr>
        <w:pStyle w:val="4"/>
        <w:keepNext w:val="0"/>
        <w:keepLines w:val="0"/>
        <w:jc w:val="center"/>
        <w:rPr>
          <w:rFonts w:hint="eastAsia" w:ascii="宋体" w:hAnsi="宋体" w:eastAsia="宋体" w:cs="宋体"/>
          <w:color w:val="auto"/>
          <w:highlight w:val="none"/>
        </w:rPr>
      </w:pPr>
    </w:p>
    <w:p>
      <w:pPr>
        <w:pStyle w:val="4"/>
        <w:keepNext w:val="0"/>
        <w:keepLines w:val="0"/>
        <w:jc w:val="center"/>
        <w:rPr>
          <w:rFonts w:hint="eastAsia" w:ascii="宋体" w:hAnsi="宋体" w:eastAsia="宋体" w:cs="宋体"/>
          <w:color w:val="auto"/>
          <w:highlight w:val="none"/>
        </w:rPr>
      </w:pPr>
      <w:bookmarkStart w:id="520" w:name="_Toc14258"/>
      <w:r>
        <w:rPr>
          <w:rFonts w:hint="eastAsia" w:ascii="宋体" w:hAnsi="宋体" w:eastAsia="宋体" w:cs="宋体"/>
          <w:color w:val="auto"/>
          <w:highlight w:val="none"/>
        </w:rPr>
        <w:br w:type="page"/>
      </w:r>
      <w:r>
        <w:rPr>
          <w:rFonts w:hint="eastAsia" w:ascii="宋体" w:hAnsi="宋体" w:eastAsia="宋体" w:cs="宋体"/>
          <w:color w:val="auto"/>
          <w:highlight w:val="none"/>
        </w:rPr>
        <w:t>目   录</w:t>
      </w:r>
      <w:bookmarkEnd w:id="520"/>
    </w:p>
    <w:p>
      <w:pPr>
        <w:spacing w:line="540" w:lineRule="exact"/>
        <w:rPr>
          <w:rFonts w:hint="eastAsia" w:ascii="宋体" w:hAnsi="宋体" w:cs="宋体"/>
          <w:color w:val="auto"/>
          <w:highlight w:val="none"/>
        </w:rPr>
      </w:pPr>
      <w:r>
        <w:rPr>
          <w:rFonts w:hint="eastAsia" w:ascii="宋体" w:hAnsi="宋体" w:cs="宋体"/>
          <w:color w:val="auto"/>
          <w:highlight w:val="none"/>
        </w:rPr>
        <w:t>一、投标函及投标函附录</w:t>
      </w:r>
    </w:p>
    <w:p>
      <w:pPr>
        <w:spacing w:line="540" w:lineRule="exact"/>
        <w:rPr>
          <w:rFonts w:hint="eastAsia" w:ascii="宋体" w:hAnsi="宋体" w:cs="宋体"/>
          <w:color w:val="auto"/>
          <w:highlight w:val="none"/>
        </w:rPr>
      </w:pPr>
      <w:r>
        <w:rPr>
          <w:rFonts w:hint="eastAsia" w:ascii="宋体" w:hAnsi="宋体" w:cs="宋体"/>
          <w:color w:val="auto"/>
          <w:highlight w:val="none"/>
        </w:rPr>
        <w:t>二、法定代表人身份证明</w:t>
      </w:r>
    </w:p>
    <w:p>
      <w:pPr>
        <w:spacing w:line="540" w:lineRule="exact"/>
        <w:rPr>
          <w:rFonts w:hint="eastAsia" w:ascii="宋体" w:hAnsi="宋体" w:cs="宋体"/>
          <w:color w:val="auto"/>
          <w:highlight w:val="none"/>
        </w:rPr>
      </w:pPr>
      <w:r>
        <w:rPr>
          <w:rFonts w:hint="eastAsia" w:ascii="宋体" w:hAnsi="宋体" w:cs="宋体"/>
          <w:color w:val="auto"/>
          <w:highlight w:val="none"/>
        </w:rPr>
        <w:t>三、授权委托书（适用于有委托代理人的情况）</w:t>
      </w:r>
    </w:p>
    <w:p>
      <w:pPr>
        <w:spacing w:line="540" w:lineRule="exact"/>
        <w:rPr>
          <w:rFonts w:hint="eastAsia" w:ascii="宋体" w:hAnsi="宋体" w:cs="宋体"/>
          <w:strike/>
          <w:color w:val="auto"/>
          <w:highlight w:val="none"/>
        </w:rPr>
      </w:pPr>
      <w:bookmarkStart w:id="521" w:name="_Toc11582_WPSOffice_Level1"/>
      <w:bookmarkStart w:id="522" w:name="_Toc7039"/>
      <w:bookmarkStart w:id="523" w:name="_Toc352691655"/>
      <w:bookmarkStart w:id="524" w:name="_Toc369531691"/>
      <w:r>
        <w:rPr>
          <w:rFonts w:hint="eastAsia" w:ascii="宋体" w:hAnsi="宋体" w:cs="宋体"/>
          <w:strike/>
          <w:color w:val="auto"/>
          <w:highlight w:val="none"/>
        </w:rPr>
        <w:t>四、投标保证金</w:t>
      </w:r>
      <w:bookmarkEnd w:id="521"/>
    </w:p>
    <w:p>
      <w:pPr>
        <w:spacing w:line="540" w:lineRule="exact"/>
        <w:rPr>
          <w:rFonts w:hint="eastAsia" w:ascii="宋体" w:hAnsi="宋体" w:cs="宋体"/>
          <w:color w:val="auto"/>
          <w:highlight w:val="none"/>
        </w:rPr>
      </w:pPr>
      <w:bookmarkStart w:id="525" w:name="_Toc31872_WPSOffice_Level1"/>
      <w:r>
        <w:rPr>
          <w:rFonts w:hint="eastAsia" w:ascii="宋体" w:hAnsi="宋体" w:cs="宋体"/>
          <w:color w:val="auto"/>
          <w:highlight w:val="none"/>
        </w:rPr>
        <w:t>五、资格审查资料</w:t>
      </w:r>
      <w:bookmarkEnd w:id="525"/>
    </w:p>
    <w:p>
      <w:pPr>
        <w:spacing w:line="540" w:lineRule="exact"/>
        <w:rPr>
          <w:rFonts w:hint="eastAsia" w:ascii="宋体" w:hAnsi="宋体" w:cs="宋体"/>
          <w:color w:val="auto"/>
          <w:highlight w:val="none"/>
        </w:rPr>
      </w:pPr>
      <w:bookmarkStart w:id="526" w:name="_Toc26650_WPSOffice_Level1"/>
      <w:r>
        <w:rPr>
          <w:rFonts w:hint="eastAsia" w:ascii="宋体" w:hAnsi="宋体" w:cs="宋体"/>
          <w:color w:val="auto"/>
          <w:highlight w:val="none"/>
        </w:rPr>
        <w:t>六、监理大纲</w:t>
      </w:r>
      <w:bookmarkEnd w:id="526"/>
    </w:p>
    <w:p>
      <w:pPr>
        <w:spacing w:line="540" w:lineRule="exact"/>
        <w:rPr>
          <w:rFonts w:hint="eastAsia" w:ascii="宋体" w:hAnsi="宋体" w:cs="宋体"/>
          <w:color w:val="auto"/>
          <w:highlight w:val="none"/>
        </w:rPr>
      </w:pPr>
      <w:bookmarkStart w:id="527" w:name="_Toc976_WPSOffice_Level1"/>
      <w:r>
        <w:rPr>
          <w:rFonts w:hint="eastAsia" w:ascii="宋体" w:hAnsi="宋体" w:cs="宋体"/>
          <w:color w:val="auto"/>
          <w:highlight w:val="none"/>
        </w:rPr>
        <w:t>七、其他资料</w:t>
      </w:r>
      <w:bookmarkEnd w:id="527"/>
    </w:p>
    <w:p>
      <w:pPr>
        <w:spacing w:line="540" w:lineRule="exact"/>
        <w:rPr>
          <w:rFonts w:hint="eastAsia" w:ascii="宋体" w:hAnsi="宋体" w:cs="宋体"/>
          <w:color w:val="auto"/>
          <w:sz w:val="20"/>
          <w:highlight w:val="none"/>
        </w:rPr>
      </w:pPr>
    </w:p>
    <w:p>
      <w:pPr>
        <w:spacing w:line="540" w:lineRule="exact"/>
        <w:rPr>
          <w:rFonts w:hint="eastAsia" w:ascii="宋体" w:hAnsi="宋体" w:cs="宋体"/>
          <w:color w:val="auto"/>
          <w:sz w:val="20"/>
          <w:highlight w:val="none"/>
        </w:rPr>
      </w:pPr>
    </w:p>
    <w:p>
      <w:pPr>
        <w:spacing w:line="540" w:lineRule="exact"/>
        <w:rPr>
          <w:rFonts w:hint="eastAsia" w:ascii="宋体" w:hAnsi="宋体" w:cs="宋体"/>
          <w:color w:val="auto"/>
          <w:sz w:val="20"/>
          <w:highlight w:val="none"/>
        </w:rPr>
      </w:pPr>
    </w:p>
    <w:bookmarkEnd w:id="522"/>
    <w:bookmarkEnd w:id="523"/>
    <w:bookmarkEnd w:id="524"/>
    <w:p>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28" w:name="_Toc30612"/>
      <w:r>
        <w:rPr>
          <w:rFonts w:hint="eastAsia" w:ascii="宋体" w:hAnsi="宋体" w:eastAsia="宋体" w:cs="宋体"/>
          <w:color w:val="auto"/>
          <w:highlight w:val="none"/>
        </w:rPr>
        <w:t>一、投标</w:t>
      </w:r>
      <w:bookmarkStart w:id="529" w:name="_Toc6931"/>
      <w:bookmarkStart w:id="530" w:name="_Toc369531692"/>
      <w:bookmarkStart w:id="531" w:name="_Toc352691656"/>
      <w:r>
        <w:rPr>
          <w:rFonts w:hint="eastAsia" w:ascii="宋体" w:hAnsi="宋体" w:eastAsia="宋体" w:cs="宋体"/>
          <w:color w:val="auto"/>
          <w:highlight w:val="none"/>
        </w:rPr>
        <w:t>函及投标函附录</w:t>
      </w:r>
      <w:bookmarkEnd w:id="528"/>
    </w:p>
    <w:bookmarkEnd w:id="529"/>
    <w:bookmarkEnd w:id="530"/>
    <w:bookmarkEnd w:id="531"/>
    <w:p>
      <w:pPr>
        <w:pStyle w:val="5"/>
        <w:keepNext w:val="0"/>
        <w:keepLines w:val="0"/>
        <w:spacing w:before="0" w:after="0"/>
        <w:ind w:firstLine="137"/>
        <w:jc w:val="center"/>
        <w:rPr>
          <w:rFonts w:hint="eastAsia" w:ascii="宋体" w:hAnsi="宋体" w:eastAsia="宋体" w:cs="宋体"/>
          <w:color w:val="auto"/>
          <w:highlight w:val="none"/>
        </w:rPr>
      </w:pPr>
      <w:bookmarkStart w:id="532" w:name="_Toc482188651"/>
      <w:bookmarkStart w:id="533" w:name="_Toc385943065"/>
      <w:bookmarkStart w:id="534" w:name="_Toc370676426"/>
      <w:bookmarkStart w:id="535" w:name="_Toc359594235"/>
      <w:bookmarkStart w:id="536" w:name="_Toc391394111"/>
      <w:bookmarkStart w:id="537" w:name="_Toc18410"/>
      <w:r>
        <w:rPr>
          <w:rFonts w:hint="eastAsia" w:ascii="宋体" w:hAnsi="宋体" w:eastAsia="宋体" w:cs="宋体"/>
          <w:color w:val="auto"/>
          <w:highlight w:val="none"/>
        </w:rPr>
        <w:t>（一）投标函</w:t>
      </w:r>
      <w:bookmarkEnd w:id="532"/>
      <w:bookmarkEnd w:id="533"/>
      <w:bookmarkEnd w:id="534"/>
      <w:bookmarkEnd w:id="535"/>
      <w:bookmarkEnd w:id="536"/>
      <w:bookmarkEnd w:id="537"/>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（招标人名称）：</w:t>
      </w:r>
    </w:p>
    <w:p>
      <w:pPr>
        <w:spacing w:line="380" w:lineRule="exact"/>
        <w:ind w:firstLine="405"/>
        <w:jc w:val="left"/>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增城国家级开发区仙村园区西福河堤防达标整治（仙村园区段）及环园路建设工程（市政部分）施工监理</w:t>
      </w:r>
      <w:r>
        <w:rPr>
          <w:rFonts w:hint="eastAsia" w:ascii="宋体" w:hAnsi="宋体" w:cs="宋体"/>
          <w:color w:val="auto"/>
          <w:szCs w:val="21"/>
          <w:highlight w:val="none"/>
        </w:rPr>
        <w:t>招标项目招标文件的全部内容，愿意以人民币</w:t>
      </w:r>
      <w:r>
        <w:rPr>
          <w:rFonts w:hint="eastAsia" w:ascii="宋体" w:hAnsi="宋体" w:cs="宋体"/>
          <w:color w:val="auto"/>
          <w:szCs w:val="21"/>
          <w:highlight w:val="none"/>
          <w:u w:val="single"/>
        </w:rPr>
        <w:t xml:space="preserve">       （大写）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元）（投标下浮率为：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）的投标总报价（其中，增值税税率为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），监理服务期限：</w:t>
      </w:r>
      <w:r>
        <w:rPr>
          <w:rFonts w:hint="eastAsia" w:ascii="宋体" w:hAnsi="宋体" w:cs="宋体"/>
          <w:color w:val="auto"/>
          <w:szCs w:val="21"/>
          <w:highlight w:val="none"/>
          <w:u w:val="single"/>
        </w:rPr>
        <w:t>按招标文件要求</w:t>
      </w:r>
      <w:r>
        <w:rPr>
          <w:rFonts w:hint="eastAsia" w:ascii="宋体" w:hAnsi="宋体" w:cs="宋体"/>
          <w:color w:val="auto"/>
          <w:szCs w:val="21"/>
          <w:highlight w:val="none"/>
        </w:rPr>
        <w:t>，按合同约定完成监理工作。</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我方的投标文件包括下列内容：</w:t>
      </w:r>
    </w:p>
    <w:p>
      <w:pPr>
        <w:snapToGrid w:val="0"/>
        <w:spacing w:line="38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color w:val="auto"/>
          <w:highlight w:val="none"/>
        </w:rPr>
        <w:t>及投标函附录</w:t>
      </w:r>
      <w:r>
        <w:rPr>
          <w:rFonts w:hint="eastAsia" w:ascii="宋体" w:hAnsi="宋体" w:cs="宋体"/>
          <w:color w:val="auto"/>
          <w:szCs w:val="21"/>
          <w:highlight w:val="none"/>
        </w:rPr>
        <w:t>；</w:t>
      </w:r>
    </w:p>
    <w:p>
      <w:pPr>
        <w:snapToGrid w:val="0"/>
        <w:spacing w:line="38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（2）法定代表人身份证明</w:t>
      </w:r>
    </w:p>
    <w:p>
      <w:pPr>
        <w:snapToGrid w:val="0"/>
        <w:spacing w:line="38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（3）授权委托书</w:t>
      </w:r>
      <w:r>
        <w:rPr>
          <w:rFonts w:hint="eastAsia" w:ascii="宋体" w:hAnsi="宋体" w:cs="宋体"/>
          <w:color w:val="auto"/>
          <w:highlight w:val="none"/>
        </w:rPr>
        <w:t>（适用于有委托代理人的情况）</w:t>
      </w:r>
      <w:r>
        <w:rPr>
          <w:rFonts w:hint="eastAsia" w:ascii="宋体" w:hAnsi="宋体" w:cs="宋体"/>
          <w:color w:val="auto"/>
          <w:szCs w:val="21"/>
          <w:highlight w:val="none"/>
        </w:rPr>
        <w:t>；</w:t>
      </w:r>
    </w:p>
    <w:p>
      <w:pPr>
        <w:snapToGrid w:val="0"/>
        <w:spacing w:line="380" w:lineRule="exact"/>
        <w:ind w:firstLine="405"/>
        <w:rPr>
          <w:rFonts w:hint="eastAsia" w:ascii="宋体" w:hAnsi="宋体" w:cs="宋体"/>
          <w:strike/>
          <w:color w:val="auto"/>
          <w:szCs w:val="21"/>
          <w:highlight w:val="none"/>
        </w:rPr>
      </w:pPr>
      <w:r>
        <w:rPr>
          <w:rFonts w:hint="eastAsia" w:ascii="宋体" w:hAnsi="宋体" w:cs="宋体"/>
          <w:strike/>
          <w:color w:val="auto"/>
          <w:szCs w:val="21"/>
          <w:highlight w:val="none"/>
        </w:rPr>
        <w:t>（4）投标保证金；</w:t>
      </w:r>
    </w:p>
    <w:p>
      <w:pPr>
        <w:snapToGrid w:val="0"/>
        <w:spacing w:line="38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（5）资格审查资料；</w:t>
      </w:r>
    </w:p>
    <w:p>
      <w:pPr>
        <w:snapToGrid w:val="0"/>
        <w:spacing w:line="38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（6）监理大纲；</w:t>
      </w:r>
    </w:p>
    <w:p>
      <w:pPr>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（7）其他资料。</w:t>
      </w:r>
    </w:p>
    <w:p>
      <w:pPr>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投标文件的上述组成部分如存在内容不一致的，以投标函为准。</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3．我方承诺在招标文件规定的投标有效期内不撤销投标文件。</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pPr>
        <w:spacing w:line="38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（1）在收到中标通知书后，在</w:t>
      </w:r>
      <w:r>
        <w:rPr>
          <w:rFonts w:hint="eastAsia" w:ascii="宋体" w:hAnsi="宋体" w:cs="宋体"/>
          <w:strike/>
          <w:color w:val="auto"/>
          <w:szCs w:val="21"/>
          <w:highlight w:val="none"/>
        </w:rPr>
        <w:t>中标通知书</w:t>
      </w:r>
      <w:r>
        <w:rPr>
          <w:rFonts w:hint="eastAsia" w:ascii="宋体" w:hAnsi="宋体" w:cs="宋体"/>
          <w:color w:val="auto"/>
          <w:szCs w:val="21"/>
          <w:highlight w:val="none"/>
        </w:rPr>
        <w:t>规定的期限内与你方签订合同；</w:t>
      </w:r>
    </w:p>
    <w:p>
      <w:pPr>
        <w:spacing w:line="38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spacing w:line="380" w:lineRule="exact"/>
        <w:ind w:left="945" w:leftChars="400" w:hanging="105" w:hangingChars="50"/>
        <w:rPr>
          <w:rFonts w:hint="eastAsia" w:ascii="宋体" w:hAnsi="宋体" w:cs="宋体"/>
          <w:strike/>
          <w:color w:val="auto"/>
          <w:szCs w:val="21"/>
          <w:highlight w:val="none"/>
        </w:rPr>
      </w:pPr>
      <w:r>
        <w:rPr>
          <w:rFonts w:hint="eastAsia" w:ascii="宋体" w:hAnsi="宋体" w:cs="宋体"/>
          <w:strike/>
          <w:color w:val="auto"/>
          <w:szCs w:val="21"/>
          <w:highlight w:val="none"/>
        </w:rPr>
        <w:t>（3）按照招标文件要求提交履约保证金；</w:t>
      </w:r>
      <w:bookmarkStart w:id="538" w:name="_Toc352691658"/>
      <w:bookmarkStart w:id="539" w:name="_Toc1187"/>
      <w:bookmarkStart w:id="540" w:name="_Toc369531694"/>
    </w:p>
    <w:p>
      <w:pPr>
        <w:spacing w:line="38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（4）在合</w:t>
      </w:r>
      <w:bookmarkEnd w:id="538"/>
      <w:bookmarkEnd w:id="539"/>
      <w:bookmarkEnd w:id="540"/>
      <w:r>
        <w:rPr>
          <w:rFonts w:hint="eastAsia" w:ascii="宋体" w:hAnsi="宋体" w:cs="宋体"/>
          <w:color w:val="auto"/>
          <w:szCs w:val="21"/>
          <w:highlight w:val="none"/>
        </w:rPr>
        <w:t>同约定的期限内完成合同规定的全部义务。</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5．我方在此声明，所递交的投标文件及有关资料内容完整、真实和准确，且不存在第二章“投标人须知”第1.4.3项规定的任何一种情形。</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（其他补充说明）。</w:t>
      </w:r>
      <w:bookmarkEnd w:id="462"/>
      <w:bookmarkEnd w:id="463"/>
      <w:bookmarkEnd w:id="464"/>
      <w:bookmarkEnd w:id="465"/>
      <w:bookmarkEnd w:id="466"/>
      <w:bookmarkEnd w:id="467"/>
      <w:bookmarkEnd w:id="468"/>
      <w:bookmarkEnd w:id="469"/>
      <w:bookmarkEnd w:id="470"/>
      <w:bookmarkStart w:id="541" w:name="_Toc369531696"/>
      <w:bookmarkEnd w:id="541"/>
      <w:bookmarkStart w:id="542" w:name="_Toc352691660"/>
      <w:bookmarkEnd w:id="542"/>
      <w:bookmarkStart w:id="543" w:name="_Toc16824"/>
      <w:bookmarkEnd w:id="543"/>
      <w:bookmarkStart w:id="544" w:name="_Toc16568"/>
      <w:bookmarkEnd w:id="544"/>
      <w:bookmarkStart w:id="545" w:name="_Toc369531695"/>
      <w:bookmarkEnd w:id="545"/>
      <w:bookmarkStart w:id="546" w:name="_Toc352691659"/>
      <w:bookmarkEnd w:id="546"/>
    </w:p>
    <w:p>
      <w:pPr>
        <w:spacing w:line="38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w:t>
      </w:r>
    </w:p>
    <w:p>
      <w:pPr>
        <w:spacing w:line="380" w:lineRule="exact"/>
        <w:jc w:val="left"/>
        <w:rPr>
          <w:rFonts w:hint="eastAsia" w:ascii="宋体" w:hAnsi="宋体" w:cs="宋体"/>
          <w:color w:val="auto"/>
          <w:szCs w:val="21"/>
          <w:highlight w:val="none"/>
        </w:rPr>
      </w:pPr>
      <w:r>
        <w:rPr>
          <w:rFonts w:hint="eastAsia" w:ascii="宋体" w:hAnsi="宋体" w:cs="宋体"/>
          <w:color w:val="auto"/>
          <w:highlight w:val="none"/>
        </w:rPr>
        <w:t xml:space="preserve">                        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pPr>
        <w:spacing w:line="38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spacing w:line="38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网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8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8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8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80" w:lineRule="exact"/>
        <w:ind w:firstLine="4725" w:firstLineChars="2250"/>
        <w:jc w:val="right"/>
        <w:rPr>
          <w:rFonts w:hint="eastAsia" w:ascii="宋体" w:hAnsi="宋体" w:cs="宋体"/>
          <w:color w:val="auto"/>
          <w:szCs w:val="21"/>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w:t>
      </w:r>
      <w:bookmarkStart w:id="547" w:name="_Toc247527827"/>
      <w:bookmarkStart w:id="548" w:name="_Toc369531697"/>
      <w:bookmarkStart w:id="549" w:name="_Toc152042576"/>
      <w:bookmarkStart w:id="550" w:name="_Toc300835209"/>
      <w:bookmarkStart w:id="551" w:name="_Toc17960"/>
      <w:bookmarkStart w:id="552" w:name="_Toc361508752"/>
      <w:bookmarkStart w:id="553" w:name="_Toc144974856"/>
      <w:bookmarkStart w:id="554" w:name="_Toc384308375"/>
      <w:bookmarkStart w:id="555" w:name="_Toc352691661"/>
      <w:bookmarkStart w:id="556" w:name="_Toc247514246"/>
      <w:bookmarkStart w:id="557" w:name="_Toc152045787"/>
    </w:p>
    <w:p>
      <w:pPr>
        <w:pStyle w:val="16"/>
        <w:rPr>
          <w:rFonts w:hint="eastAsia"/>
          <w:color w:val="auto"/>
          <w:highlight w:val="none"/>
        </w:rPr>
      </w:pPr>
      <w:r>
        <w:rPr>
          <w:rFonts w:hint="eastAsia"/>
          <w:color w:val="auto"/>
          <w:highlight w:val="none"/>
        </w:rPr>
        <w:br w:type="page"/>
      </w:r>
    </w:p>
    <w:p>
      <w:pPr>
        <w:pStyle w:val="5"/>
        <w:keepNext w:val="0"/>
        <w:keepLines w:val="0"/>
        <w:ind w:firstLine="137"/>
        <w:jc w:val="center"/>
        <w:rPr>
          <w:rFonts w:hint="eastAsia" w:ascii="宋体" w:hAnsi="宋体" w:eastAsia="宋体" w:cs="宋体"/>
          <w:color w:val="auto"/>
          <w:highlight w:val="none"/>
        </w:rPr>
      </w:pPr>
      <w:bookmarkStart w:id="558" w:name="_Toc25253"/>
      <w:bookmarkStart w:id="559" w:name="_Toc385943066"/>
      <w:bookmarkStart w:id="560" w:name="_Toc482188652"/>
      <w:bookmarkStart w:id="561" w:name="_Toc370676427"/>
      <w:bookmarkStart w:id="562" w:name="_Toc359594236"/>
      <w:bookmarkStart w:id="563" w:name="_Toc391394112"/>
      <w:r>
        <w:rPr>
          <w:rFonts w:hint="eastAsia" w:ascii="宋体" w:hAnsi="宋体" w:eastAsia="宋体" w:cs="宋体"/>
          <w:color w:val="auto"/>
          <w:highlight w:val="none"/>
        </w:rPr>
        <w:t>（二）投标函附录</w:t>
      </w:r>
      <w:bookmarkEnd w:id="558"/>
      <w:bookmarkEnd w:id="559"/>
      <w:bookmarkEnd w:id="560"/>
      <w:bookmarkEnd w:id="561"/>
      <w:bookmarkEnd w:id="562"/>
      <w:bookmarkEnd w:id="563"/>
    </w:p>
    <w:tbl>
      <w:tblPr>
        <w:tblStyle w:val="24"/>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92"/>
        <w:gridCol w:w="1317"/>
        <w:gridCol w:w="363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合同条款号</w:t>
            </w:r>
          </w:p>
        </w:tc>
        <w:tc>
          <w:tcPr>
            <w:tcW w:w="3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约定内容</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1</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总监理工程师</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 xml:space="preserve">姓名： </w:t>
            </w:r>
          </w:p>
          <w:p>
            <w:pPr>
              <w:jc w:val="left"/>
              <w:rPr>
                <w:rFonts w:hint="eastAsia" w:ascii="宋体" w:hAnsi="宋体" w:cs="宋体"/>
                <w:b/>
                <w:color w:val="auto"/>
                <w:highlight w:val="none"/>
              </w:rPr>
            </w:pPr>
            <w:r>
              <w:rPr>
                <w:rFonts w:hint="eastAsia" w:ascii="宋体" w:hAnsi="宋体" w:cs="宋体"/>
                <w:b/>
                <w:color w:val="auto"/>
                <w:highlight w:val="none"/>
              </w:rPr>
              <w:t>技术职称：</w:t>
            </w:r>
          </w:p>
          <w:p>
            <w:pPr>
              <w:jc w:val="left"/>
              <w:rPr>
                <w:rFonts w:hint="eastAsia" w:ascii="宋体" w:hAnsi="宋体" w:cs="宋体"/>
                <w:b/>
                <w:color w:val="auto"/>
                <w:highlight w:val="none"/>
              </w:rPr>
            </w:pPr>
            <w:r>
              <w:rPr>
                <w:rFonts w:hint="eastAsia" w:ascii="宋体" w:hAnsi="宋体" w:cs="宋体"/>
                <w:b/>
                <w:color w:val="auto"/>
                <w:highlight w:val="none"/>
              </w:rPr>
              <w:t>证书编号：</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2</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监理服务期限</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3</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投标内容</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4</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质量标准</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5</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投标总报价（监理报价）</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监理报价（元）：</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6</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投标下浮率</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pacing w:val="-16"/>
                <w:sz w:val="24"/>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投标下浮率：</w:t>
            </w:r>
            <w:r>
              <w:rPr>
                <w:rFonts w:hint="eastAsia" w:ascii="宋体" w:hAnsi="宋体" w:cs="宋体"/>
                <w:b/>
                <w:color w:val="auto"/>
                <w:highlight w:val="none"/>
                <w:u w:val="single"/>
              </w:rPr>
              <w:t xml:space="preserve">     %</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7</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r>
              <w:rPr>
                <w:rFonts w:hint="eastAsia" w:ascii="宋体" w:hAnsi="宋体" w:cs="宋体"/>
                <w:b/>
                <w:color w:val="auto"/>
                <w:highlight w:val="none"/>
              </w:rPr>
              <w:t>投标有效期</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pacing w:val="-16"/>
                <w:sz w:val="24"/>
                <w:highlight w:val="none"/>
              </w:rPr>
            </w:pPr>
            <w:r>
              <w:rPr>
                <w:rFonts w:hint="eastAsia" w:ascii="宋体" w:hAnsi="宋体" w:cs="宋体"/>
                <w:color w:val="auto"/>
                <w:spacing w:val="-16"/>
                <w:sz w:val="24"/>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color w:val="auto"/>
                <w:highlight w:val="none"/>
              </w:rPr>
            </w:pPr>
            <w:r>
              <w:rPr>
                <w:rFonts w:hint="eastAsia" w:ascii="宋体" w:hAnsi="宋体" w:cs="宋体"/>
                <w:b/>
                <w:color w:val="auto"/>
                <w:highlight w:val="none"/>
              </w:rPr>
              <w:t>90日历天（从投标截止之日算起）</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highlight w:val="none"/>
              </w:rPr>
            </w:pPr>
          </w:p>
        </w:tc>
      </w:tr>
    </w:tbl>
    <w:p>
      <w:pPr>
        <w:spacing w:line="440" w:lineRule="exact"/>
        <w:ind w:firstLine="2520" w:firstLineChars="1200"/>
        <w:jc w:val="left"/>
        <w:rPr>
          <w:rFonts w:hint="eastAsia" w:ascii="宋体" w:hAnsi="宋体" w:cs="宋体"/>
          <w:color w:val="auto"/>
          <w:szCs w:val="21"/>
          <w:highlight w:val="none"/>
        </w:rPr>
      </w:pPr>
    </w:p>
    <w:p>
      <w:pPr>
        <w:spacing w:line="44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w:t>
      </w:r>
    </w:p>
    <w:p>
      <w:pPr>
        <w:spacing w:line="440" w:lineRule="exact"/>
        <w:jc w:val="left"/>
        <w:rPr>
          <w:rFonts w:hint="eastAsia" w:ascii="宋体" w:hAnsi="宋体" w:cs="宋体"/>
          <w:color w:val="auto"/>
          <w:szCs w:val="21"/>
          <w:highlight w:val="none"/>
        </w:rPr>
      </w:pPr>
      <w:r>
        <w:rPr>
          <w:rFonts w:hint="eastAsia" w:ascii="宋体" w:hAnsi="宋体" w:cs="宋体"/>
          <w:color w:val="auto"/>
          <w:highlight w:val="none"/>
        </w:rPr>
        <w:t xml:space="preserve">                        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pPr>
        <w:spacing w:line="440" w:lineRule="exact"/>
        <w:ind w:firstLine="4725" w:firstLineChars="2250"/>
        <w:jc w:val="right"/>
        <w:rPr>
          <w:rFonts w:hint="eastAsia" w:ascii="宋体" w:hAnsi="宋体" w:cs="宋体"/>
          <w:color w:val="auto"/>
          <w:szCs w:val="21"/>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w:t>
      </w:r>
    </w:p>
    <w:p>
      <w:pPr>
        <w:spacing w:line="440" w:lineRule="exact"/>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pStyle w:val="4"/>
        <w:keepNext w:val="0"/>
        <w:keepLines w:val="0"/>
        <w:jc w:val="center"/>
        <w:rPr>
          <w:rFonts w:hint="eastAsia" w:ascii="宋体" w:hAnsi="宋体" w:eastAsia="宋体" w:cs="宋体"/>
          <w:color w:val="auto"/>
          <w:sz w:val="20"/>
          <w:highlight w:val="none"/>
        </w:rPr>
      </w:pPr>
      <w:bookmarkStart w:id="564" w:name="_Toc31785"/>
      <w:r>
        <w:rPr>
          <w:rFonts w:ascii="宋体" w:hAnsi="宋体" w:eastAsia="宋体" w:cs="宋体"/>
          <w:color w:val="auto"/>
          <w:highlight w:val="none"/>
        </w:rPr>
        <w:br w:type="page"/>
      </w:r>
      <w:r>
        <w:rPr>
          <w:rFonts w:hint="eastAsia" w:ascii="宋体" w:hAnsi="宋体" w:eastAsia="宋体" w:cs="宋体"/>
          <w:color w:val="auto"/>
          <w:highlight w:val="none"/>
        </w:rPr>
        <w:t>二</w:t>
      </w:r>
      <w:bookmarkEnd w:id="547"/>
      <w:bookmarkEnd w:id="548"/>
      <w:bookmarkEnd w:id="549"/>
      <w:bookmarkEnd w:id="550"/>
      <w:bookmarkEnd w:id="551"/>
      <w:bookmarkEnd w:id="552"/>
      <w:bookmarkEnd w:id="553"/>
      <w:bookmarkEnd w:id="554"/>
      <w:bookmarkEnd w:id="555"/>
      <w:bookmarkEnd w:id="556"/>
      <w:bookmarkEnd w:id="557"/>
      <w:r>
        <w:rPr>
          <w:rFonts w:hint="eastAsia" w:ascii="宋体" w:hAnsi="宋体" w:eastAsia="宋体" w:cs="宋体"/>
          <w:color w:val="auto"/>
          <w:highlight w:val="none"/>
        </w:rPr>
        <w:t>、法定代表人身份证明</w:t>
      </w:r>
      <w:bookmarkEnd w:id="564"/>
    </w:p>
    <w:p>
      <w:pPr>
        <w:spacing w:line="440" w:lineRule="exact"/>
        <w:rPr>
          <w:rFonts w:hint="eastAsia" w:ascii="宋体" w:hAnsi="宋体" w:cs="宋体"/>
          <w:color w:val="auto"/>
          <w:highlight w:val="none"/>
        </w:rPr>
      </w:pP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565" w:name="_Toc27897"/>
      <w:bookmarkStart w:id="566" w:name="_Toc369531698"/>
      <w:bookmarkStart w:id="567" w:name="_Toc35269166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565"/>
      <w:bookmarkEnd w:id="566"/>
      <w:bookmarkEnd w:id="567"/>
      <w:r>
        <w:rPr>
          <w:rFonts w:hint="eastAsia" w:ascii="宋体" w:hAnsi="宋体" w:cs="宋体"/>
          <w:color w:val="auto"/>
          <w:sz w:val="24"/>
          <w:szCs w:val="24"/>
          <w:highlight w:val="none"/>
        </w:rPr>
        <w:t>龄</w:t>
      </w:r>
      <w:bookmarkStart w:id="568" w:name="_Toc384308377"/>
      <w:bookmarkStart w:id="569" w:name="_Toc152045789"/>
      <w:bookmarkStart w:id="570" w:name="_Toc300835211"/>
      <w:bookmarkStart w:id="571" w:name="_Toc247527829"/>
      <w:bookmarkStart w:id="572" w:name="_Toc352691663"/>
      <w:bookmarkStart w:id="573" w:name="_Toc361508754"/>
      <w:bookmarkStart w:id="574" w:name="_Toc369531699"/>
      <w:bookmarkStart w:id="575" w:name="_Toc152042578"/>
      <w:bookmarkStart w:id="576" w:name="_Toc247514248"/>
      <w:bookmarkStart w:id="577" w:name="_Toc144974858"/>
      <w:bookmarkStart w:id="578" w:name="_Toc15573"/>
      <w:r>
        <w:rPr>
          <w:rFonts w:hint="eastAsia" w:ascii="宋体" w:hAnsi="宋体" w:cs="宋体"/>
          <w:color w:val="auto"/>
          <w:sz w:val="24"/>
          <w:szCs w:val="24"/>
          <w:highlight w:val="none"/>
        </w:rPr>
        <w:t>：</w:t>
      </w:r>
      <w:bookmarkEnd w:id="568"/>
      <w:bookmarkEnd w:id="569"/>
      <w:bookmarkEnd w:id="570"/>
      <w:bookmarkEnd w:id="571"/>
      <w:bookmarkEnd w:id="572"/>
      <w:bookmarkEnd w:id="573"/>
      <w:bookmarkEnd w:id="574"/>
      <w:bookmarkEnd w:id="575"/>
      <w:bookmarkEnd w:id="576"/>
      <w:bookmarkEnd w:id="577"/>
      <w:bookmarkEnd w:id="578"/>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40" w:lineRule="exact"/>
        <w:rPr>
          <w:rFonts w:hint="eastAsia" w:ascii="宋体" w:hAnsi="宋体" w:cs="宋体"/>
          <w:color w:val="auto"/>
          <w:sz w:val="24"/>
          <w:szCs w:val="24"/>
          <w:highlight w:val="none"/>
        </w:rPr>
      </w:pP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附：法定代表人身份证扫描件。</w:t>
      </w:r>
    </w:p>
    <w:p>
      <w:pPr>
        <w:spacing w:line="440" w:lineRule="exact"/>
        <w:rPr>
          <w:rFonts w:hint="eastAsia" w:ascii="宋体" w:hAnsi="宋体" w:cs="宋体"/>
          <w:color w:val="auto"/>
          <w:sz w:val="24"/>
          <w:szCs w:val="24"/>
          <w:highlight w:val="none"/>
        </w:rPr>
      </w:pP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pPr>
        <w:spacing w:line="440" w:lineRule="exact"/>
        <w:rPr>
          <w:rFonts w:hint="eastAsia" w:ascii="宋体" w:hAnsi="宋体" w:cs="宋体"/>
          <w:color w:val="auto"/>
          <w:sz w:val="24"/>
          <w:szCs w:val="24"/>
          <w:highlight w:val="none"/>
        </w:rPr>
      </w:pPr>
    </w:p>
    <w:p>
      <w:pPr>
        <w:spacing w:line="440" w:lineRule="exact"/>
        <w:rPr>
          <w:rFonts w:hint="eastAsia" w:ascii="宋体" w:hAnsi="宋体" w:cs="宋体"/>
          <w:color w:val="auto"/>
          <w:sz w:val="24"/>
          <w:szCs w:val="24"/>
          <w:highlight w:val="none"/>
        </w:rPr>
      </w:pPr>
    </w:p>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rPr>
          <w:rFonts w:hint="eastAsia" w:ascii="宋体" w:hAnsi="宋体" w:cs="宋体"/>
          <w:color w:val="auto"/>
          <w:sz w:val="24"/>
          <w:szCs w:val="24"/>
          <w:highlight w:val="none"/>
        </w:rPr>
      </w:pPr>
    </w:p>
    <w:p>
      <w:pPr>
        <w:spacing w:line="440" w:lineRule="exact"/>
        <w:ind w:firstLine="5280" w:firstLineChars="2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40" w:lineRule="exact"/>
        <w:rPr>
          <w:rFonts w:hint="eastAsia" w:ascii="宋体" w:hAnsi="宋体" w:cs="宋体"/>
          <w:color w:val="auto"/>
          <w:sz w:val="24"/>
          <w:szCs w:val="24"/>
          <w:highlight w:val="none"/>
        </w:rPr>
      </w:pPr>
    </w:p>
    <w:p>
      <w:pPr>
        <w:spacing w:line="440" w:lineRule="exact"/>
        <w:rPr>
          <w:rFonts w:hint="eastAsia" w:ascii="宋体" w:hAnsi="宋体" w:cs="宋体"/>
          <w:color w:val="auto"/>
          <w:sz w:val="20"/>
          <w:highlight w:val="none"/>
        </w:rPr>
      </w:pPr>
    </w:p>
    <w:p>
      <w:pPr>
        <w:spacing w:line="440" w:lineRule="exact"/>
        <w:rPr>
          <w:rFonts w:hint="eastAsia" w:ascii="宋体" w:hAnsi="宋体" w:cs="宋体"/>
          <w:color w:val="auto"/>
          <w:sz w:val="20"/>
          <w:highlight w:val="none"/>
        </w:rPr>
      </w:pPr>
    </w:p>
    <w:p>
      <w:pPr>
        <w:spacing w:line="440" w:lineRule="exact"/>
        <w:rPr>
          <w:rFonts w:hint="eastAsia" w:ascii="宋体" w:hAnsi="宋体" w:cs="宋体"/>
          <w:color w:val="auto"/>
          <w:sz w:val="20"/>
          <w:highlight w:val="none"/>
        </w:rPr>
      </w:pPr>
    </w:p>
    <w:p>
      <w:pPr>
        <w:spacing w:line="440" w:lineRule="exact"/>
        <w:rPr>
          <w:rFonts w:hint="eastAsia" w:ascii="宋体" w:hAnsi="宋体" w:cs="宋体"/>
          <w:color w:val="auto"/>
          <w:sz w:val="20"/>
          <w:highlight w:val="none"/>
        </w:rPr>
      </w:pPr>
    </w:p>
    <w:p>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79" w:name="_Toc2992"/>
      <w:r>
        <w:rPr>
          <w:rFonts w:hint="eastAsia" w:ascii="宋体" w:hAnsi="宋体" w:eastAsia="宋体" w:cs="宋体"/>
          <w:color w:val="auto"/>
          <w:highlight w:val="none"/>
        </w:rPr>
        <w:t>三、授权委托书</w:t>
      </w:r>
      <w:bookmarkEnd w:id="579"/>
    </w:p>
    <w:p>
      <w:pPr>
        <w:spacing w:line="440" w:lineRule="exact"/>
        <w:rPr>
          <w:rFonts w:hint="eastAsia" w:ascii="宋体" w:hAnsi="宋体" w:cs="宋体"/>
          <w:color w:val="auto"/>
          <w:highlight w:val="none"/>
        </w:rPr>
      </w:pPr>
    </w:p>
    <w:p>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为我方代理人。代理人根据授权，以我方名义签署、澄清确认、递交、撤回、修改监理招标项目投标文件、签订合同和处理有关事宜，其法律后果由我方承担。</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40" w:lineRule="exact"/>
        <w:ind w:firstLine="480" w:firstLineChars="200"/>
        <w:rPr>
          <w:rFonts w:hint="eastAsia" w:ascii="宋体" w:hAnsi="宋体" w:cs="宋体"/>
          <w:color w:val="auto"/>
          <w:sz w:val="24"/>
          <w:szCs w:val="24"/>
          <w:highlight w:val="none"/>
        </w:rPr>
      </w:pP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附：法定代表人身份证扫描件及委托代理人身份证扫描件</w:t>
      </w:r>
    </w:p>
    <w:p>
      <w:pPr>
        <w:spacing w:line="440" w:lineRule="exact"/>
        <w:rPr>
          <w:rFonts w:hint="eastAsia" w:ascii="宋体" w:hAnsi="宋体" w:cs="宋体"/>
          <w:color w:val="auto"/>
          <w:sz w:val="24"/>
          <w:szCs w:val="24"/>
          <w:highlight w:val="none"/>
        </w:rPr>
      </w:pP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注：本授权委托书需由投标人加盖单位公章并由其法定代表人和委托代理人签署。</w:t>
      </w:r>
    </w:p>
    <w:p>
      <w:pPr>
        <w:spacing w:line="440" w:lineRule="exact"/>
        <w:rPr>
          <w:rFonts w:hint="eastAsia" w:ascii="宋体" w:hAnsi="宋体" w:cs="宋体"/>
          <w:color w:val="auto"/>
          <w:sz w:val="24"/>
          <w:szCs w:val="24"/>
          <w:highlight w:val="none"/>
        </w:rPr>
      </w:pPr>
    </w:p>
    <w:p>
      <w:pPr>
        <w:spacing w:line="440" w:lineRule="exact"/>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3076" w:firstLineChars="1282"/>
        <w:rPr>
          <w:rFonts w:hint="eastAsia" w:ascii="宋体" w:hAnsi="宋体" w:cs="宋体"/>
          <w:color w:val="auto"/>
          <w:sz w:val="24"/>
          <w:szCs w:val="24"/>
          <w:highlight w:val="none"/>
        </w:rPr>
      </w:pPr>
    </w:p>
    <w:p>
      <w:pPr>
        <w:spacing w:line="440" w:lineRule="exact"/>
        <w:ind w:firstLine="3074" w:firstLineChars="128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（签字或签章）</w:t>
      </w:r>
    </w:p>
    <w:p>
      <w:pPr>
        <w:spacing w:line="440" w:lineRule="exact"/>
        <w:ind w:firstLine="3076" w:firstLineChars="1282"/>
        <w:rPr>
          <w:rFonts w:hint="eastAsia" w:ascii="宋体" w:hAnsi="宋体" w:cs="宋体"/>
          <w:color w:val="auto"/>
          <w:sz w:val="24"/>
          <w:szCs w:val="24"/>
          <w:highlight w:val="none"/>
        </w:rPr>
      </w:pPr>
    </w:p>
    <w:p>
      <w:pPr>
        <w:spacing w:line="440" w:lineRule="exact"/>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440" w:lineRule="exact"/>
        <w:ind w:firstLine="3076" w:firstLineChars="1282"/>
        <w:rPr>
          <w:rFonts w:hint="eastAsia" w:ascii="宋体" w:hAnsi="宋体" w:cs="宋体"/>
          <w:color w:val="auto"/>
          <w:sz w:val="24"/>
          <w:szCs w:val="24"/>
          <w:highlight w:val="none"/>
        </w:rPr>
      </w:pPr>
    </w:p>
    <w:p>
      <w:pPr>
        <w:spacing w:line="440" w:lineRule="exact"/>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pPr>
        <w:spacing w:line="440" w:lineRule="exact"/>
        <w:ind w:firstLine="3076" w:firstLineChars="1282"/>
        <w:rPr>
          <w:rFonts w:hint="eastAsia" w:ascii="宋体" w:hAnsi="宋体" w:cs="宋体"/>
          <w:color w:val="auto"/>
          <w:sz w:val="24"/>
          <w:szCs w:val="24"/>
          <w:highlight w:val="none"/>
        </w:rPr>
      </w:pPr>
    </w:p>
    <w:p>
      <w:pPr>
        <w:spacing w:line="440" w:lineRule="exact"/>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440" w:lineRule="exact"/>
        <w:ind w:firstLine="3076" w:firstLineChars="1282"/>
        <w:rPr>
          <w:rFonts w:hint="eastAsia" w:ascii="宋体" w:hAnsi="宋体" w:cs="宋体"/>
          <w:color w:val="auto"/>
          <w:sz w:val="24"/>
          <w:szCs w:val="24"/>
          <w:highlight w:val="none"/>
        </w:rPr>
      </w:pPr>
    </w:p>
    <w:p>
      <w:pPr>
        <w:spacing w:line="440" w:lineRule="exact"/>
        <w:ind w:firstLine="3076" w:firstLineChars="1282"/>
        <w:rPr>
          <w:rFonts w:hint="eastAsia" w:ascii="宋体" w:hAnsi="宋体" w:cs="宋体"/>
          <w:color w:val="auto"/>
          <w:sz w:val="24"/>
          <w:szCs w:val="24"/>
          <w:highlight w:val="none"/>
        </w:rPr>
      </w:pPr>
    </w:p>
    <w:p>
      <w:pPr>
        <w:spacing w:line="440" w:lineRule="exact"/>
        <w:ind w:firstLine="4636" w:firstLineChars="1932"/>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40" w:lineRule="exact"/>
        <w:ind w:firstLine="4057" w:firstLineChars="1932"/>
        <w:jc w:val="right"/>
        <w:rPr>
          <w:rFonts w:hint="eastAsia" w:ascii="宋体" w:hAnsi="宋体" w:cs="宋体"/>
          <w:color w:val="auto"/>
          <w:highlight w:val="none"/>
        </w:rPr>
      </w:pPr>
    </w:p>
    <w:p>
      <w:pPr>
        <w:pStyle w:val="4"/>
        <w:keepNext w:val="0"/>
        <w:keepLines w:val="0"/>
        <w:jc w:val="center"/>
        <w:rPr>
          <w:rFonts w:hint="eastAsia" w:ascii="宋体" w:hAnsi="宋体" w:eastAsia="宋体" w:cs="宋体"/>
          <w:color w:val="auto"/>
          <w:highlight w:val="none"/>
        </w:rPr>
      </w:pPr>
    </w:p>
    <w:p>
      <w:pPr>
        <w:pStyle w:val="4"/>
        <w:keepNext w:val="0"/>
        <w:keepLines w:val="0"/>
        <w:jc w:val="center"/>
        <w:rPr>
          <w:rFonts w:hint="eastAsia" w:ascii="宋体" w:hAnsi="宋体" w:eastAsia="宋体" w:cs="宋体"/>
          <w:strike/>
          <w:color w:val="auto"/>
          <w:highlight w:val="none"/>
        </w:rPr>
      </w:pPr>
      <w:r>
        <w:rPr>
          <w:rFonts w:hint="eastAsia" w:ascii="宋体" w:hAnsi="宋体" w:eastAsia="宋体" w:cs="宋体"/>
          <w:color w:val="auto"/>
          <w:highlight w:val="none"/>
        </w:rPr>
        <w:br w:type="page"/>
      </w:r>
      <w:bookmarkStart w:id="580" w:name="_Toc15700"/>
      <w:r>
        <w:rPr>
          <w:rFonts w:hint="eastAsia" w:ascii="宋体" w:hAnsi="宋体" w:eastAsia="宋体" w:cs="宋体"/>
          <w:strike/>
          <w:color w:val="auto"/>
          <w:highlight w:val="none"/>
        </w:rPr>
        <w:t>四、</w:t>
      </w:r>
      <w:bookmarkStart w:id="581" w:name="_Toc300835214"/>
      <w:bookmarkStart w:id="582" w:name="_Toc369531702"/>
      <w:bookmarkStart w:id="583" w:name="_Toc152045792"/>
      <w:bookmarkStart w:id="584" w:name="_Toc144974861"/>
      <w:bookmarkStart w:id="585" w:name="_Toc13469"/>
      <w:bookmarkStart w:id="586" w:name="_Toc361508757"/>
      <w:bookmarkStart w:id="587" w:name="_Toc152042581"/>
      <w:bookmarkStart w:id="588" w:name="_Toc352691666"/>
      <w:bookmarkStart w:id="589" w:name="_Toc384308381"/>
      <w:bookmarkStart w:id="590" w:name="_Toc247527832"/>
      <w:bookmarkStart w:id="591" w:name="_Toc247514284"/>
      <w:r>
        <w:rPr>
          <w:rFonts w:hint="eastAsia" w:ascii="宋体" w:hAnsi="宋体" w:eastAsia="宋体" w:cs="宋体"/>
          <w:strike/>
          <w:color w:val="auto"/>
          <w:highlight w:val="none"/>
        </w:rPr>
        <w:t>投标保证金</w:t>
      </w:r>
      <w:bookmarkEnd w:id="580"/>
    </w:p>
    <w:p>
      <w:pPr>
        <w:spacing w:line="440" w:lineRule="exact"/>
        <w:jc w:val="center"/>
        <w:rPr>
          <w:rFonts w:hint="eastAsia" w:ascii="宋体" w:hAnsi="宋体" w:cs="宋体"/>
          <w:strike/>
          <w:color w:val="auto"/>
          <w:szCs w:val="21"/>
          <w:highlight w:val="none"/>
        </w:rPr>
      </w:pPr>
      <w:r>
        <w:rPr>
          <w:rFonts w:hint="eastAsia" w:ascii="宋体" w:hAnsi="宋体" w:cs="宋体"/>
          <w:strike/>
          <w:color w:val="auto"/>
          <w:sz w:val="24"/>
          <w:szCs w:val="24"/>
          <w:highlight w:val="none"/>
        </w:rPr>
        <w:t>（详见本招标文件第二章投标人须知前附表3.4.1）</w:t>
      </w:r>
    </w:p>
    <w:p>
      <w:pPr>
        <w:spacing w:line="440" w:lineRule="exact"/>
        <w:ind w:right="420"/>
        <w:jc w:val="center"/>
        <w:rPr>
          <w:rFonts w:hint="eastAsia" w:ascii="宋体" w:hAnsi="宋体" w:cs="宋体"/>
          <w:color w:val="auto"/>
          <w:szCs w:val="21"/>
          <w:highlight w:val="none"/>
        </w:rPr>
        <w:sectPr>
          <w:pgSz w:w="12240" w:h="15840"/>
          <w:pgMar w:top="1247" w:right="1247" w:bottom="1247" w:left="1247" w:header="720" w:footer="720" w:gutter="0"/>
          <w:cols w:space="720" w:num="1"/>
          <w:docGrid w:linePitch="285" w:charSpace="0"/>
        </w:sectPr>
      </w:pPr>
    </w:p>
    <w:bookmarkEnd w:id="581"/>
    <w:bookmarkEnd w:id="582"/>
    <w:bookmarkEnd w:id="583"/>
    <w:bookmarkEnd w:id="584"/>
    <w:bookmarkEnd w:id="585"/>
    <w:bookmarkEnd w:id="586"/>
    <w:bookmarkEnd w:id="587"/>
    <w:bookmarkEnd w:id="588"/>
    <w:bookmarkEnd w:id="589"/>
    <w:bookmarkEnd w:id="590"/>
    <w:bookmarkEnd w:id="591"/>
    <w:p>
      <w:pPr>
        <w:pStyle w:val="4"/>
        <w:keepNext w:val="0"/>
        <w:keepLines w:val="0"/>
        <w:spacing w:after="0"/>
        <w:jc w:val="center"/>
        <w:rPr>
          <w:rFonts w:hint="eastAsia" w:ascii="宋体" w:hAnsi="宋体" w:eastAsia="宋体" w:cs="宋体"/>
          <w:color w:val="auto"/>
          <w:highlight w:val="none"/>
        </w:rPr>
      </w:pPr>
      <w:bookmarkStart w:id="592" w:name="_Toc27246"/>
      <w:bookmarkStart w:id="593" w:name="_Toc361508760"/>
      <w:r>
        <w:rPr>
          <w:rFonts w:hint="eastAsia" w:ascii="宋体" w:hAnsi="宋体" w:eastAsia="宋体" w:cs="宋体"/>
          <w:color w:val="auto"/>
          <w:highlight w:val="none"/>
        </w:rPr>
        <w:t>五、资格审查资料</w:t>
      </w:r>
      <w:bookmarkEnd w:id="592"/>
    </w:p>
    <w:p>
      <w:pPr>
        <w:pStyle w:val="5"/>
        <w:keepNext w:val="0"/>
        <w:keepLines w:val="0"/>
        <w:spacing w:before="20" w:after="0"/>
        <w:ind w:firstLine="137"/>
        <w:jc w:val="center"/>
        <w:rPr>
          <w:rFonts w:hint="eastAsia" w:ascii="宋体" w:hAnsi="宋体" w:eastAsia="宋体" w:cs="宋体"/>
          <w:color w:val="auto"/>
          <w:highlight w:val="none"/>
        </w:rPr>
      </w:pPr>
      <w:bookmarkStart w:id="594" w:name="_Toc13569"/>
      <w:r>
        <w:rPr>
          <w:rFonts w:hint="eastAsia" w:ascii="宋体" w:hAnsi="宋体" w:eastAsia="宋体" w:cs="宋体"/>
          <w:color w:val="auto"/>
          <w:highlight w:val="none"/>
        </w:rPr>
        <w:t>（一）基本情况表</w:t>
      </w:r>
      <w:bookmarkEnd w:id="594"/>
    </w:p>
    <w:tbl>
      <w:tblPr>
        <w:tblStyle w:val="24"/>
        <w:tblW w:w="9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1"/>
        <w:gridCol w:w="1004"/>
        <w:gridCol w:w="1150"/>
        <w:gridCol w:w="1444"/>
        <w:gridCol w:w="462"/>
        <w:gridCol w:w="978"/>
        <w:gridCol w:w="926"/>
        <w:gridCol w:w="319"/>
        <w:gridCol w:w="13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投标人名称</w:t>
            </w:r>
          </w:p>
        </w:tc>
        <w:tc>
          <w:tcPr>
            <w:tcW w:w="766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注册地址</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邮政编码</w:t>
            </w:r>
          </w:p>
        </w:tc>
        <w:tc>
          <w:tcPr>
            <w:tcW w:w="263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联系方式</w:t>
            </w:r>
          </w:p>
        </w:tc>
        <w:tc>
          <w:tcPr>
            <w:tcW w:w="100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联系人</w:t>
            </w:r>
          </w:p>
        </w:tc>
        <w:tc>
          <w:tcPr>
            <w:tcW w:w="259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 话</w:t>
            </w:r>
          </w:p>
        </w:tc>
        <w:tc>
          <w:tcPr>
            <w:tcW w:w="263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传  真</w:t>
            </w:r>
          </w:p>
        </w:tc>
        <w:tc>
          <w:tcPr>
            <w:tcW w:w="259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网 址</w:t>
            </w:r>
          </w:p>
        </w:tc>
        <w:tc>
          <w:tcPr>
            <w:tcW w:w="263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法定代表人</w:t>
            </w:r>
          </w:p>
        </w:tc>
        <w:tc>
          <w:tcPr>
            <w:tcW w:w="100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1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技术职称</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电话</w:t>
            </w:r>
          </w:p>
        </w:tc>
        <w:tc>
          <w:tcPr>
            <w:tcW w:w="138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szCs w:val="21"/>
                <w:highlight w:val="none"/>
              </w:rPr>
              <w:t>技术负责人</w:t>
            </w:r>
          </w:p>
        </w:tc>
        <w:tc>
          <w:tcPr>
            <w:tcW w:w="100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1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技术职称</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电话</w:t>
            </w:r>
          </w:p>
        </w:tc>
        <w:tc>
          <w:tcPr>
            <w:tcW w:w="138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企业</w:t>
            </w:r>
            <w:r>
              <w:rPr>
                <w:rFonts w:hint="eastAsia" w:ascii="宋体" w:hAnsi="宋体" w:cs="宋体"/>
                <w:color w:val="auto"/>
                <w:szCs w:val="21"/>
                <w:highlight w:val="none"/>
              </w:rPr>
              <w:t>监理</w:t>
            </w:r>
            <w:r>
              <w:rPr>
                <w:rFonts w:hint="eastAsia" w:ascii="宋体" w:hAnsi="宋体" w:cs="宋体"/>
                <w:color w:val="auto"/>
                <w:highlight w:val="none"/>
              </w:rPr>
              <w:t>资质证书</w:t>
            </w:r>
          </w:p>
        </w:tc>
        <w:tc>
          <w:tcPr>
            <w:tcW w:w="7669"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质量管理体系证书（如有）</w:t>
            </w:r>
          </w:p>
        </w:tc>
        <w:tc>
          <w:tcPr>
            <w:tcW w:w="7669"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营业执照号</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4071"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注册资本</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462"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其中</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高级职称人员</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成立日期</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462" w:type="dxa"/>
            <w:vMerge w:val="continue"/>
            <w:tcBorders>
              <w:left w:val="single" w:color="auto" w:sz="4" w:space="0"/>
              <w:right w:val="single" w:color="auto" w:sz="4" w:space="0"/>
            </w:tcBorders>
            <w:vAlign w:val="center"/>
          </w:tcPr>
          <w:p>
            <w:pPr>
              <w:jc w:val="center"/>
              <w:rPr>
                <w:rFonts w:hint="eastAsia" w:ascii="宋体" w:hAnsi="宋体" w:cs="宋体"/>
                <w:color w:val="auto"/>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中级职称人员</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基本账户开户银行</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462" w:type="dxa"/>
            <w:vMerge w:val="continue"/>
            <w:tcBorders>
              <w:left w:val="single" w:color="auto" w:sz="4" w:space="0"/>
              <w:right w:val="single" w:color="auto" w:sz="4" w:space="0"/>
            </w:tcBorders>
            <w:vAlign w:val="center"/>
          </w:tcPr>
          <w:p>
            <w:pPr>
              <w:jc w:val="center"/>
              <w:rPr>
                <w:rFonts w:hint="eastAsia" w:ascii="宋体" w:hAnsi="宋体" w:cs="宋体"/>
                <w:color w:val="auto"/>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技术人员数量</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基本账户银行账号</w:t>
            </w:r>
          </w:p>
        </w:tc>
        <w:tc>
          <w:tcPr>
            <w:tcW w:w="359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c>
          <w:tcPr>
            <w:tcW w:w="462" w:type="dxa"/>
            <w:vMerge w:val="continue"/>
            <w:tcBorders>
              <w:left w:val="single" w:color="auto" w:sz="4" w:space="0"/>
              <w:right w:val="single" w:color="auto" w:sz="4" w:space="0"/>
            </w:tcBorders>
            <w:vAlign w:val="center"/>
          </w:tcPr>
          <w:p>
            <w:pPr>
              <w:jc w:val="center"/>
              <w:rPr>
                <w:rFonts w:hint="eastAsia" w:ascii="宋体" w:hAnsi="宋体" w:cs="宋体"/>
                <w:color w:val="auto"/>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szCs w:val="21"/>
                <w:highlight w:val="none"/>
              </w:rPr>
              <w:t>各类注册人员</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hint="eastAsia" w:ascii="宋体" w:hAnsi="宋体" w:cs="宋体"/>
                <w:color w:val="auto"/>
                <w:highlight w:val="none"/>
              </w:rPr>
            </w:pPr>
            <w:r>
              <w:rPr>
                <w:rFonts w:hint="eastAsia" w:ascii="宋体" w:hAnsi="宋体" w:cs="宋体"/>
                <w:color w:val="auto"/>
                <w:highlight w:val="none"/>
              </w:rPr>
              <w:t>经营范围</w:t>
            </w:r>
          </w:p>
        </w:tc>
        <w:tc>
          <w:tcPr>
            <w:tcW w:w="7669"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91"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szCs w:val="21"/>
                <w:highlight w:val="none"/>
              </w:rPr>
              <w:t>投标人关联企业情况（包括但不限于与投标人法定代表人为同一人或者存在控股、管理关系的不同单位）</w:t>
            </w:r>
          </w:p>
        </w:tc>
        <w:tc>
          <w:tcPr>
            <w:tcW w:w="7669"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766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p>
        </w:tc>
      </w:tr>
    </w:tbl>
    <w:p>
      <w:pPr>
        <w:spacing w:line="400" w:lineRule="exact"/>
        <w:rPr>
          <w:rFonts w:hint="eastAsia" w:ascii="宋体" w:hAnsi="宋体" w:cs="宋体"/>
          <w:color w:val="auto"/>
          <w:highlight w:val="none"/>
        </w:rPr>
      </w:pPr>
      <w:r>
        <w:rPr>
          <w:rFonts w:hint="eastAsia" w:ascii="宋体" w:hAnsi="宋体" w:cs="宋体"/>
          <w:color w:val="auto"/>
          <w:highlight w:val="none"/>
        </w:rPr>
        <w:t>注：投标人应根据投标人须知第3.5.2及3.5.3项的要求在本表后附相关证明材料。</w:t>
      </w:r>
    </w:p>
    <w:p>
      <w:pPr>
        <w:pStyle w:val="5"/>
        <w:keepNext w:val="0"/>
        <w:keepLines w:val="0"/>
        <w:ind w:firstLine="137"/>
        <w:rPr>
          <w:rFonts w:hint="eastAsia" w:ascii="宋体" w:hAnsi="宋体" w:eastAsia="宋体" w:cs="宋体"/>
          <w:color w:val="auto"/>
          <w:highlight w:val="none"/>
        </w:rPr>
      </w:pPr>
    </w:p>
    <w:bookmarkEnd w:id="593"/>
    <w:p>
      <w:pPr>
        <w:pStyle w:val="5"/>
        <w:keepNext w:val="0"/>
        <w:keepLines w:val="0"/>
        <w:spacing w:before="20" w:after="0"/>
        <w:ind w:firstLine="137"/>
        <w:jc w:val="center"/>
        <w:rPr>
          <w:rFonts w:hint="eastAsia" w:ascii="宋体" w:hAnsi="宋体" w:eastAsia="宋体" w:cs="宋体"/>
          <w:color w:val="auto"/>
          <w:highlight w:val="none"/>
        </w:rPr>
      </w:pPr>
      <w:bookmarkStart w:id="595" w:name="_Toc144974873"/>
      <w:bookmarkStart w:id="596" w:name="_Toc384308390"/>
      <w:bookmarkStart w:id="597" w:name="_Toc370676440"/>
      <w:bookmarkStart w:id="598" w:name="_Toc385943079"/>
      <w:bookmarkStart w:id="599" w:name="_Toc391394125"/>
      <w:bookmarkStart w:id="600" w:name="_Toc179632825"/>
      <w:bookmarkStart w:id="601" w:name="_Toc152045805"/>
      <w:bookmarkStart w:id="602" w:name="_Toc9737"/>
      <w:bookmarkStart w:id="603" w:name="_Toc152042594"/>
      <w:bookmarkStart w:id="604" w:name="_Toc359594249"/>
      <w:bookmarkStart w:id="605" w:name="_Toc300835232"/>
      <w:bookmarkStart w:id="606" w:name="_Toc482188668"/>
      <w:r>
        <w:rPr>
          <w:rFonts w:hint="eastAsia" w:ascii="宋体" w:hAnsi="宋体" w:eastAsia="宋体" w:cs="宋体"/>
          <w:color w:val="auto"/>
          <w:highlight w:val="none"/>
        </w:rPr>
        <w:br w:type="page"/>
      </w:r>
      <w:bookmarkStart w:id="607" w:name="_Toc22485"/>
      <w:r>
        <w:rPr>
          <w:rFonts w:hint="eastAsia" w:ascii="宋体" w:hAnsi="宋体" w:eastAsia="宋体" w:cs="宋体"/>
          <w:color w:val="auto"/>
          <w:highlight w:val="none"/>
        </w:rPr>
        <w:t>（二）总监理工程师简历表</w:t>
      </w:r>
      <w:bookmarkEnd w:id="595"/>
      <w:bookmarkEnd w:id="596"/>
      <w:bookmarkEnd w:id="597"/>
      <w:bookmarkEnd w:id="598"/>
      <w:bookmarkEnd w:id="599"/>
      <w:bookmarkEnd w:id="600"/>
      <w:bookmarkEnd w:id="601"/>
      <w:bookmarkEnd w:id="602"/>
      <w:bookmarkEnd w:id="603"/>
      <w:bookmarkEnd w:id="604"/>
      <w:bookmarkEnd w:id="605"/>
      <w:bookmarkEnd w:id="606"/>
      <w:bookmarkEnd w:id="607"/>
    </w:p>
    <w:p>
      <w:pPr>
        <w:topLinePunct/>
        <w:spacing w:line="440" w:lineRule="exact"/>
        <w:jc w:val="center"/>
        <w:rPr>
          <w:rFonts w:hint="eastAsia" w:ascii="宋体" w:hAnsi="宋体" w:cs="宋体"/>
          <w:color w:val="auto"/>
          <w:sz w:val="23"/>
          <w:highlight w:val="none"/>
        </w:rPr>
      </w:pPr>
    </w:p>
    <w:tbl>
      <w:tblPr>
        <w:tblStyle w:val="2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416"/>
        <w:gridCol w:w="809"/>
        <w:gridCol w:w="1117"/>
        <w:gridCol w:w="1245"/>
        <w:gridCol w:w="825"/>
        <w:gridCol w:w="1474"/>
        <w:gridCol w:w="46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85" w:type="dxa"/>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225" w:type="dxa"/>
            <w:gridSpan w:val="2"/>
            <w:vAlign w:val="center"/>
          </w:tcPr>
          <w:p>
            <w:pPr>
              <w:spacing w:line="440" w:lineRule="exact"/>
              <w:jc w:val="center"/>
              <w:rPr>
                <w:rFonts w:hint="eastAsia" w:ascii="宋体" w:hAnsi="宋体" w:cs="宋体"/>
                <w:color w:val="auto"/>
                <w:highlight w:val="none"/>
              </w:rPr>
            </w:pPr>
          </w:p>
        </w:tc>
        <w:tc>
          <w:tcPr>
            <w:tcW w:w="1117" w:type="dxa"/>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年龄</w:t>
            </w:r>
          </w:p>
        </w:tc>
        <w:tc>
          <w:tcPr>
            <w:tcW w:w="1245" w:type="dxa"/>
            <w:vAlign w:val="center"/>
          </w:tcPr>
          <w:p>
            <w:pPr>
              <w:spacing w:line="440" w:lineRule="exact"/>
              <w:jc w:val="center"/>
              <w:rPr>
                <w:rFonts w:hint="eastAsia" w:ascii="宋体" w:hAnsi="宋体" w:cs="宋体"/>
                <w:color w:val="auto"/>
                <w:highlight w:val="none"/>
              </w:rPr>
            </w:pPr>
          </w:p>
        </w:tc>
        <w:tc>
          <w:tcPr>
            <w:tcW w:w="2767" w:type="dxa"/>
            <w:gridSpan w:val="3"/>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执业资格证书（或上岗证书）名称</w:t>
            </w:r>
          </w:p>
        </w:tc>
        <w:tc>
          <w:tcPr>
            <w:tcW w:w="2219" w:type="dxa"/>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5" w:type="dxa"/>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225" w:type="dxa"/>
            <w:gridSpan w:val="2"/>
            <w:vAlign w:val="center"/>
          </w:tcPr>
          <w:p>
            <w:pPr>
              <w:spacing w:line="440" w:lineRule="exact"/>
              <w:jc w:val="center"/>
              <w:rPr>
                <w:rFonts w:hint="eastAsia" w:ascii="宋体" w:hAnsi="宋体" w:cs="宋体"/>
                <w:color w:val="auto"/>
                <w:highlight w:val="none"/>
              </w:rPr>
            </w:pPr>
          </w:p>
        </w:tc>
        <w:tc>
          <w:tcPr>
            <w:tcW w:w="1117"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学历</w:t>
            </w:r>
          </w:p>
        </w:tc>
        <w:tc>
          <w:tcPr>
            <w:tcW w:w="1245" w:type="dxa"/>
            <w:vAlign w:val="center"/>
          </w:tcPr>
          <w:p>
            <w:pPr>
              <w:spacing w:line="440" w:lineRule="exact"/>
              <w:jc w:val="center"/>
              <w:rPr>
                <w:rFonts w:hint="eastAsia" w:ascii="宋体" w:hAnsi="宋体" w:cs="宋体"/>
                <w:color w:val="auto"/>
                <w:highlight w:val="none"/>
              </w:rPr>
            </w:pPr>
          </w:p>
        </w:tc>
        <w:tc>
          <w:tcPr>
            <w:tcW w:w="2767" w:type="dxa"/>
            <w:gridSpan w:val="3"/>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拟在本项目任职</w:t>
            </w:r>
          </w:p>
        </w:tc>
        <w:tc>
          <w:tcPr>
            <w:tcW w:w="2219" w:type="dxa"/>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5"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工作年限</w:t>
            </w:r>
          </w:p>
        </w:tc>
        <w:tc>
          <w:tcPr>
            <w:tcW w:w="3587" w:type="dxa"/>
            <w:gridSpan w:val="4"/>
            <w:vAlign w:val="center"/>
          </w:tcPr>
          <w:p>
            <w:pPr>
              <w:spacing w:line="440" w:lineRule="exact"/>
              <w:jc w:val="center"/>
              <w:rPr>
                <w:rFonts w:hint="eastAsia" w:ascii="宋体" w:hAnsi="宋体" w:cs="宋体"/>
                <w:color w:val="auto"/>
                <w:highlight w:val="none"/>
              </w:rPr>
            </w:pPr>
          </w:p>
        </w:tc>
        <w:tc>
          <w:tcPr>
            <w:tcW w:w="2767" w:type="dxa"/>
            <w:gridSpan w:val="3"/>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从事监理工作年限</w:t>
            </w:r>
          </w:p>
        </w:tc>
        <w:tc>
          <w:tcPr>
            <w:tcW w:w="2219" w:type="dxa"/>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5"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毕业学校</w:t>
            </w:r>
          </w:p>
        </w:tc>
        <w:tc>
          <w:tcPr>
            <w:tcW w:w="8573" w:type="dxa"/>
            <w:gridSpan w:val="8"/>
            <w:vAlign w:val="center"/>
          </w:tcPr>
          <w:p>
            <w:pPr>
              <w:spacing w:before="100" w:beforeAutospacing="1" w:after="100" w:afterAutospacing="1" w:line="440" w:lineRule="exact"/>
              <w:ind w:firstLine="1155" w:firstLineChars="550"/>
              <w:rPr>
                <w:rFonts w:hint="eastAsia" w:ascii="宋体" w:hAnsi="宋体" w:cs="宋体"/>
                <w:color w:val="auto"/>
                <w:highlight w:val="none"/>
              </w:rPr>
            </w:pPr>
            <w:r>
              <w:rPr>
                <w:rFonts w:hint="eastAsia" w:ascii="宋体" w:hAnsi="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8" w:type="dxa"/>
            <w:gridSpan w:val="9"/>
            <w:vAlign w:val="center"/>
          </w:tcPr>
          <w:p>
            <w:pPr>
              <w:spacing w:before="100" w:beforeAutospacing="1" w:after="100" w:afterAutospacing="1" w:line="440" w:lineRule="exact"/>
              <w:jc w:val="left"/>
              <w:rPr>
                <w:rFonts w:hint="eastAsia" w:ascii="宋体" w:hAnsi="宋体" w:cs="宋体"/>
                <w:color w:val="auto"/>
                <w:highlight w:val="none"/>
              </w:rPr>
            </w:pPr>
            <w:r>
              <w:rPr>
                <w:rFonts w:hint="eastAsia" w:ascii="宋体" w:hAnsi="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01" w:type="dxa"/>
            <w:gridSpan w:val="2"/>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时  间</w:t>
            </w:r>
          </w:p>
        </w:tc>
        <w:tc>
          <w:tcPr>
            <w:tcW w:w="3996" w:type="dxa"/>
            <w:gridSpan w:val="4"/>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参加过的类似项目</w:t>
            </w:r>
          </w:p>
        </w:tc>
        <w:tc>
          <w:tcPr>
            <w:tcW w:w="1474"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担任职务</w:t>
            </w:r>
          </w:p>
        </w:tc>
        <w:tc>
          <w:tcPr>
            <w:tcW w:w="2687" w:type="dxa"/>
            <w:gridSpan w:val="2"/>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top"/>
          </w:tcPr>
          <w:p>
            <w:pPr>
              <w:spacing w:line="440" w:lineRule="exact"/>
              <w:rPr>
                <w:rFonts w:hint="eastAsia" w:ascii="宋体" w:hAnsi="宋体" w:cs="宋体"/>
                <w:color w:val="auto"/>
                <w:highlight w:val="none"/>
              </w:rPr>
            </w:pPr>
          </w:p>
        </w:tc>
        <w:tc>
          <w:tcPr>
            <w:tcW w:w="3996" w:type="dxa"/>
            <w:gridSpan w:val="4"/>
            <w:vAlign w:val="top"/>
          </w:tcPr>
          <w:p>
            <w:pPr>
              <w:spacing w:line="440" w:lineRule="exact"/>
              <w:rPr>
                <w:rFonts w:hint="eastAsia" w:ascii="宋体" w:hAnsi="宋体" w:cs="宋体"/>
                <w:color w:val="auto"/>
                <w:highlight w:val="none"/>
              </w:rPr>
            </w:pPr>
          </w:p>
        </w:tc>
        <w:tc>
          <w:tcPr>
            <w:tcW w:w="1474" w:type="dxa"/>
            <w:vAlign w:val="top"/>
          </w:tcPr>
          <w:p>
            <w:pPr>
              <w:spacing w:line="440" w:lineRule="exact"/>
              <w:rPr>
                <w:rFonts w:hint="eastAsia" w:ascii="宋体" w:hAnsi="宋体" w:cs="宋体"/>
                <w:color w:val="auto"/>
                <w:highlight w:val="none"/>
              </w:rPr>
            </w:pPr>
          </w:p>
        </w:tc>
        <w:tc>
          <w:tcPr>
            <w:tcW w:w="2687" w:type="dxa"/>
            <w:gridSpan w:val="2"/>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top"/>
          </w:tcPr>
          <w:p>
            <w:pPr>
              <w:spacing w:line="440" w:lineRule="exact"/>
              <w:rPr>
                <w:rFonts w:hint="eastAsia" w:ascii="宋体" w:hAnsi="宋体" w:cs="宋体"/>
                <w:color w:val="auto"/>
                <w:highlight w:val="none"/>
              </w:rPr>
            </w:pPr>
          </w:p>
        </w:tc>
        <w:tc>
          <w:tcPr>
            <w:tcW w:w="3996" w:type="dxa"/>
            <w:gridSpan w:val="4"/>
            <w:vAlign w:val="top"/>
          </w:tcPr>
          <w:p>
            <w:pPr>
              <w:spacing w:line="440" w:lineRule="exact"/>
              <w:rPr>
                <w:rFonts w:hint="eastAsia" w:ascii="宋体" w:hAnsi="宋体" w:cs="宋体"/>
                <w:color w:val="auto"/>
                <w:highlight w:val="none"/>
              </w:rPr>
            </w:pPr>
          </w:p>
        </w:tc>
        <w:tc>
          <w:tcPr>
            <w:tcW w:w="1474" w:type="dxa"/>
            <w:vAlign w:val="top"/>
          </w:tcPr>
          <w:p>
            <w:pPr>
              <w:spacing w:line="440" w:lineRule="exact"/>
              <w:rPr>
                <w:rFonts w:hint="eastAsia" w:ascii="宋体" w:hAnsi="宋体" w:cs="宋体"/>
                <w:color w:val="auto"/>
                <w:highlight w:val="none"/>
              </w:rPr>
            </w:pPr>
          </w:p>
        </w:tc>
        <w:tc>
          <w:tcPr>
            <w:tcW w:w="2687" w:type="dxa"/>
            <w:gridSpan w:val="2"/>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top"/>
          </w:tcPr>
          <w:p>
            <w:pPr>
              <w:spacing w:line="440" w:lineRule="exact"/>
              <w:rPr>
                <w:rFonts w:hint="eastAsia" w:ascii="宋体" w:hAnsi="宋体" w:cs="宋体"/>
                <w:color w:val="auto"/>
                <w:highlight w:val="none"/>
              </w:rPr>
            </w:pPr>
          </w:p>
        </w:tc>
        <w:tc>
          <w:tcPr>
            <w:tcW w:w="3996" w:type="dxa"/>
            <w:gridSpan w:val="4"/>
            <w:vAlign w:val="top"/>
          </w:tcPr>
          <w:p>
            <w:pPr>
              <w:spacing w:line="440" w:lineRule="exact"/>
              <w:rPr>
                <w:rFonts w:hint="eastAsia" w:ascii="宋体" w:hAnsi="宋体" w:cs="宋体"/>
                <w:color w:val="auto"/>
                <w:highlight w:val="none"/>
              </w:rPr>
            </w:pPr>
          </w:p>
        </w:tc>
        <w:tc>
          <w:tcPr>
            <w:tcW w:w="1474" w:type="dxa"/>
            <w:vAlign w:val="top"/>
          </w:tcPr>
          <w:p>
            <w:pPr>
              <w:spacing w:line="440" w:lineRule="exact"/>
              <w:rPr>
                <w:rFonts w:hint="eastAsia" w:ascii="宋体" w:hAnsi="宋体" w:cs="宋体"/>
                <w:color w:val="auto"/>
                <w:highlight w:val="none"/>
              </w:rPr>
            </w:pPr>
          </w:p>
        </w:tc>
        <w:tc>
          <w:tcPr>
            <w:tcW w:w="2687" w:type="dxa"/>
            <w:gridSpan w:val="2"/>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color w:val="auto"/>
                <w:highlight w:val="none"/>
              </w:rPr>
            </w:pPr>
          </w:p>
        </w:tc>
        <w:tc>
          <w:tcPr>
            <w:tcW w:w="3996" w:type="dxa"/>
            <w:gridSpan w:val="4"/>
            <w:vAlign w:val="center"/>
          </w:tcPr>
          <w:p>
            <w:pPr>
              <w:spacing w:line="440" w:lineRule="exact"/>
              <w:rPr>
                <w:rFonts w:hint="eastAsia" w:ascii="宋体" w:hAnsi="宋体" w:cs="宋体"/>
                <w:color w:val="auto"/>
                <w:highlight w:val="none"/>
              </w:rPr>
            </w:pPr>
          </w:p>
        </w:tc>
        <w:tc>
          <w:tcPr>
            <w:tcW w:w="1474" w:type="dxa"/>
            <w:vAlign w:val="center"/>
          </w:tcPr>
          <w:p>
            <w:pPr>
              <w:spacing w:line="440" w:lineRule="exact"/>
              <w:rPr>
                <w:rFonts w:hint="eastAsia" w:ascii="宋体" w:hAnsi="宋体" w:cs="宋体"/>
                <w:color w:val="auto"/>
                <w:highlight w:val="none"/>
              </w:rPr>
            </w:pPr>
          </w:p>
        </w:tc>
        <w:tc>
          <w:tcPr>
            <w:tcW w:w="2687" w:type="dxa"/>
            <w:gridSpan w:val="2"/>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color w:val="auto"/>
                <w:highlight w:val="none"/>
              </w:rPr>
            </w:pPr>
          </w:p>
        </w:tc>
        <w:tc>
          <w:tcPr>
            <w:tcW w:w="3996" w:type="dxa"/>
            <w:gridSpan w:val="4"/>
            <w:vAlign w:val="center"/>
          </w:tcPr>
          <w:p>
            <w:pPr>
              <w:spacing w:line="440" w:lineRule="exact"/>
              <w:rPr>
                <w:rFonts w:hint="eastAsia" w:ascii="宋体" w:hAnsi="宋体" w:cs="宋体"/>
                <w:color w:val="auto"/>
                <w:highlight w:val="none"/>
              </w:rPr>
            </w:pPr>
          </w:p>
        </w:tc>
        <w:tc>
          <w:tcPr>
            <w:tcW w:w="1474" w:type="dxa"/>
            <w:vAlign w:val="center"/>
          </w:tcPr>
          <w:p>
            <w:pPr>
              <w:spacing w:line="440" w:lineRule="exact"/>
              <w:rPr>
                <w:rFonts w:hint="eastAsia" w:ascii="宋体" w:hAnsi="宋体" w:cs="宋体"/>
                <w:color w:val="auto"/>
                <w:highlight w:val="none"/>
              </w:rPr>
            </w:pPr>
          </w:p>
        </w:tc>
        <w:tc>
          <w:tcPr>
            <w:tcW w:w="2687" w:type="dxa"/>
            <w:gridSpan w:val="2"/>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color w:val="auto"/>
                <w:highlight w:val="none"/>
              </w:rPr>
            </w:pPr>
          </w:p>
        </w:tc>
        <w:tc>
          <w:tcPr>
            <w:tcW w:w="3996" w:type="dxa"/>
            <w:gridSpan w:val="4"/>
            <w:vAlign w:val="center"/>
          </w:tcPr>
          <w:p>
            <w:pPr>
              <w:spacing w:line="440" w:lineRule="exact"/>
              <w:rPr>
                <w:rFonts w:hint="eastAsia" w:ascii="宋体" w:hAnsi="宋体" w:cs="宋体"/>
                <w:color w:val="auto"/>
                <w:highlight w:val="none"/>
              </w:rPr>
            </w:pPr>
          </w:p>
        </w:tc>
        <w:tc>
          <w:tcPr>
            <w:tcW w:w="1474" w:type="dxa"/>
            <w:vAlign w:val="center"/>
          </w:tcPr>
          <w:p>
            <w:pPr>
              <w:spacing w:line="440" w:lineRule="exact"/>
              <w:rPr>
                <w:rFonts w:hint="eastAsia" w:ascii="宋体" w:hAnsi="宋体" w:cs="宋体"/>
                <w:color w:val="auto"/>
                <w:highlight w:val="none"/>
              </w:rPr>
            </w:pPr>
          </w:p>
        </w:tc>
        <w:tc>
          <w:tcPr>
            <w:tcW w:w="2687" w:type="dxa"/>
            <w:gridSpan w:val="2"/>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color w:val="auto"/>
                <w:highlight w:val="none"/>
              </w:rPr>
            </w:pPr>
          </w:p>
        </w:tc>
        <w:tc>
          <w:tcPr>
            <w:tcW w:w="3996" w:type="dxa"/>
            <w:gridSpan w:val="4"/>
            <w:vAlign w:val="center"/>
          </w:tcPr>
          <w:p>
            <w:pPr>
              <w:spacing w:line="440" w:lineRule="exact"/>
              <w:rPr>
                <w:rFonts w:hint="eastAsia" w:ascii="宋体" w:hAnsi="宋体" w:cs="宋体"/>
                <w:color w:val="auto"/>
                <w:highlight w:val="none"/>
              </w:rPr>
            </w:pPr>
          </w:p>
        </w:tc>
        <w:tc>
          <w:tcPr>
            <w:tcW w:w="1474" w:type="dxa"/>
            <w:vAlign w:val="center"/>
          </w:tcPr>
          <w:p>
            <w:pPr>
              <w:spacing w:line="440" w:lineRule="exact"/>
              <w:rPr>
                <w:rFonts w:hint="eastAsia" w:ascii="宋体" w:hAnsi="宋体" w:cs="宋体"/>
                <w:color w:val="auto"/>
                <w:highlight w:val="none"/>
              </w:rPr>
            </w:pPr>
          </w:p>
        </w:tc>
        <w:tc>
          <w:tcPr>
            <w:tcW w:w="2687" w:type="dxa"/>
            <w:gridSpan w:val="2"/>
            <w:vAlign w:val="center"/>
          </w:tcPr>
          <w:p>
            <w:pPr>
              <w:spacing w:line="440" w:lineRule="exact"/>
              <w:rPr>
                <w:rFonts w:hint="eastAsia" w:ascii="宋体" w:hAnsi="宋体" w:cs="宋体"/>
                <w:color w:val="auto"/>
                <w:highlight w:val="none"/>
              </w:rPr>
            </w:pPr>
          </w:p>
        </w:tc>
      </w:tr>
    </w:tbl>
    <w:p>
      <w:pPr>
        <w:spacing w:line="440" w:lineRule="exact"/>
        <w:rPr>
          <w:rFonts w:hint="eastAsia" w:ascii="宋体" w:hAnsi="宋体" w:cs="宋体"/>
          <w:color w:val="auto"/>
          <w:highlight w:val="none"/>
        </w:rPr>
      </w:pPr>
      <w:r>
        <w:rPr>
          <w:rFonts w:hint="eastAsia" w:ascii="宋体" w:hAnsi="宋体" w:cs="宋体"/>
          <w:color w:val="auto"/>
          <w:highlight w:val="none"/>
        </w:rPr>
        <w:t>注：投标人应根据投标人须知第3.5.4项的要求在本表后附相关证明材料。</w:t>
      </w:r>
    </w:p>
    <w:p>
      <w:pPr>
        <w:spacing w:line="440" w:lineRule="exact"/>
        <w:rPr>
          <w:rFonts w:hint="eastAsia" w:ascii="宋体" w:hAnsi="宋体" w:cs="宋体"/>
          <w:color w:val="auto"/>
          <w:highlight w:val="none"/>
        </w:rPr>
      </w:pPr>
      <w:bookmarkStart w:id="608" w:name="_Toc352703741"/>
      <w:bookmarkStart w:id="609" w:name="_Toc300835229"/>
    </w:p>
    <w:p>
      <w:pPr>
        <w:spacing w:line="440" w:lineRule="exact"/>
        <w:jc w:val="center"/>
        <w:rPr>
          <w:rFonts w:hint="eastAsia" w:ascii="宋体" w:hAnsi="宋体" w:cs="宋体"/>
          <w:color w:val="auto"/>
          <w:sz w:val="28"/>
          <w:szCs w:val="20"/>
          <w:highlight w:val="none"/>
        </w:rPr>
      </w:pPr>
    </w:p>
    <w:p>
      <w:pPr>
        <w:pStyle w:val="5"/>
        <w:keepNext w:val="0"/>
        <w:keepLines w:val="0"/>
        <w:spacing w:before="20" w:after="0"/>
        <w:ind w:firstLine="137"/>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10" w:name="_Toc16156"/>
      <w:r>
        <w:rPr>
          <w:rFonts w:hint="eastAsia" w:ascii="宋体" w:hAnsi="宋体" w:eastAsia="宋体" w:cs="宋体"/>
          <w:color w:val="auto"/>
          <w:highlight w:val="none"/>
        </w:rPr>
        <w:t>（三）投标登记前已办理企业信息登记网页信息截图</w:t>
      </w:r>
      <w:bookmarkEnd w:id="610"/>
    </w:p>
    <w:p>
      <w:pPr>
        <w:spacing w:line="440" w:lineRule="exact"/>
        <w:rPr>
          <w:rFonts w:hint="eastAsia" w:ascii="宋体" w:hAnsi="宋体" w:cs="宋体"/>
          <w:color w:val="auto"/>
          <w:highlight w:val="none"/>
        </w:rPr>
      </w:pPr>
    </w:p>
    <w:p>
      <w:pPr>
        <w:spacing w:line="440" w:lineRule="exact"/>
        <w:jc w:val="center"/>
        <w:rPr>
          <w:rFonts w:hint="eastAsia" w:ascii="宋体" w:hAnsi="宋体" w:cs="宋体"/>
          <w:color w:val="auto"/>
          <w:highlight w:val="none"/>
        </w:rPr>
      </w:pPr>
      <w:r>
        <w:rPr>
          <w:rFonts w:hint="eastAsia" w:ascii="宋体" w:hAnsi="宋体" w:cs="宋体"/>
          <w:color w:val="auto"/>
          <w:highlight w:val="none"/>
        </w:rPr>
        <w:t>注：投标人应根据投标人须知第3.5.5项的要求附相关证明材料。</w:t>
      </w:r>
    </w:p>
    <w:bookmarkEnd w:id="608"/>
    <w:bookmarkEnd w:id="609"/>
    <w:p>
      <w:pPr>
        <w:pStyle w:val="13"/>
        <w:tabs>
          <w:tab w:val="right" w:leader="dot" w:pos="8640"/>
        </w:tabs>
        <w:ind w:left="840"/>
        <w:rPr>
          <w:rFonts w:hint="eastAsia" w:ascii="宋体" w:hAnsi="宋体" w:cs="宋体"/>
          <w:color w:val="auto"/>
          <w:highlight w:val="none"/>
        </w:rPr>
      </w:pPr>
      <w:bookmarkStart w:id="611" w:name="_Toc482188666"/>
    </w:p>
    <w:p>
      <w:pPr>
        <w:pStyle w:val="5"/>
        <w:keepNext w:val="0"/>
        <w:keepLines w:val="0"/>
        <w:spacing w:before="20" w:after="0"/>
        <w:ind w:firstLine="137"/>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611"/>
      <w:bookmarkStart w:id="612" w:name="_Toc21423"/>
      <w:r>
        <w:rPr>
          <w:rFonts w:hint="eastAsia" w:ascii="宋体" w:hAnsi="宋体" w:eastAsia="宋体" w:cs="宋体"/>
          <w:color w:val="auto"/>
          <w:highlight w:val="none"/>
        </w:rPr>
        <w:t>（四）投标人声明</w:t>
      </w:r>
      <w:bookmarkEnd w:id="612"/>
    </w:p>
    <w:p>
      <w:pPr>
        <w:jc w:val="center"/>
        <w:rPr>
          <w:rFonts w:hint="eastAsia" w:ascii="宋体" w:hAnsi="宋体" w:cs="宋体"/>
          <w:color w:val="auto"/>
          <w:sz w:val="28"/>
          <w:szCs w:val="28"/>
          <w:highlight w:val="none"/>
        </w:rPr>
      </w:pPr>
      <w:bookmarkStart w:id="613" w:name="_Toc5109"/>
      <w:r>
        <w:rPr>
          <w:rFonts w:hint="eastAsia" w:ascii="宋体" w:hAnsi="宋体" w:cs="宋体"/>
          <w:color w:val="auto"/>
          <w:sz w:val="28"/>
          <w:szCs w:val="28"/>
          <w:highlight w:val="none"/>
        </w:rPr>
        <w:t>格式详见招标公告附件一</w:t>
      </w:r>
      <w:bookmarkEnd w:id="613"/>
    </w:p>
    <w:p>
      <w:pPr>
        <w:jc w:val="right"/>
        <w:rPr>
          <w:rFonts w:hint="eastAsia" w:ascii="宋体" w:hAnsi="宋体" w:cs="宋体"/>
          <w:color w:val="auto"/>
          <w:kern w:val="0"/>
          <w:sz w:val="24"/>
          <w:highlight w:val="none"/>
        </w:rPr>
      </w:pPr>
    </w:p>
    <w:p>
      <w:pPr>
        <w:rPr>
          <w:rFonts w:hint="eastAsia" w:ascii="宋体" w:hAnsi="宋体" w:cs="宋体"/>
          <w:color w:val="auto"/>
          <w:kern w:val="0"/>
          <w:sz w:val="24"/>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28"/>
          <w:szCs w:val="20"/>
          <w:highlight w:val="none"/>
        </w:rPr>
      </w:pPr>
    </w:p>
    <w:p>
      <w:pPr>
        <w:rPr>
          <w:rFonts w:hint="eastAsia"/>
          <w:color w:val="auto"/>
          <w:highlight w:val="none"/>
        </w:rPr>
      </w:pPr>
      <w:r>
        <w:rPr>
          <w:rFonts w:hint="eastAsia" w:ascii="宋体" w:hAnsi="宋体" w:cs="宋体"/>
          <w:color w:val="auto"/>
          <w:highlight w:val="none"/>
        </w:rPr>
        <w:br w:type="page"/>
      </w:r>
      <w:bookmarkStart w:id="614" w:name="_Toc18863"/>
      <w:r>
        <w:rPr>
          <w:rFonts w:hint="eastAsia" w:ascii="宋体" w:hAnsi="宋体" w:cs="宋体"/>
          <w:bCs/>
          <w:color w:val="auto"/>
          <w:sz w:val="32"/>
          <w:szCs w:val="20"/>
          <w:highlight w:val="none"/>
        </w:rPr>
        <w:t>六、监理大纲</w:t>
      </w:r>
      <w:bookmarkEnd w:id="614"/>
    </w:p>
    <w:p>
      <w:pPr>
        <w:spacing w:line="360" w:lineRule="auto"/>
        <w:ind w:firstLine="474" w:firstLineChars="226"/>
        <w:rPr>
          <w:rFonts w:hint="eastAsia" w:ascii="宋体" w:hAnsi="宋体" w:cs="宋体"/>
          <w:color w:val="auto"/>
          <w:szCs w:val="21"/>
          <w:highlight w:val="none"/>
        </w:rPr>
      </w:pP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监理大纲应包括（但不限于）下列内容：</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一、监理范围、监理内容</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二、监理依据、监理工作目标</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三、监理工作程序、方法、制度和设备</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四、投资、进度、质量管理措施</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五、合同、信息管理方案</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六、监理组织协调内容及安全、文明施工管理措施</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七、监理工作重点、难点分析</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八、合理化建议</w:t>
      </w:r>
    </w:p>
    <w:p>
      <w:pPr>
        <w:rPr>
          <w:rFonts w:hint="eastAsia" w:ascii="宋体" w:hAnsi="宋体" w:cs="宋体"/>
          <w:color w:val="auto"/>
          <w:highlight w:val="none"/>
        </w:rPr>
      </w:pPr>
      <w:r>
        <w:rPr>
          <w:rFonts w:hint="eastAsia" w:ascii="宋体" w:hAnsi="宋体" w:cs="宋体"/>
          <w:color w:val="auto"/>
          <w:highlight w:val="none"/>
        </w:rPr>
        <w:t>………</w:t>
      </w:r>
    </w:p>
    <w:p>
      <w:pPr>
        <w:rPr>
          <w:rFonts w:hint="eastAsia" w:ascii="宋体" w:hAnsi="宋体" w:cs="宋体"/>
          <w:color w:val="auto"/>
          <w:highlight w:val="none"/>
        </w:rPr>
      </w:pPr>
    </w:p>
    <w:p>
      <w:pPr>
        <w:rPr>
          <w:rFonts w:hint="eastAsia" w:ascii="宋体" w:hAnsi="宋体" w:cs="宋体"/>
          <w:color w:val="auto"/>
          <w:highlight w:val="none"/>
        </w:rPr>
      </w:pPr>
    </w:p>
    <w:p>
      <w:pPr>
        <w:pStyle w:val="4"/>
        <w:keepNext w:val="0"/>
        <w:keepLines w:val="0"/>
        <w:spacing w:after="0"/>
        <w:jc w:val="center"/>
        <w:rPr>
          <w:rFonts w:hint="eastAsia" w:ascii="宋体" w:hAnsi="宋体" w:eastAsia="宋体" w:cs="宋体"/>
          <w:b w:val="0"/>
          <w:color w:val="auto"/>
          <w:highlight w:val="none"/>
        </w:rPr>
      </w:pPr>
      <w:r>
        <w:rPr>
          <w:rFonts w:hint="eastAsia" w:ascii="宋体" w:hAnsi="宋体" w:eastAsia="宋体" w:cs="宋体"/>
          <w:color w:val="auto"/>
          <w:highlight w:val="none"/>
        </w:rPr>
        <w:br w:type="page"/>
      </w:r>
      <w:bookmarkStart w:id="615" w:name="_Toc21430"/>
      <w:r>
        <w:rPr>
          <w:rFonts w:hint="eastAsia" w:ascii="宋体" w:hAnsi="宋体" w:eastAsia="宋体" w:cs="宋体"/>
          <w:b w:val="0"/>
          <w:color w:val="auto"/>
          <w:highlight w:val="none"/>
        </w:rPr>
        <w:t>七、其他资料</w:t>
      </w:r>
      <w:bookmarkEnd w:id="615"/>
    </w:p>
    <w:p>
      <w:pPr>
        <w:pStyle w:val="5"/>
        <w:keepNext w:val="0"/>
        <w:keepLines w:val="0"/>
        <w:ind w:firstLine="137"/>
        <w:jc w:val="center"/>
        <w:rPr>
          <w:rFonts w:hint="eastAsia" w:ascii="宋体" w:hAnsi="宋体" w:eastAsia="宋体" w:cs="宋体"/>
          <w:color w:val="auto"/>
          <w:highlight w:val="none"/>
        </w:rPr>
      </w:pPr>
      <w:bookmarkStart w:id="616" w:name="_Toc7162"/>
      <w:r>
        <w:rPr>
          <w:rFonts w:hint="eastAsia" w:ascii="宋体" w:hAnsi="宋体" w:eastAsia="宋体" w:cs="宋体"/>
          <w:color w:val="auto"/>
          <w:highlight w:val="none"/>
        </w:rPr>
        <w:t>（一）近年企业承接过的类似项目情况表</w:t>
      </w:r>
      <w:bookmarkEnd w:id="616"/>
    </w:p>
    <w:tbl>
      <w:tblPr>
        <w:tblStyle w:val="2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项目所在地</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委托人名称</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委托人地址</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委托人电话</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合同价格</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监理服务期限</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监理内容</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项目描述</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7308" w:type="dxa"/>
            <w:tcBorders>
              <w:top w:val="single" w:color="auto" w:sz="4" w:space="0"/>
              <w:left w:val="single" w:color="auto" w:sz="4" w:space="0"/>
              <w:bottom w:val="single" w:color="auto" w:sz="4" w:space="0"/>
              <w:right w:val="single" w:color="auto" w:sz="4" w:space="0"/>
            </w:tcBorders>
            <w:vAlign w:val="top"/>
          </w:tcPr>
          <w:p>
            <w:pPr>
              <w:topLinePunct/>
              <w:spacing w:line="440" w:lineRule="exact"/>
              <w:rPr>
                <w:rFonts w:hint="eastAsia" w:ascii="宋体" w:hAnsi="宋体" w:cs="宋体"/>
                <w:color w:val="auto"/>
                <w:highlight w:val="none"/>
              </w:rPr>
            </w:pPr>
          </w:p>
        </w:tc>
      </w:tr>
    </w:tbl>
    <w:p>
      <w:pPr>
        <w:spacing w:line="440" w:lineRule="exact"/>
        <w:rPr>
          <w:rFonts w:hint="eastAsia" w:ascii="宋体" w:hAnsi="宋体" w:cs="宋体"/>
          <w:color w:val="auto"/>
          <w:highlight w:val="none"/>
        </w:rPr>
      </w:pPr>
      <w:r>
        <w:rPr>
          <w:rFonts w:hint="eastAsia" w:ascii="宋体" w:hAnsi="宋体" w:cs="宋体"/>
          <w:color w:val="auto"/>
          <w:highlight w:val="none"/>
        </w:rPr>
        <w:t>注：投标人应根据评标办法前附表第2.2.4项说明的要求在本表后附相关证明材料。</w:t>
      </w:r>
    </w:p>
    <w:p>
      <w:pPr>
        <w:spacing w:line="440" w:lineRule="exact"/>
        <w:rPr>
          <w:rFonts w:hint="eastAsia" w:ascii="宋体" w:hAnsi="宋体" w:cs="宋体"/>
          <w:color w:val="auto"/>
          <w:highlight w:val="none"/>
        </w:rPr>
      </w:pPr>
    </w:p>
    <w:p>
      <w:pPr>
        <w:pStyle w:val="16"/>
        <w:rPr>
          <w:rFonts w:hint="eastAsia" w:ascii="宋体" w:hAnsi="宋体" w:cs="宋体"/>
          <w:color w:val="auto"/>
          <w:highlight w:val="none"/>
        </w:rPr>
      </w:pPr>
    </w:p>
    <w:p>
      <w:pPr>
        <w:pStyle w:val="5"/>
        <w:keepNext w:val="0"/>
        <w:keepLines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17" w:name="_Toc20694"/>
      <w:r>
        <w:rPr>
          <w:rFonts w:hint="eastAsia" w:ascii="宋体" w:hAnsi="宋体" w:eastAsia="宋体" w:cs="宋体"/>
          <w:color w:val="auto"/>
          <w:highlight w:val="none"/>
        </w:rPr>
        <w:t>（二）拟委任的主要人员汇总表</w:t>
      </w:r>
      <w:bookmarkEnd w:id="617"/>
    </w:p>
    <w:tbl>
      <w:tblPr>
        <w:tblStyle w:val="2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83"/>
        <w:gridCol w:w="1232"/>
        <w:gridCol w:w="747"/>
        <w:gridCol w:w="606"/>
        <w:gridCol w:w="1407"/>
        <w:gridCol w:w="879"/>
        <w:gridCol w:w="108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restart"/>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583" w:type="dxa"/>
            <w:vMerge w:val="restart"/>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本项目任职</w:t>
            </w:r>
          </w:p>
        </w:tc>
        <w:tc>
          <w:tcPr>
            <w:tcW w:w="1232" w:type="dxa"/>
            <w:vMerge w:val="restart"/>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747" w:type="dxa"/>
            <w:vMerge w:val="restart"/>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职称</w:t>
            </w:r>
          </w:p>
        </w:tc>
        <w:tc>
          <w:tcPr>
            <w:tcW w:w="606" w:type="dxa"/>
            <w:vMerge w:val="restart"/>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专业</w:t>
            </w:r>
          </w:p>
        </w:tc>
        <w:tc>
          <w:tcPr>
            <w:tcW w:w="3370" w:type="dxa"/>
            <w:gridSpan w:val="3"/>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执业或职业资格证明</w:t>
            </w:r>
          </w:p>
        </w:tc>
        <w:tc>
          <w:tcPr>
            <w:tcW w:w="1407" w:type="dxa"/>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continue"/>
            <w:vAlign w:val="center"/>
          </w:tcPr>
          <w:p>
            <w:pPr>
              <w:rPr>
                <w:rFonts w:hint="eastAsia" w:ascii="宋体" w:hAnsi="宋体" w:cs="宋体"/>
                <w:color w:val="auto"/>
                <w:highlight w:val="none"/>
              </w:rPr>
            </w:pPr>
          </w:p>
        </w:tc>
        <w:tc>
          <w:tcPr>
            <w:tcW w:w="1583" w:type="dxa"/>
            <w:vMerge w:val="continue"/>
            <w:vAlign w:val="top"/>
          </w:tcPr>
          <w:p>
            <w:pPr>
              <w:rPr>
                <w:rFonts w:hint="eastAsia" w:ascii="宋体" w:hAnsi="宋体" w:cs="宋体"/>
                <w:color w:val="auto"/>
                <w:highlight w:val="none"/>
              </w:rPr>
            </w:pPr>
          </w:p>
        </w:tc>
        <w:tc>
          <w:tcPr>
            <w:tcW w:w="1232" w:type="dxa"/>
            <w:vMerge w:val="continue"/>
            <w:vAlign w:val="center"/>
          </w:tcPr>
          <w:p>
            <w:pPr>
              <w:rPr>
                <w:rFonts w:hint="eastAsia" w:ascii="宋体" w:hAnsi="宋体" w:cs="宋体"/>
                <w:color w:val="auto"/>
                <w:highlight w:val="none"/>
              </w:rPr>
            </w:pPr>
          </w:p>
        </w:tc>
        <w:tc>
          <w:tcPr>
            <w:tcW w:w="747" w:type="dxa"/>
            <w:vMerge w:val="continue"/>
            <w:vAlign w:val="center"/>
          </w:tcPr>
          <w:p>
            <w:pPr>
              <w:rPr>
                <w:rFonts w:hint="eastAsia" w:ascii="宋体" w:hAnsi="宋体" w:cs="宋体"/>
                <w:color w:val="auto"/>
                <w:highlight w:val="none"/>
              </w:rPr>
            </w:pPr>
          </w:p>
        </w:tc>
        <w:tc>
          <w:tcPr>
            <w:tcW w:w="606" w:type="dxa"/>
            <w:vMerge w:val="continue"/>
            <w:vAlign w:val="center"/>
          </w:tcPr>
          <w:p>
            <w:pPr>
              <w:spacing w:line="440" w:lineRule="exact"/>
              <w:jc w:val="center"/>
              <w:rPr>
                <w:rFonts w:hint="eastAsia" w:ascii="宋体" w:hAnsi="宋体" w:cs="宋体"/>
                <w:color w:val="auto"/>
                <w:highlight w:val="none"/>
              </w:rPr>
            </w:pPr>
          </w:p>
        </w:tc>
        <w:tc>
          <w:tcPr>
            <w:tcW w:w="1407"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证书名称</w:t>
            </w:r>
          </w:p>
        </w:tc>
        <w:tc>
          <w:tcPr>
            <w:tcW w:w="879"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级别</w:t>
            </w:r>
          </w:p>
        </w:tc>
        <w:tc>
          <w:tcPr>
            <w:tcW w:w="1084" w:type="dxa"/>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证号</w:t>
            </w:r>
          </w:p>
        </w:tc>
        <w:tc>
          <w:tcPr>
            <w:tcW w:w="1407" w:type="dxa"/>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center"/>
          </w:tcPr>
          <w:p>
            <w:pPr>
              <w:spacing w:line="440" w:lineRule="exact"/>
              <w:jc w:val="center"/>
              <w:rPr>
                <w:rFonts w:hint="eastAsia" w:ascii="宋体" w:hAnsi="宋体" w:cs="宋体"/>
                <w:color w:val="auto"/>
                <w:highlight w:val="none"/>
              </w:rPr>
            </w:pPr>
          </w:p>
        </w:tc>
        <w:tc>
          <w:tcPr>
            <w:tcW w:w="747" w:type="dxa"/>
            <w:vAlign w:val="center"/>
          </w:tcPr>
          <w:p>
            <w:pPr>
              <w:spacing w:line="440" w:lineRule="exact"/>
              <w:jc w:val="center"/>
              <w:rPr>
                <w:rFonts w:hint="eastAsia" w:ascii="宋体" w:hAnsi="宋体" w:cs="宋体"/>
                <w:color w:val="auto"/>
                <w:highlight w:val="none"/>
              </w:rPr>
            </w:pPr>
          </w:p>
        </w:tc>
        <w:tc>
          <w:tcPr>
            <w:tcW w:w="606" w:type="dxa"/>
            <w:vAlign w:val="center"/>
          </w:tcPr>
          <w:p>
            <w:pPr>
              <w:spacing w:line="440" w:lineRule="exact"/>
              <w:jc w:val="center"/>
              <w:rPr>
                <w:rFonts w:hint="eastAsia" w:ascii="宋体" w:hAnsi="宋体" w:cs="宋体"/>
                <w:color w:val="auto"/>
                <w:highlight w:val="none"/>
              </w:rPr>
            </w:pPr>
          </w:p>
        </w:tc>
        <w:tc>
          <w:tcPr>
            <w:tcW w:w="1407" w:type="dxa"/>
            <w:vAlign w:val="center"/>
          </w:tcPr>
          <w:p>
            <w:pPr>
              <w:spacing w:line="440" w:lineRule="exact"/>
              <w:jc w:val="center"/>
              <w:rPr>
                <w:rFonts w:hint="eastAsia" w:ascii="宋体" w:hAnsi="宋体" w:cs="宋体"/>
                <w:color w:val="auto"/>
                <w:highlight w:val="none"/>
              </w:rPr>
            </w:pPr>
          </w:p>
        </w:tc>
        <w:tc>
          <w:tcPr>
            <w:tcW w:w="879" w:type="dxa"/>
            <w:vAlign w:val="center"/>
          </w:tcPr>
          <w:p>
            <w:pPr>
              <w:spacing w:line="440" w:lineRule="exact"/>
              <w:jc w:val="center"/>
              <w:rPr>
                <w:rFonts w:hint="eastAsia" w:ascii="宋体" w:hAnsi="宋体" w:cs="宋体"/>
                <w:color w:val="auto"/>
                <w:highlight w:val="none"/>
              </w:rPr>
            </w:pPr>
          </w:p>
        </w:tc>
        <w:tc>
          <w:tcPr>
            <w:tcW w:w="1084" w:type="dxa"/>
            <w:vAlign w:val="center"/>
          </w:tcPr>
          <w:p>
            <w:pPr>
              <w:spacing w:line="440" w:lineRule="exact"/>
              <w:jc w:val="center"/>
              <w:rPr>
                <w:rFonts w:hint="eastAsia" w:ascii="宋体" w:hAnsi="宋体" w:cs="宋体"/>
                <w:color w:val="auto"/>
                <w:highlight w:val="none"/>
              </w:rPr>
            </w:pPr>
          </w:p>
        </w:tc>
        <w:tc>
          <w:tcPr>
            <w:tcW w:w="1407" w:type="dxa"/>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color w:val="auto"/>
                <w:highlight w:val="none"/>
              </w:rPr>
            </w:pPr>
          </w:p>
        </w:tc>
        <w:tc>
          <w:tcPr>
            <w:tcW w:w="1583" w:type="dxa"/>
            <w:vAlign w:val="top"/>
          </w:tcPr>
          <w:p>
            <w:pPr>
              <w:spacing w:line="440" w:lineRule="exact"/>
              <w:jc w:val="center"/>
              <w:rPr>
                <w:rFonts w:hint="eastAsia" w:ascii="宋体" w:hAnsi="宋体" w:cs="宋体"/>
                <w:color w:val="auto"/>
                <w:highlight w:val="none"/>
              </w:rPr>
            </w:pPr>
          </w:p>
        </w:tc>
        <w:tc>
          <w:tcPr>
            <w:tcW w:w="1232" w:type="dxa"/>
            <w:vAlign w:val="top"/>
          </w:tcPr>
          <w:p>
            <w:pPr>
              <w:spacing w:line="440" w:lineRule="exact"/>
              <w:jc w:val="center"/>
              <w:rPr>
                <w:rFonts w:hint="eastAsia" w:ascii="宋体" w:hAnsi="宋体" w:cs="宋体"/>
                <w:color w:val="auto"/>
                <w:highlight w:val="none"/>
              </w:rPr>
            </w:pPr>
          </w:p>
        </w:tc>
        <w:tc>
          <w:tcPr>
            <w:tcW w:w="747" w:type="dxa"/>
            <w:vAlign w:val="top"/>
          </w:tcPr>
          <w:p>
            <w:pPr>
              <w:spacing w:line="440" w:lineRule="exact"/>
              <w:jc w:val="center"/>
              <w:rPr>
                <w:rFonts w:hint="eastAsia" w:ascii="宋体" w:hAnsi="宋体" w:cs="宋体"/>
                <w:color w:val="auto"/>
                <w:highlight w:val="none"/>
              </w:rPr>
            </w:pPr>
          </w:p>
        </w:tc>
        <w:tc>
          <w:tcPr>
            <w:tcW w:w="606"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c>
          <w:tcPr>
            <w:tcW w:w="879" w:type="dxa"/>
            <w:vAlign w:val="top"/>
          </w:tcPr>
          <w:p>
            <w:pPr>
              <w:spacing w:line="440" w:lineRule="exact"/>
              <w:jc w:val="center"/>
              <w:rPr>
                <w:rFonts w:hint="eastAsia" w:ascii="宋体" w:hAnsi="宋体" w:cs="宋体"/>
                <w:color w:val="auto"/>
                <w:highlight w:val="none"/>
              </w:rPr>
            </w:pPr>
          </w:p>
        </w:tc>
        <w:tc>
          <w:tcPr>
            <w:tcW w:w="1084" w:type="dxa"/>
            <w:vAlign w:val="top"/>
          </w:tcPr>
          <w:p>
            <w:pPr>
              <w:spacing w:line="440" w:lineRule="exact"/>
              <w:jc w:val="center"/>
              <w:rPr>
                <w:rFonts w:hint="eastAsia" w:ascii="宋体" w:hAnsi="宋体" w:cs="宋体"/>
                <w:color w:val="auto"/>
                <w:highlight w:val="none"/>
              </w:rPr>
            </w:pPr>
          </w:p>
        </w:tc>
        <w:tc>
          <w:tcPr>
            <w:tcW w:w="1407" w:type="dxa"/>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top"/>
          </w:tcPr>
          <w:p>
            <w:pPr>
              <w:spacing w:line="440" w:lineRule="exact"/>
              <w:jc w:val="center"/>
              <w:rPr>
                <w:rFonts w:hint="eastAsia" w:ascii="宋体" w:hAnsi="宋体" w:cs="宋体"/>
                <w:highlight w:val="none"/>
              </w:rPr>
            </w:pPr>
          </w:p>
        </w:tc>
        <w:tc>
          <w:tcPr>
            <w:tcW w:w="1583" w:type="dxa"/>
            <w:vAlign w:val="top"/>
          </w:tcPr>
          <w:p>
            <w:pPr>
              <w:spacing w:line="440" w:lineRule="exact"/>
              <w:jc w:val="center"/>
              <w:rPr>
                <w:rFonts w:hint="eastAsia" w:ascii="宋体" w:hAnsi="宋体" w:cs="宋体"/>
                <w:highlight w:val="none"/>
              </w:rPr>
            </w:pPr>
          </w:p>
        </w:tc>
        <w:tc>
          <w:tcPr>
            <w:tcW w:w="1232" w:type="dxa"/>
            <w:vAlign w:val="top"/>
          </w:tcPr>
          <w:p>
            <w:pPr>
              <w:spacing w:line="440" w:lineRule="exact"/>
              <w:jc w:val="center"/>
              <w:rPr>
                <w:rFonts w:hint="eastAsia" w:ascii="宋体" w:hAnsi="宋体" w:cs="宋体"/>
                <w:highlight w:val="none"/>
              </w:rPr>
            </w:pPr>
          </w:p>
        </w:tc>
        <w:tc>
          <w:tcPr>
            <w:tcW w:w="747" w:type="dxa"/>
            <w:vAlign w:val="top"/>
          </w:tcPr>
          <w:p>
            <w:pPr>
              <w:spacing w:line="440" w:lineRule="exact"/>
              <w:jc w:val="center"/>
              <w:rPr>
                <w:rFonts w:hint="eastAsia" w:ascii="宋体" w:hAnsi="宋体" w:cs="宋体"/>
                <w:highlight w:val="none"/>
              </w:rPr>
            </w:pPr>
          </w:p>
        </w:tc>
        <w:tc>
          <w:tcPr>
            <w:tcW w:w="606" w:type="dxa"/>
            <w:vAlign w:val="top"/>
          </w:tcPr>
          <w:p>
            <w:pPr>
              <w:spacing w:line="440" w:lineRule="exact"/>
              <w:jc w:val="center"/>
              <w:rPr>
                <w:rFonts w:hint="eastAsia" w:ascii="宋体" w:hAnsi="宋体" w:cs="宋体"/>
                <w:highlight w:val="none"/>
              </w:rPr>
            </w:pPr>
          </w:p>
        </w:tc>
        <w:tc>
          <w:tcPr>
            <w:tcW w:w="1407" w:type="dxa"/>
            <w:vAlign w:val="top"/>
          </w:tcPr>
          <w:p>
            <w:pPr>
              <w:spacing w:line="440" w:lineRule="exact"/>
              <w:jc w:val="center"/>
              <w:rPr>
                <w:rFonts w:hint="eastAsia" w:ascii="宋体" w:hAnsi="宋体" w:cs="宋体"/>
                <w:highlight w:val="none"/>
              </w:rPr>
            </w:pPr>
          </w:p>
        </w:tc>
        <w:tc>
          <w:tcPr>
            <w:tcW w:w="879" w:type="dxa"/>
            <w:vAlign w:val="top"/>
          </w:tcPr>
          <w:p>
            <w:pPr>
              <w:spacing w:line="440" w:lineRule="exact"/>
              <w:jc w:val="center"/>
              <w:rPr>
                <w:rFonts w:hint="eastAsia" w:ascii="宋体" w:hAnsi="宋体" w:cs="宋体"/>
                <w:highlight w:val="none"/>
              </w:rPr>
            </w:pPr>
          </w:p>
        </w:tc>
        <w:tc>
          <w:tcPr>
            <w:tcW w:w="1084" w:type="dxa"/>
            <w:vAlign w:val="top"/>
          </w:tcPr>
          <w:p>
            <w:pPr>
              <w:spacing w:line="440" w:lineRule="exact"/>
              <w:jc w:val="center"/>
              <w:rPr>
                <w:rFonts w:hint="eastAsia" w:ascii="宋体" w:hAnsi="宋体" w:cs="宋体"/>
                <w:highlight w:val="none"/>
              </w:rPr>
            </w:pPr>
          </w:p>
        </w:tc>
        <w:tc>
          <w:tcPr>
            <w:tcW w:w="1407" w:type="dxa"/>
            <w:vAlign w:val="top"/>
          </w:tcPr>
          <w:p>
            <w:pPr>
              <w:spacing w:line="440" w:lineRule="exact"/>
              <w:jc w:val="center"/>
              <w:rPr>
                <w:rFonts w:hint="eastAsia" w:ascii="宋体" w:hAnsi="宋体" w:cs="宋体"/>
                <w:highlight w:val="none"/>
              </w:rPr>
            </w:pPr>
          </w:p>
        </w:tc>
      </w:tr>
    </w:tbl>
    <w:p>
      <w:pPr>
        <w:pStyle w:val="5"/>
        <w:keepNext w:val="0"/>
        <w:keepLines w:val="0"/>
        <w:ind w:firstLine="137"/>
        <w:jc w:val="center"/>
        <w:rPr>
          <w:rFonts w:hint="eastAsia" w:ascii="宋体" w:hAnsi="宋体" w:eastAsia="宋体" w:cs="宋体"/>
          <w:highlight w:val="none"/>
        </w:rPr>
      </w:pPr>
    </w:p>
    <w:p>
      <w:pPr>
        <w:pStyle w:val="5"/>
        <w:keepNext w:val="0"/>
        <w:keepLines w:val="0"/>
        <w:ind w:firstLine="137"/>
        <w:jc w:val="center"/>
        <w:rPr>
          <w:rFonts w:hint="eastAsia" w:ascii="宋体" w:hAnsi="宋体" w:eastAsia="宋体" w:cs="宋体"/>
          <w:highlight w:val="none"/>
        </w:rPr>
      </w:pPr>
    </w:p>
    <w:p>
      <w:pPr>
        <w:pStyle w:val="5"/>
        <w:keepNext w:val="0"/>
        <w:keepLines w:val="0"/>
        <w:ind w:firstLine="137"/>
        <w:jc w:val="center"/>
        <w:rPr>
          <w:rFonts w:hint="eastAsia" w:ascii="宋体" w:hAnsi="宋体" w:eastAsia="宋体" w:cs="宋体"/>
          <w:highlight w:val="none"/>
        </w:rPr>
      </w:pPr>
      <w:r>
        <w:rPr>
          <w:rFonts w:hint="eastAsia" w:ascii="宋体" w:hAnsi="宋体" w:eastAsia="宋体" w:cs="宋体"/>
          <w:highlight w:val="none"/>
        </w:rPr>
        <w:br w:type="page"/>
      </w:r>
      <w:bookmarkStart w:id="618" w:name="_Toc1852"/>
      <w:r>
        <w:rPr>
          <w:rFonts w:hint="eastAsia" w:ascii="宋体" w:hAnsi="宋体" w:eastAsia="宋体" w:cs="宋体"/>
          <w:highlight w:val="none"/>
        </w:rPr>
        <w:t>（三）主要人员简历表</w:t>
      </w:r>
      <w:bookmarkEnd w:id="618"/>
    </w:p>
    <w:tbl>
      <w:tblPr>
        <w:tblStyle w:val="2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416"/>
        <w:gridCol w:w="809"/>
        <w:gridCol w:w="1117"/>
        <w:gridCol w:w="1245"/>
        <w:gridCol w:w="825"/>
        <w:gridCol w:w="1474"/>
        <w:gridCol w:w="46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85" w:type="dxa"/>
            <w:vAlign w:val="center"/>
          </w:tcPr>
          <w:p>
            <w:pPr>
              <w:spacing w:line="440" w:lineRule="exact"/>
              <w:jc w:val="center"/>
              <w:rPr>
                <w:rFonts w:hint="eastAsia" w:ascii="宋体" w:hAnsi="宋体" w:cs="宋体"/>
                <w:highlight w:val="none"/>
              </w:rPr>
            </w:pPr>
            <w:r>
              <w:rPr>
                <w:rFonts w:hint="eastAsia" w:ascii="宋体" w:hAnsi="宋体" w:cs="宋体"/>
                <w:highlight w:val="none"/>
              </w:rPr>
              <w:t>姓  名</w:t>
            </w:r>
          </w:p>
        </w:tc>
        <w:tc>
          <w:tcPr>
            <w:tcW w:w="1225" w:type="dxa"/>
            <w:gridSpan w:val="2"/>
            <w:vAlign w:val="center"/>
          </w:tcPr>
          <w:p>
            <w:pPr>
              <w:spacing w:line="440" w:lineRule="exact"/>
              <w:jc w:val="center"/>
              <w:rPr>
                <w:rFonts w:hint="eastAsia" w:ascii="宋体" w:hAnsi="宋体" w:cs="宋体"/>
                <w:highlight w:val="none"/>
              </w:rPr>
            </w:pPr>
          </w:p>
        </w:tc>
        <w:tc>
          <w:tcPr>
            <w:tcW w:w="1117" w:type="dxa"/>
            <w:vAlign w:val="center"/>
          </w:tcPr>
          <w:p>
            <w:pPr>
              <w:spacing w:line="440" w:lineRule="exact"/>
              <w:jc w:val="center"/>
              <w:rPr>
                <w:rFonts w:hint="eastAsia" w:ascii="宋体" w:hAnsi="宋体" w:cs="宋体"/>
                <w:highlight w:val="none"/>
              </w:rPr>
            </w:pPr>
            <w:r>
              <w:rPr>
                <w:rFonts w:hint="eastAsia" w:ascii="宋体" w:hAnsi="宋体" w:cs="宋体"/>
                <w:highlight w:val="none"/>
              </w:rPr>
              <w:t>年龄</w:t>
            </w:r>
          </w:p>
        </w:tc>
        <w:tc>
          <w:tcPr>
            <w:tcW w:w="1245" w:type="dxa"/>
            <w:vAlign w:val="center"/>
          </w:tcPr>
          <w:p>
            <w:pPr>
              <w:spacing w:line="440" w:lineRule="exact"/>
              <w:jc w:val="center"/>
              <w:rPr>
                <w:rFonts w:hint="eastAsia" w:ascii="宋体" w:hAnsi="宋体" w:cs="宋体"/>
                <w:highlight w:val="none"/>
              </w:rPr>
            </w:pPr>
          </w:p>
        </w:tc>
        <w:tc>
          <w:tcPr>
            <w:tcW w:w="2767" w:type="dxa"/>
            <w:gridSpan w:val="3"/>
            <w:vAlign w:val="center"/>
          </w:tcPr>
          <w:p>
            <w:pPr>
              <w:spacing w:line="440" w:lineRule="exact"/>
              <w:jc w:val="center"/>
              <w:rPr>
                <w:rFonts w:hint="eastAsia" w:ascii="宋体" w:hAnsi="宋体" w:cs="宋体"/>
                <w:highlight w:val="none"/>
              </w:rPr>
            </w:pPr>
            <w:r>
              <w:rPr>
                <w:rFonts w:hint="eastAsia" w:ascii="宋体" w:hAnsi="宋体" w:cs="宋体"/>
                <w:highlight w:val="none"/>
              </w:rPr>
              <w:t>执业资格证书（或上岗证书）名称</w:t>
            </w:r>
          </w:p>
        </w:tc>
        <w:tc>
          <w:tcPr>
            <w:tcW w:w="2219" w:type="dxa"/>
            <w:vAlign w:val="center"/>
          </w:tcPr>
          <w:p>
            <w:pPr>
              <w:spacing w:line="44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5" w:type="dxa"/>
            <w:vAlign w:val="center"/>
          </w:tcPr>
          <w:p>
            <w:pPr>
              <w:spacing w:line="440" w:lineRule="exact"/>
              <w:jc w:val="center"/>
              <w:rPr>
                <w:rFonts w:hint="eastAsia" w:ascii="宋体" w:hAnsi="宋体" w:cs="宋体"/>
                <w:highlight w:val="none"/>
              </w:rPr>
            </w:pPr>
            <w:r>
              <w:rPr>
                <w:rFonts w:hint="eastAsia" w:ascii="宋体" w:hAnsi="宋体" w:cs="宋体"/>
                <w:highlight w:val="none"/>
              </w:rPr>
              <w:t>职  称</w:t>
            </w:r>
          </w:p>
        </w:tc>
        <w:tc>
          <w:tcPr>
            <w:tcW w:w="1225" w:type="dxa"/>
            <w:gridSpan w:val="2"/>
            <w:vAlign w:val="center"/>
          </w:tcPr>
          <w:p>
            <w:pPr>
              <w:spacing w:line="440" w:lineRule="exact"/>
              <w:jc w:val="center"/>
              <w:rPr>
                <w:rFonts w:hint="eastAsia" w:ascii="宋体" w:hAnsi="宋体" w:cs="宋体"/>
                <w:highlight w:val="none"/>
              </w:rPr>
            </w:pPr>
          </w:p>
        </w:tc>
        <w:tc>
          <w:tcPr>
            <w:tcW w:w="1117" w:type="dxa"/>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学历</w:t>
            </w:r>
          </w:p>
        </w:tc>
        <w:tc>
          <w:tcPr>
            <w:tcW w:w="1245" w:type="dxa"/>
            <w:vAlign w:val="center"/>
          </w:tcPr>
          <w:p>
            <w:pPr>
              <w:spacing w:line="440" w:lineRule="exact"/>
              <w:jc w:val="center"/>
              <w:rPr>
                <w:rFonts w:hint="eastAsia" w:ascii="宋体" w:hAnsi="宋体" w:cs="宋体"/>
                <w:highlight w:val="none"/>
              </w:rPr>
            </w:pPr>
          </w:p>
        </w:tc>
        <w:tc>
          <w:tcPr>
            <w:tcW w:w="2767" w:type="dxa"/>
            <w:gridSpan w:val="3"/>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拟在本项目任职</w:t>
            </w:r>
          </w:p>
        </w:tc>
        <w:tc>
          <w:tcPr>
            <w:tcW w:w="2219" w:type="dxa"/>
            <w:vAlign w:val="center"/>
          </w:tcPr>
          <w:p>
            <w:pPr>
              <w:spacing w:line="44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5" w:type="dxa"/>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工作年限</w:t>
            </w:r>
          </w:p>
        </w:tc>
        <w:tc>
          <w:tcPr>
            <w:tcW w:w="3587" w:type="dxa"/>
            <w:gridSpan w:val="4"/>
            <w:vAlign w:val="center"/>
          </w:tcPr>
          <w:p>
            <w:pPr>
              <w:spacing w:line="440" w:lineRule="exact"/>
              <w:jc w:val="center"/>
              <w:rPr>
                <w:rFonts w:hint="eastAsia" w:ascii="宋体" w:hAnsi="宋体" w:cs="宋体"/>
                <w:highlight w:val="none"/>
              </w:rPr>
            </w:pPr>
          </w:p>
        </w:tc>
        <w:tc>
          <w:tcPr>
            <w:tcW w:w="2767" w:type="dxa"/>
            <w:gridSpan w:val="3"/>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从事监理工作年限</w:t>
            </w:r>
          </w:p>
        </w:tc>
        <w:tc>
          <w:tcPr>
            <w:tcW w:w="2219" w:type="dxa"/>
            <w:vAlign w:val="center"/>
          </w:tcPr>
          <w:p>
            <w:pPr>
              <w:spacing w:line="44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5" w:type="dxa"/>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毕业学校</w:t>
            </w:r>
          </w:p>
        </w:tc>
        <w:tc>
          <w:tcPr>
            <w:tcW w:w="8573" w:type="dxa"/>
            <w:gridSpan w:val="8"/>
            <w:vAlign w:val="center"/>
          </w:tcPr>
          <w:p>
            <w:pPr>
              <w:spacing w:before="100" w:beforeAutospacing="1" w:after="100" w:afterAutospacing="1" w:line="440" w:lineRule="exact"/>
              <w:ind w:firstLine="1155" w:firstLineChars="550"/>
              <w:rPr>
                <w:rFonts w:hint="eastAsia" w:ascii="宋体" w:hAnsi="宋体" w:cs="宋体"/>
                <w:highlight w:val="none"/>
              </w:rPr>
            </w:pPr>
            <w:r>
              <w:rPr>
                <w:rFonts w:hint="eastAsia" w:ascii="宋体" w:hAnsi="宋体" w:cs="宋体"/>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8" w:type="dxa"/>
            <w:gridSpan w:val="9"/>
            <w:vAlign w:val="center"/>
          </w:tcPr>
          <w:p>
            <w:pPr>
              <w:spacing w:before="100" w:beforeAutospacing="1" w:after="100" w:afterAutospacing="1" w:line="440" w:lineRule="exact"/>
              <w:jc w:val="left"/>
              <w:rPr>
                <w:rFonts w:hint="eastAsia" w:ascii="宋体" w:hAnsi="宋体" w:cs="宋体"/>
                <w:highlight w:val="none"/>
              </w:rPr>
            </w:pPr>
            <w:r>
              <w:rPr>
                <w:rFonts w:hint="eastAsia" w:ascii="宋体" w:hAnsi="宋体" w:cs="宋体"/>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01" w:type="dxa"/>
            <w:gridSpan w:val="2"/>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时  间</w:t>
            </w:r>
          </w:p>
        </w:tc>
        <w:tc>
          <w:tcPr>
            <w:tcW w:w="3996" w:type="dxa"/>
            <w:gridSpan w:val="4"/>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参加过的类似项目</w:t>
            </w:r>
          </w:p>
        </w:tc>
        <w:tc>
          <w:tcPr>
            <w:tcW w:w="1474" w:type="dxa"/>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担任职务</w:t>
            </w:r>
          </w:p>
        </w:tc>
        <w:tc>
          <w:tcPr>
            <w:tcW w:w="2687" w:type="dxa"/>
            <w:gridSpan w:val="2"/>
            <w:vAlign w:val="center"/>
          </w:tcPr>
          <w:p>
            <w:pPr>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top"/>
          </w:tcPr>
          <w:p>
            <w:pPr>
              <w:spacing w:line="440" w:lineRule="exact"/>
              <w:rPr>
                <w:rFonts w:hint="eastAsia" w:ascii="宋体" w:hAnsi="宋体" w:cs="宋体"/>
                <w:highlight w:val="none"/>
              </w:rPr>
            </w:pPr>
          </w:p>
        </w:tc>
        <w:tc>
          <w:tcPr>
            <w:tcW w:w="3996" w:type="dxa"/>
            <w:gridSpan w:val="4"/>
            <w:vAlign w:val="top"/>
          </w:tcPr>
          <w:p>
            <w:pPr>
              <w:spacing w:line="440" w:lineRule="exact"/>
              <w:rPr>
                <w:rFonts w:hint="eastAsia" w:ascii="宋体" w:hAnsi="宋体" w:cs="宋体"/>
                <w:highlight w:val="none"/>
              </w:rPr>
            </w:pPr>
          </w:p>
        </w:tc>
        <w:tc>
          <w:tcPr>
            <w:tcW w:w="1474" w:type="dxa"/>
            <w:vAlign w:val="top"/>
          </w:tcPr>
          <w:p>
            <w:pPr>
              <w:spacing w:line="440" w:lineRule="exact"/>
              <w:rPr>
                <w:rFonts w:hint="eastAsia" w:ascii="宋体" w:hAnsi="宋体" w:cs="宋体"/>
                <w:highlight w:val="none"/>
              </w:rPr>
            </w:pPr>
          </w:p>
        </w:tc>
        <w:tc>
          <w:tcPr>
            <w:tcW w:w="2687" w:type="dxa"/>
            <w:gridSpan w:val="2"/>
            <w:vAlign w:val="top"/>
          </w:tcPr>
          <w:p>
            <w:pPr>
              <w:spacing w:line="440" w:lineRule="exact"/>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top"/>
          </w:tcPr>
          <w:p>
            <w:pPr>
              <w:spacing w:line="440" w:lineRule="exact"/>
              <w:rPr>
                <w:rFonts w:hint="eastAsia" w:ascii="宋体" w:hAnsi="宋体" w:cs="宋体"/>
                <w:highlight w:val="none"/>
              </w:rPr>
            </w:pPr>
          </w:p>
        </w:tc>
        <w:tc>
          <w:tcPr>
            <w:tcW w:w="3996" w:type="dxa"/>
            <w:gridSpan w:val="4"/>
            <w:vAlign w:val="top"/>
          </w:tcPr>
          <w:p>
            <w:pPr>
              <w:spacing w:line="440" w:lineRule="exact"/>
              <w:rPr>
                <w:rFonts w:hint="eastAsia" w:ascii="宋体" w:hAnsi="宋体" w:cs="宋体"/>
                <w:highlight w:val="none"/>
              </w:rPr>
            </w:pPr>
          </w:p>
        </w:tc>
        <w:tc>
          <w:tcPr>
            <w:tcW w:w="1474" w:type="dxa"/>
            <w:vAlign w:val="top"/>
          </w:tcPr>
          <w:p>
            <w:pPr>
              <w:spacing w:line="440" w:lineRule="exact"/>
              <w:rPr>
                <w:rFonts w:hint="eastAsia" w:ascii="宋体" w:hAnsi="宋体" w:cs="宋体"/>
                <w:highlight w:val="none"/>
              </w:rPr>
            </w:pPr>
          </w:p>
        </w:tc>
        <w:tc>
          <w:tcPr>
            <w:tcW w:w="2687" w:type="dxa"/>
            <w:gridSpan w:val="2"/>
            <w:vAlign w:val="top"/>
          </w:tcPr>
          <w:p>
            <w:pPr>
              <w:spacing w:line="440" w:lineRule="exact"/>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top"/>
          </w:tcPr>
          <w:p>
            <w:pPr>
              <w:spacing w:line="440" w:lineRule="exact"/>
              <w:rPr>
                <w:rFonts w:hint="eastAsia" w:ascii="宋体" w:hAnsi="宋体" w:cs="宋体"/>
                <w:highlight w:val="none"/>
              </w:rPr>
            </w:pPr>
          </w:p>
        </w:tc>
        <w:tc>
          <w:tcPr>
            <w:tcW w:w="3996" w:type="dxa"/>
            <w:gridSpan w:val="4"/>
            <w:vAlign w:val="top"/>
          </w:tcPr>
          <w:p>
            <w:pPr>
              <w:spacing w:line="440" w:lineRule="exact"/>
              <w:rPr>
                <w:rFonts w:hint="eastAsia" w:ascii="宋体" w:hAnsi="宋体" w:cs="宋体"/>
                <w:highlight w:val="none"/>
              </w:rPr>
            </w:pPr>
          </w:p>
        </w:tc>
        <w:tc>
          <w:tcPr>
            <w:tcW w:w="1474" w:type="dxa"/>
            <w:vAlign w:val="top"/>
          </w:tcPr>
          <w:p>
            <w:pPr>
              <w:spacing w:line="440" w:lineRule="exact"/>
              <w:rPr>
                <w:rFonts w:hint="eastAsia" w:ascii="宋体" w:hAnsi="宋体" w:cs="宋体"/>
                <w:highlight w:val="none"/>
              </w:rPr>
            </w:pPr>
          </w:p>
        </w:tc>
        <w:tc>
          <w:tcPr>
            <w:tcW w:w="2687" w:type="dxa"/>
            <w:gridSpan w:val="2"/>
            <w:vAlign w:val="top"/>
          </w:tcPr>
          <w:p>
            <w:pPr>
              <w:spacing w:line="440" w:lineRule="exact"/>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highlight w:val="none"/>
              </w:rPr>
            </w:pPr>
          </w:p>
        </w:tc>
        <w:tc>
          <w:tcPr>
            <w:tcW w:w="3996" w:type="dxa"/>
            <w:gridSpan w:val="4"/>
            <w:vAlign w:val="center"/>
          </w:tcPr>
          <w:p>
            <w:pPr>
              <w:spacing w:line="440" w:lineRule="exact"/>
              <w:rPr>
                <w:rFonts w:hint="eastAsia" w:ascii="宋体" w:hAnsi="宋体" w:cs="宋体"/>
                <w:highlight w:val="none"/>
              </w:rPr>
            </w:pPr>
          </w:p>
        </w:tc>
        <w:tc>
          <w:tcPr>
            <w:tcW w:w="1474" w:type="dxa"/>
            <w:vAlign w:val="center"/>
          </w:tcPr>
          <w:p>
            <w:pPr>
              <w:spacing w:line="440" w:lineRule="exact"/>
              <w:rPr>
                <w:rFonts w:hint="eastAsia" w:ascii="宋体" w:hAnsi="宋体" w:cs="宋体"/>
                <w:highlight w:val="none"/>
              </w:rPr>
            </w:pPr>
          </w:p>
        </w:tc>
        <w:tc>
          <w:tcPr>
            <w:tcW w:w="2687" w:type="dxa"/>
            <w:gridSpan w:val="2"/>
            <w:vAlign w:val="center"/>
          </w:tcPr>
          <w:p>
            <w:pPr>
              <w:spacing w:line="440" w:lineRule="exact"/>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highlight w:val="none"/>
              </w:rPr>
            </w:pPr>
          </w:p>
        </w:tc>
        <w:tc>
          <w:tcPr>
            <w:tcW w:w="3996" w:type="dxa"/>
            <w:gridSpan w:val="4"/>
            <w:vAlign w:val="center"/>
          </w:tcPr>
          <w:p>
            <w:pPr>
              <w:spacing w:line="440" w:lineRule="exact"/>
              <w:rPr>
                <w:rFonts w:hint="eastAsia" w:ascii="宋体" w:hAnsi="宋体" w:cs="宋体"/>
                <w:highlight w:val="none"/>
              </w:rPr>
            </w:pPr>
          </w:p>
        </w:tc>
        <w:tc>
          <w:tcPr>
            <w:tcW w:w="1474" w:type="dxa"/>
            <w:vAlign w:val="center"/>
          </w:tcPr>
          <w:p>
            <w:pPr>
              <w:spacing w:line="440" w:lineRule="exact"/>
              <w:rPr>
                <w:rFonts w:hint="eastAsia" w:ascii="宋体" w:hAnsi="宋体" w:cs="宋体"/>
                <w:highlight w:val="none"/>
              </w:rPr>
            </w:pPr>
          </w:p>
        </w:tc>
        <w:tc>
          <w:tcPr>
            <w:tcW w:w="2687" w:type="dxa"/>
            <w:gridSpan w:val="2"/>
            <w:vAlign w:val="center"/>
          </w:tcPr>
          <w:p>
            <w:pPr>
              <w:spacing w:line="440" w:lineRule="exact"/>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highlight w:val="none"/>
              </w:rPr>
            </w:pPr>
          </w:p>
        </w:tc>
        <w:tc>
          <w:tcPr>
            <w:tcW w:w="3996" w:type="dxa"/>
            <w:gridSpan w:val="4"/>
            <w:vAlign w:val="center"/>
          </w:tcPr>
          <w:p>
            <w:pPr>
              <w:spacing w:line="440" w:lineRule="exact"/>
              <w:rPr>
                <w:rFonts w:hint="eastAsia" w:ascii="宋体" w:hAnsi="宋体" w:cs="宋体"/>
                <w:highlight w:val="none"/>
              </w:rPr>
            </w:pPr>
          </w:p>
        </w:tc>
        <w:tc>
          <w:tcPr>
            <w:tcW w:w="1474" w:type="dxa"/>
            <w:vAlign w:val="center"/>
          </w:tcPr>
          <w:p>
            <w:pPr>
              <w:spacing w:line="440" w:lineRule="exact"/>
              <w:rPr>
                <w:rFonts w:hint="eastAsia" w:ascii="宋体" w:hAnsi="宋体" w:cs="宋体"/>
                <w:highlight w:val="none"/>
              </w:rPr>
            </w:pPr>
          </w:p>
        </w:tc>
        <w:tc>
          <w:tcPr>
            <w:tcW w:w="2687" w:type="dxa"/>
            <w:gridSpan w:val="2"/>
            <w:vAlign w:val="center"/>
          </w:tcPr>
          <w:p>
            <w:pPr>
              <w:spacing w:line="440" w:lineRule="exact"/>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1" w:type="dxa"/>
            <w:gridSpan w:val="2"/>
            <w:vAlign w:val="center"/>
          </w:tcPr>
          <w:p>
            <w:pPr>
              <w:spacing w:line="440" w:lineRule="exact"/>
              <w:rPr>
                <w:rFonts w:hint="eastAsia" w:ascii="宋体" w:hAnsi="宋体" w:cs="宋体"/>
                <w:highlight w:val="none"/>
              </w:rPr>
            </w:pPr>
          </w:p>
        </w:tc>
        <w:tc>
          <w:tcPr>
            <w:tcW w:w="3996" w:type="dxa"/>
            <w:gridSpan w:val="4"/>
            <w:vAlign w:val="center"/>
          </w:tcPr>
          <w:p>
            <w:pPr>
              <w:spacing w:line="440" w:lineRule="exact"/>
              <w:rPr>
                <w:rFonts w:hint="eastAsia" w:ascii="宋体" w:hAnsi="宋体" w:cs="宋体"/>
                <w:highlight w:val="none"/>
              </w:rPr>
            </w:pPr>
          </w:p>
        </w:tc>
        <w:tc>
          <w:tcPr>
            <w:tcW w:w="1474" w:type="dxa"/>
            <w:vAlign w:val="center"/>
          </w:tcPr>
          <w:p>
            <w:pPr>
              <w:spacing w:line="440" w:lineRule="exact"/>
              <w:rPr>
                <w:rFonts w:hint="eastAsia" w:ascii="宋体" w:hAnsi="宋体" w:cs="宋体"/>
                <w:highlight w:val="none"/>
              </w:rPr>
            </w:pPr>
          </w:p>
        </w:tc>
        <w:tc>
          <w:tcPr>
            <w:tcW w:w="2687" w:type="dxa"/>
            <w:gridSpan w:val="2"/>
            <w:vAlign w:val="center"/>
          </w:tcPr>
          <w:p>
            <w:pPr>
              <w:spacing w:line="440" w:lineRule="exact"/>
              <w:rPr>
                <w:rFonts w:hint="eastAsia" w:ascii="宋体" w:hAnsi="宋体" w:cs="宋体"/>
                <w:highlight w:val="none"/>
              </w:rPr>
            </w:pPr>
          </w:p>
        </w:tc>
      </w:tr>
    </w:tbl>
    <w:p>
      <w:pPr>
        <w:spacing w:line="440" w:lineRule="exact"/>
        <w:rPr>
          <w:rFonts w:hint="eastAsia" w:ascii="宋体" w:hAnsi="宋体" w:cs="宋体"/>
          <w:highlight w:val="none"/>
        </w:rPr>
      </w:pPr>
      <w:r>
        <w:rPr>
          <w:rFonts w:hint="eastAsia" w:ascii="宋体" w:hAnsi="宋体" w:cs="宋体"/>
          <w:highlight w:val="none"/>
        </w:rPr>
        <w:t>注：投标人应根据评标办法前附表第2.2.4项说明的要求在本表后附相关证明材料。</w:t>
      </w:r>
    </w:p>
    <w:p>
      <w:pPr>
        <w:pStyle w:val="5"/>
        <w:keepNext w:val="0"/>
        <w:keepLines w:val="0"/>
        <w:ind w:firstLine="137"/>
        <w:rPr>
          <w:rFonts w:hint="eastAsia" w:ascii="宋体" w:hAnsi="宋体" w:eastAsia="宋体" w:cs="宋体"/>
          <w:highlight w:val="none"/>
        </w:rPr>
      </w:pPr>
    </w:p>
    <w:p>
      <w:pPr>
        <w:pStyle w:val="5"/>
        <w:keepNext w:val="0"/>
        <w:keepLines w:val="0"/>
        <w:ind w:firstLine="137"/>
        <w:rPr>
          <w:rFonts w:hint="eastAsia" w:ascii="宋体" w:hAnsi="宋体" w:eastAsia="宋体" w:cs="宋体"/>
          <w:highlight w:val="none"/>
        </w:rPr>
      </w:pPr>
    </w:p>
    <w:p>
      <w:pPr>
        <w:pStyle w:val="5"/>
        <w:keepNext w:val="0"/>
        <w:keepLines w:val="0"/>
        <w:ind w:firstLine="137"/>
        <w:jc w:val="center"/>
        <w:rPr>
          <w:rFonts w:hint="eastAsia" w:ascii="宋体" w:hAnsi="宋体" w:eastAsia="宋体" w:cs="宋体"/>
          <w:highlight w:val="none"/>
        </w:rPr>
      </w:pPr>
      <w:r>
        <w:rPr>
          <w:rFonts w:hint="eastAsia" w:ascii="宋体" w:hAnsi="宋体" w:eastAsia="宋体" w:cs="宋体"/>
          <w:highlight w:val="none"/>
        </w:rPr>
        <w:br w:type="page"/>
      </w:r>
      <w:bookmarkStart w:id="619" w:name="_Toc11079"/>
      <w:r>
        <w:rPr>
          <w:rFonts w:hint="eastAsia" w:ascii="宋体" w:hAnsi="宋体" w:eastAsia="宋体" w:cs="宋体"/>
          <w:highlight w:val="none"/>
        </w:rPr>
        <w:t>（四）拟投入本项目的主要试验检测仪器设备表</w:t>
      </w:r>
      <w:bookmarkEnd w:id="619"/>
    </w:p>
    <w:tbl>
      <w:tblPr>
        <w:tblStyle w:val="24"/>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7"/>
        <w:gridCol w:w="1147"/>
        <w:gridCol w:w="916"/>
        <w:gridCol w:w="1044"/>
        <w:gridCol w:w="1217"/>
        <w:gridCol w:w="174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92" w:type="dxa"/>
            <w:vAlign w:val="center"/>
          </w:tcPr>
          <w:p>
            <w:pPr>
              <w:spacing w:line="440" w:lineRule="exact"/>
              <w:rPr>
                <w:rFonts w:hint="eastAsia" w:ascii="宋体" w:hAnsi="宋体" w:cs="宋体"/>
                <w:szCs w:val="21"/>
                <w:highlight w:val="none"/>
              </w:rPr>
            </w:pPr>
            <w:r>
              <w:rPr>
                <w:rFonts w:hint="eastAsia" w:ascii="宋体" w:hAnsi="宋体" w:cs="宋体"/>
                <w:szCs w:val="21"/>
                <w:highlight w:val="none"/>
              </w:rPr>
              <w:t>序号</w:t>
            </w:r>
          </w:p>
        </w:tc>
        <w:tc>
          <w:tcPr>
            <w:tcW w:w="1567"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仪器设备</w:t>
            </w:r>
          </w:p>
          <w:p>
            <w:pPr>
              <w:spacing w:line="440" w:lineRule="exact"/>
              <w:jc w:val="center"/>
              <w:rPr>
                <w:rFonts w:hint="eastAsia" w:ascii="宋体" w:hAnsi="宋体" w:cs="宋体"/>
                <w:szCs w:val="21"/>
                <w:highlight w:val="none"/>
              </w:rPr>
            </w:pPr>
            <w:r>
              <w:rPr>
                <w:rFonts w:hint="eastAsia" w:ascii="宋体" w:hAnsi="宋体" w:cs="宋体"/>
                <w:szCs w:val="21"/>
                <w:highlight w:val="none"/>
              </w:rPr>
              <w:t>名称</w:t>
            </w:r>
          </w:p>
        </w:tc>
        <w:tc>
          <w:tcPr>
            <w:tcW w:w="1147"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型号</w:t>
            </w:r>
          </w:p>
          <w:p>
            <w:pPr>
              <w:spacing w:line="440" w:lineRule="exact"/>
              <w:jc w:val="center"/>
              <w:rPr>
                <w:rFonts w:hint="eastAsia" w:ascii="宋体" w:hAnsi="宋体" w:cs="宋体"/>
                <w:szCs w:val="21"/>
                <w:highlight w:val="none"/>
              </w:rPr>
            </w:pPr>
            <w:r>
              <w:rPr>
                <w:rFonts w:hint="eastAsia" w:ascii="宋体" w:hAnsi="宋体" w:cs="宋体"/>
                <w:szCs w:val="21"/>
                <w:highlight w:val="none"/>
              </w:rPr>
              <w:t>规格</w:t>
            </w:r>
          </w:p>
        </w:tc>
        <w:tc>
          <w:tcPr>
            <w:tcW w:w="916"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1044"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国别</w:t>
            </w:r>
          </w:p>
          <w:p>
            <w:pPr>
              <w:spacing w:line="440" w:lineRule="exact"/>
              <w:jc w:val="center"/>
              <w:rPr>
                <w:rFonts w:hint="eastAsia" w:ascii="宋体" w:hAnsi="宋体" w:cs="宋体"/>
                <w:szCs w:val="21"/>
                <w:highlight w:val="none"/>
              </w:rPr>
            </w:pPr>
            <w:r>
              <w:rPr>
                <w:rFonts w:hint="eastAsia" w:ascii="宋体" w:hAnsi="宋体" w:cs="宋体"/>
                <w:szCs w:val="21"/>
                <w:highlight w:val="none"/>
              </w:rPr>
              <w:t>产地</w:t>
            </w:r>
          </w:p>
        </w:tc>
        <w:tc>
          <w:tcPr>
            <w:tcW w:w="1217"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制造</w:t>
            </w:r>
          </w:p>
          <w:p>
            <w:pPr>
              <w:spacing w:line="440" w:lineRule="exact"/>
              <w:jc w:val="center"/>
              <w:rPr>
                <w:rFonts w:hint="eastAsia" w:ascii="宋体" w:hAnsi="宋体" w:cs="宋体"/>
                <w:szCs w:val="21"/>
                <w:highlight w:val="none"/>
              </w:rPr>
            </w:pPr>
            <w:r>
              <w:rPr>
                <w:rFonts w:hint="eastAsia" w:ascii="宋体" w:hAnsi="宋体" w:cs="宋体"/>
                <w:szCs w:val="21"/>
                <w:highlight w:val="none"/>
              </w:rPr>
              <w:t>年份</w:t>
            </w:r>
          </w:p>
        </w:tc>
        <w:tc>
          <w:tcPr>
            <w:tcW w:w="1745"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用途</w:t>
            </w:r>
          </w:p>
        </w:tc>
        <w:tc>
          <w:tcPr>
            <w:tcW w:w="1428" w:type="dxa"/>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center"/>
          </w:tcPr>
          <w:p>
            <w:pPr>
              <w:spacing w:line="440" w:lineRule="exact"/>
              <w:jc w:val="center"/>
              <w:rPr>
                <w:rFonts w:hint="eastAsia" w:ascii="宋体" w:hAnsi="宋体" w:cs="宋体"/>
                <w:szCs w:val="21"/>
                <w:highlight w:val="none"/>
              </w:rPr>
            </w:pPr>
          </w:p>
        </w:tc>
        <w:tc>
          <w:tcPr>
            <w:tcW w:w="1567" w:type="dxa"/>
            <w:vAlign w:val="center"/>
          </w:tcPr>
          <w:p>
            <w:pPr>
              <w:spacing w:line="440" w:lineRule="exact"/>
              <w:jc w:val="center"/>
              <w:rPr>
                <w:rFonts w:hint="eastAsia" w:ascii="宋体" w:hAnsi="宋体" w:cs="宋体"/>
                <w:szCs w:val="21"/>
                <w:highlight w:val="none"/>
              </w:rPr>
            </w:pPr>
          </w:p>
        </w:tc>
        <w:tc>
          <w:tcPr>
            <w:tcW w:w="1147" w:type="dxa"/>
            <w:vAlign w:val="center"/>
          </w:tcPr>
          <w:p>
            <w:pPr>
              <w:spacing w:line="440" w:lineRule="exact"/>
              <w:jc w:val="center"/>
              <w:rPr>
                <w:rFonts w:hint="eastAsia" w:ascii="宋体" w:hAnsi="宋体" w:cs="宋体"/>
                <w:szCs w:val="21"/>
                <w:highlight w:val="none"/>
              </w:rPr>
            </w:pPr>
          </w:p>
        </w:tc>
        <w:tc>
          <w:tcPr>
            <w:tcW w:w="916" w:type="dxa"/>
            <w:vAlign w:val="center"/>
          </w:tcPr>
          <w:p>
            <w:pPr>
              <w:spacing w:line="440" w:lineRule="exact"/>
              <w:jc w:val="center"/>
              <w:rPr>
                <w:rFonts w:hint="eastAsia" w:ascii="宋体" w:hAnsi="宋体" w:cs="宋体"/>
                <w:szCs w:val="21"/>
                <w:highlight w:val="none"/>
              </w:rPr>
            </w:pPr>
          </w:p>
        </w:tc>
        <w:tc>
          <w:tcPr>
            <w:tcW w:w="1044" w:type="dxa"/>
            <w:vAlign w:val="center"/>
          </w:tcPr>
          <w:p>
            <w:pPr>
              <w:spacing w:line="440" w:lineRule="exact"/>
              <w:jc w:val="center"/>
              <w:rPr>
                <w:rFonts w:hint="eastAsia" w:ascii="宋体" w:hAnsi="宋体" w:cs="宋体"/>
                <w:szCs w:val="21"/>
                <w:highlight w:val="none"/>
              </w:rPr>
            </w:pPr>
          </w:p>
        </w:tc>
        <w:tc>
          <w:tcPr>
            <w:tcW w:w="1217" w:type="dxa"/>
            <w:vAlign w:val="center"/>
          </w:tcPr>
          <w:p>
            <w:pPr>
              <w:spacing w:line="440" w:lineRule="exact"/>
              <w:jc w:val="center"/>
              <w:rPr>
                <w:rFonts w:hint="eastAsia" w:ascii="宋体" w:hAnsi="宋体" w:cs="宋体"/>
                <w:szCs w:val="21"/>
                <w:highlight w:val="none"/>
              </w:rPr>
            </w:pPr>
          </w:p>
        </w:tc>
        <w:tc>
          <w:tcPr>
            <w:tcW w:w="1745" w:type="dxa"/>
            <w:vAlign w:val="center"/>
          </w:tcPr>
          <w:p>
            <w:pPr>
              <w:spacing w:line="440" w:lineRule="exact"/>
              <w:jc w:val="center"/>
              <w:rPr>
                <w:rFonts w:hint="eastAsia" w:ascii="宋体" w:hAnsi="宋体" w:cs="宋体"/>
                <w:szCs w:val="21"/>
                <w:highlight w:val="none"/>
              </w:rPr>
            </w:pPr>
          </w:p>
        </w:tc>
        <w:tc>
          <w:tcPr>
            <w:tcW w:w="1428" w:type="dxa"/>
            <w:vAlign w:val="center"/>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center"/>
          </w:tcPr>
          <w:p>
            <w:pPr>
              <w:spacing w:line="440" w:lineRule="exact"/>
              <w:jc w:val="center"/>
              <w:rPr>
                <w:rFonts w:hint="eastAsia" w:ascii="宋体" w:hAnsi="宋体" w:cs="宋体"/>
                <w:szCs w:val="21"/>
                <w:highlight w:val="none"/>
              </w:rPr>
            </w:pPr>
          </w:p>
        </w:tc>
        <w:tc>
          <w:tcPr>
            <w:tcW w:w="1567" w:type="dxa"/>
            <w:vAlign w:val="center"/>
          </w:tcPr>
          <w:p>
            <w:pPr>
              <w:spacing w:line="440" w:lineRule="exact"/>
              <w:jc w:val="center"/>
              <w:rPr>
                <w:rFonts w:hint="eastAsia" w:ascii="宋体" w:hAnsi="宋体" w:cs="宋体"/>
                <w:szCs w:val="21"/>
                <w:highlight w:val="none"/>
              </w:rPr>
            </w:pPr>
          </w:p>
        </w:tc>
        <w:tc>
          <w:tcPr>
            <w:tcW w:w="1147" w:type="dxa"/>
            <w:vAlign w:val="center"/>
          </w:tcPr>
          <w:p>
            <w:pPr>
              <w:spacing w:line="440" w:lineRule="exact"/>
              <w:jc w:val="center"/>
              <w:rPr>
                <w:rFonts w:hint="eastAsia" w:ascii="宋体" w:hAnsi="宋体" w:cs="宋体"/>
                <w:szCs w:val="21"/>
                <w:highlight w:val="none"/>
              </w:rPr>
            </w:pPr>
          </w:p>
        </w:tc>
        <w:tc>
          <w:tcPr>
            <w:tcW w:w="916" w:type="dxa"/>
            <w:vAlign w:val="center"/>
          </w:tcPr>
          <w:p>
            <w:pPr>
              <w:spacing w:line="440" w:lineRule="exact"/>
              <w:jc w:val="center"/>
              <w:rPr>
                <w:rFonts w:hint="eastAsia" w:ascii="宋体" w:hAnsi="宋体" w:cs="宋体"/>
                <w:szCs w:val="21"/>
                <w:highlight w:val="none"/>
              </w:rPr>
            </w:pPr>
          </w:p>
        </w:tc>
        <w:tc>
          <w:tcPr>
            <w:tcW w:w="1044" w:type="dxa"/>
            <w:vAlign w:val="center"/>
          </w:tcPr>
          <w:p>
            <w:pPr>
              <w:spacing w:line="440" w:lineRule="exact"/>
              <w:jc w:val="center"/>
              <w:rPr>
                <w:rFonts w:hint="eastAsia" w:ascii="宋体" w:hAnsi="宋体" w:cs="宋体"/>
                <w:szCs w:val="21"/>
                <w:highlight w:val="none"/>
              </w:rPr>
            </w:pPr>
          </w:p>
        </w:tc>
        <w:tc>
          <w:tcPr>
            <w:tcW w:w="1217" w:type="dxa"/>
            <w:vAlign w:val="center"/>
          </w:tcPr>
          <w:p>
            <w:pPr>
              <w:spacing w:line="440" w:lineRule="exact"/>
              <w:jc w:val="center"/>
              <w:rPr>
                <w:rFonts w:hint="eastAsia" w:ascii="宋体" w:hAnsi="宋体" w:cs="宋体"/>
                <w:szCs w:val="21"/>
                <w:highlight w:val="none"/>
              </w:rPr>
            </w:pPr>
          </w:p>
        </w:tc>
        <w:tc>
          <w:tcPr>
            <w:tcW w:w="1745" w:type="dxa"/>
            <w:vAlign w:val="center"/>
          </w:tcPr>
          <w:p>
            <w:pPr>
              <w:spacing w:line="440" w:lineRule="exact"/>
              <w:jc w:val="center"/>
              <w:rPr>
                <w:rFonts w:hint="eastAsia" w:ascii="宋体" w:hAnsi="宋体" w:cs="宋体"/>
                <w:szCs w:val="21"/>
                <w:highlight w:val="none"/>
              </w:rPr>
            </w:pPr>
          </w:p>
        </w:tc>
        <w:tc>
          <w:tcPr>
            <w:tcW w:w="1428" w:type="dxa"/>
            <w:vAlign w:val="center"/>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 w:type="dxa"/>
            <w:vAlign w:val="top"/>
          </w:tcPr>
          <w:p>
            <w:pPr>
              <w:spacing w:line="440" w:lineRule="exact"/>
              <w:jc w:val="center"/>
              <w:rPr>
                <w:rFonts w:hint="eastAsia" w:ascii="宋体" w:hAnsi="宋体" w:cs="宋体"/>
                <w:szCs w:val="21"/>
                <w:highlight w:val="none"/>
              </w:rPr>
            </w:pPr>
          </w:p>
        </w:tc>
        <w:tc>
          <w:tcPr>
            <w:tcW w:w="1567" w:type="dxa"/>
            <w:vAlign w:val="top"/>
          </w:tcPr>
          <w:p>
            <w:pPr>
              <w:spacing w:line="440" w:lineRule="exact"/>
              <w:jc w:val="center"/>
              <w:rPr>
                <w:rFonts w:hint="eastAsia" w:ascii="宋体" w:hAnsi="宋体" w:cs="宋体"/>
                <w:szCs w:val="21"/>
                <w:highlight w:val="none"/>
              </w:rPr>
            </w:pPr>
          </w:p>
        </w:tc>
        <w:tc>
          <w:tcPr>
            <w:tcW w:w="1147" w:type="dxa"/>
            <w:vAlign w:val="top"/>
          </w:tcPr>
          <w:p>
            <w:pPr>
              <w:spacing w:line="440" w:lineRule="exact"/>
              <w:jc w:val="center"/>
              <w:rPr>
                <w:rFonts w:hint="eastAsia" w:ascii="宋体" w:hAnsi="宋体" w:cs="宋体"/>
                <w:szCs w:val="21"/>
                <w:highlight w:val="none"/>
              </w:rPr>
            </w:pPr>
          </w:p>
        </w:tc>
        <w:tc>
          <w:tcPr>
            <w:tcW w:w="916" w:type="dxa"/>
            <w:vAlign w:val="top"/>
          </w:tcPr>
          <w:p>
            <w:pPr>
              <w:spacing w:line="440" w:lineRule="exact"/>
              <w:jc w:val="center"/>
              <w:rPr>
                <w:rFonts w:hint="eastAsia" w:ascii="宋体" w:hAnsi="宋体" w:cs="宋体"/>
                <w:szCs w:val="21"/>
                <w:highlight w:val="none"/>
              </w:rPr>
            </w:pPr>
          </w:p>
        </w:tc>
        <w:tc>
          <w:tcPr>
            <w:tcW w:w="1044" w:type="dxa"/>
            <w:vAlign w:val="top"/>
          </w:tcPr>
          <w:p>
            <w:pPr>
              <w:spacing w:line="440" w:lineRule="exact"/>
              <w:jc w:val="center"/>
              <w:rPr>
                <w:rFonts w:hint="eastAsia" w:ascii="宋体" w:hAnsi="宋体" w:cs="宋体"/>
                <w:szCs w:val="21"/>
                <w:highlight w:val="none"/>
              </w:rPr>
            </w:pPr>
          </w:p>
        </w:tc>
        <w:tc>
          <w:tcPr>
            <w:tcW w:w="1217" w:type="dxa"/>
            <w:vAlign w:val="top"/>
          </w:tcPr>
          <w:p>
            <w:pPr>
              <w:spacing w:line="440" w:lineRule="exact"/>
              <w:jc w:val="center"/>
              <w:rPr>
                <w:rFonts w:hint="eastAsia" w:ascii="宋体" w:hAnsi="宋体" w:cs="宋体"/>
                <w:szCs w:val="21"/>
                <w:highlight w:val="none"/>
              </w:rPr>
            </w:pPr>
          </w:p>
        </w:tc>
        <w:tc>
          <w:tcPr>
            <w:tcW w:w="1745" w:type="dxa"/>
            <w:vAlign w:val="top"/>
          </w:tcPr>
          <w:p>
            <w:pPr>
              <w:spacing w:line="440" w:lineRule="exact"/>
              <w:jc w:val="center"/>
              <w:rPr>
                <w:rFonts w:hint="eastAsia" w:ascii="宋体" w:hAnsi="宋体" w:cs="宋体"/>
                <w:szCs w:val="21"/>
                <w:highlight w:val="none"/>
              </w:rPr>
            </w:pPr>
          </w:p>
        </w:tc>
        <w:tc>
          <w:tcPr>
            <w:tcW w:w="1428" w:type="dxa"/>
            <w:vAlign w:val="top"/>
          </w:tcPr>
          <w:p>
            <w:pPr>
              <w:spacing w:line="440" w:lineRule="exact"/>
              <w:jc w:val="center"/>
              <w:rPr>
                <w:rFonts w:hint="eastAsia" w:ascii="宋体" w:hAnsi="宋体" w:cs="宋体"/>
                <w:szCs w:val="21"/>
                <w:highlight w:val="none"/>
              </w:rPr>
            </w:pPr>
          </w:p>
        </w:tc>
      </w:tr>
    </w:tbl>
    <w:p>
      <w:pPr>
        <w:pStyle w:val="4"/>
        <w:keepNext w:val="0"/>
        <w:keepLines w:val="0"/>
        <w:spacing w:after="0"/>
        <w:jc w:val="center"/>
        <w:rPr>
          <w:rFonts w:hint="eastAsia" w:ascii="宋体" w:hAnsi="宋体" w:eastAsia="宋体" w:cs="宋体"/>
          <w:highlight w:val="none"/>
        </w:rPr>
      </w:pPr>
    </w:p>
    <w:p>
      <w:pPr>
        <w:rPr>
          <w:rFonts w:hint="eastAsia" w:ascii="宋体" w:hAnsi="宋体" w:cs="宋体"/>
          <w:highlight w:val="none"/>
        </w:rPr>
      </w:pPr>
    </w:p>
    <w:p>
      <w:pPr>
        <w:pStyle w:val="5"/>
        <w:keepNext w:val="0"/>
        <w:keepLines w:val="0"/>
        <w:ind w:firstLine="137"/>
        <w:jc w:val="center"/>
        <w:rPr>
          <w:rFonts w:hint="eastAsia" w:ascii="宋体" w:hAnsi="宋体" w:eastAsia="宋体" w:cs="宋体"/>
          <w:highlight w:val="none"/>
        </w:rPr>
      </w:pPr>
      <w:r>
        <w:rPr>
          <w:rFonts w:ascii="宋体" w:hAnsi="宋体" w:cs="宋体"/>
          <w:highlight w:val="none"/>
        </w:rPr>
        <w:br w:type="page"/>
      </w:r>
      <w:r>
        <w:rPr>
          <w:rFonts w:hint="eastAsia" w:ascii="宋体" w:hAnsi="宋体" w:eastAsia="宋体" w:cs="宋体"/>
          <w:highlight w:val="none"/>
        </w:rPr>
        <w:t>（五）其他资信证明材</w:t>
      </w:r>
      <w:r>
        <w:rPr>
          <w:rFonts w:hint="eastAsia" w:ascii="宋体" w:hAnsi="宋体" w:eastAsia="宋体" w:cs="宋体"/>
          <w:highlight w:val="none"/>
        </w:rPr>
        <w:t>料</w:t>
      </w:r>
    </w:p>
    <w:p>
      <w:pPr>
        <w:jc w:val="center"/>
        <w:rPr>
          <w:rFonts w:hint="eastAsia"/>
          <w:highlight w:val="none"/>
        </w:rPr>
      </w:pPr>
      <w:r>
        <w:rPr>
          <w:rFonts w:hint="eastAsia"/>
          <w:highlight w:val="none"/>
        </w:rPr>
        <w:t>（投标人自行按评审要求提供）</w:t>
      </w:r>
    </w:p>
    <w:sectPr>
      <w:pgSz w:w="12240" w:h="15840"/>
      <w:pgMar w:top="1247" w:right="1247" w:bottom="1247" w:left="1247"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91</w:t>
    </w:r>
    <w:r>
      <w:fldChar w:fldCharType="end"/>
    </w:r>
  </w:p>
  <w:p>
    <w:pPr>
      <w:spacing w:line="400" w:lineRule="exact"/>
    </w:pPr>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9"/>
        <w:snapToGrid w:val="0"/>
      </w:pPr>
      <w:r>
        <w:rPr>
          <w:rStyle w:val="34"/>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hint="eastAsia"/>
        <w:szCs w:val="24"/>
      </w:rPr>
    </w:pPr>
    <w:r>
      <w:rPr>
        <w:rFonts w:hint="eastAsia"/>
        <w:b/>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444500</wp:posOffset>
              </wp:positionV>
              <wp:extent cx="6153150" cy="0"/>
              <wp:effectExtent l="0" t="5080" r="0" b="4445"/>
              <wp:wrapNone/>
              <wp:docPr id="1" name="Line 1"/>
              <wp:cNvGraphicFramePr/>
              <a:graphic xmlns:a="http://schemas.openxmlformats.org/drawingml/2006/main">
                <a:graphicData uri="http://schemas.microsoft.com/office/word/2010/wordprocessingShape">
                  <wps:wsp>
                    <wps:cNvCnPr/>
                    <wps:spPr>
                      <a:xfrm>
                        <a:off x="0" y="0"/>
                        <a:ext cx="6153150" cy="0"/>
                      </a:xfrm>
                      <a:prstGeom prst="line">
                        <a:avLst/>
                      </a:prstGeom>
                      <a:ln w="3175" cap="flat" cmpd="sng">
                        <a:solidFill>
                          <a:srgbClr val="FFFFFF"/>
                        </a:solidFill>
                        <a:prstDash val="solid"/>
                        <a:headEnd type="none" w="med" len="med"/>
                        <a:tailEnd type="none" w="med" len="med"/>
                      </a:ln>
                    </wps:spPr>
                    <wps:bodyPr upright="1"/>
                  </wps:wsp>
                </a:graphicData>
              </a:graphic>
            </wp:anchor>
          </w:drawing>
        </mc:Choice>
        <mc:Fallback>
          <w:pict>
            <v:line id="Line 1" o:spid="_x0000_s1026" o:spt="20" style="position:absolute;left:0pt;margin-left:-1.35pt;margin-top:35pt;height:0pt;width:484.5pt;z-index:251659264;mso-width-relative:page;mso-height-relative:page;" filled="f" stroked="t" coordsize="21600,21600" o:gfxdata="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8p8ftcAAAAIAQAADwAAAAAA&#10;AAABACAAAAAiAAAAZHJzL2Rvd25yZXYueG1sUEsBAhQAFAAAAAgAh07iQPLjBinbAQAA2QMAAA4A&#10;AAAAAAAAAQAgAAAAJgEAAGRycy9lMm9Eb2MueG1sUEsFBgAAAAAGAAYAWQEAAHMFAAAAAA==&#10;">
              <v:fill on="f" focussize="0,0"/>
              <v:stroke weight="0.25pt" color="#FFFFFF"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DCDDFF1"/>
    <w:multiLevelType w:val="singleLevel"/>
    <w:tmpl w:val="3DCDDFF1"/>
    <w:lvl w:ilvl="0" w:tentative="0">
      <w:start w:val="1"/>
      <w:numFmt w:val="decimal"/>
      <w:lvlText w:val="%1."/>
      <w:lvlJc w:val="left"/>
      <w:pPr>
        <w:tabs>
          <w:tab w:val="left" w:pos="312"/>
        </w:tabs>
      </w:pPr>
    </w:lvl>
  </w:abstractNum>
  <w:abstractNum w:abstractNumId="2">
    <w:nsid w:val="6FAA44F7"/>
    <w:multiLevelType w:val="singleLevel"/>
    <w:tmpl w:val="6FAA44F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TFlODQ2ODg0MjNjMDMzNjNhYjhmNzVmNDVkNTkifQ=="/>
    <w:docVar w:name="KSO_WPS_MARK_KEY" w:val="acab6426-d232-43f4-a36c-5ce74063a556"/>
  </w:docVars>
  <w:rsids>
    <w:rsidRoot w:val="00664CA0"/>
    <w:rsid w:val="00014AA6"/>
    <w:rsid w:val="000203F8"/>
    <w:rsid w:val="00034BE2"/>
    <w:rsid w:val="000373E5"/>
    <w:rsid w:val="00053DBB"/>
    <w:rsid w:val="00097A48"/>
    <w:rsid w:val="000A0C60"/>
    <w:rsid w:val="000A239E"/>
    <w:rsid w:val="000D22F1"/>
    <w:rsid w:val="000D3B3D"/>
    <w:rsid w:val="000E355A"/>
    <w:rsid w:val="00110DA1"/>
    <w:rsid w:val="00114B7D"/>
    <w:rsid w:val="00117486"/>
    <w:rsid w:val="001224F2"/>
    <w:rsid w:val="00132798"/>
    <w:rsid w:val="00141439"/>
    <w:rsid w:val="00157A30"/>
    <w:rsid w:val="001736FA"/>
    <w:rsid w:val="00181EC5"/>
    <w:rsid w:val="001835C5"/>
    <w:rsid w:val="001A028A"/>
    <w:rsid w:val="001A3E7B"/>
    <w:rsid w:val="001A3F9E"/>
    <w:rsid w:val="001A52A4"/>
    <w:rsid w:val="001D4112"/>
    <w:rsid w:val="001E165D"/>
    <w:rsid w:val="001E3E6B"/>
    <w:rsid w:val="001F02CA"/>
    <w:rsid w:val="001F2F8F"/>
    <w:rsid w:val="00221E03"/>
    <w:rsid w:val="00224DD4"/>
    <w:rsid w:val="00272A08"/>
    <w:rsid w:val="002922E6"/>
    <w:rsid w:val="002A22E3"/>
    <w:rsid w:val="002A7540"/>
    <w:rsid w:val="002B31AA"/>
    <w:rsid w:val="002C609F"/>
    <w:rsid w:val="002D15D9"/>
    <w:rsid w:val="002D40C8"/>
    <w:rsid w:val="002D63F6"/>
    <w:rsid w:val="002E4635"/>
    <w:rsid w:val="002F277F"/>
    <w:rsid w:val="002F725C"/>
    <w:rsid w:val="00303058"/>
    <w:rsid w:val="00304149"/>
    <w:rsid w:val="0030460A"/>
    <w:rsid w:val="00304ADC"/>
    <w:rsid w:val="00324E09"/>
    <w:rsid w:val="00324EF5"/>
    <w:rsid w:val="003461DD"/>
    <w:rsid w:val="003641C4"/>
    <w:rsid w:val="00382D52"/>
    <w:rsid w:val="003862F0"/>
    <w:rsid w:val="00392BFB"/>
    <w:rsid w:val="003A1EAA"/>
    <w:rsid w:val="003A2C30"/>
    <w:rsid w:val="003B2B05"/>
    <w:rsid w:val="003D588D"/>
    <w:rsid w:val="003D794A"/>
    <w:rsid w:val="003F25CD"/>
    <w:rsid w:val="004017AB"/>
    <w:rsid w:val="00412E3E"/>
    <w:rsid w:val="00417D66"/>
    <w:rsid w:val="00421B42"/>
    <w:rsid w:val="004260FA"/>
    <w:rsid w:val="00456863"/>
    <w:rsid w:val="004602B8"/>
    <w:rsid w:val="00460859"/>
    <w:rsid w:val="00463309"/>
    <w:rsid w:val="0047542B"/>
    <w:rsid w:val="00480F39"/>
    <w:rsid w:val="004842DF"/>
    <w:rsid w:val="00497D66"/>
    <w:rsid w:val="004A15C6"/>
    <w:rsid w:val="004C77D9"/>
    <w:rsid w:val="004D0684"/>
    <w:rsid w:val="004F1BFD"/>
    <w:rsid w:val="00566B52"/>
    <w:rsid w:val="00576D21"/>
    <w:rsid w:val="0058201D"/>
    <w:rsid w:val="005C0E02"/>
    <w:rsid w:val="005F035D"/>
    <w:rsid w:val="00607031"/>
    <w:rsid w:val="0061084B"/>
    <w:rsid w:val="00612C46"/>
    <w:rsid w:val="0062076D"/>
    <w:rsid w:val="00620FB5"/>
    <w:rsid w:val="006267D8"/>
    <w:rsid w:val="00646F78"/>
    <w:rsid w:val="00660A55"/>
    <w:rsid w:val="00663828"/>
    <w:rsid w:val="00664CA0"/>
    <w:rsid w:val="00667822"/>
    <w:rsid w:val="00673614"/>
    <w:rsid w:val="00692572"/>
    <w:rsid w:val="00692D1B"/>
    <w:rsid w:val="00693001"/>
    <w:rsid w:val="006A47E6"/>
    <w:rsid w:val="006B1819"/>
    <w:rsid w:val="006B1AD9"/>
    <w:rsid w:val="006D10D5"/>
    <w:rsid w:val="006E1C07"/>
    <w:rsid w:val="00750C81"/>
    <w:rsid w:val="00750FCA"/>
    <w:rsid w:val="0075472B"/>
    <w:rsid w:val="007776C9"/>
    <w:rsid w:val="00796820"/>
    <w:rsid w:val="007C179C"/>
    <w:rsid w:val="007F019E"/>
    <w:rsid w:val="007F2B2E"/>
    <w:rsid w:val="007F3077"/>
    <w:rsid w:val="007F67B6"/>
    <w:rsid w:val="008137AE"/>
    <w:rsid w:val="00857E7F"/>
    <w:rsid w:val="0086363A"/>
    <w:rsid w:val="00874A9A"/>
    <w:rsid w:val="00887325"/>
    <w:rsid w:val="008900B7"/>
    <w:rsid w:val="0089599A"/>
    <w:rsid w:val="0089617F"/>
    <w:rsid w:val="00897F61"/>
    <w:rsid w:val="008D32B3"/>
    <w:rsid w:val="008E6734"/>
    <w:rsid w:val="008F0EF3"/>
    <w:rsid w:val="008F6774"/>
    <w:rsid w:val="0090125A"/>
    <w:rsid w:val="00903D06"/>
    <w:rsid w:val="0090437A"/>
    <w:rsid w:val="0091135F"/>
    <w:rsid w:val="0091431E"/>
    <w:rsid w:val="00937F91"/>
    <w:rsid w:val="009700C0"/>
    <w:rsid w:val="0097105C"/>
    <w:rsid w:val="009949EF"/>
    <w:rsid w:val="009A417A"/>
    <w:rsid w:val="009B14D4"/>
    <w:rsid w:val="009C6828"/>
    <w:rsid w:val="009D7E79"/>
    <w:rsid w:val="009E1429"/>
    <w:rsid w:val="009E183B"/>
    <w:rsid w:val="00A07680"/>
    <w:rsid w:val="00A07CBB"/>
    <w:rsid w:val="00A316CD"/>
    <w:rsid w:val="00A4644E"/>
    <w:rsid w:val="00A7281A"/>
    <w:rsid w:val="00A76F2B"/>
    <w:rsid w:val="00A92A6C"/>
    <w:rsid w:val="00AA0C29"/>
    <w:rsid w:val="00AA5942"/>
    <w:rsid w:val="00AB73A2"/>
    <w:rsid w:val="00AC7080"/>
    <w:rsid w:val="00AD6A91"/>
    <w:rsid w:val="00AF4C84"/>
    <w:rsid w:val="00AF75BA"/>
    <w:rsid w:val="00B12DB0"/>
    <w:rsid w:val="00B37A1C"/>
    <w:rsid w:val="00B51619"/>
    <w:rsid w:val="00B60A04"/>
    <w:rsid w:val="00B64C35"/>
    <w:rsid w:val="00B70779"/>
    <w:rsid w:val="00B86496"/>
    <w:rsid w:val="00BF4887"/>
    <w:rsid w:val="00C05C22"/>
    <w:rsid w:val="00C20683"/>
    <w:rsid w:val="00C334BE"/>
    <w:rsid w:val="00C40AF3"/>
    <w:rsid w:val="00C46977"/>
    <w:rsid w:val="00C51D91"/>
    <w:rsid w:val="00C74BB3"/>
    <w:rsid w:val="00C83319"/>
    <w:rsid w:val="00CB05A7"/>
    <w:rsid w:val="00CF0A31"/>
    <w:rsid w:val="00CF6C0C"/>
    <w:rsid w:val="00CF791B"/>
    <w:rsid w:val="00D07F72"/>
    <w:rsid w:val="00D11648"/>
    <w:rsid w:val="00D25472"/>
    <w:rsid w:val="00D3567A"/>
    <w:rsid w:val="00D432C7"/>
    <w:rsid w:val="00D648C2"/>
    <w:rsid w:val="00D73BC0"/>
    <w:rsid w:val="00D8638D"/>
    <w:rsid w:val="00D92D3E"/>
    <w:rsid w:val="00DA145F"/>
    <w:rsid w:val="00DA1EC9"/>
    <w:rsid w:val="00DC3BF0"/>
    <w:rsid w:val="00DE32FA"/>
    <w:rsid w:val="00DE4479"/>
    <w:rsid w:val="00E1076D"/>
    <w:rsid w:val="00E401DA"/>
    <w:rsid w:val="00E506BF"/>
    <w:rsid w:val="00E57F3C"/>
    <w:rsid w:val="00E67046"/>
    <w:rsid w:val="00E707F7"/>
    <w:rsid w:val="00E9620F"/>
    <w:rsid w:val="00EB7377"/>
    <w:rsid w:val="00EC6A00"/>
    <w:rsid w:val="00ED21E5"/>
    <w:rsid w:val="00ED4FBE"/>
    <w:rsid w:val="00EE2705"/>
    <w:rsid w:val="00EE693C"/>
    <w:rsid w:val="00F12D58"/>
    <w:rsid w:val="00F226C0"/>
    <w:rsid w:val="00F229D3"/>
    <w:rsid w:val="00F31E1C"/>
    <w:rsid w:val="00F35799"/>
    <w:rsid w:val="00F35E31"/>
    <w:rsid w:val="00F44C97"/>
    <w:rsid w:val="00F57B23"/>
    <w:rsid w:val="00F674CC"/>
    <w:rsid w:val="00F93B45"/>
    <w:rsid w:val="00F96F29"/>
    <w:rsid w:val="00FA13EB"/>
    <w:rsid w:val="00FA5740"/>
    <w:rsid w:val="00FE0247"/>
    <w:rsid w:val="00FE30E1"/>
    <w:rsid w:val="00FE398A"/>
    <w:rsid w:val="00FE596E"/>
    <w:rsid w:val="01C82533"/>
    <w:rsid w:val="02C55317"/>
    <w:rsid w:val="05144DFE"/>
    <w:rsid w:val="051711CE"/>
    <w:rsid w:val="0698394E"/>
    <w:rsid w:val="070C446B"/>
    <w:rsid w:val="07410438"/>
    <w:rsid w:val="07850D94"/>
    <w:rsid w:val="07C8674F"/>
    <w:rsid w:val="0809455A"/>
    <w:rsid w:val="08230508"/>
    <w:rsid w:val="083426BC"/>
    <w:rsid w:val="085001AF"/>
    <w:rsid w:val="08583884"/>
    <w:rsid w:val="088F78B8"/>
    <w:rsid w:val="08CC2817"/>
    <w:rsid w:val="08EF678C"/>
    <w:rsid w:val="09B71227"/>
    <w:rsid w:val="09D771D4"/>
    <w:rsid w:val="09F3483A"/>
    <w:rsid w:val="0BEE4317"/>
    <w:rsid w:val="0CA8758D"/>
    <w:rsid w:val="0CD33DCE"/>
    <w:rsid w:val="0D70677E"/>
    <w:rsid w:val="0DB461AA"/>
    <w:rsid w:val="0DEC562B"/>
    <w:rsid w:val="0E7F0A19"/>
    <w:rsid w:val="0E881AB4"/>
    <w:rsid w:val="0E8A2099"/>
    <w:rsid w:val="0E9663E6"/>
    <w:rsid w:val="0EE02FC3"/>
    <w:rsid w:val="0FA97864"/>
    <w:rsid w:val="0FE4089C"/>
    <w:rsid w:val="10321FC4"/>
    <w:rsid w:val="10356E40"/>
    <w:rsid w:val="10C56D63"/>
    <w:rsid w:val="11134640"/>
    <w:rsid w:val="112F2C51"/>
    <w:rsid w:val="116619F8"/>
    <w:rsid w:val="123B2F12"/>
    <w:rsid w:val="12703FA4"/>
    <w:rsid w:val="12EF6DAC"/>
    <w:rsid w:val="130059ED"/>
    <w:rsid w:val="13A350DD"/>
    <w:rsid w:val="13FB7488"/>
    <w:rsid w:val="142B32CD"/>
    <w:rsid w:val="14432035"/>
    <w:rsid w:val="14D61946"/>
    <w:rsid w:val="15C07158"/>
    <w:rsid w:val="15EA1883"/>
    <w:rsid w:val="15FE7551"/>
    <w:rsid w:val="168228B7"/>
    <w:rsid w:val="17087A39"/>
    <w:rsid w:val="175269DD"/>
    <w:rsid w:val="17982698"/>
    <w:rsid w:val="17D347F3"/>
    <w:rsid w:val="188B0386"/>
    <w:rsid w:val="18B51028"/>
    <w:rsid w:val="195B3FBF"/>
    <w:rsid w:val="19704276"/>
    <w:rsid w:val="19C92AA4"/>
    <w:rsid w:val="1A02400A"/>
    <w:rsid w:val="1A37338A"/>
    <w:rsid w:val="1AB40EFE"/>
    <w:rsid w:val="1B285CF5"/>
    <w:rsid w:val="1B9032FB"/>
    <w:rsid w:val="1C5A1E9D"/>
    <w:rsid w:val="1CE94639"/>
    <w:rsid w:val="1D350989"/>
    <w:rsid w:val="1D4D7A81"/>
    <w:rsid w:val="1D4E1204"/>
    <w:rsid w:val="1D7C4114"/>
    <w:rsid w:val="1D8834DD"/>
    <w:rsid w:val="1DF47EFC"/>
    <w:rsid w:val="1E0B10C5"/>
    <w:rsid w:val="1E897A54"/>
    <w:rsid w:val="20361689"/>
    <w:rsid w:val="20547AC4"/>
    <w:rsid w:val="20B971DB"/>
    <w:rsid w:val="21725D08"/>
    <w:rsid w:val="21934F26"/>
    <w:rsid w:val="2286477B"/>
    <w:rsid w:val="22B95CCA"/>
    <w:rsid w:val="236B6EB3"/>
    <w:rsid w:val="23C47ABA"/>
    <w:rsid w:val="23D5432C"/>
    <w:rsid w:val="24617F8A"/>
    <w:rsid w:val="24D12D46"/>
    <w:rsid w:val="25853B30"/>
    <w:rsid w:val="258C4EA7"/>
    <w:rsid w:val="26714DB3"/>
    <w:rsid w:val="26B455D3"/>
    <w:rsid w:val="27500708"/>
    <w:rsid w:val="27CE110F"/>
    <w:rsid w:val="28DB0637"/>
    <w:rsid w:val="29000B19"/>
    <w:rsid w:val="29675EE1"/>
    <w:rsid w:val="29C90947"/>
    <w:rsid w:val="29E35D21"/>
    <w:rsid w:val="2A330B32"/>
    <w:rsid w:val="2A473EE1"/>
    <w:rsid w:val="2A876BB2"/>
    <w:rsid w:val="2B086676"/>
    <w:rsid w:val="2C4629A8"/>
    <w:rsid w:val="2DA877CA"/>
    <w:rsid w:val="2DB60A7E"/>
    <w:rsid w:val="2DF63E90"/>
    <w:rsid w:val="2EA23817"/>
    <w:rsid w:val="2EE03B74"/>
    <w:rsid w:val="2F70578B"/>
    <w:rsid w:val="2F854671"/>
    <w:rsid w:val="2F9738E6"/>
    <w:rsid w:val="306E5EF6"/>
    <w:rsid w:val="308E2433"/>
    <w:rsid w:val="315C0A51"/>
    <w:rsid w:val="321B1AA4"/>
    <w:rsid w:val="325D3E6B"/>
    <w:rsid w:val="32771278"/>
    <w:rsid w:val="32810620"/>
    <w:rsid w:val="32D81743"/>
    <w:rsid w:val="33196CA4"/>
    <w:rsid w:val="333A41AC"/>
    <w:rsid w:val="333E0D6D"/>
    <w:rsid w:val="33793382"/>
    <w:rsid w:val="33DA1912"/>
    <w:rsid w:val="33EB3C92"/>
    <w:rsid w:val="3463510E"/>
    <w:rsid w:val="34F76BDE"/>
    <w:rsid w:val="35227208"/>
    <w:rsid w:val="354E748C"/>
    <w:rsid w:val="35E918A9"/>
    <w:rsid w:val="362F0DDF"/>
    <w:rsid w:val="366F0642"/>
    <w:rsid w:val="37030548"/>
    <w:rsid w:val="372E04CB"/>
    <w:rsid w:val="37CB5D7B"/>
    <w:rsid w:val="382F5365"/>
    <w:rsid w:val="38F512A1"/>
    <w:rsid w:val="390702DB"/>
    <w:rsid w:val="39A13B77"/>
    <w:rsid w:val="3A6F3C53"/>
    <w:rsid w:val="3A8404C5"/>
    <w:rsid w:val="3A850402"/>
    <w:rsid w:val="3B1C494F"/>
    <w:rsid w:val="3B612590"/>
    <w:rsid w:val="3B8B52B8"/>
    <w:rsid w:val="3BD56D2D"/>
    <w:rsid w:val="3CEB2A01"/>
    <w:rsid w:val="3D024E30"/>
    <w:rsid w:val="3D4428D0"/>
    <w:rsid w:val="3D804305"/>
    <w:rsid w:val="3DAE7C70"/>
    <w:rsid w:val="3DB026F2"/>
    <w:rsid w:val="3E9068D5"/>
    <w:rsid w:val="3FC272EB"/>
    <w:rsid w:val="401036FC"/>
    <w:rsid w:val="40190E34"/>
    <w:rsid w:val="41297BB4"/>
    <w:rsid w:val="418A3332"/>
    <w:rsid w:val="418B1628"/>
    <w:rsid w:val="41D1663D"/>
    <w:rsid w:val="42462B6D"/>
    <w:rsid w:val="437078CA"/>
    <w:rsid w:val="43A027A3"/>
    <w:rsid w:val="44973997"/>
    <w:rsid w:val="463B406B"/>
    <w:rsid w:val="469320F9"/>
    <w:rsid w:val="47C277C5"/>
    <w:rsid w:val="49296CD4"/>
    <w:rsid w:val="49A26C73"/>
    <w:rsid w:val="49A26EA2"/>
    <w:rsid w:val="49E56825"/>
    <w:rsid w:val="4A3C55E8"/>
    <w:rsid w:val="4AF316D0"/>
    <w:rsid w:val="4B427C4A"/>
    <w:rsid w:val="4B8244EA"/>
    <w:rsid w:val="4C190025"/>
    <w:rsid w:val="4C20442F"/>
    <w:rsid w:val="4E3E63A0"/>
    <w:rsid w:val="4E43401B"/>
    <w:rsid w:val="4E780ADA"/>
    <w:rsid w:val="4E9649F8"/>
    <w:rsid w:val="4ECD1F20"/>
    <w:rsid w:val="4F151386"/>
    <w:rsid w:val="4F720667"/>
    <w:rsid w:val="4F9F6D77"/>
    <w:rsid w:val="4FD03DC0"/>
    <w:rsid w:val="50AF3C08"/>
    <w:rsid w:val="50C8713D"/>
    <w:rsid w:val="50F1639A"/>
    <w:rsid w:val="50FD551C"/>
    <w:rsid w:val="512A365A"/>
    <w:rsid w:val="516F5418"/>
    <w:rsid w:val="521A5D14"/>
    <w:rsid w:val="52B14033"/>
    <w:rsid w:val="533D21F8"/>
    <w:rsid w:val="575022C0"/>
    <w:rsid w:val="5763009D"/>
    <w:rsid w:val="588E5F10"/>
    <w:rsid w:val="58F06369"/>
    <w:rsid w:val="591A3B60"/>
    <w:rsid w:val="59A42581"/>
    <w:rsid w:val="5A8D20CC"/>
    <w:rsid w:val="5AC05880"/>
    <w:rsid w:val="5B990F4A"/>
    <w:rsid w:val="5C45126F"/>
    <w:rsid w:val="5C761419"/>
    <w:rsid w:val="5C8820A0"/>
    <w:rsid w:val="5D442B5E"/>
    <w:rsid w:val="5DED1C97"/>
    <w:rsid w:val="5F3C2439"/>
    <w:rsid w:val="5F536572"/>
    <w:rsid w:val="5FB567E4"/>
    <w:rsid w:val="60382A9F"/>
    <w:rsid w:val="60695F4D"/>
    <w:rsid w:val="60A32AE1"/>
    <w:rsid w:val="620121B5"/>
    <w:rsid w:val="620771B7"/>
    <w:rsid w:val="62F51C7F"/>
    <w:rsid w:val="63385377"/>
    <w:rsid w:val="6347725E"/>
    <w:rsid w:val="634D5D18"/>
    <w:rsid w:val="638210D3"/>
    <w:rsid w:val="63853EBE"/>
    <w:rsid w:val="63A948B2"/>
    <w:rsid w:val="648D7D30"/>
    <w:rsid w:val="64E37672"/>
    <w:rsid w:val="64F4374A"/>
    <w:rsid w:val="65194EC6"/>
    <w:rsid w:val="65304BAB"/>
    <w:rsid w:val="65484244"/>
    <w:rsid w:val="660A4BFC"/>
    <w:rsid w:val="66560D21"/>
    <w:rsid w:val="66DF28B7"/>
    <w:rsid w:val="674A0C0E"/>
    <w:rsid w:val="6753700F"/>
    <w:rsid w:val="67996340"/>
    <w:rsid w:val="683B29E0"/>
    <w:rsid w:val="687B59FC"/>
    <w:rsid w:val="68A1024E"/>
    <w:rsid w:val="69842821"/>
    <w:rsid w:val="6986628F"/>
    <w:rsid w:val="69DD092B"/>
    <w:rsid w:val="6A3A7C71"/>
    <w:rsid w:val="6A684C8A"/>
    <w:rsid w:val="6AD2390A"/>
    <w:rsid w:val="6B2D0105"/>
    <w:rsid w:val="6BBA236D"/>
    <w:rsid w:val="6C0E7490"/>
    <w:rsid w:val="6CB62F3D"/>
    <w:rsid w:val="6E1641AA"/>
    <w:rsid w:val="6EE97C2C"/>
    <w:rsid w:val="6F7915DC"/>
    <w:rsid w:val="6F7F7567"/>
    <w:rsid w:val="6FC54E17"/>
    <w:rsid w:val="6FD66A2F"/>
    <w:rsid w:val="7177281E"/>
    <w:rsid w:val="71B23116"/>
    <w:rsid w:val="7210257D"/>
    <w:rsid w:val="729C3F60"/>
    <w:rsid w:val="734168B5"/>
    <w:rsid w:val="73B47162"/>
    <w:rsid w:val="74257F85"/>
    <w:rsid w:val="744C4DDD"/>
    <w:rsid w:val="74970960"/>
    <w:rsid w:val="74E23BE1"/>
    <w:rsid w:val="75A57E00"/>
    <w:rsid w:val="76017E90"/>
    <w:rsid w:val="762F50EB"/>
    <w:rsid w:val="77C52D78"/>
    <w:rsid w:val="78177BE5"/>
    <w:rsid w:val="78426F3E"/>
    <w:rsid w:val="78706279"/>
    <w:rsid w:val="79246A49"/>
    <w:rsid w:val="795C11F1"/>
    <w:rsid w:val="7AAD00BC"/>
    <w:rsid w:val="7AB91CCB"/>
    <w:rsid w:val="7AF15B7C"/>
    <w:rsid w:val="7B4E7DE6"/>
    <w:rsid w:val="7B6F2D13"/>
    <w:rsid w:val="7BF435EB"/>
    <w:rsid w:val="7C8E41ED"/>
    <w:rsid w:val="7CE07078"/>
    <w:rsid w:val="7D531FB3"/>
    <w:rsid w:val="7D5524E5"/>
    <w:rsid w:val="7D805C34"/>
    <w:rsid w:val="7DB249B5"/>
    <w:rsid w:val="7DC00C3C"/>
    <w:rsid w:val="7EA93754"/>
    <w:rsid w:val="7EB14B37"/>
    <w:rsid w:val="7F1B3AC6"/>
    <w:rsid w:val="7F3505EC"/>
    <w:rsid w:val="7F426084"/>
    <w:rsid w:val="7FD227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100" w:after="100"/>
      <w:outlineLvl w:val="1"/>
    </w:pPr>
    <w:rPr>
      <w:rFonts w:ascii="Arial" w:hAnsi="Arial" w:eastAsia="黑体"/>
      <w:b/>
      <w:sz w:val="32"/>
      <w:szCs w:val="20"/>
    </w:rPr>
  </w:style>
  <w:style w:type="paragraph" w:styleId="5">
    <w:name w:val="heading 3"/>
    <w:basedOn w:val="1"/>
    <w:next w:val="1"/>
    <w:qFormat/>
    <w:uiPriority w:val="0"/>
    <w:pPr>
      <w:keepNext/>
      <w:keepLines/>
      <w:spacing w:before="260" w:after="260"/>
      <w:ind w:firstLine="49" w:firstLineChars="49"/>
      <w:outlineLvl w:val="2"/>
    </w:pPr>
    <w:rPr>
      <w:rFonts w:ascii="黑体" w:eastAsia="黑体"/>
      <w:sz w:val="28"/>
      <w:szCs w:val="20"/>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_Style 3"/>
    <w:next w:val="1"/>
    <w:qFormat/>
    <w:uiPriority w:val="0"/>
    <w:pPr>
      <w:widowControl w:val="0"/>
      <w:jc w:val="both"/>
    </w:pPr>
    <w:rPr>
      <w:rFonts w:ascii="Times New Roman" w:hAnsi="Times New Roman" w:eastAsia="宋体" w:cstheme="minorBidi"/>
      <w:kern w:val="2"/>
      <w:sz w:val="21"/>
      <w:szCs w:val="22"/>
      <w:lang w:val="en-US" w:eastAsia="zh-CN" w:bidi="ar-SA"/>
    </w:rPr>
  </w:style>
  <w:style w:type="paragraph" w:styleId="7">
    <w:name w:val="Normal Indent"/>
    <w:basedOn w:val="1"/>
    <w:unhideWhenUsed/>
    <w:qFormat/>
    <w:uiPriority w:val="99"/>
    <w:pPr>
      <w:ind w:firstLine="420"/>
    </w:pPr>
  </w:style>
  <w:style w:type="paragraph" w:styleId="8">
    <w:name w:val="Document Map"/>
    <w:basedOn w:val="1"/>
    <w:link w:val="38"/>
    <w:qFormat/>
    <w:uiPriority w:val="0"/>
    <w:rPr>
      <w:rFonts w:ascii="宋体"/>
      <w:sz w:val="18"/>
      <w:szCs w:val="18"/>
    </w:r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unhideWhenUsed/>
    <w:qFormat/>
    <w:uiPriority w:val="0"/>
    <w:pPr>
      <w:spacing w:after="120"/>
    </w:pPr>
    <w:rPr>
      <w:rFonts w:ascii="Times New Roman" w:hAnsi="Times New Roman"/>
      <w:szCs w:val="20"/>
    </w:rPr>
  </w:style>
  <w:style w:type="paragraph" w:styleId="12">
    <w:name w:val="Body Text Indent"/>
    <w:basedOn w:val="1"/>
    <w:qFormat/>
    <w:uiPriority w:val="0"/>
    <w:pPr>
      <w:spacing w:after="120"/>
      <w:ind w:left="420" w:leftChars="200"/>
    </w:pPr>
    <w:rPr>
      <w:rFonts w:ascii="Times New Roman" w:hAnsi="Times New Roman"/>
      <w:szCs w:val="20"/>
    </w:rPr>
  </w:style>
  <w:style w:type="paragraph" w:styleId="13">
    <w:name w:val="toc 3"/>
    <w:basedOn w:val="1"/>
    <w:next w:val="1"/>
    <w:qFormat/>
    <w:uiPriority w:val="39"/>
    <w:pPr>
      <w:ind w:left="400" w:leftChars="400"/>
    </w:pPr>
  </w:style>
  <w:style w:type="paragraph" w:styleId="14">
    <w:name w:val="Plain Text"/>
    <w:basedOn w:val="1"/>
    <w:next w:val="1"/>
    <w:link w:val="39"/>
    <w:qFormat/>
    <w:uiPriority w:val="0"/>
    <w:rPr>
      <w:rFonts w:ascii="宋体"/>
    </w:rPr>
  </w:style>
  <w:style w:type="paragraph" w:styleId="15">
    <w:name w:val="Balloon Text"/>
    <w:basedOn w:val="1"/>
    <w:link w:val="40"/>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toc 2"/>
    <w:basedOn w:val="1"/>
    <w:next w:val="1"/>
    <w:qFormat/>
    <w:uiPriority w:val="39"/>
    <w:pPr>
      <w:ind w:left="200" w:leftChars="200"/>
    </w:p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Body Text First Indent"/>
    <w:basedOn w:val="11"/>
    <w:qFormat/>
    <w:uiPriority w:val="0"/>
    <w:pPr>
      <w:spacing w:line="312" w:lineRule="auto"/>
      <w:ind w:firstLine="420"/>
    </w:pPr>
    <w:rPr>
      <w:szCs w:val="24"/>
      <w:lang w:val="en-US" w:eastAsia="zh-CN"/>
    </w:rPr>
  </w:style>
  <w:style w:type="paragraph" w:styleId="23">
    <w:name w:val="Body Text First Indent 2"/>
    <w:basedOn w:val="12"/>
    <w:qFormat/>
    <w:uiPriority w:val="0"/>
    <w:pPr>
      <w:ind w:firstLine="420" w:firstLineChars="200"/>
    </w:pPr>
  </w:style>
  <w:style w:type="character" w:styleId="26">
    <w:name w:val="Strong"/>
    <w:qFormat/>
    <w:uiPriority w:val="0"/>
    <w:rPr>
      <w:b/>
    </w:rPr>
  </w:style>
  <w:style w:type="character" w:styleId="27">
    <w:name w:val="page number"/>
    <w:qFormat/>
    <w:uiPriority w:val="0"/>
  </w:style>
  <w:style w:type="character" w:styleId="28">
    <w:name w:val="FollowedHyperlink"/>
    <w:qFormat/>
    <w:uiPriority w:val="0"/>
    <w:rPr>
      <w:rFonts w:hint="eastAsia" w:ascii="微软雅黑" w:hAnsi="微软雅黑" w:eastAsia="微软雅黑" w:cs="微软雅黑"/>
      <w:color w:val="337AB7"/>
      <w:u w:val="none"/>
    </w:rPr>
  </w:style>
  <w:style w:type="character" w:styleId="29">
    <w:name w:val="Emphasis"/>
    <w:qFormat/>
    <w:uiPriority w:val="0"/>
    <w:rPr>
      <w:i/>
    </w:rPr>
  </w:style>
  <w:style w:type="character" w:styleId="30">
    <w:name w:val="HTML Definition"/>
    <w:qFormat/>
    <w:uiPriority w:val="0"/>
    <w:rPr>
      <w:i/>
    </w:rPr>
  </w:style>
  <w:style w:type="character" w:styleId="31">
    <w:name w:val="Hyperlink"/>
    <w:qFormat/>
    <w:uiPriority w:val="99"/>
    <w:rPr>
      <w:color w:val="000000"/>
      <w:u w:val="none"/>
    </w:rPr>
  </w:style>
  <w:style w:type="character" w:styleId="32">
    <w:name w:val="HTML Code"/>
    <w:qFormat/>
    <w:uiPriority w:val="0"/>
    <w:rPr>
      <w:rFonts w:hint="default" w:ascii="Consolas" w:hAnsi="Consolas" w:eastAsia="Consolas" w:cs="Consolas"/>
      <w:color w:val="C7254E"/>
      <w:sz w:val="21"/>
      <w:szCs w:val="21"/>
      <w:bdr w:val="single" w:color="E1E1E1" w:sz="6" w:space="0"/>
      <w:shd w:val="clear" w:color="auto" w:fill="F9F2F4"/>
    </w:rPr>
  </w:style>
  <w:style w:type="character" w:styleId="33">
    <w:name w:val="annotation reference"/>
    <w:qFormat/>
    <w:uiPriority w:val="0"/>
    <w:rPr>
      <w:sz w:val="21"/>
    </w:rPr>
  </w:style>
  <w:style w:type="character" w:styleId="34">
    <w:name w:val="footnote reference"/>
    <w:basedOn w:val="25"/>
    <w:qFormat/>
    <w:uiPriority w:val="0"/>
    <w:rPr>
      <w:vertAlign w:val="superscript"/>
    </w:rPr>
  </w:style>
  <w:style w:type="character" w:styleId="35">
    <w:name w:val="HTML Keyboard"/>
    <w:qFormat/>
    <w:uiPriority w:val="0"/>
    <w:rPr>
      <w:rFonts w:hint="default" w:ascii="Consolas" w:hAnsi="Consolas" w:eastAsia="Consolas" w:cs="Consolas"/>
      <w:color w:val="FFFFFF"/>
      <w:sz w:val="21"/>
      <w:szCs w:val="21"/>
      <w:shd w:val="clear" w:color="auto" w:fill="333333"/>
    </w:rPr>
  </w:style>
  <w:style w:type="character" w:styleId="36">
    <w:name w:val="HTML Sample"/>
    <w:qFormat/>
    <w:uiPriority w:val="0"/>
    <w:rPr>
      <w:rFonts w:ascii="Consolas" w:hAnsi="Consolas" w:eastAsia="Consolas" w:cs="Consolas"/>
      <w:sz w:val="21"/>
      <w:szCs w:val="21"/>
    </w:rPr>
  </w:style>
  <w:style w:type="character" w:customStyle="1" w:styleId="37">
    <w:name w:val="页脚 Char"/>
    <w:link w:val="16"/>
    <w:qFormat/>
    <w:uiPriority w:val="99"/>
    <w:rPr>
      <w:rFonts w:ascii="Calibri" w:hAnsi="Calibri"/>
      <w:kern w:val="2"/>
      <w:sz w:val="18"/>
      <w:szCs w:val="22"/>
    </w:rPr>
  </w:style>
  <w:style w:type="character" w:customStyle="1" w:styleId="38">
    <w:name w:val="文档结构图 Char"/>
    <w:basedOn w:val="25"/>
    <w:link w:val="8"/>
    <w:qFormat/>
    <w:uiPriority w:val="0"/>
    <w:rPr>
      <w:rFonts w:ascii="宋体" w:hAnsi="Calibri"/>
      <w:kern w:val="2"/>
      <w:sz w:val="18"/>
      <w:szCs w:val="18"/>
    </w:rPr>
  </w:style>
  <w:style w:type="character" w:customStyle="1" w:styleId="39">
    <w:name w:val="纯文本 Char"/>
    <w:link w:val="14"/>
    <w:qFormat/>
    <w:uiPriority w:val="0"/>
    <w:rPr>
      <w:rFonts w:ascii="宋体" w:hAnsi="Calibri"/>
      <w:kern w:val="2"/>
      <w:sz w:val="21"/>
      <w:szCs w:val="22"/>
    </w:rPr>
  </w:style>
  <w:style w:type="character" w:customStyle="1" w:styleId="40">
    <w:name w:val="批注框文本 Char"/>
    <w:link w:val="15"/>
    <w:qFormat/>
    <w:uiPriority w:val="0"/>
    <w:rPr>
      <w:rFonts w:ascii="Calibri" w:hAnsi="Calibri"/>
      <w:kern w:val="2"/>
      <w:sz w:val="18"/>
      <w:szCs w:val="18"/>
    </w:rPr>
  </w:style>
  <w:style w:type="character" w:customStyle="1" w:styleId="41">
    <w:name w:val="username"/>
    <w:qFormat/>
    <w:uiPriority w:val="0"/>
  </w:style>
  <w:style w:type="character" w:customStyle="1" w:styleId="42">
    <w:name w:val="font01"/>
    <w:qFormat/>
    <w:uiPriority w:val="0"/>
    <w:rPr>
      <w:rFonts w:hint="eastAsia" w:ascii="宋体" w:hAnsi="宋体" w:eastAsia="宋体" w:cs="宋体"/>
      <w:color w:val="000000"/>
      <w:sz w:val="21"/>
      <w:szCs w:val="21"/>
      <w:u w:val="none"/>
    </w:rPr>
  </w:style>
  <w:style w:type="character" w:customStyle="1" w:styleId="43">
    <w:name w:val="title26"/>
    <w:qFormat/>
    <w:uiPriority w:val="0"/>
  </w:style>
  <w:style w:type="paragraph" w:customStyle="1" w:styleId="44">
    <w:name w:val="正文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5">
    <w:name w:val="BodyText1I"/>
    <w:basedOn w:val="1"/>
    <w:qFormat/>
    <w:uiPriority w:val="0"/>
    <w:pPr>
      <w:spacing w:after="120" w:line="312" w:lineRule="auto"/>
      <w:ind w:firstLine="420"/>
      <w:textAlignment w:val="baseline"/>
    </w:pPr>
    <w:rPr>
      <w:rFonts w:ascii="Times New Roman" w:hAnsi="Times New Roman"/>
    </w:rPr>
  </w:style>
  <w:style w:type="paragraph" w:customStyle="1" w:styleId="46">
    <w:name w:val="Char Char Char Char Char Char Char"/>
    <w:basedOn w:val="1"/>
    <w:qFormat/>
    <w:uiPriority w:val="0"/>
    <w:pPr>
      <w:spacing w:line="300" w:lineRule="auto"/>
    </w:pPr>
    <w:rPr>
      <w:rFonts w:ascii="Tahoma" w:hAnsi="Tahoma"/>
      <w:sz w:val="24"/>
      <w:szCs w:val="20"/>
    </w:rPr>
  </w:style>
  <w:style w:type="paragraph" w:customStyle="1" w:styleId="47">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48">
    <w:name w:val="Table Paragraph"/>
    <w:basedOn w:val="1"/>
    <w:unhideWhenUsed/>
    <w:qFormat/>
    <w:uiPriority w:val="99"/>
    <w:rPr>
      <w:rFonts w:hint="eastAsia"/>
      <w:sz w:val="21"/>
    </w:rPr>
  </w:style>
  <w:style w:type="character" w:customStyle="1" w:styleId="49">
    <w:name w:val="NormalCharacter"/>
    <w:semiHidden/>
    <w:qFormat/>
    <w:uiPriority w:val="0"/>
  </w:style>
  <w:style w:type="paragraph" w:customStyle="1" w:styleId="50">
    <w:name w:val="List Paragraph"/>
    <w:basedOn w:val="1"/>
    <w:qFormat/>
    <w:uiPriority w:val="1"/>
    <w:pPr>
      <w:ind w:left="240" w:firstLine="41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24076</Words>
  <Characters>25574</Characters>
  <Lines>323</Lines>
  <Paragraphs>91</Paragraphs>
  <TotalTime>51</TotalTime>
  <ScaleCrop>false</ScaleCrop>
  <LinksUpToDate>false</LinksUpToDate>
  <CharactersWithSpaces>27785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2023-05-16T09:01:00Z</dcterms:created>
  <dc:creator>Administrator</dc:creator>
  <cp:lastModifiedBy>广东省建筑工程监理有限公司</cp:lastModifiedBy>
  <cp:lastPrinted>2024-04-08T11:16:00Z</cp:lastPrinted>
  <dcterms:modified xsi:type="dcterms:W3CDTF">2024-09-19T07:50:55Z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AF4ECA5F740E4423922976AB448A0DAB_13</vt:lpwstr>
  </property>
</Properties>
</file>