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EC657">
      <w:pPr>
        <w:pStyle w:val="6"/>
        <w:ind w:firstLine="480"/>
        <w:jc w:val="center"/>
        <w:outlineLvl w:val="1"/>
        <w:rPr>
          <w:rFonts w:hint="eastAsia" w:ascii="仿宋" w:hAnsi="仿宋" w:eastAsia="仿宋" w:cs="仿宋"/>
          <w:color w:val="auto"/>
          <w:highlight w:val="none"/>
        </w:rPr>
      </w:pPr>
      <w:r>
        <w:rPr>
          <w:rFonts w:ascii="仿宋" w:hAnsi="仿宋" w:eastAsia="仿宋" w:cs="仿宋"/>
          <w:b/>
          <w:color w:val="auto"/>
          <w:sz w:val="36"/>
          <w:highlight w:val="none"/>
        </w:rPr>
        <w:t>第二章 采购需求</w:t>
      </w:r>
    </w:p>
    <w:p w14:paraId="4F5A070E">
      <w:pPr>
        <w:pStyle w:val="6"/>
        <w:outlineLvl w:val="2"/>
        <w:rPr>
          <w:rFonts w:hint="eastAsia" w:ascii="仿宋" w:hAnsi="仿宋" w:eastAsia="仿宋" w:cs="仿宋"/>
          <w:color w:val="auto"/>
          <w:highlight w:val="none"/>
        </w:rPr>
      </w:pPr>
      <w:r>
        <w:rPr>
          <w:rFonts w:ascii="仿宋" w:hAnsi="仿宋" w:eastAsia="仿宋" w:cs="仿宋"/>
          <w:b/>
          <w:color w:val="auto"/>
          <w:sz w:val="28"/>
          <w:highlight w:val="none"/>
        </w:rPr>
        <w:t>一、项目概况：</w:t>
      </w:r>
    </w:p>
    <w:p w14:paraId="6333C2F4">
      <w:pPr>
        <w:pStyle w:val="6"/>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1.投标人必须对采购包内所有内容进行投标，不允许只对其中部分内容进行投标，否则无效投标处理。</w:t>
      </w:r>
    </w:p>
    <w:p w14:paraId="0AEDE41D">
      <w:pPr>
        <w:pStyle w:val="6"/>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本采购文件在技术要求中指出的工艺、材料、设备，参照的商标、示例图仅作为说明并没有限制性，如出现了则默认添加“或相当于”字样，投标人可以在其提供的文件资料中选用替代标准，但这些替代标准要优于或相当于技术规格中要求的标准。若其标准在需求书中没有规定，投标人应说明所用的标准。如果实际使用的标准有不同，必须对用于替代的标准、规范与本采购文件选用标准、规范之间的明显差异点作出说明，并提交推荐标准或实施规范的中文版。</w:t>
      </w:r>
    </w:p>
    <w:p w14:paraId="0D442345">
      <w:pPr>
        <w:pStyle w:val="6"/>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采购人根据价格测算情况，设定了本项目的最高投标限价，评标委员会认为投标人的报价明显低于其他通过符合性审查投标人的报价，有可能影响货物质量或者不能诚信履约的，将要求其在评标现场在评标委员会规定的时间内提供书面说明</w:t>
      </w:r>
      <w:r>
        <w:rPr>
          <w:rFonts w:hint="eastAsia" w:ascii="仿宋" w:hAnsi="仿宋" w:eastAsia="仿宋" w:cs="仿宋"/>
          <w:color w:val="auto"/>
          <w:sz w:val="24"/>
          <w:szCs w:val="24"/>
          <w:highlight w:val="none"/>
          <w:lang w:eastAsia="zh-CN"/>
        </w:rPr>
        <w:t>澄清</w:t>
      </w:r>
      <w:r>
        <w:rPr>
          <w:rFonts w:ascii="仿宋" w:hAnsi="仿宋" w:eastAsia="仿宋" w:cs="仿宋"/>
          <w:color w:val="auto"/>
          <w:sz w:val="24"/>
          <w:szCs w:val="24"/>
          <w:highlight w:val="none"/>
        </w:rPr>
        <w:t>，必要时提交相关证明材料；投标人不能证明其报价合理性的，评标委员会将其作为无效投标处理。</w:t>
      </w:r>
    </w:p>
    <w:p w14:paraId="0D8D9FCD">
      <w:pPr>
        <w:pStyle w:val="6"/>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招标文件中，凡标有“★”的地方均被视为实质性条款。投标人要特别加以注意，必须对此应答并完全满足或优于这些要求，否则若有一项带“★”的条款未响应或不满足，将按无效标处理。标注有“▲”号参数为重要条款，如不满足将导致扣分。</w:t>
      </w:r>
    </w:p>
    <w:p w14:paraId="7D6C7275">
      <w:pPr>
        <w:pStyle w:val="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.项目属性：服务类；</w:t>
      </w:r>
    </w:p>
    <w:p w14:paraId="3DFC5DD2">
      <w:pPr>
        <w:pStyle w:val="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ascii="仿宋" w:hAnsi="仿宋" w:eastAsia="仿宋" w:cs="仿宋"/>
          <w:color w:val="auto"/>
          <w:sz w:val="24"/>
          <w:szCs w:val="24"/>
          <w:highlight w:val="none"/>
        </w:rPr>
        <w:t>.落实政府采购政策需满足的要求：根据《关于印发中小企业划型标准规定的通知》（工信部联企业〔2011〕300号）规定，本项目对应的中小企业划分标准所属行业为：其他未列明行业；</w:t>
      </w:r>
    </w:p>
    <w:p w14:paraId="4844F1A6">
      <w:pPr>
        <w:pStyle w:val="6"/>
        <w:spacing w:line="360" w:lineRule="auto"/>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szCs w:val="24"/>
          <w:highlight w:val="none"/>
        </w:rPr>
        <w:t>本项目不属于专门面向中小微企业采购的项目</w:t>
      </w:r>
      <w:r>
        <w:rPr>
          <w:rFonts w:hint="eastAsia" w:ascii="仿宋" w:hAnsi="仿宋" w:eastAsia="仿宋" w:cs="仿宋"/>
          <w:color w:val="auto"/>
          <w:sz w:val="24"/>
          <w:szCs w:val="24"/>
          <w:highlight w:val="none"/>
          <w:lang w:val="en-US" w:eastAsia="zh-CN"/>
        </w:rPr>
        <w:t>。</w:t>
      </w:r>
    </w:p>
    <w:p w14:paraId="101EB049">
      <w:pPr>
        <w:pStyle w:val="6"/>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按照《政府采购促进中小企业发展管理办法》规定预留采购份额无法确保充分供应、充分竞争，或者存在可能影响政府采购目标实现的情形。</w:t>
      </w:r>
    </w:p>
    <w:p w14:paraId="3FAC276F">
      <w:pPr>
        <w:pStyle w:val="6"/>
        <w:spacing w:line="360" w:lineRule="auto"/>
        <w:rPr>
          <w:rFonts w:ascii="仿宋" w:hAnsi="仿宋" w:eastAsia="仿宋" w:cs="仿宋"/>
          <w:color w:val="auto"/>
          <w:sz w:val="24"/>
          <w:szCs w:val="24"/>
          <w:highlight w:val="none"/>
        </w:rPr>
      </w:pPr>
    </w:p>
    <w:p w14:paraId="6CFAA3E2">
      <w:pPr>
        <w:pStyle w:val="6"/>
        <w:spacing w:line="360" w:lineRule="auto"/>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本采购包不接受联合体投标</w:t>
      </w:r>
      <w:r>
        <w:rPr>
          <w:rFonts w:hint="eastAsia" w:ascii="仿宋" w:hAnsi="仿宋" w:eastAsia="仿宋" w:cs="仿宋"/>
          <w:color w:val="auto"/>
          <w:sz w:val="24"/>
          <w:szCs w:val="24"/>
          <w:highlight w:val="none"/>
          <w:lang w:eastAsia="zh-CN"/>
        </w:rPr>
        <w:t>。</w:t>
      </w:r>
    </w:p>
    <w:p w14:paraId="1C1DD167">
      <w:pPr>
        <w:pStyle w:val="6"/>
        <w:spacing w:line="360" w:lineRule="auto"/>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本采购包不允许合同分包</w:t>
      </w:r>
      <w:r>
        <w:rPr>
          <w:rFonts w:hint="eastAsia" w:ascii="仿宋" w:hAnsi="仿宋" w:eastAsia="仿宋" w:cs="仿宋"/>
          <w:color w:val="auto"/>
          <w:sz w:val="24"/>
          <w:szCs w:val="24"/>
          <w:highlight w:val="none"/>
          <w:lang w:eastAsia="zh-CN"/>
        </w:rPr>
        <w:t>。</w:t>
      </w:r>
    </w:p>
    <w:p w14:paraId="2D34CB5E">
      <w:pPr>
        <w:pStyle w:val="6"/>
        <w:spacing w:line="360" w:lineRule="auto"/>
        <w:rPr>
          <w:rFonts w:hint="eastAsia" w:ascii="仿宋" w:hAnsi="仿宋" w:eastAsia="仿宋" w:cs="仿宋"/>
          <w:color w:val="auto"/>
          <w:kern w:val="0"/>
          <w:sz w:val="20"/>
          <w:szCs w:val="20"/>
          <w:highlight w:val="none"/>
          <w:lang w:eastAsia="zh-Hans"/>
        </w:rPr>
      </w:pPr>
      <w:r>
        <w:rPr>
          <w:rFonts w:hint="eastAsia" w:ascii="仿宋" w:hAnsi="仿宋" w:eastAsia="仿宋" w:cs="仿宋"/>
          <w:color w:val="auto"/>
          <w:highlight w:val="none"/>
        </w:rPr>
        <w:br w:type="page"/>
      </w:r>
    </w:p>
    <w:p w14:paraId="2EB3BEF2">
      <w:pPr>
        <w:pStyle w:val="6"/>
        <w:rPr>
          <w:rFonts w:hint="eastAsia" w:ascii="仿宋" w:hAnsi="仿宋" w:eastAsia="仿宋" w:cs="仿宋"/>
          <w:color w:val="auto"/>
          <w:highlight w:val="none"/>
        </w:rPr>
      </w:pPr>
    </w:p>
    <w:p w14:paraId="24F6CE7F">
      <w:pPr>
        <w:pStyle w:val="6"/>
        <w:rPr>
          <w:rFonts w:hint="eastAsia" w:ascii="仿宋" w:hAnsi="仿宋" w:eastAsia="仿宋" w:cs="仿宋"/>
          <w:color w:val="auto"/>
          <w:highlight w:val="none"/>
          <w:lang w:eastAsia="zh-CN"/>
        </w:rPr>
      </w:pPr>
      <w:r>
        <w:rPr>
          <w:rFonts w:ascii="仿宋" w:hAnsi="仿宋" w:eastAsia="仿宋" w:cs="仿宋"/>
          <w:color w:val="auto"/>
          <w:sz w:val="24"/>
          <w:szCs w:val="24"/>
          <w:highlight w:val="none"/>
        </w:rPr>
        <w:t>标的提供的时间</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rPr>
        <w:t>3</w:t>
      </w:r>
      <w:r>
        <w:rPr>
          <w:rFonts w:ascii="仿宋" w:hAnsi="仿宋" w:eastAsia="仿宋" w:cs="仿宋"/>
          <w:color w:val="auto"/>
          <w:sz w:val="24"/>
          <w:szCs w:val="24"/>
          <w:highlight w:val="none"/>
        </w:rPr>
        <w:t>年。</w:t>
      </w:r>
    </w:p>
    <w:p w14:paraId="408D4E82">
      <w:pPr>
        <w:pStyle w:val="6"/>
        <w:rPr>
          <w:rFonts w:ascii="仿宋" w:hAnsi="仿宋" w:eastAsia="仿宋" w:cs="仿宋"/>
          <w:color w:val="auto"/>
          <w:sz w:val="24"/>
          <w:szCs w:val="24"/>
          <w:highlight w:val="none"/>
        </w:rPr>
      </w:pPr>
    </w:p>
    <w:p w14:paraId="19E79FB5">
      <w:pPr>
        <w:pStyle w:val="6"/>
        <w:rPr>
          <w:rFonts w:ascii="仿宋" w:hAnsi="仿宋" w:eastAsia="仿宋" w:cs="仿宋"/>
          <w:color w:val="auto"/>
          <w:sz w:val="24"/>
          <w:szCs w:val="24"/>
          <w:highlight w:val="none"/>
        </w:rPr>
      </w:pPr>
      <w:r>
        <w:rPr>
          <w:rFonts w:ascii="仿宋" w:hAnsi="仿宋" w:eastAsia="仿宋" w:cs="仿宋"/>
          <w:color w:val="auto"/>
          <w:sz w:val="24"/>
          <w:szCs w:val="24"/>
          <w:highlight w:val="none"/>
        </w:rPr>
        <w:t>标的提供的地点</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采购人指定地点。</w:t>
      </w:r>
    </w:p>
    <w:p w14:paraId="76DAD6B0">
      <w:pPr>
        <w:pStyle w:val="6"/>
        <w:rPr>
          <w:rFonts w:ascii="仿宋" w:hAnsi="仿宋" w:eastAsia="仿宋" w:cs="仿宋"/>
          <w:color w:val="auto"/>
          <w:sz w:val="24"/>
          <w:szCs w:val="24"/>
          <w:highlight w:val="none"/>
        </w:rPr>
      </w:pPr>
    </w:p>
    <w:p w14:paraId="0FCCFAF8">
      <w:pPr>
        <w:pStyle w:val="6"/>
        <w:rPr>
          <w:rFonts w:hint="eastAsia" w:ascii="仿宋" w:hAnsi="仿宋" w:cs="仿宋" w:eastAsiaTheme="minorEastAsia"/>
          <w:color w:val="auto"/>
          <w:sz w:val="24"/>
          <w:szCs w:val="24"/>
          <w:highlight w:val="none"/>
          <w:lang w:eastAsia="zh-CN"/>
        </w:rPr>
      </w:pPr>
      <w:r>
        <w:rPr>
          <w:rFonts w:ascii="仿宋" w:hAnsi="仿宋" w:eastAsia="仿宋" w:cs="仿宋"/>
          <w:color w:val="auto"/>
          <w:sz w:val="24"/>
          <w:szCs w:val="24"/>
          <w:highlight w:val="none"/>
        </w:rPr>
        <w:t>付款方式</w:t>
      </w:r>
      <w:r>
        <w:rPr>
          <w:rFonts w:hint="eastAsia"/>
          <w:color w:val="auto"/>
          <w:highlight w:val="none"/>
          <w:lang w:eastAsia="zh-CN"/>
        </w:rPr>
        <w:t>：</w:t>
      </w:r>
      <w:r>
        <w:rPr>
          <w:rFonts w:hint="eastAsia" w:ascii="仿宋" w:hAnsi="仿宋" w:eastAsia="仿宋" w:cs="仿宋"/>
          <w:color w:val="auto"/>
          <w:sz w:val="24"/>
          <w:szCs w:val="24"/>
          <w:highlight w:val="none"/>
          <w:lang w:eastAsia="zh-CN"/>
        </w:rPr>
        <w:t>按月支付</w:t>
      </w:r>
      <w:r>
        <w:rPr>
          <w:rFonts w:ascii="仿宋" w:hAnsi="仿宋" w:eastAsia="仿宋" w:cs="仿宋"/>
          <w:color w:val="auto"/>
          <w:sz w:val="24"/>
          <w:szCs w:val="24"/>
          <w:highlight w:val="none"/>
        </w:rPr>
        <w:t>,每月30日前支付上月服务费，采购人根据中标人人员实际到岗情况以及合同履约情况进行核算服务费</w:t>
      </w:r>
      <w:r>
        <w:rPr>
          <w:rFonts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支付款项时，中标人同时向采购人提供</w:t>
      </w:r>
      <w:r>
        <w:rPr>
          <w:rFonts w:ascii="仿宋" w:hAnsi="仿宋" w:eastAsia="仿宋" w:cs="仿宋"/>
          <w:color w:val="auto"/>
          <w:sz w:val="24"/>
          <w:szCs w:val="24"/>
          <w:highlight w:val="none"/>
          <w:lang w:eastAsia="zh-CN"/>
        </w:rPr>
        <w:t>（1）</w:t>
      </w:r>
      <w:r>
        <w:rPr>
          <w:rFonts w:ascii="仿宋" w:hAnsi="仿宋" w:eastAsia="仿宋" w:cs="仿宋"/>
          <w:color w:val="auto"/>
          <w:sz w:val="24"/>
          <w:szCs w:val="24"/>
          <w:highlight w:val="none"/>
        </w:rPr>
        <w:t>合同；</w:t>
      </w: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rPr>
        <w:t>中标人开具的正式全额发票复印件；</w:t>
      </w:r>
      <w:r>
        <w:rPr>
          <w:rFonts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中标通知书；采购人</w:t>
      </w:r>
      <w:r>
        <w:rPr>
          <w:rFonts w:hint="eastAsia" w:ascii="仿宋" w:hAnsi="仿宋" w:eastAsia="仿宋" w:cs="仿宋"/>
          <w:color w:val="auto"/>
          <w:sz w:val="24"/>
          <w:szCs w:val="24"/>
          <w:highlight w:val="none"/>
          <w:lang w:eastAsia="zh-CN"/>
        </w:rPr>
        <w:t>约定时间</w:t>
      </w:r>
      <w:r>
        <w:rPr>
          <w:rFonts w:ascii="仿宋" w:hAnsi="仿宋" w:eastAsia="仿宋" w:cs="仿宋"/>
          <w:color w:val="auto"/>
          <w:sz w:val="24"/>
          <w:szCs w:val="24"/>
          <w:highlight w:val="none"/>
        </w:rPr>
        <w:t>内完成支付。采购人在</w:t>
      </w:r>
      <w:r>
        <w:rPr>
          <w:rFonts w:hint="eastAsia" w:ascii="仿宋" w:hAnsi="仿宋" w:eastAsia="仿宋" w:cs="仿宋"/>
          <w:color w:val="auto"/>
          <w:sz w:val="24"/>
          <w:szCs w:val="24"/>
          <w:highlight w:val="none"/>
          <w:lang w:eastAsia="zh-CN"/>
        </w:rPr>
        <w:t>收到发票后</w:t>
      </w:r>
      <w:r>
        <w:rPr>
          <w:rFonts w:hint="eastAsia" w:ascii="仿宋" w:hAnsi="仿宋" w:eastAsia="仿宋" w:cs="仿宋"/>
          <w:color w:val="auto"/>
          <w:sz w:val="24"/>
          <w:szCs w:val="24"/>
          <w:highlight w:val="none"/>
          <w:lang w:val="en-US" w:eastAsia="zh-CN"/>
        </w:rPr>
        <w:t>5个工作日内办理支付手续；</w:t>
      </w:r>
      <w:r>
        <w:rPr>
          <w:rFonts w:hint="eastAsia" w:ascii="仿宋" w:hAnsi="仿宋" w:eastAsia="仿宋" w:cs="仿宋"/>
          <w:color w:val="auto"/>
          <w:sz w:val="24"/>
          <w:szCs w:val="24"/>
          <w:highlight w:val="none"/>
          <w:lang w:eastAsia="zh-CN"/>
        </w:rPr>
        <w:t>采购人向</w:t>
      </w:r>
      <w:r>
        <w:rPr>
          <w:rFonts w:ascii="仿宋" w:hAnsi="仿宋" w:eastAsia="仿宋" w:cs="仿宋"/>
          <w:color w:val="auto"/>
          <w:sz w:val="24"/>
          <w:szCs w:val="24"/>
          <w:highlight w:val="none"/>
        </w:rPr>
        <w:t>支付部门提出办理支付申请手续后即视为采购人已经按期支付，若出现交付延期等情况，由双方协商处理，不视为采购人逾期付款。</w:t>
      </w:r>
    </w:p>
    <w:p w14:paraId="283D1FF6">
      <w:pPr>
        <w:pStyle w:val="6"/>
        <w:rPr>
          <w:rFonts w:ascii="仿宋" w:hAnsi="仿宋" w:eastAsia="仿宋" w:cs="仿宋"/>
          <w:color w:val="auto"/>
          <w:sz w:val="24"/>
          <w:szCs w:val="24"/>
          <w:highlight w:val="none"/>
        </w:rPr>
      </w:pPr>
    </w:p>
    <w:p w14:paraId="08826EEB">
      <w:pPr>
        <w:pStyle w:val="6"/>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验收要求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根据履约考核标准进行验收；</w:t>
      </w:r>
      <w:r>
        <w:rPr>
          <w:rFonts w:ascii="仿宋" w:hAnsi="仿宋" w:eastAsia="仿宋" w:cs="仿宋"/>
          <w:color w:val="auto"/>
          <w:sz w:val="24"/>
          <w:szCs w:val="24"/>
          <w:highlight w:val="none"/>
          <w:u w:val="none"/>
        </w:rPr>
        <w:t>项</w:t>
      </w:r>
      <w:r>
        <w:rPr>
          <w:rFonts w:ascii="仿宋" w:hAnsi="仿宋" w:eastAsia="仿宋" w:cs="仿宋"/>
          <w:color w:val="auto"/>
          <w:sz w:val="24"/>
          <w:szCs w:val="24"/>
          <w:highlight w:val="none"/>
        </w:rPr>
        <w:t>目服务符合采购文件要求，质量满足要求；符合采购文件和响应承诺中各方共同认可的各项要求。符合中华人民共和国国家和履约地相关质量标准、行业技术规范标准。</w:t>
      </w:r>
    </w:p>
    <w:p w14:paraId="73F6CDFA">
      <w:pPr>
        <w:pStyle w:val="6"/>
        <w:rPr>
          <w:rFonts w:hint="eastAsia" w:ascii="仿宋" w:hAnsi="仿宋" w:eastAsia="仿宋" w:cs="仿宋"/>
          <w:color w:val="auto"/>
          <w:sz w:val="24"/>
          <w:szCs w:val="24"/>
          <w:highlight w:val="none"/>
          <w:lang w:eastAsia="zh-CN"/>
        </w:rPr>
      </w:pPr>
    </w:p>
    <w:p w14:paraId="176ED91B">
      <w:pPr>
        <w:pStyle w:val="6"/>
        <w:rPr>
          <w:rFonts w:hint="eastAsia"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本项目投标报价为总价，其中，人员费用最高预算合计为6912000元，单价最高限价为6000元/月*人，驻场人员不少于32人。</w:t>
      </w:r>
    </w:p>
    <w:p w14:paraId="4FDF718D">
      <w:pPr>
        <w:pStyle w:val="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材料费最高预算为1320000元，即44万元/年。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EC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6B915A9">
            <w:pPr>
              <w:pStyle w:val="6"/>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报价明细</w:t>
            </w:r>
          </w:p>
        </w:tc>
        <w:tc>
          <w:tcPr>
            <w:tcW w:w="2841" w:type="dxa"/>
          </w:tcPr>
          <w:p w14:paraId="3AD6D90C">
            <w:pPr>
              <w:pStyle w:val="6"/>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单价最高预算</w:t>
            </w:r>
          </w:p>
        </w:tc>
        <w:tc>
          <w:tcPr>
            <w:tcW w:w="2841" w:type="dxa"/>
          </w:tcPr>
          <w:p w14:paraId="2F5026BC">
            <w:pPr>
              <w:pStyle w:val="6"/>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投标人报价</w:t>
            </w:r>
          </w:p>
        </w:tc>
      </w:tr>
      <w:tr w14:paraId="58FB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556CC5">
            <w:pPr>
              <w:pStyle w:val="6"/>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人员费用单价</w:t>
            </w:r>
          </w:p>
        </w:tc>
        <w:tc>
          <w:tcPr>
            <w:tcW w:w="2841" w:type="dxa"/>
          </w:tcPr>
          <w:p w14:paraId="11E1D9FA">
            <w:pPr>
              <w:pStyle w:val="6"/>
              <w:widowControl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6000元/月*人</w:t>
            </w:r>
          </w:p>
        </w:tc>
        <w:tc>
          <w:tcPr>
            <w:tcW w:w="2841" w:type="dxa"/>
          </w:tcPr>
          <w:p w14:paraId="4DD0A1C3">
            <w:pPr>
              <w:pStyle w:val="6"/>
              <w:widowControl w:val="0"/>
              <w:jc w:val="both"/>
              <w:rPr>
                <w:rFonts w:hint="eastAsia" w:ascii="仿宋" w:hAnsi="仿宋" w:eastAsia="仿宋" w:cs="仿宋"/>
                <w:color w:val="auto"/>
                <w:sz w:val="24"/>
                <w:szCs w:val="24"/>
                <w:highlight w:val="none"/>
                <w:vertAlign w:val="baseline"/>
                <w:lang w:val="en-US" w:eastAsia="zh-CN"/>
              </w:rPr>
            </w:pPr>
          </w:p>
        </w:tc>
      </w:tr>
      <w:tr w14:paraId="3CF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994CFE">
            <w:pPr>
              <w:pStyle w:val="6"/>
              <w:widowControl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材料费报价合计</w:t>
            </w:r>
          </w:p>
        </w:tc>
        <w:tc>
          <w:tcPr>
            <w:tcW w:w="2841" w:type="dxa"/>
          </w:tcPr>
          <w:p w14:paraId="1C37FC4A">
            <w:pPr>
              <w:pStyle w:val="6"/>
              <w:widowControl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440000元/年</w:t>
            </w:r>
          </w:p>
        </w:tc>
        <w:tc>
          <w:tcPr>
            <w:tcW w:w="2841" w:type="dxa"/>
          </w:tcPr>
          <w:p w14:paraId="68B8B833">
            <w:pPr>
              <w:pStyle w:val="6"/>
              <w:widowControl w:val="0"/>
              <w:jc w:val="both"/>
              <w:rPr>
                <w:rFonts w:hint="eastAsia" w:ascii="仿宋" w:hAnsi="仿宋" w:eastAsia="仿宋" w:cs="仿宋"/>
                <w:color w:val="auto"/>
                <w:sz w:val="24"/>
                <w:szCs w:val="24"/>
                <w:highlight w:val="none"/>
                <w:vertAlign w:val="baseline"/>
                <w:lang w:val="en-US" w:eastAsia="zh-CN"/>
              </w:rPr>
            </w:pPr>
          </w:p>
        </w:tc>
      </w:tr>
    </w:tbl>
    <w:p w14:paraId="3A7A81BF">
      <w:pPr>
        <w:pStyle w:val="6"/>
        <w:rPr>
          <w:rFonts w:hint="eastAsia" w:ascii="仿宋" w:hAnsi="仿宋" w:eastAsia="仿宋" w:cs="仿宋"/>
          <w:color w:val="auto"/>
          <w:sz w:val="24"/>
          <w:szCs w:val="24"/>
          <w:highlight w:val="none"/>
          <w:lang w:val="en-US" w:eastAsia="zh-CN"/>
        </w:rPr>
      </w:pPr>
    </w:p>
    <w:p w14:paraId="25FFDA65">
      <w:pPr>
        <w:pStyle w:val="6"/>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4E1334B4">
      <w:pPr>
        <w:pStyle w:val="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1.本项目需对人员费用和材料费分别报价，且分别不得高于其对应的最高预算。并附报价清单。</w:t>
      </w:r>
    </w:p>
    <w:p w14:paraId="31242DC1">
      <w:pPr>
        <w:pStyle w:val="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2.投标总报价＝人员费用报价合计＋材料费报价合计。</w:t>
      </w:r>
    </w:p>
    <w:p w14:paraId="279818F6">
      <w:pPr>
        <w:pStyle w:val="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3.投标总报价不得超出本项目最高预算8,232,000元。</w:t>
      </w:r>
    </w:p>
    <w:p w14:paraId="298F9296">
      <w:pPr>
        <w:pStyle w:val="6"/>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4.本项目投标系统中只需填写投标报价合计总价，无需对上述单价填写投标系统。</w:t>
      </w:r>
    </w:p>
    <w:p w14:paraId="6BE0C35F">
      <w:pPr>
        <w:widowControl/>
        <w:jc w:val="left"/>
        <w:rPr>
          <w:rFonts w:hint="eastAsia" w:ascii="仿宋" w:hAnsi="仿宋" w:eastAsia="仿宋" w:cs="仿宋"/>
          <w:color w:val="auto"/>
          <w:highlight w:val="none"/>
        </w:rPr>
      </w:pPr>
    </w:p>
    <w:p w14:paraId="52B11281">
      <w:pPr>
        <w:widowControl/>
        <w:jc w:val="left"/>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highlight w:val="none"/>
        </w:rPr>
        <w:br w:type="page"/>
      </w:r>
    </w:p>
    <w:p w14:paraId="3233B564">
      <w:pPr>
        <w:pStyle w:val="6"/>
        <w:rPr>
          <w:rFonts w:hint="eastAsia" w:ascii="仿宋" w:hAnsi="仿宋" w:eastAsia="仿宋" w:cs="仿宋"/>
          <w:color w:val="auto"/>
          <w:highlight w:val="none"/>
        </w:rPr>
      </w:pPr>
      <w:r>
        <w:rPr>
          <w:rFonts w:ascii="仿宋" w:hAnsi="仿宋" w:eastAsia="仿宋" w:cs="仿宋"/>
          <w:b/>
          <w:color w:val="auto"/>
          <w:highlight w:val="none"/>
        </w:rPr>
        <w:t>附表一：专业机电设备设施维护保养服务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5"/>
        <w:gridCol w:w="425"/>
        <w:gridCol w:w="7672"/>
      </w:tblGrid>
      <w:tr w14:paraId="6CFEA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F695E5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参数性质</w:t>
            </w:r>
          </w:p>
        </w:tc>
        <w:tc>
          <w:tcPr>
            <w:tcW w:w="708" w:type="dxa"/>
          </w:tcPr>
          <w:p w14:paraId="19BAC3A3">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序号</w:t>
            </w:r>
          </w:p>
        </w:tc>
        <w:tc>
          <w:tcPr>
            <w:tcW w:w="6663" w:type="dxa"/>
          </w:tcPr>
          <w:p w14:paraId="16076A0B">
            <w:pPr>
              <w:pStyle w:val="6"/>
              <w:spacing w:line="360" w:lineRule="auto"/>
              <w:rPr>
                <w:rFonts w:ascii="仿宋" w:hAnsi="仿宋" w:eastAsia="仿宋" w:cs="仿宋"/>
                <w:color w:val="auto"/>
                <w:sz w:val="21"/>
                <w:szCs w:val="21"/>
                <w:highlight w:val="none"/>
              </w:rPr>
            </w:pPr>
          </w:p>
          <w:p w14:paraId="1FCAB4F3">
            <w:pPr>
              <w:pStyle w:val="6"/>
              <w:spacing w:line="360" w:lineRule="auto"/>
              <w:rPr>
                <w:rFonts w:ascii="仿宋" w:hAnsi="仿宋" w:eastAsia="仿宋" w:cs="仿宋"/>
                <w:color w:val="auto"/>
                <w:sz w:val="21"/>
                <w:szCs w:val="21"/>
                <w:highlight w:val="none"/>
              </w:rPr>
            </w:pPr>
          </w:p>
          <w:p w14:paraId="4A44A92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具体技术(参数)要求</w:t>
            </w:r>
          </w:p>
        </w:tc>
      </w:tr>
      <w:tr w14:paraId="7C6B9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F2FA37F">
            <w:pPr>
              <w:spacing w:line="360" w:lineRule="auto"/>
              <w:rPr>
                <w:rFonts w:hint="eastAsia" w:ascii="仿宋" w:hAnsi="仿宋" w:eastAsia="仿宋" w:cs="仿宋"/>
                <w:color w:val="auto"/>
                <w:sz w:val="21"/>
                <w:szCs w:val="21"/>
                <w:highlight w:val="none"/>
              </w:rPr>
            </w:pPr>
          </w:p>
        </w:tc>
        <w:tc>
          <w:tcPr>
            <w:tcW w:w="708" w:type="dxa"/>
          </w:tcPr>
          <w:p w14:paraId="6F2E657E">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1</w:t>
            </w:r>
          </w:p>
        </w:tc>
        <w:tc>
          <w:tcPr>
            <w:tcW w:w="6663" w:type="dxa"/>
          </w:tcPr>
          <w:p w14:paraId="12B61104">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服务内容：</w:t>
            </w:r>
          </w:p>
          <w:p w14:paraId="3492773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1.要求团队中须有</w:t>
            </w:r>
            <w:r>
              <w:rPr>
                <w:rFonts w:ascii="仿宋" w:hAnsi="仿宋" w:eastAsia="仿宋" w:cs="仿宋"/>
                <w:color w:val="auto"/>
                <w:sz w:val="21"/>
                <w:szCs w:val="21"/>
                <w:highlight w:val="none"/>
                <w:lang w:eastAsia="zh-CN"/>
              </w:rPr>
              <w:t>1名项目经理、</w:t>
            </w:r>
            <w:r>
              <w:rPr>
                <w:rFonts w:hint="eastAsia" w:ascii="仿宋" w:hAnsi="仿宋" w:eastAsia="仿宋" w:cs="仿宋"/>
                <w:color w:val="auto"/>
                <w:sz w:val="21"/>
                <w:szCs w:val="21"/>
                <w:highlight w:val="none"/>
                <w:lang w:val="en-US" w:eastAsia="zh-CN"/>
              </w:rPr>
              <w:t>1名</w:t>
            </w:r>
            <w:r>
              <w:rPr>
                <w:rFonts w:ascii="仿宋" w:hAnsi="仿宋" w:eastAsia="仿宋" w:cs="仿宋"/>
                <w:color w:val="auto"/>
                <w:sz w:val="21"/>
                <w:szCs w:val="21"/>
                <w:highlight w:val="none"/>
              </w:rPr>
              <w:t>技术总工，</w:t>
            </w:r>
            <w:r>
              <w:rPr>
                <w:rFonts w:hint="eastAsia" w:ascii="仿宋" w:hAnsi="仿宋" w:eastAsia="仿宋" w:cs="仿宋"/>
                <w:color w:val="auto"/>
                <w:sz w:val="21"/>
                <w:szCs w:val="21"/>
                <w:highlight w:val="none"/>
                <w:lang w:eastAsia="zh-CN"/>
              </w:rPr>
              <w:t>项目经理</w:t>
            </w:r>
            <w:r>
              <w:rPr>
                <w:rFonts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eastAsia="zh-CN"/>
              </w:rPr>
              <w:t>5</w:t>
            </w:r>
            <w:r>
              <w:rPr>
                <w:rFonts w:ascii="仿宋" w:hAnsi="仿宋" w:eastAsia="仿宋" w:cs="仿宋"/>
                <w:color w:val="auto"/>
                <w:sz w:val="21"/>
                <w:szCs w:val="21"/>
                <w:highlight w:val="none"/>
              </w:rPr>
              <w:t>年</w:t>
            </w:r>
            <w:r>
              <w:rPr>
                <w:rFonts w:hint="eastAsia"/>
                <w:color w:val="auto"/>
                <w:highlight w:val="none"/>
                <w:lang w:eastAsia="zh-CN"/>
              </w:rPr>
              <w:t>或以上三甲医院后勤机电维保</w:t>
            </w:r>
            <w:r>
              <w:rPr>
                <w:rFonts w:ascii="仿宋" w:hAnsi="仿宋" w:eastAsia="仿宋" w:cs="仿宋"/>
                <w:color w:val="auto"/>
                <w:sz w:val="21"/>
                <w:szCs w:val="21"/>
                <w:highlight w:val="none"/>
              </w:rPr>
              <w:t>项目管理经验，</w:t>
            </w:r>
            <w:r>
              <w:rPr>
                <w:rFonts w:hint="eastAsia" w:ascii="仿宋" w:hAnsi="仿宋" w:eastAsia="仿宋" w:cs="仿宋"/>
                <w:color w:val="auto"/>
                <w:sz w:val="21"/>
                <w:szCs w:val="21"/>
                <w:highlight w:val="none"/>
                <w:lang w:eastAsia="zh-CN"/>
              </w:rPr>
              <w:t>技术总工具有</w:t>
            </w:r>
            <w:r>
              <w:rPr>
                <w:rFonts w:ascii="仿宋" w:hAnsi="仿宋" w:eastAsia="仿宋" w:cs="仿宋"/>
                <w:color w:val="auto"/>
                <w:sz w:val="21"/>
                <w:szCs w:val="21"/>
                <w:highlight w:val="none"/>
              </w:rPr>
              <w:t>5年</w:t>
            </w:r>
            <w:r>
              <w:rPr>
                <w:rFonts w:hint="eastAsia"/>
                <w:color w:val="auto"/>
                <w:highlight w:val="none"/>
                <w:lang w:eastAsia="zh-CN"/>
              </w:rPr>
              <w:t>或以上三甲医院</w:t>
            </w:r>
            <w:r>
              <w:rPr>
                <w:rFonts w:ascii="仿宋" w:hAnsi="仿宋" w:eastAsia="仿宋" w:cs="仿宋"/>
                <w:color w:val="auto"/>
                <w:sz w:val="21"/>
                <w:szCs w:val="21"/>
                <w:highlight w:val="none"/>
              </w:rPr>
              <w:t>电气或净化系统工作经验，负责医院全部后勤设备管理的技术指导工作。</w:t>
            </w:r>
          </w:p>
          <w:p w14:paraId="2C328835">
            <w:pPr>
              <w:pStyle w:val="6"/>
              <w:spacing w:line="360" w:lineRule="auto"/>
              <w:rPr>
                <w:rFonts w:hint="eastAsia" w:ascii="仿宋" w:hAnsi="仿宋" w:eastAsia="仿宋" w:cs="仿宋"/>
                <w:color w:val="auto"/>
                <w:sz w:val="21"/>
                <w:szCs w:val="21"/>
                <w:highlight w:val="none"/>
              </w:rPr>
            </w:pPr>
            <w:r>
              <w:rPr>
                <w:rFonts w:hint="eastAsia" w:ascii="微软雅黑" w:hAnsi="微软雅黑" w:eastAsia="微软雅黑" w:cs="微软雅黑"/>
                <w:color w:val="auto"/>
                <w:sz w:val="21"/>
                <w:szCs w:val="21"/>
                <w:highlight w:val="none"/>
                <w:lang w:val="en-US" w:eastAsia="zh-CN"/>
              </w:rPr>
              <w:t>★</w:t>
            </w:r>
            <w:r>
              <w:rPr>
                <w:rFonts w:ascii="仿宋" w:hAnsi="仿宋" w:eastAsia="仿宋" w:cs="仿宋"/>
                <w:color w:val="auto"/>
                <w:sz w:val="21"/>
                <w:szCs w:val="21"/>
                <w:highlight w:val="none"/>
              </w:rPr>
              <w:t>2.负责全院（包括萝岗实验室、泰景社区医院、大沙社区医院、老人院区、</w:t>
            </w:r>
            <w:r>
              <w:rPr>
                <w:rFonts w:hint="eastAsia" w:ascii="仿宋" w:hAnsi="仿宋" w:eastAsia="仿宋" w:cs="仿宋"/>
                <w:color w:val="auto"/>
                <w:sz w:val="21"/>
                <w:szCs w:val="21"/>
                <w:highlight w:val="none"/>
                <w:lang w:eastAsia="zh-CN"/>
              </w:rPr>
              <w:t>从化鳌头镇卫生院血透中心、</w:t>
            </w:r>
            <w:r>
              <w:rPr>
                <w:rFonts w:ascii="仿宋" w:hAnsi="仿宋" w:eastAsia="仿宋" w:cs="仿宋"/>
                <w:color w:val="auto"/>
                <w:sz w:val="21"/>
                <w:szCs w:val="21"/>
                <w:highlight w:val="none"/>
              </w:rPr>
              <w:t>各个宿舍等其他区域）重点设备的具体维保</w:t>
            </w:r>
            <w:r>
              <w:rPr>
                <w:rFonts w:hint="eastAsia" w:ascii="仿宋" w:hAnsi="仿宋" w:eastAsia="仿宋" w:cs="仿宋"/>
                <w:color w:val="auto"/>
                <w:sz w:val="21"/>
                <w:szCs w:val="21"/>
                <w:highlight w:val="none"/>
                <w:lang w:val="en-US" w:eastAsia="zh-CN"/>
              </w:rPr>
              <w:t>和巡查</w:t>
            </w:r>
            <w:r>
              <w:rPr>
                <w:rFonts w:ascii="仿宋" w:hAnsi="仿宋" w:eastAsia="仿宋" w:cs="仿宋"/>
                <w:color w:val="auto"/>
                <w:sz w:val="21"/>
                <w:szCs w:val="21"/>
                <w:highlight w:val="none"/>
              </w:rPr>
              <w:t>，如</w:t>
            </w:r>
            <w:r>
              <w:rPr>
                <w:rFonts w:hint="eastAsia" w:ascii="仿宋" w:hAnsi="仿宋" w:eastAsia="仿宋" w:cs="仿宋"/>
                <w:color w:val="auto"/>
                <w:sz w:val="21"/>
                <w:szCs w:val="21"/>
                <w:highlight w:val="none"/>
                <w:lang w:val="en-US" w:eastAsia="zh-CN"/>
              </w:rPr>
              <w:t>中央空调/</w:t>
            </w:r>
            <w:r>
              <w:rPr>
                <w:rFonts w:hint="eastAsia" w:ascii="仿宋" w:hAnsi="仿宋" w:eastAsia="仿宋" w:cs="仿宋"/>
                <w:color w:val="auto"/>
                <w:sz w:val="21"/>
                <w:szCs w:val="21"/>
                <w:highlight w:val="none"/>
                <w:lang w:eastAsia="zh-CN"/>
              </w:rPr>
              <w:t>多联机</w:t>
            </w:r>
            <w:r>
              <w:rPr>
                <w:rFonts w:ascii="仿宋" w:hAnsi="仿宋" w:eastAsia="仿宋" w:cs="仿宋"/>
                <w:color w:val="auto"/>
                <w:sz w:val="21"/>
                <w:szCs w:val="21"/>
                <w:highlight w:val="none"/>
              </w:rPr>
              <w:t>系统、洁净</w:t>
            </w:r>
            <w:r>
              <w:rPr>
                <w:rFonts w:hint="eastAsia" w:ascii="仿宋" w:hAnsi="仿宋" w:eastAsia="仿宋" w:cs="仿宋"/>
                <w:color w:val="auto"/>
                <w:sz w:val="21"/>
                <w:szCs w:val="21"/>
                <w:highlight w:val="none"/>
                <w:lang w:eastAsia="zh-CN"/>
              </w:rPr>
              <w:t>空调</w:t>
            </w:r>
            <w:r>
              <w:rPr>
                <w:rFonts w:ascii="仿宋" w:hAnsi="仿宋" w:eastAsia="仿宋" w:cs="仿宋"/>
                <w:color w:val="auto"/>
                <w:sz w:val="21"/>
                <w:szCs w:val="21"/>
                <w:highlight w:val="none"/>
              </w:rPr>
              <w:t>系统、热水系统、给排水系统、照明系统等</w:t>
            </w:r>
            <w:r>
              <w:rPr>
                <w:rFonts w:hint="eastAsia" w:ascii="仿宋" w:hAnsi="仿宋" w:eastAsia="仿宋" w:cs="仿宋"/>
                <w:color w:val="auto"/>
                <w:sz w:val="21"/>
                <w:szCs w:val="21"/>
                <w:highlight w:val="none"/>
                <w:lang w:eastAsia="zh-CN"/>
              </w:rPr>
              <w:t>的维保</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对供配电、电梯、正负压、医气、特种设备等的巡查；</w:t>
            </w:r>
            <w:r>
              <w:rPr>
                <w:rFonts w:ascii="仿宋" w:hAnsi="仿宋" w:eastAsia="仿宋" w:cs="仿宋"/>
                <w:color w:val="auto"/>
                <w:sz w:val="21"/>
                <w:szCs w:val="21"/>
                <w:highlight w:val="none"/>
              </w:rPr>
              <w:t>以及负责全院桌椅和灯具水龙头及标识、泛光照明的维修更换、挂钩挂钟挂帘插座等零星安装维修工作。</w:t>
            </w:r>
          </w:p>
          <w:p w14:paraId="474388A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机电相关后勤信息化</w:t>
            </w:r>
            <w:r>
              <w:rPr>
                <w:rFonts w:ascii="仿宋" w:hAnsi="仿宋" w:eastAsia="仿宋" w:cs="仿宋"/>
                <w:color w:val="auto"/>
                <w:sz w:val="21"/>
                <w:szCs w:val="21"/>
                <w:highlight w:val="none"/>
              </w:rPr>
              <w:t>系统及节能系统监控与分析，</w:t>
            </w:r>
            <w:r>
              <w:rPr>
                <w:rFonts w:ascii="仿宋" w:hAnsi="仿宋" w:eastAsia="仿宋" w:cs="仿宋"/>
                <w:color w:val="auto"/>
                <w:sz w:val="21"/>
                <w:szCs w:val="21"/>
                <w:highlight w:val="none"/>
                <w:lang w:eastAsia="zh-CN"/>
              </w:rPr>
              <w:t>根据</w:t>
            </w:r>
            <w:r>
              <w:rPr>
                <w:rFonts w:ascii="仿宋" w:hAnsi="仿宋" w:eastAsia="仿宋" w:cs="仿宋"/>
                <w:color w:val="auto"/>
                <w:sz w:val="21"/>
                <w:szCs w:val="21"/>
                <w:highlight w:val="none"/>
              </w:rPr>
              <w:t>采购人现有设备监控系统对全院后勤设备进行24小时监控，发现数据异常及时调配人员处理，并定期出具设备运行分析报告。</w:t>
            </w:r>
          </w:p>
          <w:p w14:paraId="1791DCA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4.加强后勤设备综合管理，使工作有章可循；</w:t>
            </w:r>
          </w:p>
          <w:p w14:paraId="0F14A1A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对中标人员工进行制度化常态化专业技能和安全规范等方面的培训；</w:t>
            </w:r>
            <w:r>
              <w:rPr>
                <w:rFonts w:ascii="仿宋" w:hAnsi="仿宋" w:eastAsia="仿宋" w:cs="仿宋"/>
                <w:color w:val="auto"/>
                <w:sz w:val="21"/>
                <w:szCs w:val="21"/>
                <w:highlight w:val="none"/>
              </w:rPr>
              <w:t>规范后勤设备作业人员的行为，使作业标准化；</w:t>
            </w:r>
          </w:p>
          <w:p w14:paraId="599BF576">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6.提出消防隐患，使安全可防控；</w:t>
            </w:r>
          </w:p>
          <w:p w14:paraId="3CF61E4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7.动态监控运行，实践保障与环保节能的平衡；</w:t>
            </w:r>
          </w:p>
          <w:p w14:paraId="3C9508B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8.保证后勤设备应急、各部门联动协同有效处理；</w:t>
            </w:r>
          </w:p>
          <w:p w14:paraId="440AF37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9.提高设备和系统的安全运行综合能力；</w:t>
            </w:r>
          </w:p>
          <w:p w14:paraId="3ED1070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10.包括但不限于对设备维护、维修管理方面的：建章立制、信息台账、能耗统计分析、维保计划、耗材和维保预算、标准化建设、节能方案、专业评估、应急预案及抢险救灾、设备运行维护、设备维修、检测校验、报批年审、信息智能化建设</w:t>
            </w:r>
            <w:r>
              <w:rPr>
                <w:rFonts w:hint="eastAsia" w:ascii="仿宋" w:hAnsi="仿宋" w:eastAsia="仿宋" w:cs="仿宋"/>
                <w:color w:val="auto"/>
                <w:sz w:val="21"/>
                <w:szCs w:val="21"/>
                <w:highlight w:val="none"/>
                <w:lang w:eastAsia="zh-CN"/>
              </w:rPr>
              <w:t>建言献策</w:t>
            </w:r>
            <w:r>
              <w:rPr>
                <w:rFonts w:ascii="仿宋" w:hAnsi="仿宋" w:eastAsia="仿宋" w:cs="仿宋"/>
                <w:color w:val="auto"/>
                <w:sz w:val="21"/>
                <w:szCs w:val="21"/>
                <w:highlight w:val="none"/>
              </w:rPr>
              <w:t>；配合医院访问参观、评审创优；</w:t>
            </w:r>
          </w:p>
          <w:p w14:paraId="10F533A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4"/>
                <w:szCs w:val="24"/>
                <w:highlight w:val="none"/>
              </w:rPr>
              <w:t>★</w:t>
            </w:r>
            <w:r>
              <w:rPr>
                <w:rFonts w:ascii="仿宋" w:hAnsi="仿宋" w:eastAsia="仿宋" w:cs="仿宋"/>
                <w:color w:val="auto"/>
                <w:sz w:val="21"/>
                <w:szCs w:val="21"/>
                <w:highlight w:val="none"/>
              </w:rPr>
              <w:t>11.提供不少于</w:t>
            </w:r>
            <w:r>
              <w:rPr>
                <w:rFonts w:hint="eastAsia" w:ascii="仿宋" w:hAnsi="仿宋" w:eastAsia="仿宋" w:cs="仿宋"/>
                <w:color w:val="auto"/>
                <w:sz w:val="21"/>
                <w:szCs w:val="21"/>
                <w:highlight w:val="none"/>
              </w:rPr>
              <w:t>32</w:t>
            </w:r>
            <w:r>
              <w:rPr>
                <w:rFonts w:ascii="仿宋" w:hAnsi="仿宋" w:eastAsia="仿宋" w:cs="仿宋"/>
                <w:color w:val="auto"/>
                <w:sz w:val="21"/>
                <w:szCs w:val="21"/>
                <w:highlight w:val="none"/>
              </w:rPr>
              <w:t>人的团队，24小时驻场服务；</w:t>
            </w:r>
          </w:p>
          <w:p w14:paraId="28277423">
            <w:pPr>
              <w:pStyle w:val="6"/>
              <w:spacing w:line="360" w:lineRule="auto"/>
              <w:rPr>
                <w:rFonts w:hint="eastAsia" w:ascii="仿宋" w:hAnsi="仿宋" w:eastAsia="仿宋" w:cs="仿宋"/>
                <w:color w:val="auto"/>
                <w:sz w:val="21"/>
                <w:szCs w:val="21"/>
                <w:highlight w:val="none"/>
              </w:rPr>
            </w:pPr>
            <w:r>
              <w:rPr>
                <w:rFonts w:hint="eastAsia" w:ascii="微软雅黑" w:hAnsi="微软雅黑" w:eastAsia="微软雅黑" w:cs="微软雅黑"/>
                <w:color w:val="auto"/>
                <w:sz w:val="21"/>
                <w:szCs w:val="21"/>
                <w:highlight w:val="none"/>
                <w:lang w:val="en-US" w:eastAsia="zh-CN"/>
              </w:rPr>
              <w:t>★</w:t>
            </w:r>
            <w:r>
              <w:rPr>
                <w:rFonts w:ascii="仿宋" w:hAnsi="仿宋" w:eastAsia="仿宋" w:cs="仿宋"/>
                <w:color w:val="auto"/>
                <w:sz w:val="21"/>
                <w:szCs w:val="21"/>
                <w:highlight w:val="none"/>
              </w:rPr>
              <w:t>12.</w:t>
            </w:r>
            <w:r>
              <w:rPr>
                <w:rFonts w:hint="eastAsia" w:ascii="仿宋" w:hAnsi="仿宋" w:eastAsia="仿宋" w:cs="仿宋"/>
                <w:color w:val="auto"/>
                <w:sz w:val="21"/>
                <w:szCs w:val="21"/>
                <w:highlight w:val="none"/>
              </w:rPr>
              <w:t>对停水、停电、电梯困人、压力容器泄漏、台风暴雨等突发事件</w:t>
            </w:r>
            <w:r>
              <w:rPr>
                <w:rFonts w:hint="eastAsia" w:ascii="仿宋" w:hAnsi="仿宋" w:eastAsia="仿宋" w:cs="仿宋"/>
                <w:color w:val="auto"/>
                <w:sz w:val="21"/>
                <w:szCs w:val="21"/>
                <w:highlight w:val="none"/>
                <w:lang w:eastAsia="zh-CN"/>
              </w:rPr>
              <w:t>进行</w:t>
            </w:r>
            <w:r>
              <w:rPr>
                <w:rFonts w:hint="eastAsia" w:ascii="仿宋" w:hAnsi="仿宋" w:eastAsia="仿宋" w:cs="仿宋"/>
                <w:color w:val="auto"/>
                <w:sz w:val="21"/>
                <w:szCs w:val="21"/>
                <w:highlight w:val="none"/>
              </w:rPr>
              <w:t>应急</w:t>
            </w:r>
            <w:r>
              <w:rPr>
                <w:rFonts w:hint="eastAsia" w:ascii="仿宋" w:hAnsi="仿宋" w:eastAsia="仿宋" w:cs="仿宋"/>
                <w:color w:val="auto"/>
                <w:sz w:val="21"/>
                <w:szCs w:val="21"/>
                <w:highlight w:val="none"/>
                <w:lang w:eastAsia="zh-CN"/>
              </w:rPr>
              <w:t>响应处理，每年至少开展四次应急演练</w:t>
            </w:r>
            <w:r>
              <w:rPr>
                <w:rFonts w:ascii="仿宋" w:hAnsi="仿宋" w:eastAsia="仿宋" w:cs="仿宋"/>
                <w:color w:val="auto"/>
                <w:sz w:val="21"/>
                <w:szCs w:val="21"/>
                <w:highlight w:val="none"/>
              </w:rPr>
              <w:t>；</w:t>
            </w:r>
          </w:p>
          <w:p w14:paraId="51E6CE06">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4"/>
                <w:szCs w:val="24"/>
                <w:highlight w:val="none"/>
              </w:rPr>
              <w:t>▲</w:t>
            </w:r>
            <w:r>
              <w:rPr>
                <w:rFonts w:ascii="仿宋" w:hAnsi="仿宋" w:eastAsia="仿宋" w:cs="仿宋"/>
                <w:color w:val="auto"/>
                <w:sz w:val="21"/>
                <w:szCs w:val="21"/>
                <w:highlight w:val="none"/>
              </w:rPr>
              <w:t>13.提供一套符合采购人实际、具备可操作性的医院后勤数字化平台用于本项目</w:t>
            </w:r>
            <w:r>
              <w:rPr>
                <w:rFonts w:hint="eastAsia" w:ascii="仿宋" w:hAnsi="仿宋" w:eastAsia="仿宋" w:cs="仿宋"/>
                <w:color w:val="auto"/>
                <w:sz w:val="21"/>
                <w:szCs w:val="21"/>
                <w:highlight w:val="none"/>
                <w:lang w:eastAsia="zh-CN"/>
              </w:rPr>
              <w:t>。</w:t>
            </w:r>
          </w:p>
        </w:tc>
      </w:tr>
      <w:tr w14:paraId="56E80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BB753CD">
            <w:pPr>
              <w:spacing w:line="360" w:lineRule="auto"/>
              <w:rPr>
                <w:rFonts w:hint="eastAsia" w:ascii="仿宋" w:hAnsi="仿宋" w:eastAsia="仿宋" w:cs="仿宋"/>
                <w:color w:val="auto"/>
                <w:sz w:val="21"/>
                <w:szCs w:val="21"/>
                <w:highlight w:val="none"/>
              </w:rPr>
            </w:pPr>
          </w:p>
        </w:tc>
        <w:tc>
          <w:tcPr>
            <w:tcW w:w="708" w:type="dxa"/>
          </w:tcPr>
          <w:p w14:paraId="50AF9044">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2</w:t>
            </w:r>
          </w:p>
        </w:tc>
        <w:tc>
          <w:tcPr>
            <w:tcW w:w="6663" w:type="dxa"/>
          </w:tcPr>
          <w:p w14:paraId="3F3313B3">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人员要求：</w:t>
            </w:r>
          </w:p>
          <w:p w14:paraId="4C61D1A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1、工作人员要求</w:t>
            </w:r>
          </w:p>
          <w:p w14:paraId="1C88E16E">
            <w:pPr>
              <w:pStyle w:val="2"/>
              <w:rPr>
                <w:rFonts w:hint="default" w:ascii="仿宋" w:hAnsi="仿宋" w:eastAsia="仿宋" w:cs="仿宋"/>
                <w:color w:val="auto"/>
                <w:szCs w:val="21"/>
                <w:highlight w:val="none"/>
                <w:lang w:eastAsia="zh-CN"/>
              </w:rPr>
            </w:pPr>
            <w:r>
              <w:rPr>
                <w:rFonts w:ascii="仿宋" w:hAnsi="仿宋" w:eastAsia="仿宋" w:cs="仿宋"/>
                <w:color w:val="auto"/>
                <w:sz w:val="21"/>
                <w:szCs w:val="21"/>
                <w:highlight w:val="none"/>
              </w:rPr>
              <w:t>1.1</w:t>
            </w:r>
            <w:r>
              <w:rPr>
                <w:rFonts w:hint="eastAsia" w:ascii="微软雅黑" w:hAnsi="微软雅黑" w:eastAsia="微软雅黑" w:cs="微软雅黑"/>
                <w:color w:val="auto"/>
                <w:sz w:val="21"/>
                <w:szCs w:val="21"/>
                <w:highlight w:val="none"/>
                <w:lang w:val="en-US" w:eastAsia="zh-CN"/>
              </w:rPr>
              <w:t>★</w:t>
            </w:r>
            <w:r>
              <w:rPr>
                <w:rFonts w:hint="default" w:ascii="仿宋" w:hAnsi="仿宋" w:eastAsia="仿宋" w:cs="仿宋"/>
                <w:color w:val="auto"/>
                <w:szCs w:val="21"/>
                <w:highlight w:val="none"/>
                <w:lang w:eastAsia="zh-CN"/>
              </w:rPr>
              <w:t>投标人需承诺所有用工人员年龄</w:t>
            </w:r>
            <w:r>
              <w:rPr>
                <w:rFonts w:hint="eastAsia" w:ascii="仿宋" w:hAnsi="仿宋" w:eastAsia="仿宋" w:cs="仿宋"/>
                <w:color w:val="auto"/>
                <w:szCs w:val="21"/>
                <w:highlight w:val="none"/>
                <w:lang w:eastAsia="zh-CN"/>
              </w:rPr>
              <w:t>不得超过法定退休年龄，工作人员需身体健康、无精神疾患。</w:t>
            </w:r>
            <w:r>
              <w:rPr>
                <w:rFonts w:hint="eastAsia" w:ascii="仿宋" w:hAnsi="仿宋" w:eastAsia="仿宋" w:cs="仿宋"/>
                <w:color w:val="auto"/>
                <w:sz w:val="21"/>
                <w:szCs w:val="21"/>
                <w:highlight w:val="none"/>
                <w:lang w:eastAsia="zh-CN"/>
              </w:rPr>
              <w:t>（提供承诺函，格式自拟）</w:t>
            </w:r>
          </w:p>
          <w:p w14:paraId="49BCFD8D">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1.2</w:t>
            </w:r>
            <w:r>
              <w:rPr>
                <w:rFonts w:hint="eastAsia" w:ascii="微软雅黑" w:hAnsi="微软雅黑" w:eastAsia="微软雅黑" w:cs="微软雅黑"/>
                <w:color w:val="auto"/>
                <w:sz w:val="21"/>
                <w:szCs w:val="21"/>
                <w:highlight w:val="none"/>
                <w:lang w:val="en-US" w:eastAsia="zh-CN"/>
              </w:rPr>
              <w:t>★</w:t>
            </w:r>
            <w:r>
              <w:rPr>
                <w:rFonts w:hint="default" w:ascii="仿宋" w:hAnsi="仿宋" w:eastAsia="仿宋" w:cs="仿宋"/>
                <w:color w:val="auto"/>
                <w:sz w:val="21"/>
                <w:szCs w:val="21"/>
                <w:highlight w:val="none"/>
                <w:lang w:eastAsia="zh-CN"/>
              </w:rPr>
              <w:t>设备运行和维护的相关岗位须按国家规定持证上岗</w:t>
            </w:r>
            <w:r>
              <w:rPr>
                <w:rFonts w:hint="eastAsia" w:ascii="仿宋" w:hAnsi="仿宋" w:eastAsia="仿宋" w:cs="仿宋"/>
                <w:color w:val="auto"/>
                <w:sz w:val="21"/>
                <w:szCs w:val="21"/>
                <w:highlight w:val="none"/>
                <w:lang w:eastAsia="zh-CN"/>
              </w:rPr>
              <w:t>，包括：①《特种作业操作证》（</w:t>
            </w:r>
            <w:r>
              <w:rPr>
                <w:rFonts w:hint="eastAsia" w:ascii="仿宋" w:hAnsi="仿宋" w:eastAsia="仿宋" w:cs="仿宋"/>
                <w:color w:val="auto"/>
                <w:sz w:val="21"/>
                <w:szCs w:val="21"/>
                <w:highlight w:val="none"/>
                <w:lang w:val="en-US" w:eastAsia="zh-CN"/>
              </w:rPr>
              <w:t>高压</w:t>
            </w:r>
            <w:r>
              <w:rPr>
                <w:rFonts w:hint="eastAsia" w:ascii="仿宋" w:hAnsi="仿宋" w:eastAsia="仿宋" w:cs="仿宋"/>
                <w:color w:val="auto"/>
                <w:sz w:val="21"/>
                <w:szCs w:val="21"/>
                <w:highlight w:val="none"/>
                <w:lang w:eastAsia="zh-CN"/>
              </w:rPr>
              <w:t>电工作业）不少于</w:t>
            </w:r>
            <w:r>
              <w:rPr>
                <w:rFonts w:hint="eastAsia" w:ascii="仿宋" w:hAnsi="仿宋" w:eastAsia="仿宋" w:cs="仿宋"/>
                <w:color w:val="auto"/>
                <w:sz w:val="21"/>
                <w:szCs w:val="21"/>
                <w:highlight w:val="none"/>
                <w:lang w:val="en-US" w:eastAsia="zh-CN"/>
              </w:rPr>
              <w:t>6个，</w:t>
            </w:r>
            <w:r>
              <w:rPr>
                <w:rFonts w:hint="eastAsia" w:ascii="仿宋" w:hAnsi="仿宋" w:eastAsia="仿宋" w:cs="仿宋"/>
                <w:color w:val="auto"/>
                <w:sz w:val="21"/>
                <w:szCs w:val="21"/>
                <w:highlight w:val="none"/>
                <w:lang w:eastAsia="zh-CN"/>
              </w:rPr>
              <w:t>《特种作业操作证》（低</w:t>
            </w:r>
            <w:r>
              <w:rPr>
                <w:rFonts w:hint="eastAsia" w:ascii="仿宋" w:hAnsi="仿宋" w:eastAsia="仿宋" w:cs="仿宋"/>
                <w:color w:val="auto"/>
                <w:sz w:val="21"/>
                <w:szCs w:val="21"/>
                <w:highlight w:val="none"/>
                <w:lang w:val="en-US" w:eastAsia="zh-CN"/>
              </w:rPr>
              <w:t>压</w:t>
            </w:r>
            <w:r>
              <w:rPr>
                <w:rFonts w:hint="eastAsia" w:ascii="仿宋" w:hAnsi="仿宋" w:eastAsia="仿宋" w:cs="仿宋"/>
                <w:color w:val="auto"/>
                <w:sz w:val="21"/>
                <w:szCs w:val="21"/>
                <w:highlight w:val="none"/>
                <w:lang w:eastAsia="zh-CN"/>
              </w:rPr>
              <w:t>电工作业）</w:t>
            </w:r>
            <w:r>
              <w:rPr>
                <w:rFonts w:hint="eastAsia" w:ascii="仿宋" w:hAnsi="仿宋" w:eastAsia="仿宋" w:cs="仿宋"/>
                <w:color w:val="auto"/>
                <w:sz w:val="21"/>
                <w:szCs w:val="21"/>
                <w:highlight w:val="none"/>
                <w:lang w:val="en-US" w:eastAsia="zh-CN"/>
              </w:rPr>
              <w:t>不少于20个</w:t>
            </w:r>
            <w:r>
              <w:rPr>
                <w:rFonts w:hint="eastAsia" w:ascii="仿宋" w:hAnsi="仿宋" w:eastAsia="仿宋" w:cs="仿宋"/>
                <w:color w:val="auto"/>
                <w:sz w:val="21"/>
                <w:szCs w:val="21"/>
                <w:highlight w:val="none"/>
                <w:lang w:eastAsia="zh-CN"/>
              </w:rPr>
              <w:t>；②《特种作业操作证》（制冷与空调设备运行操作作业或者安装修理作业）</w:t>
            </w:r>
            <w:r>
              <w:rPr>
                <w:rFonts w:hint="eastAsia" w:ascii="仿宋" w:hAnsi="仿宋" w:eastAsia="仿宋" w:cs="仿宋"/>
                <w:color w:val="auto"/>
                <w:sz w:val="21"/>
                <w:szCs w:val="21"/>
                <w:highlight w:val="none"/>
                <w:lang w:val="en-US" w:eastAsia="zh-CN"/>
              </w:rPr>
              <w:t>不少于2个；</w:t>
            </w:r>
            <w:r>
              <w:rPr>
                <w:rFonts w:hint="eastAsia" w:ascii="仿宋" w:hAnsi="仿宋" w:eastAsia="仿宋" w:cs="仿宋"/>
                <w:color w:val="auto"/>
                <w:sz w:val="21"/>
                <w:szCs w:val="21"/>
                <w:highlight w:val="none"/>
                <w:lang w:eastAsia="zh-CN"/>
              </w:rPr>
              <w:t>③《特种作业操作证》（高处安装、维护、拆除作业）</w:t>
            </w:r>
            <w:r>
              <w:rPr>
                <w:rFonts w:hint="eastAsia" w:ascii="仿宋" w:hAnsi="仿宋" w:eastAsia="仿宋" w:cs="仿宋"/>
                <w:color w:val="auto"/>
                <w:sz w:val="21"/>
                <w:szCs w:val="21"/>
                <w:highlight w:val="none"/>
                <w:lang w:val="en-US" w:eastAsia="zh-CN"/>
              </w:rPr>
              <w:t>不少于2个；④</w:t>
            </w:r>
            <w:r>
              <w:rPr>
                <w:rFonts w:hint="eastAsia" w:ascii="仿宋" w:hAnsi="仿宋" w:eastAsia="仿宋" w:cs="仿宋"/>
                <w:color w:val="auto"/>
                <w:sz w:val="21"/>
                <w:szCs w:val="21"/>
                <w:highlight w:val="none"/>
                <w:lang w:eastAsia="zh-CN"/>
              </w:rPr>
              <w:t>《特种设备安全管理和作业人员证》（安全管理）不少于</w:t>
            </w:r>
            <w:r>
              <w:rPr>
                <w:rFonts w:hint="eastAsia" w:ascii="仿宋" w:hAnsi="仿宋" w:eastAsia="仿宋" w:cs="仿宋"/>
                <w:color w:val="auto"/>
                <w:sz w:val="21"/>
                <w:szCs w:val="21"/>
                <w:highlight w:val="none"/>
                <w:lang w:val="en-US" w:eastAsia="zh-CN"/>
              </w:rPr>
              <w:t>1个；⑤</w:t>
            </w:r>
            <w:r>
              <w:rPr>
                <w:rFonts w:hint="eastAsia" w:ascii="仿宋" w:hAnsi="仿宋" w:eastAsia="仿宋" w:cs="仿宋"/>
                <w:color w:val="auto"/>
                <w:sz w:val="21"/>
                <w:szCs w:val="21"/>
                <w:highlight w:val="none"/>
                <w:lang w:eastAsia="zh-CN"/>
              </w:rPr>
              <w:t>特种设备安全管理和作业人员证》（操作证）</w:t>
            </w:r>
            <w:r>
              <w:rPr>
                <w:rFonts w:hint="eastAsia" w:ascii="仿宋" w:hAnsi="仿宋" w:eastAsia="仿宋" w:cs="仿宋"/>
                <w:color w:val="auto"/>
                <w:sz w:val="21"/>
                <w:szCs w:val="21"/>
                <w:highlight w:val="none"/>
                <w:lang w:val="en-US" w:eastAsia="zh-CN"/>
              </w:rPr>
              <w:t>不少于2个</w:t>
            </w:r>
            <w:r>
              <w:rPr>
                <w:rFonts w:hint="eastAsia" w:ascii="仿宋" w:hAnsi="仿宋" w:eastAsia="仿宋" w:cs="仿宋"/>
                <w:color w:val="auto"/>
                <w:sz w:val="21"/>
                <w:szCs w:val="21"/>
                <w:highlight w:val="none"/>
                <w:lang w:eastAsia="zh-CN"/>
              </w:rPr>
              <w:t>。一人可拥有多证。（</w:t>
            </w:r>
            <w:r>
              <w:rPr>
                <w:rFonts w:hint="eastAsia" w:ascii="仿宋" w:hAnsi="仿宋" w:eastAsia="仿宋" w:cs="仿宋"/>
                <w:color w:val="auto"/>
                <w:sz w:val="21"/>
                <w:szCs w:val="21"/>
                <w:highlight w:val="none"/>
                <w:lang w:val="en-US" w:eastAsia="zh-CN"/>
              </w:rPr>
              <w:t>投标文件中</w:t>
            </w:r>
            <w:r>
              <w:rPr>
                <w:rFonts w:hint="eastAsia" w:ascii="仿宋" w:hAnsi="仿宋" w:eastAsia="仿宋" w:cs="仿宋"/>
                <w:color w:val="auto"/>
                <w:sz w:val="21"/>
                <w:szCs w:val="21"/>
                <w:highlight w:val="none"/>
                <w:lang w:eastAsia="zh-CN"/>
              </w:rPr>
              <w:t>提供操作证或职业资格证书等相关证件的扫描件及提供在投标人任职的外部证明材料（如提供加盖政府有关部门印章的在本项目投标截止日之前6个月内任意一个月的：《投保单》或《社会保险参保人员证明》扫描件。）</w:t>
            </w:r>
          </w:p>
          <w:p w14:paraId="51D0321E">
            <w:pPr>
              <w:pStyle w:val="6"/>
              <w:spacing w:line="360" w:lineRule="auto"/>
              <w:rPr>
                <w:rFonts w:hint="eastAsia" w:ascii="仿宋" w:hAnsi="仿宋" w:cs="仿宋" w:eastAsiaTheme="minorEastAsia"/>
                <w:color w:val="auto"/>
                <w:sz w:val="21"/>
                <w:szCs w:val="21"/>
                <w:highlight w:val="none"/>
                <w:lang w:eastAsia="zh-CN"/>
              </w:rPr>
            </w:pPr>
          </w:p>
          <w:p w14:paraId="26AD0E34">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2、工作人员待遇要求</w:t>
            </w:r>
          </w:p>
          <w:p w14:paraId="1920461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2.1按劳动用工相关标准执行，但应不低于本市最低工资标准；</w:t>
            </w:r>
            <w:r>
              <w:rPr>
                <w:rFonts w:hint="eastAsia" w:ascii="仿宋" w:hAnsi="仿宋" w:eastAsia="仿宋" w:cs="仿宋"/>
                <w:color w:val="auto"/>
                <w:sz w:val="21"/>
                <w:szCs w:val="21"/>
                <w:highlight w:val="none"/>
                <w:lang w:val="en-US" w:eastAsia="zh-CN"/>
              </w:rPr>
              <w:t>所有</w:t>
            </w:r>
            <w:r>
              <w:rPr>
                <w:rFonts w:ascii="仿宋" w:hAnsi="仿宋" w:eastAsia="仿宋" w:cs="仿宋"/>
                <w:color w:val="auto"/>
                <w:sz w:val="21"/>
                <w:szCs w:val="21"/>
                <w:highlight w:val="none"/>
              </w:rPr>
              <w:t>劳动纠纷问题由中标人负责解决，员工意外伤害由中标单位负责。</w:t>
            </w:r>
          </w:p>
          <w:p w14:paraId="225D332D">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2.2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投</w:t>
            </w:r>
            <w:r>
              <w:rPr>
                <w:rFonts w:hint="eastAsia" w:ascii="仿宋" w:hAnsi="仿宋" w:eastAsia="仿宋" w:cs="仿宋"/>
                <w:color w:val="auto"/>
                <w:sz w:val="21"/>
                <w:szCs w:val="21"/>
                <w:highlight w:val="none"/>
                <w:lang w:eastAsia="zh-CN"/>
              </w:rPr>
              <w:t>标人</w:t>
            </w:r>
            <w:r>
              <w:rPr>
                <w:rFonts w:hint="eastAsia" w:ascii="仿宋" w:hAnsi="仿宋" w:eastAsia="仿宋" w:cs="仿宋"/>
                <w:color w:val="auto"/>
                <w:sz w:val="21"/>
                <w:szCs w:val="21"/>
                <w:highlight w:val="none"/>
              </w:rPr>
              <w:t>应按照《中华人民共和国劳动法》的相关规定发放工资，服务人员工资不得低于广州市企业职工最低工资标准（工资不含按国家规定投标人必须支付的社会保险及其他应付费用）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提供承诺函，格式自拟</w:t>
            </w:r>
            <w:r>
              <w:rPr>
                <w:rFonts w:hint="eastAsia" w:ascii="仿宋" w:hAnsi="仿宋" w:eastAsia="仿宋" w:cs="仿宋"/>
                <w:color w:val="auto"/>
                <w:sz w:val="21"/>
                <w:szCs w:val="21"/>
                <w:highlight w:val="none"/>
                <w:lang w:eastAsia="zh-CN"/>
              </w:rPr>
              <w:t>。</w:t>
            </w:r>
          </w:p>
          <w:p w14:paraId="1A958150">
            <w:pPr>
              <w:pStyle w:val="6"/>
              <w:spacing w:line="360" w:lineRule="auto"/>
              <w:rPr>
                <w:rFonts w:hint="eastAsia" w:ascii="仿宋" w:hAnsi="仿宋" w:eastAsia="仿宋" w:cs="仿宋"/>
                <w:color w:val="auto"/>
                <w:sz w:val="21"/>
                <w:szCs w:val="21"/>
                <w:highlight w:val="none"/>
              </w:rPr>
            </w:pPr>
            <w:bookmarkStart w:id="3" w:name="_GoBack"/>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投</w:t>
            </w:r>
            <w:r>
              <w:rPr>
                <w:rFonts w:hint="eastAsia" w:ascii="仿宋" w:hAnsi="仿宋" w:eastAsia="仿宋" w:cs="仿宋"/>
                <w:color w:val="auto"/>
                <w:sz w:val="21"/>
                <w:szCs w:val="21"/>
                <w:highlight w:val="none"/>
                <w:lang w:eastAsia="zh-CN"/>
              </w:rPr>
              <w:t>标人</w:t>
            </w:r>
            <w:r>
              <w:rPr>
                <w:rFonts w:hint="eastAsia" w:ascii="仿宋" w:hAnsi="仿宋" w:eastAsia="仿宋" w:cs="仿宋"/>
                <w:color w:val="auto"/>
                <w:sz w:val="21"/>
                <w:szCs w:val="21"/>
                <w:highlight w:val="none"/>
              </w:rPr>
              <w:t>应按照《中华人民共和国社会保险法》的相关规定，支付国家规定必须购买的社会保险费用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提供承诺函，格式自拟</w:t>
            </w:r>
            <w:r>
              <w:rPr>
                <w:rFonts w:hint="eastAsia" w:ascii="仿宋" w:hAnsi="仿宋" w:eastAsia="仿宋" w:cs="仿宋"/>
                <w:color w:val="auto"/>
                <w:sz w:val="21"/>
                <w:szCs w:val="21"/>
                <w:highlight w:val="none"/>
              </w:rPr>
              <w:t>。</w:t>
            </w:r>
            <w:bookmarkEnd w:id="3"/>
          </w:p>
          <w:p w14:paraId="387E000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2.3</w:t>
            </w:r>
            <w:r>
              <w:rPr>
                <w:rFonts w:hint="eastAsia" w:ascii="仿宋" w:hAnsi="仿宋" w:eastAsia="仿宋" w:cs="仿宋"/>
                <w:color w:val="auto"/>
                <w:sz w:val="21"/>
                <w:szCs w:val="21"/>
                <w:highlight w:val="none"/>
                <w:lang w:val="en-US" w:eastAsia="zh-CN"/>
              </w:rPr>
              <w:t>★中标人不得对项目进行分包</w:t>
            </w:r>
            <w:r>
              <w:rPr>
                <w:rFonts w:ascii="仿宋" w:hAnsi="仿宋" w:eastAsia="仿宋" w:cs="仿宋"/>
                <w:color w:val="auto"/>
                <w:sz w:val="21"/>
                <w:szCs w:val="21"/>
                <w:highlight w:val="none"/>
              </w:rPr>
              <w:t>，中标人不得在合同期限内将本项目的管理权转包或发包，不得各分项服务转包。</w:t>
            </w:r>
            <w:r>
              <w:rPr>
                <w:rFonts w:hint="eastAsia" w:ascii="仿宋" w:hAnsi="仿宋" w:eastAsia="仿宋" w:cs="仿宋"/>
                <w:color w:val="auto"/>
                <w:sz w:val="21"/>
                <w:szCs w:val="21"/>
                <w:highlight w:val="none"/>
                <w:lang w:eastAsia="zh-CN"/>
              </w:rPr>
              <w:t>（提供承诺函，格式自拟）</w:t>
            </w:r>
          </w:p>
          <w:p w14:paraId="74BED68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2.4中标人的报价须包括与现有中标人交接工作的各项费用，并做好所有交接工作，采购人不再为此承担任何费用。</w:t>
            </w:r>
          </w:p>
        </w:tc>
      </w:tr>
      <w:tr w14:paraId="47963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F8C4A53">
            <w:pPr>
              <w:spacing w:line="360" w:lineRule="auto"/>
              <w:rPr>
                <w:rFonts w:hint="eastAsia" w:ascii="仿宋" w:hAnsi="仿宋" w:eastAsia="仿宋" w:cs="仿宋"/>
                <w:color w:val="auto"/>
                <w:sz w:val="21"/>
                <w:szCs w:val="21"/>
                <w:highlight w:val="none"/>
              </w:rPr>
            </w:pPr>
          </w:p>
        </w:tc>
        <w:tc>
          <w:tcPr>
            <w:tcW w:w="708" w:type="dxa"/>
          </w:tcPr>
          <w:p w14:paraId="45C98111">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3</w:t>
            </w:r>
          </w:p>
        </w:tc>
        <w:tc>
          <w:tcPr>
            <w:tcW w:w="6663" w:type="dxa"/>
          </w:tcPr>
          <w:p w14:paraId="19AA7D08">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维护保养</w:t>
            </w:r>
            <w:r>
              <w:rPr>
                <w:rFonts w:hint="eastAsia" w:ascii="仿宋" w:hAnsi="仿宋" w:eastAsia="仿宋" w:cs="仿宋"/>
                <w:b/>
                <w:color w:val="auto"/>
                <w:sz w:val="21"/>
                <w:szCs w:val="21"/>
                <w:highlight w:val="none"/>
                <w:lang w:val="en-US" w:eastAsia="zh-CN"/>
              </w:rPr>
              <w:t>及零星维修</w:t>
            </w:r>
            <w:r>
              <w:rPr>
                <w:rFonts w:ascii="仿宋" w:hAnsi="仿宋" w:eastAsia="仿宋" w:cs="仿宋"/>
                <w:b/>
                <w:color w:val="auto"/>
                <w:sz w:val="21"/>
                <w:szCs w:val="21"/>
                <w:highlight w:val="none"/>
              </w:rPr>
              <w:t>要求：</w:t>
            </w:r>
          </w:p>
          <w:p w14:paraId="0E750057">
            <w:pPr>
              <w:pStyle w:val="6"/>
              <w:spacing w:line="360" w:lineRule="auto"/>
              <w:rPr>
                <w:rFonts w:hint="eastAsia" w:ascii="仿宋" w:hAnsi="仿宋" w:eastAsia="仿宋" w:cs="仿宋"/>
                <w:color w:val="auto"/>
                <w:sz w:val="21"/>
                <w:szCs w:val="21"/>
                <w:highlight w:val="none"/>
              </w:rPr>
            </w:pPr>
            <w:r>
              <w:rPr>
                <w:color w:val="auto"/>
                <w:highlight w:val="none"/>
              </w:rPr>
              <w:t>1.</w:t>
            </w:r>
            <w:r>
              <w:rPr>
                <w:color w:val="auto"/>
                <w:highlight w:val="none"/>
              </w:rPr>
              <w:tab/>
            </w:r>
            <w:r>
              <w:rPr>
                <w:rFonts w:ascii="仿宋" w:hAnsi="仿宋" w:eastAsia="仿宋" w:cs="仿宋"/>
                <w:color w:val="auto"/>
                <w:sz w:val="21"/>
                <w:szCs w:val="21"/>
                <w:highlight w:val="none"/>
              </w:rPr>
              <w:t>中标人提供维修所需更换的零配件均保证为全新产品。</w:t>
            </w:r>
          </w:p>
          <w:p w14:paraId="0CA6B5D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配置清单中包括的设备，如果在自然损耗情况内以及按要求的清洗消毒方法的情况下发生的任何故障，中标人进行无条件维修。若无法维修的设备则向采购人说明情况。</w:t>
            </w:r>
          </w:p>
          <w:p w14:paraId="71332E53">
            <w:pPr>
              <w:pStyle w:val="6"/>
              <w:spacing w:line="360" w:lineRule="auto"/>
              <w:rPr>
                <w:rFonts w:hint="eastAsia"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t>3.</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在零件齐备的情况下，中标人保证在接到采购人通知之时起12小时之内完成</w:t>
            </w:r>
            <w:r>
              <w:rPr>
                <w:rFonts w:hint="eastAsia" w:ascii="仿宋" w:hAnsi="仿宋" w:eastAsia="仿宋" w:cs="仿宋"/>
                <w:color w:val="auto"/>
                <w:sz w:val="21"/>
                <w:szCs w:val="21"/>
                <w:highlight w:val="none"/>
                <w:lang w:eastAsia="zh-CN"/>
              </w:rPr>
              <w:t>零星维修。</w:t>
            </w:r>
          </w:p>
          <w:p w14:paraId="032372A6">
            <w:pPr>
              <w:pStyle w:val="6"/>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在零件齐备的情况下，中标人保证在接到采购人通知之时起</w:t>
            </w: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个工作日内</w:t>
            </w:r>
            <w:r>
              <w:rPr>
                <w:rFonts w:hint="eastAsia" w:ascii="仿宋" w:hAnsi="仿宋" w:eastAsia="仿宋" w:cs="仿宋"/>
                <w:color w:val="auto"/>
                <w:sz w:val="21"/>
                <w:szCs w:val="21"/>
                <w:highlight w:val="none"/>
                <w:lang w:eastAsia="zh-CN"/>
              </w:rPr>
              <w:t>排除维护保养过程中发现的设备故障</w:t>
            </w:r>
            <w:r>
              <w:rPr>
                <w:rFonts w:ascii="仿宋" w:hAnsi="仿宋" w:eastAsia="仿宋" w:cs="仿宋"/>
                <w:color w:val="auto"/>
                <w:sz w:val="21"/>
                <w:szCs w:val="21"/>
                <w:highlight w:val="none"/>
              </w:rPr>
              <w:t>。</w:t>
            </w:r>
          </w:p>
          <w:p w14:paraId="03EA3A98">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中标人</w:t>
            </w:r>
            <w:r>
              <w:rPr>
                <w:rFonts w:hint="eastAsia" w:ascii="仿宋" w:hAnsi="仿宋" w:eastAsia="仿宋" w:cs="仿宋"/>
                <w:color w:val="auto"/>
                <w:sz w:val="21"/>
                <w:szCs w:val="21"/>
                <w:highlight w:val="none"/>
                <w:lang w:eastAsia="zh-CN"/>
              </w:rPr>
              <w:t>委派人员按制度要求</w:t>
            </w:r>
            <w:r>
              <w:rPr>
                <w:rFonts w:ascii="仿宋" w:hAnsi="仿宋" w:eastAsia="仿宋" w:cs="仿宋"/>
                <w:color w:val="auto"/>
                <w:sz w:val="21"/>
                <w:szCs w:val="21"/>
                <w:highlight w:val="none"/>
              </w:rPr>
              <w:t>定期巡检</w:t>
            </w:r>
            <w:r>
              <w:rPr>
                <w:rFonts w:hint="eastAsia" w:ascii="仿宋" w:hAnsi="仿宋" w:eastAsia="仿宋" w:cs="仿宋"/>
                <w:color w:val="auto"/>
                <w:sz w:val="21"/>
                <w:szCs w:val="21"/>
                <w:highlight w:val="none"/>
                <w:lang w:eastAsia="zh-CN"/>
              </w:rPr>
              <w:t>设备设施，</w:t>
            </w:r>
            <w:r>
              <w:rPr>
                <w:rFonts w:ascii="仿宋" w:hAnsi="仿宋" w:eastAsia="仿宋" w:cs="仿宋"/>
                <w:color w:val="auto"/>
                <w:sz w:val="21"/>
                <w:szCs w:val="21"/>
                <w:highlight w:val="none"/>
              </w:rPr>
              <w:t>并提交检查报告给采购人存档。</w:t>
            </w:r>
          </w:p>
          <w:p w14:paraId="52208D1E">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ascii="仿宋" w:hAnsi="仿宋" w:eastAsia="仿宋" w:cs="仿宋"/>
                <w:color w:val="auto"/>
                <w:sz w:val="21"/>
                <w:szCs w:val="21"/>
                <w:highlight w:val="none"/>
              </w:rPr>
              <w:t>.</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负责</w:t>
            </w:r>
            <w:r>
              <w:rPr>
                <w:rFonts w:hint="eastAsia" w:ascii="仿宋" w:hAnsi="仿宋" w:eastAsia="仿宋" w:cs="仿宋"/>
                <w:color w:val="auto"/>
                <w:sz w:val="21"/>
                <w:szCs w:val="21"/>
                <w:highlight w:val="none"/>
                <w:lang w:eastAsia="zh-CN"/>
              </w:rPr>
              <w:t>净化系统</w:t>
            </w:r>
            <w:r>
              <w:rPr>
                <w:rFonts w:ascii="仿宋" w:hAnsi="仿宋" w:eastAsia="仿宋" w:cs="仿宋"/>
                <w:color w:val="auto"/>
                <w:sz w:val="21"/>
                <w:szCs w:val="21"/>
                <w:highlight w:val="none"/>
              </w:rPr>
              <w:t>过滤器的定时更换，</w:t>
            </w:r>
            <w:r>
              <w:rPr>
                <w:rFonts w:hint="eastAsia" w:ascii="仿宋" w:hAnsi="仿宋" w:eastAsia="仿宋" w:cs="仿宋"/>
                <w:color w:val="auto"/>
                <w:sz w:val="21"/>
                <w:szCs w:val="21"/>
                <w:highlight w:val="none"/>
                <w:lang w:eastAsia="zh-CN"/>
              </w:rPr>
              <w:t>按照《WS T368-2012医院空气净化管理规范》及采购人内部</w:t>
            </w:r>
            <w:bookmarkStart w:id="0" w:name="_Toc428519218"/>
            <w:bookmarkStart w:id="1" w:name="_Toc475977715"/>
            <w:bookmarkStart w:id="2" w:name="_Toc8836784"/>
            <w:r>
              <w:rPr>
                <w:rFonts w:hint="eastAsia" w:ascii="仿宋" w:hAnsi="仿宋" w:eastAsia="仿宋" w:cs="仿宋"/>
                <w:b w:val="0"/>
                <w:color w:val="auto"/>
                <w:sz w:val="21"/>
                <w:szCs w:val="21"/>
                <w:highlight w:val="none"/>
                <w:u w:val="none"/>
                <w:lang w:eastAsia="zh-CN"/>
              </w:rPr>
              <w:t>净化</w:t>
            </w:r>
            <w:r>
              <w:rPr>
                <w:rFonts w:ascii="仿宋" w:hAnsi="仿宋" w:eastAsia="仿宋" w:cs="仿宋"/>
                <w:b w:val="0"/>
                <w:color w:val="auto"/>
                <w:sz w:val="21"/>
                <w:szCs w:val="21"/>
                <w:highlight w:val="none"/>
                <w:u w:val="none"/>
                <w:lang w:eastAsia="zh-CN"/>
              </w:rPr>
              <w:t>系统维护保养</w:t>
            </w:r>
            <w:r>
              <w:rPr>
                <w:rFonts w:hint="eastAsia" w:ascii="仿宋" w:hAnsi="仿宋" w:eastAsia="仿宋" w:cs="仿宋"/>
                <w:b w:val="0"/>
                <w:color w:val="auto"/>
                <w:sz w:val="21"/>
                <w:szCs w:val="21"/>
                <w:highlight w:val="none"/>
                <w:u w:val="none"/>
                <w:lang w:eastAsia="zh-CN"/>
              </w:rPr>
              <w:t>制度</w:t>
            </w:r>
            <w:bookmarkEnd w:id="0"/>
            <w:bookmarkEnd w:id="1"/>
            <w:bookmarkEnd w:id="2"/>
            <w:r>
              <w:rPr>
                <w:rFonts w:hint="eastAsia" w:ascii="仿宋" w:hAnsi="仿宋" w:eastAsia="仿宋" w:cs="仿宋"/>
                <w:b w:val="0"/>
                <w:color w:val="auto"/>
                <w:sz w:val="21"/>
                <w:szCs w:val="21"/>
                <w:highlight w:val="none"/>
                <w:u w:val="none"/>
                <w:lang w:eastAsia="zh-CN"/>
              </w:rPr>
              <w:t>：</w:t>
            </w:r>
            <w:r>
              <w:rPr>
                <w:rFonts w:ascii="仿宋" w:hAnsi="仿宋" w:eastAsia="仿宋" w:cs="仿宋"/>
                <w:color w:val="auto"/>
                <w:sz w:val="21"/>
                <w:szCs w:val="21"/>
                <w:highlight w:val="none"/>
              </w:rPr>
              <w:t>初效过滤器每三个月更换一次；中效过滤器每月检查一次，每半年更换一次；末端高效过滤器每年检查一次，当阻力超过设计初阻力160Pa或已经使用3年以上时更换。</w:t>
            </w:r>
          </w:p>
        </w:tc>
      </w:tr>
      <w:tr w14:paraId="2A683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8CA5EA9">
            <w:pPr>
              <w:spacing w:line="360" w:lineRule="auto"/>
              <w:rPr>
                <w:rFonts w:hint="eastAsia" w:ascii="仿宋" w:hAnsi="仿宋" w:eastAsia="仿宋" w:cs="仿宋"/>
                <w:color w:val="auto"/>
                <w:sz w:val="21"/>
                <w:szCs w:val="21"/>
                <w:highlight w:val="none"/>
              </w:rPr>
            </w:pPr>
          </w:p>
        </w:tc>
        <w:tc>
          <w:tcPr>
            <w:tcW w:w="708" w:type="dxa"/>
          </w:tcPr>
          <w:p w14:paraId="694213BD">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4</w:t>
            </w:r>
          </w:p>
        </w:tc>
        <w:tc>
          <w:tcPr>
            <w:tcW w:w="6663" w:type="dxa"/>
          </w:tcPr>
          <w:p w14:paraId="2E28B472">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服务标准及要求：</w:t>
            </w:r>
          </w:p>
          <w:p w14:paraId="67F53D4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1、工作基本要求：</w:t>
            </w:r>
          </w:p>
          <w:p w14:paraId="31F5917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1.1保障所有项目设备的正常运行并做好相关记录</w:t>
            </w:r>
            <w:r>
              <w:rPr>
                <w:rFonts w:hint="eastAsia" w:ascii="仿宋" w:hAnsi="仿宋" w:eastAsia="仿宋" w:cs="仿宋"/>
                <w:color w:val="auto"/>
                <w:sz w:val="21"/>
                <w:szCs w:val="21"/>
                <w:highlight w:val="none"/>
                <w:lang w:eastAsia="zh-CN"/>
              </w:rPr>
              <w:t>，所有巡检和维修保养记录，每日记录，按月整理，每月向采购人汇报，随时供上级部门检查</w:t>
            </w:r>
            <w:r>
              <w:rPr>
                <w:rFonts w:ascii="仿宋" w:hAnsi="仿宋" w:eastAsia="仿宋" w:cs="仿宋"/>
                <w:color w:val="auto"/>
                <w:sz w:val="21"/>
                <w:szCs w:val="21"/>
                <w:highlight w:val="none"/>
              </w:rPr>
              <w:t>。</w:t>
            </w:r>
          </w:p>
          <w:p w14:paraId="098EB773">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1.2保障院区的水、电、气等供应不得间断。</w:t>
            </w:r>
          </w:p>
          <w:p w14:paraId="294B728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lang w:eastAsia="zh-CN"/>
              </w:rPr>
              <w:t>每月开展满意度检查，</w:t>
            </w:r>
            <w:r>
              <w:rPr>
                <w:rFonts w:ascii="仿宋" w:hAnsi="仿宋" w:eastAsia="仿宋" w:cs="仿宋"/>
                <w:color w:val="auto"/>
                <w:sz w:val="21"/>
                <w:szCs w:val="21"/>
                <w:highlight w:val="none"/>
              </w:rPr>
              <w:t>要求达到日常维护100%执行，设备设施完好率</w:t>
            </w:r>
            <w:r>
              <w:rPr>
                <w:rFonts w:hint="eastAsia" w:ascii="仿宋" w:hAnsi="仿宋" w:eastAsia="仿宋" w:cs="仿宋"/>
                <w:color w:val="auto"/>
                <w:sz w:val="21"/>
                <w:szCs w:val="21"/>
                <w:highlight w:val="none"/>
                <w:lang w:eastAsia="zh-CN"/>
              </w:rPr>
              <w:t>不低于</w:t>
            </w:r>
            <w:r>
              <w:rPr>
                <w:rFonts w:ascii="仿宋" w:hAnsi="仿宋" w:eastAsia="仿宋" w:cs="仿宋"/>
                <w:color w:val="auto"/>
                <w:sz w:val="21"/>
                <w:szCs w:val="21"/>
                <w:highlight w:val="none"/>
              </w:rPr>
              <w:t>95%，维修及时率100%，维修工程质量合格率</w:t>
            </w:r>
            <w:r>
              <w:rPr>
                <w:rFonts w:hint="eastAsia" w:ascii="仿宋" w:hAnsi="仿宋" w:eastAsia="仿宋" w:cs="仿宋"/>
                <w:color w:val="auto"/>
                <w:sz w:val="21"/>
                <w:szCs w:val="21"/>
                <w:highlight w:val="none"/>
                <w:lang w:eastAsia="zh-CN"/>
              </w:rPr>
              <w:t>不低于</w:t>
            </w:r>
            <w:r>
              <w:rPr>
                <w:rFonts w:hint="eastAsia" w:ascii="仿宋" w:hAnsi="仿宋" w:eastAsia="仿宋" w:cs="仿宋"/>
                <w:color w:val="auto"/>
                <w:sz w:val="21"/>
                <w:szCs w:val="21"/>
                <w:highlight w:val="none"/>
                <w:lang w:val="en-US" w:eastAsia="zh-CN"/>
              </w:rPr>
              <w:t>95</w:t>
            </w:r>
            <w:r>
              <w:rPr>
                <w:rFonts w:ascii="仿宋" w:hAnsi="仿宋" w:eastAsia="仿宋" w:cs="仿宋"/>
                <w:color w:val="auto"/>
                <w:sz w:val="21"/>
                <w:szCs w:val="21"/>
                <w:highlight w:val="none"/>
              </w:rPr>
              <w:t>%，服务回访率</w:t>
            </w:r>
            <w:r>
              <w:rPr>
                <w:rFonts w:hint="eastAsia" w:ascii="仿宋" w:hAnsi="仿宋" w:eastAsia="仿宋" w:cs="仿宋"/>
                <w:color w:val="auto"/>
                <w:sz w:val="21"/>
                <w:szCs w:val="21"/>
                <w:highlight w:val="none"/>
                <w:lang w:val="en-US" w:eastAsia="zh-CN"/>
              </w:rPr>
              <w:t>100</w:t>
            </w:r>
            <w:r>
              <w:rPr>
                <w:rFonts w:ascii="仿宋" w:hAnsi="仿宋" w:eastAsia="仿宋" w:cs="仿宋"/>
                <w:color w:val="auto"/>
                <w:sz w:val="21"/>
                <w:szCs w:val="21"/>
                <w:highlight w:val="none"/>
              </w:rPr>
              <w:t>%。</w:t>
            </w:r>
          </w:p>
          <w:p w14:paraId="7D4A163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1.4巡视设备机房和设备运行情况，作好相关记录（包括抄表）。</w:t>
            </w:r>
          </w:p>
          <w:p w14:paraId="5D6B0156">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1.5对员工进行岗前培训，对特种设备人员进行三级安全教育，每年至少对员工进行两次岗位培训并做好记录，每年至少开展两次全方面的应急演练。</w:t>
            </w:r>
          </w:p>
          <w:p w14:paraId="651F7E2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1.6采取科学、有效、合理的节能、节水措施，做好节能运行监测。</w:t>
            </w:r>
          </w:p>
          <w:p w14:paraId="6C0941B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1.7设备机房、值班室等责任区域内的管理制度齐全，标识清楚，做好各种安全用具、消防用具、设备备品及维修工具的管理，保持设备责任区的清洁卫生，设备、管道、墙面、地面干净整洁、无破损，无渗水、漏电、锈蚀现象。</w:t>
            </w:r>
          </w:p>
          <w:p w14:paraId="550B4D86">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1.8中标人需掌握责任区内设备的用途、参数、运行状况，协助采购人健全设备档案，能提出合理的设备维护保养的措施及方案计划，能对设备进行简单的故障分析诊断。</w:t>
            </w:r>
          </w:p>
          <w:p w14:paraId="1921C4A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1.9在由采购人指定的第三方单位对中标人所管辖的设备设施进行维修、保养、改造、施工时，中标人要做好协调、配合、监管及初步验收等工作。</w:t>
            </w:r>
          </w:p>
          <w:p w14:paraId="0E61266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1.10运行岗位须24小时值班，运行值班岗位须严格按国家规定持证上岗，持证上岗率100%，并有2年</w:t>
            </w:r>
            <w:r>
              <w:rPr>
                <w:rFonts w:hint="eastAsia" w:ascii="仿宋" w:hAnsi="仿宋" w:eastAsia="仿宋" w:cs="仿宋"/>
                <w:color w:val="auto"/>
                <w:sz w:val="21"/>
                <w:szCs w:val="21"/>
                <w:highlight w:val="none"/>
                <w:lang w:eastAsia="zh-CN"/>
              </w:rPr>
              <w:t>或</w:t>
            </w:r>
            <w:r>
              <w:rPr>
                <w:rFonts w:ascii="仿宋" w:hAnsi="仿宋" w:eastAsia="仿宋" w:cs="仿宋"/>
                <w:color w:val="auto"/>
                <w:sz w:val="21"/>
                <w:szCs w:val="21"/>
                <w:highlight w:val="none"/>
              </w:rPr>
              <w:t>以上相关工作经验；各项作业的劳动保护符合国家规范。</w:t>
            </w:r>
          </w:p>
          <w:p w14:paraId="6B15BC16">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1.11配合各种国家要求的检查、检测、年检工作（含压力表、安全阀的拆装、送检）。</w:t>
            </w:r>
          </w:p>
          <w:p w14:paraId="04D48AE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1.12维修工具由中标人负责</w:t>
            </w:r>
            <w:r>
              <w:rPr>
                <w:rFonts w:hint="eastAsia" w:ascii="仿宋" w:hAnsi="仿宋" w:eastAsia="仿宋" w:cs="仿宋"/>
                <w:color w:val="auto"/>
                <w:sz w:val="21"/>
                <w:szCs w:val="21"/>
                <w:highlight w:val="none"/>
                <w:lang w:eastAsia="zh-CN"/>
              </w:rPr>
              <w:t>提供</w:t>
            </w:r>
            <w:r>
              <w:rPr>
                <w:rFonts w:ascii="仿宋" w:hAnsi="仿宋" w:eastAsia="仿宋" w:cs="仿宋"/>
                <w:color w:val="auto"/>
                <w:sz w:val="21"/>
                <w:szCs w:val="21"/>
                <w:highlight w:val="none"/>
              </w:rPr>
              <w:t>。</w:t>
            </w:r>
          </w:p>
          <w:p w14:paraId="0284454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1.13中标人负责执行责任范围内的各种有关法律、法规和政策规定的其他事项。</w:t>
            </w:r>
          </w:p>
          <w:p w14:paraId="7B4E570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1.14中标人负责执行采购人提出的属于中标人</w:t>
            </w:r>
            <w:r>
              <w:rPr>
                <w:rFonts w:hint="eastAsia" w:ascii="仿宋" w:hAnsi="仿宋" w:eastAsia="仿宋" w:cs="仿宋"/>
                <w:color w:val="auto"/>
                <w:sz w:val="21"/>
                <w:szCs w:val="21"/>
                <w:highlight w:val="none"/>
                <w:lang w:eastAsia="zh-CN"/>
              </w:rPr>
              <w:t>履约</w:t>
            </w:r>
            <w:r>
              <w:rPr>
                <w:rFonts w:ascii="仿宋" w:hAnsi="仿宋" w:eastAsia="仿宋" w:cs="仿宋"/>
                <w:color w:val="auto"/>
                <w:sz w:val="21"/>
                <w:szCs w:val="21"/>
                <w:highlight w:val="none"/>
              </w:rPr>
              <w:t>范围内的合理要求。</w:t>
            </w:r>
          </w:p>
          <w:p w14:paraId="1331A30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中央空调及多联机</w:t>
            </w:r>
            <w:r>
              <w:rPr>
                <w:rFonts w:ascii="仿宋" w:hAnsi="仿宋" w:eastAsia="仿宋" w:cs="仿宋"/>
                <w:color w:val="auto"/>
                <w:sz w:val="21"/>
                <w:szCs w:val="21"/>
                <w:highlight w:val="none"/>
              </w:rPr>
              <w:t>系统：</w:t>
            </w:r>
          </w:p>
          <w:p w14:paraId="7E3041A3">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2.1运行值班：</w:t>
            </w:r>
          </w:p>
          <w:p w14:paraId="64274DB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负责</w:t>
            </w:r>
            <w:r>
              <w:rPr>
                <w:rFonts w:hint="eastAsia" w:ascii="仿宋" w:hAnsi="仿宋" w:eastAsia="仿宋" w:cs="仿宋"/>
                <w:color w:val="auto"/>
                <w:sz w:val="21"/>
                <w:szCs w:val="21"/>
                <w:highlight w:val="none"/>
                <w:lang w:eastAsia="zh-CN"/>
              </w:rPr>
              <w:t>采购人中央空调及多联机</w:t>
            </w:r>
            <w:r>
              <w:rPr>
                <w:rFonts w:ascii="仿宋" w:hAnsi="仿宋" w:eastAsia="仿宋" w:cs="仿宋"/>
                <w:color w:val="auto"/>
                <w:sz w:val="21"/>
                <w:szCs w:val="21"/>
                <w:highlight w:val="none"/>
              </w:rPr>
              <w:t>系统的日常操作、巡视、维护、保养及安全工作，并做好相关记录。</w:t>
            </w:r>
          </w:p>
          <w:p w14:paraId="7D493FC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每天至少两次（特殊情况可加密）巡视</w:t>
            </w:r>
            <w:r>
              <w:rPr>
                <w:rFonts w:hint="eastAsia" w:ascii="仿宋" w:hAnsi="仿宋" w:eastAsia="仿宋" w:cs="仿宋"/>
                <w:color w:val="auto"/>
                <w:sz w:val="21"/>
                <w:szCs w:val="21"/>
                <w:highlight w:val="none"/>
                <w:lang w:eastAsia="zh-CN"/>
              </w:rPr>
              <w:t>主机</w:t>
            </w:r>
            <w:r>
              <w:rPr>
                <w:rFonts w:ascii="仿宋" w:hAnsi="仿宋" w:eastAsia="仿宋" w:cs="仿宋"/>
                <w:color w:val="auto"/>
                <w:sz w:val="21"/>
                <w:szCs w:val="21"/>
                <w:highlight w:val="none"/>
              </w:rPr>
              <w:t>设备设施，并记录主要仪表及参数。</w:t>
            </w:r>
          </w:p>
          <w:p w14:paraId="372E5C2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每</w:t>
            </w:r>
            <w:r>
              <w:rPr>
                <w:rFonts w:hint="eastAsia" w:ascii="仿宋" w:hAnsi="仿宋" w:eastAsia="仿宋" w:cs="仿宋"/>
                <w:color w:val="auto"/>
                <w:sz w:val="21"/>
                <w:szCs w:val="21"/>
                <w:highlight w:val="none"/>
                <w:lang w:eastAsia="zh-CN"/>
              </w:rPr>
              <w:t>年</w:t>
            </w:r>
            <w:r>
              <w:rPr>
                <w:rFonts w:ascii="仿宋" w:hAnsi="仿宋" w:eastAsia="仿宋" w:cs="仿宋"/>
                <w:color w:val="auto"/>
                <w:sz w:val="21"/>
                <w:szCs w:val="21"/>
                <w:highlight w:val="none"/>
              </w:rPr>
              <w:t>至少</w:t>
            </w:r>
            <w:r>
              <w:rPr>
                <w:rFonts w:hint="eastAsia" w:ascii="仿宋" w:hAnsi="仿宋" w:eastAsia="仿宋" w:cs="仿宋"/>
                <w:color w:val="auto"/>
                <w:sz w:val="21"/>
                <w:szCs w:val="21"/>
                <w:highlight w:val="none"/>
                <w:lang w:eastAsia="zh-CN"/>
              </w:rPr>
              <w:t>检</w:t>
            </w:r>
            <w:r>
              <w:rPr>
                <w:rFonts w:ascii="仿宋" w:hAnsi="仿宋" w:eastAsia="仿宋" w:cs="仿宋"/>
                <w:color w:val="auto"/>
                <w:sz w:val="21"/>
                <w:szCs w:val="21"/>
                <w:highlight w:val="none"/>
              </w:rPr>
              <w:t>测一次</w:t>
            </w:r>
            <w:r>
              <w:rPr>
                <w:rFonts w:hint="eastAsia" w:ascii="仿宋" w:hAnsi="仿宋" w:eastAsia="仿宋" w:cs="仿宋"/>
                <w:color w:val="auto"/>
                <w:sz w:val="21"/>
                <w:szCs w:val="21"/>
                <w:highlight w:val="none"/>
                <w:lang w:eastAsia="zh-CN"/>
              </w:rPr>
              <w:t>中央空调冷却水</w:t>
            </w:r>
            <w:r>
              <w:rPr>
                <w:rFonts w:ascii="仿宋" w:hAnsi="仿宋" w:eastAsia="仿宋" w:cs="仿宋"/>
                <w:color w:val="auto"/>
                <w:sz w:val="21"/>
                <w:szCs w:val="21"/>
                <w:highlight w:val="none"/>
              </w:rPr>
              <w:t>软化</w:t>
            </w:r>
            <w:r>
              <w:rPr>
                <w:rFonts w:hint="eastAsia" w:ascii="仿宋" w:hAnsi="仿宋" w:eastAsia="仿宋" w:cs="仿宋"/>
                <w:color w:val="auto"/>
                <w:sz w:val="21"/>
                <w:szCs w:val="21"/>
                <w:highlight w:val="none"/>
                <w:lang w:eastAsia="zh-CN"/>
              </w:rPr>
              <w:t>情况</w:t>
            </w:r>
            <w:r>
              <w:rPr>
                <w:rFonts w:ascii="仿宋" w:hAnsi="仿宋" w:eastAsia="仿宋" w:cs="仿宋"/>
                <w:color w:val="auto"/>
                <w:sz w:val="21"/>
                <w:szCs w:val="21"/>
                <w:highlight w:val="none"/>
              </w:rPr>
              <w:t>。（供冷期间）</w:t>
            </w:r>
          </w:p>
          <w:p w14:paraId="564521FC">
            <w:pPr>
              <w:pStyle w:val="6"/>
              <w:spacing w:line="360" w:lineRule="auto"/>
              <w:rPr>
                <w:rFonts w:hint="eastAsia" w:ascii="仿宋" w:hAnsi="仿宋" w:eastAsia="仿宋" w:cs="仿宋"/>
                <w:color w:val="auto"/>
                <w:sz w:val="21"/>
                <w:szCs w:val="21"/>
                <w:highlight w:val="none"/>
              </w:rPr>
            </w:pPr>
            <w:r>
              <w:rPr>
                <w:rFonts w:hint="eastAsia"/>
                <w:color w:val="auto"/>
                <w:highlight w:val="none"/>
                <w:lang w:eastAsia="zh-CN"/>
              </w:rPr>
              <w:t>至少</w:t>
            </w:r>
            <w:r>
              <w:rPr>
                <w:rFonts w:ascii="仿宋" w:hAnsi="仿宋" w:eastAsia="仿宋" w:cs="仿宋"/>
                <w:color w:val="auto"/>
                <w:sz w:val="21"/>
                <w:szCs w:val="21"/>
                <w:highlight w:val="none"/>
              </w:rPr>
              <w:t>每3个月对阀门进行一次保养。</w:t>
            </w:r>
          </w:p>
          <w:p w14:paraId="22E852A3">
            <w:pPr>
              <w:pStyle w:val="6"/>
              <w:spacing w:line="360" w:lineRule="auto"/>
              <w:rPr>
                <w:rFonts w:hint="eastAsia" w:ascii="仿宋" w:hAnsi="仿宋" w:eastAsia="仿宋" w:cs="仿宋"/>
                <w:color w:val="auto"/>
                <w:sz w:val="21"/>
                <w:szCs w:val="21"/>
                <w:highlight w:val="none"/>
              </w:rPr>
            </w:pPr>
          </w:p>
          <w:p w14:paraId="1715A67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2.2维护：</w:t>
            </w:r>
          </w:p>
          <w:p w14:paraId="3501AA8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负责供冷季结束后新风机组盘管放水、吹扫及冷却水箱泄水等，并做好相关记录。</w:t>
            </w:r>
          </w:p>
          <w:p w14:paraId="4A8A2FBF">
            <w:pPr>
              <w:pStyle w:val="6"/>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负责夏季新风启停，冷却水箱日常维护（每天巡查两次，并根据情况清理集水盘、布水器、填料）。</w:t>
            </w:r>
          </w:p>
          <w:p w14:paraId="01127DE2">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每年对主机及末端冷冻水管道进行一次全面清理。</w:t>
            </w:r>
          </w:p>
          <w:p w14:paraId="5E8F23E4">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大楼</w:t>
            </w:r>
            <w:r>
              <w:rPr>
                <w:rFonts w:hint="eastAsia" w:ascii="仿宋" w:hAnsi="仿宋" w:eastAsia="仿宋" w:cs="仿宋"/>
                <w:color w:val="auto"/>
                <w:sz w:val="21"/>
                <w:szCs w:val="21"/>
                <w:highlight w:val="none"/>
                <w:lang w:eastAsia="zh-CN"/>
              </w:rPr>
              <w:t>普通病房、办公区域、</w:t>
            </w:r>
            <w:r>
              <w:rPr>
                <w:rFonts w:ascii="仿宋" w:hAnsi="仿宋" w:eastAsia="仿宋" w:cs="仿宋"/>
                <w:color w:val="auto"/>
                <w:sz w:val="21"/>
                <w:szCs w:val="21"/>
                <w:highlight w:val="none"/>
              </w:rPr>
              <w:t>公区每2个月</w:t>
            </w:r>
            <w:r>
              <w:rPr>
                <w:rFonts w:hint="eastAsia" w:ascii="仿宋" w:hAnsi="仿宋" w:eastAsia="仿宋" w:cs="仿宋"/>
                <w:color w:val="auto"/>
                <w:sz w:val="21"/>
                <w:szCs w:val="21"/>
                <w:highlight w:val="none"/>
                <w:lang w:eastAsia="zh-CN"/>
              </w:rPr>
              <w:t>清洁</w:t>
            </w:r>
            <w:r>
              <w:rPr>
                <w:rFonts w:ascii="仿宋" w:hAnsi="仿宋" w:eastAsia="仿宋" w:cs="仿宋"/>
                <w:color w:val="auto"/>
                <w:sz w:val="21"/>
                <w:szCs w:val="21"/>
                <w:highlight w:val="none"/>
              </w:rPr>
              <w:t>出风口、回风口</w:t>
            </w:r>
            <w:r>
              <w:rPr>
                <w:rFonts w:hint="eastAsia" w:ascii="仿宋" w:hAnsi="仿宋" w:eastAsia="仿宋" w:cs="仿宋"/>
                <w:color w:val="auto"/>
                <w:sz w:val="21"/>
                <w:szCs w:val="21"/>
                <w:highlight w:val="none"/>
                <w:lang w:eastAsia="zh-CN"/>
              </w:rPr>
              <w:t>、回风滤网</w:t>
            </w:r>
            <w:r>
              <w:rPr>
                <w:rFonts w:ascii="仿宋" w:hAnsi="仿宋" w:eastAsia="仿宋" w:cs="仿宋"/>
                <w:color w:val="auto"/>
                <w:sz w:val="21"/>
                <w:szCs w:val="21"/>
                <w:highlight w:val="none"/>
              </w:rPr>
              <w:t>；每年对风机盘管检查清洗1次。</w:t>
            </w:r>
          </w:p>
          <w:p w14:paraId="6F36E72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配合楼宇自控随时对责任区内的各种设备设施进行调整、检修、更换，并做好相关记录。</w:t>
            </w:r>
          </w:p>
          <w:p w14:paraId="148C9E2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每日对大楼内进行测温（包括但不限于大厅、病房公区、房间），并配合</w:t>
            </w:r>
            <w:r>
              <w:rPr>
                <w:rFonts w:hint="eastAsia" w:ascii="仿宋" w:hAnsi="仿宋" w:eastAsia="仿宋" w:cs="仿宋"/>
                <w:color w:val="auto"/>
                <w:sz w:val="21"/>
                <w:szCs w:val="21"/>
                <w:highlight w:val="none"/>
                <w:lang w:eastAsia="zh-CN"/>
              </w:rPr>
              <w:t>采购人</w:t>
            </w:r>
            <w:r>
              <w:rPr>
                <w:rFonts w:ascii="仿宋" w:hAnsi="仿宋" w:eastAsia="仿宋" w:cs="仿宋"/>
                <w:color w:val="auto"/>
                <w:sz w:val="21"/>
                <w:szCs w:val="21"/>
                <w:highlight w:val="none"/>
              </w:rPr>
              <w:t>楼宇自控班组调节温度。</w:t>
            </w:r>
          </w:p>
          <w:p w14:paraId="74FE410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负责维护、更换风机盘管的风机、阀门及其控制开关面板等。</w:t>
            </w:r>
          </w:p>
          <w:p w14:paraId="034AD2D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3、空气净化系统维护保养：</w:t>
            </w:r>
          </w:p>
          <w:p w14:paraId="57B5D4C4">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负责院内手术室、ICU、产房、静配中心、消毒供应中心</w:t>
            </w:r>
            <w:r>
              <w:rPr>
                <w:rFonts w:hint="eastAsia" w:ascii="仿宋" w:hAnsi="仿宋" w:eastAsia="仿宋" w:cs="仿宋"/>
                <w:color w:val="auto"/>
                <w:sz w:val="21"/>
                <w:szCs w:val="21"/>
                <w:highlight w:val="none"/>
                <w:lang w:eastAsia="zh-CN"/>
              </w:rPr>
              <w:t>、介入手术室、造血干细胞移植中心</w:t>
            </w:r>
            <w:r>
              <w:rPr>
                <w:rFonts w:ascii="仿宋" w:hAnsi="仿宋" w:eastAsia="仿宋" w:cs="仿宋"/>
                <w:color w:val="auto"/>
                <w:sz w:val="21"/>
                <w:szCs w:val="21"/>
                <w:highlight w:val="none"/>
              </w:rPr>
              <w:t>等所有洁净区的空气净化系统的维护保养。</w:t>
            </w:r>
          </w:p>
          <w:p w14:paraId="61D77C30">
            <w:pPr>
              <w:pStyle w:val="6"/>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3.1.洁净室净化空调系统的保养。</w:t>
            </w:r>
          </w:p>
          <w:p w14:paraId="0CD18A7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每天巡视一次洁净机组的机房，每2天巡视一次新风、空调、送风、排风等机组，保持机房卫生，巡视时检查配电箱、电机、皮带、加湿设备等，并做好相关记录。</w:t>
            </w:r>
          </w:p>
          <w:p w14:paraId="1F2C359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运行需符合《医院空气净化管理规范》等国家</w:t>
            </w:r>
            <w:r>
              <w:rPr>
                <w:rFonts w:hint="eastAsia" w:ascii="仿宋" w:hAnsi="仿宋" w:eastAsia="仿宋" w:cs="仿宋"/>
                <w:color w:val="auto"/>
                <w:sz w:val="21"/>
                <w:szCs w:val="21"/>
                <w:highlight w:val="none"/>
                <w:lang w:eastAsia="zh-CN"/>
              </w:rPr>
              <w:t>、行业</w:t>
            </w:r>
            <w:r>
              <w:rPr>
                <w:rFonts w:ascii="仿宋" w:hAnsi="仿宋" w:eastAsia="仿宋" w:cs="仿宋"/>
                <w:color w:val="auto"/>
                <w:sz w:val="21"/>
                <w:szCs w:val="21"/>
                <w:highlight w:val="none"/>
              </w:rPr>
              <w:t>标准规范。</w:t>
            </w:r>
          </w:p>
          <w:p w14:paraId="369C41AC">
            <w:pPr>
              <w:pStyle w:val="6"/>
              <w:spacing w:line="360" w:lineRule="auto"/>
              <w:rPr>
                <w:rFonts w:hint="eastAsia" w:ascii="仿宋" w:hAnsi="仿宋" w:eastAsia="仿宋" w:cs="仿宋"/>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w:t>
            </w:r>
            <w:r>
              <w:rPr>
                <w:rFonts w:ascii="仿宋" w:hAnsi="仿宋" w:eastAsia="仿宋" w:cs="仿宋"/>
                <w:color w:val="auto"/>
                <w:sz w:val="21"/>
                <w:szCs w:val="21"/>
                <w:highlight w:val="none"/>
              </w:rPr>
              <w:t>洁净室净化空调系统的保养工作由</w:t>
            </w:r>
            <w:r>
              <w:rPr>
                <w:rFonts w:hint="eastAsia" w:ascii="仿宋" w:hAnsi="仿宋" w:eastAsia="仿宋" w:cs="仿宋"/>
                <w:color w:val="auto"/>
                <w:sz w:val="21"/>
                <w:szCs w:val="21"/>
                <w:highlight w:val="none"/>
                <w:lang w:eastAsia="zh-CN"/>
              </w:rPr>
              <w:t>中标人</w:t>
            </w:r>
            <w:r>
              <w:rPr>
                <w:rFonts w:ascii="仿宋" w:hAnsi="仿宋" w:eastAsia="仿宋" w:cs="仿宋"/>
                <w:color w:val="auto"/>
                <w:sz w:val="21"/>
                <w:szCs w:val="21"/>
                <w:highlight w:val="none"/>
              </w:rPr>
              <w:t>固定专人负责。</w:t>
            </w:r>
            <w:r>
              <w:rPr>
                <w:rFonts w:hint="eastAsia" w:ascii="仿宋" w:hAnsi="仿宋" w:eastAsia="仿宋" w:cs="仿宋"/>
                <w:color w:val="auto"/>
                <w:sz w:val="21"/>
                <w:szCs w:val="21"/>
                <w:highlight w:val="none"/>
                <w:lang w:eastAsia="zh-CN"/>
              </w:rPr>
              <w:t>（提供承诺函，格式自拟）</w:t>
            </w:r>
          </w:p>
          <w:p w14:paraId="59D34FF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净化空调箱的保养：保养箱体内的热交换器、风机和初效过滤器、中效过滤器等。保证箱体内不生锈蚀，不藏污垢。</w:t>
            </w:r>
          </w:p>
          <w:p w14:paraId="52B3437F">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送风管道的保养：一个月至少检查一次送风管、回风管是否漏气以及风管保温层有否脱落或崩裂，</w:t>
            </w:r>
            <w:r>
              <w:rPr>
                <w:rFonts w:hint="eastAsia" w:ascii="仿宋" w:hAnsi="仿宋" w:eastAsia="仿宋" w:cs="仿宋"/>
                <w:color w:val="auto"/>
                <w:sz w:val="21"/>
                <w:szCs w:val="21"/>
                <w:highlight w:val="none"/>
                <w:lang w:eastAsia="zh-CN"/>
              </w:rPr>
              <w:t>若发现有以上情况，中标人</w:t>
            </w:r>
            <w:r>
              <w:rPr>
                <w:rFonts w:ascii="仿宋" w:hAnsi="仿宋" w:eastAsia="仿宋" w:cs="仿宋"/>
                <w:color w:val="auto"/>
                <w:sz w:val="21"/>
                <w:szCs w:val="21"/>
                <w:highlight w:val="none"/>
              </w:rPr>
              <w:t>必须及时封补。</w:t>
            </w:r>
          </w:p>
          <w:p w14:paraId="7CA7F5C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每月至少检查一次高效过滤器与送风管口的密封，发现有漏泄现象及时堵封。</w:t>
            </w:r>
          </w:p>
          <w:p w14:paraId="535A3E07">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3.2.洁净室净化空调</w:t>
            </w:r>
            <w:r>
              <w:rPr>
                <w:rFonts w:hint="eastAsia" w:ascii="仿宋" w:hAnsi="仿宋" w:eastAsia="仿宋" w:cs="仿宋"/>
                <w:color w:val="auto"/>
                <w:sz w:val="21"/>
                <w:szCs w:val="21"/>
                <w:highlight w:val="none"/>
                <w:lang w:eastAsia="zh-CN"/>
              </w:rPr>
              <w:t>过滤器</w:t>
            </w:r>
            <w:r>
              <w:rPr>
                <w:rFonts w:ascii="仿宋" w:hAnsi="仿宋" w:eastAsia="仿宋" w:cs="仿宋"/>
                <w:color w:val="auto"/>
                <w:sz w:val="21"/>
                <w:szCs w:val="21"/>
                <w:highlight w:val="none"/>
              </w:rPr>
              <w:t>的清洗。</w:t>
            </w:r>
          </w:p>
          <w:p w14:paraId="4DB686D9">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每月清洗一次</w:t>
            </w:r>
            <w:r>
              <w:rPr>
                <w:rFonts w:ascii="仿宋" w:hAnsi="仿宋" w:eastAsia="仿宋" w:cs="仿宋"/>
                <w:color w:val="auto"/>
                <w:sz w:val="21"/>
                <w:szCs w:val="21"/>
                <w:highlight w:val="none"/>
              </w:rPr>
              <w:t>初效过滤器</w:t>
            </w:r>
            <w:r>
              <w:rPr>
                <w:rFonts w:hint="eastAsia" w:ascii="仿宋" w:hAnsi="仿宋" w:eastAsia="仿宋" w:cs="仿宋"/>
                <w:color w:val="auto"/>
                <w:sz w:val="21"/>
                <w:szCs w:val="21"/>
                <w:highlight w:val="none"/>
                <w:lang w:eastAsia="zh-CN"/>
              </w:rPr>
              <w:t>，</w:t>
            </w:r>
            <w:r>
              <w:rPr>
                <w:rFonts w:ascii="仿宋" w:hAnsi="仿宋" w:eastAsia="仿宋" w:cs="仿宋"/>
                <w:color w:val="auto"/>
                <w:sz w:val="21"/>
                <w:szCs w:val="21"/>
                <w:highlight w:val="none"/>
              </w:rPr>
              <w:t>用</w:t>
            </w:r>
            <w:r>
              <w:rPr>
                <w:rFonts w:hint="eastAsia" w:ascii="仿宋" w:hAnsi="仿宋" w:eastAsia="仿宋" w:cs="仿宋"/>
                <w:color w:val="auto"/>
                <w:sz w:val="21"/>
                <w:szCs w:val="21"/>
                <w:highlight w:val="none"/>
                <w:lang w:eastAsia="zh-CN"/>
              </w:rPr>
              <w:t>纯净水</w:t>
            </w:r>
            <w:r>
              <w:rPr>
                <w:rFonts w:ascii="仿宋" w:hAnsi="仿宋" w:eastAsia="仿宋" w:cs="仿宋"/>
                <w:color w:val="auto"/>
                <w:sz w:val="21"/>
                <w:szCs w:val="21"/>
                <w:highlight w:val="none"/>
              </w:rPr>
              <w:t>冲洗过滤器海绵层的灰尘，直至冲洗到流出的水无其它异色</w:t>
            </w:r>
            <w:r>
              <w:rPr>
                <w:rFonts w:hint="eastAsia" w:ascii="仿宋" w:hAnsi="仿宋" w:eastAsia="仿宋" w:cs="仿宋"/>
                <w:color w:val="auto"/>
                <w:sz w:val="21"/>
                <w:szCs w:val="21"/>
                <w:highlight w:val="none"/>
                <w:lang w:eastAsia="zh-CN"/>
              </w:rPr>
              <w:t>；当清洗后过滤器</w:t>
            </w:r>
            <w:r>
              <w:rPr>
                <w:rFonts w:ascii="仿宋" w:hAnsi="仿宋" w:eastAsia="仿宋" w:cs="仿宋"/>
                <w:color w:val="auto"/>
                <w:sz w:val="21"/>
                <w:szCs w:val="21"/>
                <w:highlight w:val="none"/>
              </w:rPr>
              <w:t>的阻力达到初阻力的2倍时，</w:t>
            </w:r>
            <w:r>
              <w:rPr>
                <w:rFonts w:hint="eastAsia" w:ascii="仿宋" w:hAnsi="仿宋" w:eastAsia="仿宋" w:cs="仿宋"/>
                <w:color w:val="auto"/>
                <w:sz w:val="21"/>
                <w:szCs w:val="21"/>
                <w:highlight w:val="none"/>
                <w:lang w:eastAsia="zh-CN"/>
              </w:rPr>
              <w:t>及时更换</w:t>
            </w:r>
            <w:r>
              <w:rPr>
                <w:rFonts w:ascii="仿宋" w:hAnsi="仿宋" w:eastAsia="仿宋" w:cs="仿宋"/>
                <w:color w:val="auto"/>
                <w:sz w:val="21"/>
                <w:szCs w:val="21"/>
                <w:highlight w:val="none"/>
              </w:rPr>
              <w:t>。</w:t>
            </w:r>
          </w:p>
          <w:p w14:paraId="4A0435E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当中效过滤器的阻力达到初阻力的2倍</w:t>
            </w:r>
            <w:r>
              <w:rPr>
                <w:rFonts w:hint="eastAsia" w:ascii="仿宋" w:hAnsi="仿宋" w:eastAsia="仿宋" w:cs="仿宋"/>
                <w:color w:val="auto"/>
                <w:sz w:val="21"/>
                <w:szCs w:val="21"/>
                <w:highlight w:val="none"/>
                <w:lang w:eastAsia="zh-CN"/>
              </w:rPr>
              <w:t>或达到半年使用期限时</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及时更换</w:t>
            </w:r>
            <w:r>
              <w:rPr>
                <w:rFonts w:ascii="仿宋" w:hAnsi="仿宋" w:eastAsia="仿宋" w:cs="仿宋"/>
                <w:color w:val="auto"/>
                <w:sz w:val="21"/>
                <w:szCs w:val="21"/>
                <w:highlight w:val="none"/>
              </w:rPr>
              <w:t>。</w:t>
            </w:r>
          </w:p>
          <w:p w14:paraId="49AC992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高效过滤器外罩每月用洁净海绵块蘸水洗擦一次</w:t>
            </w:r>
            <w:r>
              <w:rPr>
                <w:rFonts w:hint="eastAsia" w:ascii="仿宋" w:hAnsi="仿宋" w:eastAsia="仿宋" w:cs="仿宋"/>
                <w:color w:val="auto"/>
                <w:sz w:val="21"/>
                <w:szCs w:val="21"/>
                <w:highlight w:val="none"/>
                <w:lang w:eastAsia="zh-CN"/>
              </w:rPr>
              <w:t>，检查安装牢固情况</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每年检查</w:t>
            </w:r>
            <w:r>
              <w:rPr>
                <w:rFonts w:ascii="仿宋" w:hAnsi="仿宋" w:eastAsia="仿宋" w:cs="仿宋"/>
                <w:color w:val="auto"/>
                <w:sz w:val="21"/>
                <w:szCs w:val="21"/>
                <w:highlight w:val="none"/>
              </w:rPr>
              <w:t>其细孔堵塞程度，当阻力超过设计初阻力160Pa或已经使用3年</w:t>
            </w:r>
            <w:r>
              <w:rPr>
                <w:rFonts w:hint="eastAsia" w:ascii="仿宋" w:hAnsi="仿宋" w:eastAsia="仿宋" w:cs="仿宋"/>
                <w:color w:val="auto"/>
                <w:sz w:val="21"/>
                <w:szCs w:val="21"/>
                <w:highlight w:val="none"/>
                <w:lang w:eastAsia="zh-CN"/>
              </w:rPr>
              <w:t>或</w:t>
            </w:r>
            <w:r>
              <w:rPr>
                <w:rFonts w:ascii="仿宋" w:hAnsi="仿宋" w:eastAsia="仿宋" w:cs="仿宋"/>
                <w:color w:val="auto"/>
                <w:sz w:val="21"/>
                <w:szCs w:val="21"/>
                <w:highlight w:val="none"/>
              </w:rPr>
              <w:t>以上时更换。高效过滤器外罩的清洁和高效过滤器的更换工作设专人负责。</w:t>
            </w:r>
          </w:p>
          <w:p w14:paraId="401E833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3</w:t>
            </w:r>
            <w:r>
              <w:rPr>
                <w:rFonts w:ascii="仿宋" w:hAnsi="仿宋" w:eastAsia="仿宋" w:cs="仿宋"/>
                <w:color w:val="auto"/>
                <w:sz w:val="21"/>
                <w:szCs w:val="21"/>
                <w:highlight w:val="none"/>
              </w:rPr>
              <w:t>.洁净室空调净化系统的监测</w:t>
            </w:r>
          </w:p>
          <w:p w14:paraId="57F86B8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洁净室温度和湿度以穿着发放工作服产生舒服感为宜，一般情况下，10万、30万级洁净区控制温度为18～26℃，相对湿度为45～65%。万、百级温度为20～24℃，相对湿度为45～60%。</w:t>
            </w:r>
          </w:p>
          <w:p w14:paraId="2D554FE9">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洁净室温、湿度的测定用温、湿度计。</w:t>
            </w:r>
          </w:p>
          <w:p w14:paraId="0E20FE9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4</w:t>
            </w:r>
            <w:r>
              <w:rPr>
                <w:rFonts w:ascii="仿宋" w:hAnsi="仿宋" w:eastAsia="仿宋" w:cs="仿宋"/>
                <w:color w:val="auto"/>
                <w:sz w:val="21"/>
                <w:szCs w:val="21"/>
                <w:highlight w:val="none"/>
              </w:rPr>
              <w:t>.空气压力</w:t>
            </w:r>
          </w:p>
          <w:p w14:paraId="78283CB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洁净室必须维持一定的正、负压。可通过传送风量大于排风量办法达到不同等级的洁净室之间压差大于5Pa，而洁净室与非洁净室压差大于10Pa的要求。</w:t>
            </w:r>
          </w:p>
          <w:p w14:paraId="60E17650">
            <w:pPr>
              <w:pStyle w:val="6"/>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洁净室的空气压差在用微差计进行测定。</w:t>
            </w:r>
          </w:p>
          <w:p w14:paraId="7FC4B3A2">
            <w:pPr>
              <w:pStyle w:val="6"/>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3.5.风口及滤网的清洗</w:t>
            </w:r>
          </w:p>
          <w:p w14:paraId="79BBC13B">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每周</w:t>
            </w:r>
            <w:r>
              <w:rPr>
                <w:rFonts w:hint="eastAsia" w:ascii="仿宋" w:hAnsi="仿宋" w:eastAsia="仿宋" w:cs="仿宋"/>
                <w:color w:val="auto"/>
                <w:sz w:val="21"/>
                <w:szCs w:val="21"/>
                <w:highlight w:val="none"/>
                <w:lang w:eastAsia="zh-CN"/>
              </w:rPr>
              <w:t>清洗</w:t>
            </w:r>
            <w:r>
              <w:rPr>
                <w:rFonts w:ascii="仿宋" w:hAnsi="仿宋" w:eastAsia="仿宋" w:cs="仿宋"/>
                <w:color w:val="auto"/>
                <w:sz w:val="21"/>
                <w:szCs w:val="21"/>
                <w:highlight w:val="none"/>
              </w:rPr>
              <w:t>一次洁净机组回风网（包括手术室），擦拭送风口；重点区域或特殊情况随时对回风网进行清理，做好相关记录，每个洁净科室设置单独记录本。</w:t>
            </w:r>
          </w:p>
          <w:p w14:paraId="79AAD099">
            <w:pPr>
              <w:pStyle w:val="6"/>
              <w:spacing w:line="360" w:lineRule="auto"/>
              <w:rPr>
                <w:rFonts w:hint="eastAsia" w:ascii="仿宋" w:hAnsi="仿宋" w:eastAsia="仿宋" w:cs="仿宋"/>
                <w:color w:val="auto"/>
                <w:sz w:val="21"/>
                <w:szCs w:val="21"/>
                <w:highlight w:val="none"/>
              </w:rPr>
            </w:pPr>
          </w:p>
          <w:p w14:paraId="5791583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3.6. 洁净室尘埃粒子、沉降菌、浮游菌等指标满足《GB50333-2013医院洁净手术部建筑技术规范》要求。洁净室温度和相对湿度空气压力、风量和风速，尘埃粒子数，沉降菌数均记录于“洁净室监测记录”。</w:t>
            </w:r>
          </w:p>
          <w:p w14:paraId="3DA3AF1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3.8.对系统的维护保养作好记录。</w:t>
            </w:r>
          </w:p>
          <w:p w14:paraId="756945A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3.9.净化空调操作人员要求：</w:t>
            </w:r>
          </w:p>
          <w:p w14:paraId="070DDD7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（1）严格遵各项规章制度，工作认真负责。</w:t>
            </w:r>
          </w:p>
          <w:p w14:paraId="60FA7E06">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（2）运行值班员要尽职尽责，坚守工作岗位，认真监视设备的运行情况，按时做好设备运行记录，发现异常情况及时报告并做好记录。</w:t>
            </w:r>
          </w:p>
          <w:p w14:paraId="679303E3">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（3）熟练掌握机组的工作原理、运行特点和技术性能等专业知识。</w:t>
            </w:r>
          </w:p>
          <w:p w14:paraId="627E6B07">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（4）负责空调机组和手术室内设备的维护保养，定时巡视检查机组运行状况，做好每日运行、维护、保养记录。</w:t>
            </w:r>
          </w:p>
          <w:p w14:paraId="031874D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（5）要以高度的责任心检查并记录每台机组的温度、湿度、压力、电流、电压等关键数据，看其是否在正常工作范围；按保养规定做好设备的周、月、季保养工作，确保设备的正常运行。</w:t>
            </w:r>
          </w:p>
          <w:p w14:paraId="5A0F03C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（6）接到手术室报修电话后，应立即组织维护。如需停机维护，应通知手术室有关人员，同意后方可工作并作详细记录。</w:t>
            </w:r>
          </w:p>
          <w:p w14:paraId="2CB77E64">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（7）运行值班员必须熟练掌握发生灾害事故和设备运行故障的紧急处理方法，熟悉消防器材的使用。</w:t>
            </w:r>
          </w:p>
          <w:p w14:paraId="1D429B4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（8）指挥运行值班员应按规定着装进入手术室，每天对机房责任区（含楼面）进行清扫，确保卫生整洁。</w:t>
            </w:r>
          </w:p>
          <w:p w14:paraId="7536DEB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（9）认真执行机房登记制度，无关人员未经允许禁止进入空调机房，机房内禁止吸烟，违者罚款。</w:t>
            </w:r>
          </w:p>
          <w:p w14:paraId="7DB2B9DD">
            <w:pPr>
              <w:pStyle w:val="6"/>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4、热水系统</w:t>
            </w:r>
          </w:p>
          <w:p w14:paraId="415F47DB">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对空气能热泵、太阳能热水系统进行维护保养管理。</w:t>
            </w:r>
          </w:p>
          <w:p w14:paraId="1DA3DA67">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bCs w:val="0"/>
                <w:color w:val="auto"/>
                <w:sz w:val="21"/>
                <w:szCs w:val="21"/>
                <w:highlight w:val="none"/>
                <w:lang w:eastAsia="zh-CN"/>
              </w:rPr>
            </w:pPr>
            <w:r>
              <w:rPr>
                <w:rFonts w:hint="eastAsia" w:ascii="仿宋" w:hAnsi="仿宋" w:eastAsia="仿宋" w:cs="仿宋"/>
                <w:bCs w:val="0"/>
                <w:color w:val="auto"/>
                <w:sz w:val="21"/>
                <w:szCs w:val="21"/>
                <w:highlight w:val="none"/>
              </w:rPr>
              <w:t>1</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rPr>
              <w:t>检查水箱水位、温度是否正常</w:t>
            </w:r>
            <w:r>
              <w:rPr>
                <w:rFonts w:hint="eastAsia" w:ascii="仿宋" w:hAnsi="仿宋" w:eastAsia="仿宋" w:cs="仿宋"/>
                <w:bCs w:val="0"/>
                <w:color w:val="auto"/>
                <w:sz w:val="21"/>
                <w:szCs w:val="21"/>
                <w:highlight w:val="none"/>
                <w:lang w:eastAsia="zh-CN"/>
              </w:rPr>
              <w:t>，水位不低于最低限位；</w:t>
            </w:r>
            <w:r>
              <w:rPr>
                <w:rFonts w:hint="eastAsia" w:ascii="仿宋" w:hAnsi="仿宋" w:eastAsia="仿宋" w:cs="仿宋"/>
                <w:color w:val="auto"/>
                <w:sz w:val="21"/>
                <w:szCs w:val="21"/>
                <w:highlight w:val="none"/>
                <w:lang w:eastAsia="zh-CN"/>
              </w:rPr>
              <w:t>水温维持在</w:t>
            </w:r>
            <w:r>
              <w:rPr>
                <w:rFonts w:hint="eastAsia" w:ascii="仿宋" w:hAnsi="仿宋" w:eastAsia="仿宋" w:cs="仿宋"/>
                <w:color w:val="auto"/>
                <w:sz w:val="21"/>
                <w:szCs w:val="21"/>
                <w:highlight w:val="none"/>
                <w:lang w:val="en-US" w:eastAsia="zh-CN"/>
              </w:rPr>
              <w:t>50</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55</w:t>
            </w:r>
            <w:r>
              <w:rPr>
                <w:rFonts w:hint="eastAsia" w:ascii="仿宋" w:hAnsi="仿宋" w:eastAsia="仿宋" w:cs="仿宋"/>
                <w:b w:val="0"/>
                <w:bCs w:val="0"/>
                <w:color w:val="auto"/>
                <w:sz w:val="21"/>
                <w:szCs w:val="21"/>
                <w:highlight w:val="none"/>
              </w:rPr>
              <w:t>℃</w:t>
            </w:r>
            <w:r>
              <w:rPr>
                <w:rFonts w:hint="eastAsia" w:ascii="仿宋" w:hAnsi="仿宋" w:eastAsia="仿宋" w:cs="仿宋"/>
                <w:bCs w:val="0"/>
                <w:color w:val="auto"/>
                <w:sz w:val="21"/>
                <w:szCs w:val="21"/>
                <w:highlight w:val="none"/>
                <w:lang w:eastAsia="zh-CN"/>
              </w:rPr>
              <w:t>。</w:t>
            </w:r>
          </w:p>
          <w:p w14:paraId="5AA817A1">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bCs w:val="0"/>
                <w:color w:val="auto"/>
                <w:sz w:val="21"/>
                <w:szCs w:val="21"/>
                <w:highlight w:val="none"/>
              </w:rPr>
              <w:t>2</w:t>
            </w:r>
            <w:r>
              <w:rPr>
                <w:rFonts w:hint="eastAsia" w:ascii="仿宋" w:hAnsi="仿宋" w:eastAsia="仿宋" w:cs="仿宋"/>
                <w:bCs w:val="0"/>
                <w:color w:val="auto"/>
                <w:sz w:val="21"/>
                <w:szCs w:val="21"/>
                <w:highlight w:val="none"/>
                <w:lang w:eastAsia="zh-CN"/>
              </w:rPr>
              <w:t>）</w:t>
            </w:r>
            <w:r>
              <w:rPr>
                <w:rFonts w:hint="eastAsia" w:ascii="仿宋" w:hAnsi="仿宋" w:eastAsia="仿宋" w:cs="仿宋"/>
                <w:color w:val="auto"/>
                <w:sz w:val="21"/>
                <w:szCs w:val="21"/>
                <w:highlight w:val="none"/>
              </w:rPr>
              <w:t>对进水泵、循环泵、加热泵和回水泵的电机进行检查</w:t>
            </w:r>
            <w:r>
              <w:rPr>
                <w:rFonts w:hint="eastAsia" w:ascii="仿宋" w:hAnsi="仿宋" w:eastAsia="仿宋" w:cs="仿宋"/>
                <w:color w:val="auto"/>
                <w:sz w:val="21"/>
                <w:szCs w:val="21"/>
                <w:highlight w:val="none"/>
                <w:lang w:eastAsia="zh-CN"/>
              </w:rPr>
              <w:t>。</w:t>
            </w:r>
          </w:p>
          <w:p w14:paraId="3EDDC48F">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bCs w:val="0"/>
                <w:color w:val="auto"/>
                <w:sz w:val="21"/>
                <w:szCs w:val="21"/>
                <w:highlight w:val="none"/>
                <w:lang w:eastAsia="zh-CN"/>
              </w:rPr>
            </w:pPr>
            <w:r>
              <w:rPr>
                <w:rFonts w:hint="eastAsia" w:ascii="仿宋" w:hAnsi="仿宋" w:eastAsia="仿宋" w:cs="仿宋"/>
                <w:bCs w:val="0"/>
                <w:color w:val="auto"/>
                <w:sz w:val="21"/>
                <w:szCs w:val="21"/>
                <w:highlight w:val="none"/>
              </w:rPr>
              <w:t>3</w:t>
            </w:r>
            <w:r>
              <w:rPr>
                <w:rFonts w:hint="eastAsia" w:ascii="仿宋" w:hAnsi="仿宋" w:eastAsia="仿宋" w:cs="仿宋"/>
                <w:bCs w:val="0"/>
                <w:color w:val="auto"/>
                <w:sz w:val="21"/>
                <w:szCs w:val="21"/>
                <w:highlight w:val="none"/>
                <w:lang w:eastAsia="zh-CN"/>
              </w:rPr>
              <w:t>）</w:t>
            </w:r>
            <w:r>
              <w:rPr>
                <w:rFonts w:hint="eastAsia" w:ascii="仿宋" w:hAnsi="仿宋" w:eastAsia="仿宋" w:cs="仿宋"/>
                <w:bCs w:val="0"/>
                <w:color w:val="auto"/>
                <w:sz w:val="21"/>
                <w:szCs w:val="21"/>
                <w:highlight w:val="none"/>
              </w:rPr>
              <w:t>对系统中的空气能热泵的工作情况进行检查，发生故障的机组及时清除</w:t>
            </w:r>
            <w:r>
              <w:rPr>
                <w:rFonts w:hint="eastAsia" w:ascii="仿宋" w:hAnsi="仿宋" w:eastAsia="仿宋" w:cs="仿宋"/>
                <w:bCs w:val="0"/>
                <w:color w:val="auto"/>
                <w:sz w:val="21"/>
                <w:szCs w:val="21"/>
                <w:highlight w:val="none"/>
                <w:lang w:eastAsia="zh-CN"/>
              </w:rPr>
              <w:t>。</w:t>
            </w:r>
          </w:p>
          <w:p w14:paraId="2FA88EC3">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bCs w:val="0"/>
                <w:color w:val="auto"/>
                <w:sz w:val="21"/>
                <w:szCs w:val="21"/>
                <w:highlight w:val="none"/>
              </w:rPr>
              <w:t>4</w:t>
            </w:r>
            <w:r>
              <w:rPr>
                <w:rFonts w:hint="eastAsia" w:ascii="仿宋" w:hAnsi="仿宋" w:eastAsia="仿宋" w:cs="仿宋"/>
                <w:bCs w:val="0"/>
                <w:color w:val="auto"/>
                <w:sz w:val="21"/>
                <w:szCs w:val="21"/>
                <w:highlight w:val="none"/>
                <w:lang w:eastAsia="zh-CN"/>
              </w:rPr>
              <w:t>）检查</w:t>
            </w:r>
            <w:r>
              <w:rPr>
                <w:rFonts w:hint="eastAsia" w:ascii="仿宋" w:hAnsi="仿宋" w:eastAsia="仿宋" w:cs="仿宋"/>
                <w:color w:val="auto"/>
                <w:sz w:val="21"/>
                <w:szCs w:val="21"/>
                <w:highlight w:val="none"/>
              </w:rPr>
              <w:t>外部信号灯、压力表、温度计、电压表是否在正常状态</w:t>
            </w:r>
            <w:r>
              <w:rPr>
                <w:rFonts w:hint="eastAsia" w:ascii="仿宋" w:hAnsi="仿宋" w:eastAsia="仿宋" w:cs="仿宋"/>
                <w:color w:val="auto"/>
                <w:sz w:val="21"/>
                <w:szCs w:val="21"/>
                <w:highlight w:val="none"/>
                <w:lang w:eastAsia="zh-CN"/>
              </w:rPr>
              <w:t>。</w:t>
            </w:r>
          </w:p>
          <w:p w14:paraId="65D7D7B6">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检查</w:t>
            </w:r>
            <w:r>
              <w:rPr>
                <w:rFonts w:hint="eastAsia" w:ascii="仿宋" w:hAnsi="仿宋" w:eastAsia="仿宋" w:cs="仿宋"/>
                <w:color w:val="auto"/>
                <w:sz w:val="21"/>
                <w:szCs w:val="21"/>
                <w:highlight w:val="none"/>
                <w:lang w:eastAsia="zh-CN"/>
              </w:rPr>
              <w:t>电控</w:t>
            </w:r>
            <w:r>
              <w:rPr>
                <w:rFonts w:hint="eastAsia" w:ascii="仿宋" w:hAnsi="仿宋" w:eastAsia="仿宋" w:cs="仿宋"/>
                <w:color w:val="auto"/>
                <w:sz w:val="21"/>
                <w:szCs w:val="21"/>
                <w:highlight w:val="none"/>
              </w:rPr>
              <w:t>柜内电气开关、接触器、继电器等电气元件的接线螺丝是否紧固</w:t>
            </w:r>
            <w:r>
              <w:rPr>
                <w:rFonts w:hint="eastAsia" w:ascii="仿宋" w:hAnsi="仿宋" w:eastAsia="仿宋" w:cs="仿宋"/>
                <w:color w:val="auto"/>
                <w:sz w:val="21"/>
                <w:szCs w:val="21"/>
                <w:highlight w:val="none"/>
                <w:lang w:eastAsia="zh-CN"/>
              </w:rPr>
              <w:t>。</w:t>
            </w:r>
          </w:p>
          <w:p w14:paraId="7E13F325">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对进水泵、循环泵、加热泵和回水泵的电机进行检查</w:t>
            </w:r>
            <w:r>
              <w:rPr>
                <w:rFonts w:hint="eastAsia" w:ascii="仿宋" w:hAnsi="仿宋" w:eastAsia="仿宋" w:cs="仿宋"/>
                <w:color w:val="auto"/>
                <w:sz w:val="21"/>
                <w:szCs w:val="21"/>
                <w:highlight w:val="none"/>
                <w:lang w:eastAsia="zh-CN"/>
              </w:rPr>
              <w:t>。</w:t>
            </w:r>
          </w:p>
          <w:p w14:paraId="416C58F9">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控制柜总电源箱，检查各转换开关启动是否正常运行</w:t>
            </w:r>
            <w:r>
              <w:rPr>
                <w:rFonts w:hint="eastAsia" w:ascii="仿宋" w:hAnsi="仿宋" w:eastAsia="仿宋" w:cs="仿宋"/>
                <w:color w:val="auto"/>
                <w:sz w:val="21"/>
                <w:szCs w:val="21"/>
                <w:highlight w:val="none"/>
                <w:lang w:eastAsia="zh-CN"/>
              </w:rPr>
              <w:t>。</w:t>
            </w:r>
          </w:p>
          <w:p w14:paraId="4C4DB8A5">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b w:val="0"/>
                <w:color w:val="auto"/>
                <w:sz w:val="21"/>
                <w:szCs w:val="21"/>
                <w:highlight w:val="none"/>
                <w:lang w:eastAsia="zh-CN"/>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检查系统内的管道有无漏水现象</w:t>
            </w:r>
            <w:r>
              <w:rPr>
                <w:rFonts w:hint="eastAsia" w:ascii="仿宋" w:hAnsi="仿宋" w:eastAsia="仿宋" w:cs="仿宋"/>
                <w:color w:val="auto"/>
                <w:sz w:val="21"/>
                <w:szCs w:val="21"/>
                <w:highlight w:val="none"/>
                <w:lang w:eastAsia="zh-CN"/>
              </w:rPr>
              <w:t>。</w:t>
            </w:r>
          </w:p>
          <w:p w14:paraId="365A7EEE">
            <w:pPr>
              <w:pStyle w:val="6"/>
              <w:keepNext w:val="0"/>
              <w:keepLines w:val="0"/>
              <w:pageBreakBefore w:val="0"/>
              <w:widowControl w:val="0"/>
              <w:kinsoku/>
              <w:wordWrap/>
              <w:overflowPunct/>
              <w:topLinePunct w:val="0"/>
              <w:autoSpaceDE/>
              <w:autoSpaceDN/>
              <w:bidi w:val="0"/>
              <w:adjustRightInd/>
              <w:snapToGrid/>
              <w:spacing w:line="360" w:lineRule="auto"/>
              <w:ind w:left="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每天</w:t>
            </w:r>
            <w:r>
              <w:rPr>
                <w:rFonts w:hint="eastAsia" w:ascii="仿宋" w:hAnsi="仿宋" w:eastAsia="仿宋" w:cs="仿宋"/>
                <w:color w:val="auto"/>
                <w:sz w:val="21"/>
                <w:szCs w:val="21"/>
                <w:highlight w:val="none"/>
                <w:lang w:eastAsia="zh-CN"/>
              </w:rPr>
              <w:t>每两</w:t>
            </w:r>
            <w:r>
              <w:rPr>
                <w:rFonts w:hint="eastAsia" w:ascii="仿宋" w:hAnsi="仿宋" w:eastAsia="仿宋" w:cs="仿宋"/>
                <w:color w:val="auto"/>
                <w:sz w:val="21"/>
                <w:szCs w:val="21"/>
                <w:highlight w:val="none"/>
              </w:rPr>
              <w:t>二小时巡查一次</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color w:val="auto"/>
                <w:sz w:val="21"/>
                <w:szCs w:val="21"/>
                <w:highlight w:val="none"/>
              </w:rPr>
              <w:t>并做好记录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发现系统内的故障</w:t>
            </w:r>
            <w:r>
              <w:rPr>
                <w:rFonts w:hint="eastAsia" w:ascii="仿宋" w:hAnsi="仿宋" w:eastAsia="仿宋" w:cs="仿宋"/>
                <w:bCs w:val="0"/>
                <w:color w:val="auto"/>
                <w:sz w:val="21"/>
                <w:szCs w:val="21"/>
                <w:highlight w:val="none"/>
              </w:rPr>
              <w:t>及时处理，保证系统正常运行</w:t>
            </w:r>
            <w:r>
              <w:rPr>
                <w:rFonts w:hint="eastAsia" w:ascii="仿宋" w:hAnsi="仿宋" w:eastAsia="仿宋" w:cs="仿宋"/>
                <w:bCs w:val="0"/>
                <w:color w:val="auto"/>
                <w:sz w:val="21"/>
                <w:szCs w:val="21"/>
                <w:highlight w:val="none"/>
                <w:lang w:eastAsia="zh-CN"/>
              </w:rPr>
              <w:t>。</w:t>
            </w:r>
          </w:p>
          <w:p w14:paraId="4D7952DA">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供水系统（含</w:t>
            </w:r>
            <w:r>
              <w:rPr>
                <w:rFonts w:ascii="仿宋" w:hAnsi="仿宋" w:eastAsia="仿宋" w:cs="仿宋"/>
                <w:color w:val="auto"/>
                <w:sz w:val="21"/>
                <w:szCs w:val="21"/>
                <w:highlight w:val="none"/>
              </w:rPr>
              <w:t>二次供水</w:t>
            </w:r>
            <w:r>
              <w:rPr>
                <w:rFonts w:hint="eastAsia" w:ascii="仿宋" w:hAnsi="仿宋" w:eastAsia="仿宋" w:cs="仿宋"/>
                <w:color w:val="auto"/>
                <w:sz w:val="21"/>
                <w:szCs w:val="21"/>
                <w:highlight w:val="none"/>
                <w:lang w:eastAsia="zh-CN"/>
              </w:rPr>
              <w:t>）要求</w:t>
            </w:r>
          </w:p>
          <w:p w14:paraId="23A10129">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.1对水泵房、控制箱等设备每月清洁一次，每年刷洗一次，并及时检修、更换各类水泵泵头，阀门； 常保持水泵房通风换气，环境卫生清洁，保持设备的整洁，完好率要达100%；</w:t>
            </w:r>
          </w:p>
          <w:p w14:paraId="31D40A07">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.2每月按时抄表一次，每班检查泵房供电是否正常，机控柜有无异常，所有的阀门应处于开启或关闭的状态。检查水泵工作有无异常声响或大的振动，轴承的润滑情况是否良好。</w:t>
            </w:r>
          </w:p>
          <w:p w14:paraId="0CA99581">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.3电机温度是否正常（</w:t>
            </w:r>
            <w:r>
              <w:rPr>
                <w:rFonts w:hint="eastAsia" w:ascii="仿宋" w:hAnsi="仿宋" w:eastAsia="仿宋" w:cs="仿宋"/>
                <w:color w:val="auto"/>
                <w:sz w:val="21"/>
                <w:szCs w:val="21"/>
                <w:highlight w:val="none"/>
                <w:lang w:eastAsia="zh-CN"/>
              </w:rPr>
              <w:t>低于</w:t>
            </w:r>
            <w:r>
              <w:rPr>
                <w:rFonts w:hint="eastAsia" w:ascii="仿宋" w:hAnsi="仿宋" w:eastAsia="仿宋" w:cs="仿宋"/>
                <w:color w:val="auto"/>
                <w:sz w:val="21"/>
                <w:szCs w:val="21"/>
                <w:highlight w:val="none"/>
                <w:lang w:val="en-US" w:eastAsia="zh-CN"/>
              </w:rPr>
              <w:t>75℃为正常</w:t>
            </w:r>
            <w:r>
              <w:rPr>
                <w:rFonts w:ascii="仿宋" w:hAnsi="仿宋" w:eastAsia="仿宋" w:cs="仿宋"/>
                <w:color w:val="auto"/>
                <w:sz w:val="21"/>
                <w:szCs w:val="21"/>
                <w:highlight w:val="none"/>
              </w:rPr>
              <w:t xml:space="preserve">），变频器散热通道是否畅通。 电压表、电流指示是否正常，控制柜上信号灯显示是否正确，控制柜内各原器件是否工作正常。 机械水压表与Pc上显示的压力是否大致相符，是否满足供水压力要求。 </w:t>
            </w:r>
          </w:p>
          <w:p w14:paraId="65A726F9">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.4每班检查水池、水箱水位是否正常，相关连的主供水管上的闸阀状况。 闸阀、法兰连接处是否漏水、水泵是否漏水成线。主供水管上闸阀的井盖、井裙是否完好、闸阀是否漏水、标识是否清晰。</w:t>
            </w:r>
          </w:p>
          <w:p w14:paraId="08663532">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.5定期检查给水管道、阀门是否有跑、冒、滴、漏现象。 雨水井、污水井、排水井是否有堵塞现象。各水井的盖板应盖好做好下水管道维护、疏通，雨水井的检查等工作。</w:t>
            </w:r>
          </w:p>
          <w:p w14:paraId="6134621C">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.6发生停水或其他事故应及时与供水部门联系，迅速查明原因，并采取应急措施。</w:t>
            </w:r>
          </w:p>
          <w:p w14:paraId="08C39509">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5.7</w:t>
            </w:r>
            <w:r>
              <w:rPr>
                <w:rFonts w:ascii="仿宋" w:hAnsi="仿宋" w:eastAsia="仿宋" w:cs="仿宋"/>
                <w:color w:val="auto"/>
                <w:sz w:val="21"/>
                <w:szCs w:val="21"/>
                <w:highlight w:val="none"/>
              </w:rPr>
              <w:t>二次供水由指定给排水运行维修工负责管理。</w:t>
            </w:r>
          </w:p>
          <w:p w14:paraId="3B2E87DD">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5.8</w:t>
            </w:r>
            <w:r>
              <w:rPr>
                <w:rFonts w:ascii="仿宋" w:hAnsi="仿宋" w:eastAsia="仿宋" w:cs="仿宋"/>
                <w:color w:val="auto"/>
                <w:sz w:val="21"/>
                <w:szCs w:val="21"/>
                <w:highlight w:val="none"/>
              </w:rPr>
              <w:t>运行维修工负责水箱的管理工作，要求每个水箱须结构、外观完整，人孔检查口有凸沿，盖板严实，加锁，并有二次供水卫生合格证。</w:t>
            </w:r>
          </w:p>
          <w:p w14:paraId="450755A9">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5.9</w:t>
            </w:r>
            <w:r>
              <w:rPr>
                <w:rFonts w:hint="eastAsia" w:ascii="仿宋" w:hAnsi="仿宋" w:eastAsia="仿宋" w:cs="仿宋"/>
                <w:color w:val="auto"/>
                <w:sz w:val="21"/>
                <w:szCs w:val="21"/>
                <w:highlight w:val="none"/>
                <w:lang w:eastAsia="zh-CN"/>
              </w:rPr>
              <w:t>对二次供水设备的阀门、水泵、控制系统等进行定期巡查、保养、维修。</w:t>
            </w:r>
          </w:p>
          <w:p w14:paraId="639FD6B4">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5.10</w:t>
            </w:r>
            <w:r>
              <w:rPr>
                <w:rFonts w:hint="eastAsia" w:ascii="仿宋" w:hAnsi="仿宋" w:eastAsia="仿宋" w:cs="仿宋"/>
                <w:color w:val="auto"/>
                <w:sz w:val="21"/>
                <w:szCs w:val="21"/>
                <w:highlight w:val="none"/>
                <w:lang w:eastAsia="zh-CN"/>
              </w:rPr>
              <w:t>供水水箱清洗，每年至少一次。</w:t>
            </w:r>
          </w:p>
          <w:p w14:paraId="7A1E3E24">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、对操作人员进行操作前培训，对工作中存在潜在危险和突发状况（滑倒、割伤、窒息等）进行识别、评估。</w:t>
            </w:r>
          </w:p>
          <w:p w14:paraId="6BF98A5A">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、准备好必要的安全防护用品和清洗工具，如人字梯、防滑水鞋、照明灯、消毒药物、扫把、尼龙刷、尼龙绳、鼓风机等。</w:t>
            </w:r>
          </w:p>
          <w:p w14:paraId="6DD32F77">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、关闭进水阀门。</w:t>
            </w:r>
          </w:p>
          <w:p w14:paraId="61ADC188">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、关闭供水阀，打开水箱的排水阀门进行放水，池底保留50-60cm水位，以便边清理边排水。</w:t>
            </w:r>
          </w:p>
          <w:p w14:paraId="7A37B47F">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、工作人员注意自身清洁，进入池内时穿戴好个人防护用品，做好安全防护措施，防止人员发生坠落事故。</w:t>
            </w:r>
          </w:p>
          <w:p w14:paraId="0FFD381F">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始使用干净扫把或尼龙刷从水池顶部、四周墙、底部依次反复进行刷洗，再用水冲刷将内表面附着的污渍，并将池底淤泥、各种沉积物等杂质清理干净；第一遍清洗完毕后，把水全部排出，关闭排水阀，第二遍时用漂白粉清洗消毒，之后将水池封闭半小时，再用清水冲洗并排出消毒液，确保不留残余物。</w:t>
            </w:r>
          </w:p>
          <w:p w14:paraId="02C23C00">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、作业过程中负责人必须全程在现场进行指导，监护人不得擅自离开工作岗位。</w:t>
            </w:r>
          </w:p>
          <w:p w14:paraId="6D5CECD3">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、作业中发现险情时，立即停止作业，并上报请求协助，禁止冒险作业。</w:t>
            </w:r>
          </w:p>
          <w:p w14:paraId="3FC7E29E">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、清洗消毒工作完毕后，检查水池是否有遗留物，必须做到“工完，场地清”，关闭排水阀，开启进水阀，水池开始注入水，达到设定好的水位后关上水池盖板。</w:t>
            </w:r>
          </w:p>
          <w:p w14:paraId="6A209B36">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6、供配电系统：</w:t>
            </w:r>
          </w:p>
          <w:p w14:paraId="21D5D8F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6.1巡</w:t>
            </w:r>
            <w:r>
              <w:rPr>
                <w:rFonts w:hint="eastAsia" w:ascii="仿宋" w:hAnsi="仿宋" w:eastAsia="仿宋" w:cs="仿宋"/>
                <w:color w:val="auto"/>
                <w:sz w:val="21"/>
                <w:szCs w:val="21"/>
                <w:highlight w:val="none"/>
                <w:lang w:eastAsia="zh-CN"/>
              </w:rPr>
              <w:t>检</w:t>
            </w:r>
            <w:r>
              <w:rPr>
                <w:rFonts w:ascii="仿宋" w:hAnsi="仿宋" w:eastAsia="仿宋" w:cs="仿宋"/>
                <w:color w:val="auto"/>
                <w:sz w:val="21"/>
                <w:szCs w:val="21"/>
                <w:highlight w:val="none"/>
              </w:rPr>
              <w:t>：</w:t>
            </w:r>
          </w:p>
          <w:p w14:paraId="7D10DCB8">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正常</w:t>
            </w:r>
            <w:r>
              <w:rPr>
                <w:rFonts w:hint="eastAsia" w:ascii="仿宋" w:hAnsi="仿宋" w:eastAsia="仿宋" w:cs="仿宋"/>
                <w:color w:val="auto"/>
                <w:sz w:val="21"/>
                <w:szCs w:val="21"/>
                <w:highlight w:val="none"/>
                <w:lang w:eastAsia="zh-CN"/>
              </w:rPr>
              <w:t>巡检</w:t>
            </w:r>
            <w:r>
              <w:rPr>
                <w:rFonts w:ascii="仿宋" w:hAnsi="仿宋" w:eastAsia="仿宋" w:cs="仿宋"/>
                <w:color w:val="auto"/>
                <w:sz w:val="21"/>
                <w:szCs w:val="21"/>
                <w:highlight w:val="none"/>
              </w:rPr>
              <w:t>每两小时一次，如遇设备有特殊情况或大风雷雨天应随时加强巡视检查。</w:t>
            </w:r>
            <w:r>
              <w:rPr>
                <w:rFonts w:hint="eastAsia" w:ascii="仿宋" w:hAnsi="仿宋" w:eastAsia="仿宋" w:cs="仿宋"/>
                <w:color w:val="auto"/>
                <w:sz w:val="21"/>
                <w:szCs w:val="21"/>
                <w:highlight w:val="none"/>
                <w:lang w:eastAsia="zh-CN"/>
              </w:rPr>
              <w:t>每次巡检做好书面记录。巡检内容包括：。</w:t>
            </w:r>
          </w:p>
          <w:p w14:paraId="4A831B5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巡视检查所有刀闸开关母线和低压柜设备运行是否正常，电流表电压表指示是否在正常数值范围内。</w:t>
            </w:r>
          </w:p>
          <w:p w14:paraId="2B7342C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检查运行变压器声音、温升是否正常，瓷绝缘母线有无异常现象。</w:t>
            </w:r>
          </w:p>
          <w:p w14:paraId="2BE0A28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负荷急剧变化，恶劣天气或变压器发生故障后应进行特殊巡视检查。</w:t>
            </w:r>
          </w:p>
          <w:p w14:paraId="50A869B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所有瓷绝缘部分应无掉瓷、破碎、裂纹以及闪络放电痕迹和严重电晕现象。</w:t>
            </w:r>
          </w:p>
          <w:p w14:paraId="51AD0D6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观察电压互感器运行是否正常，电压指示表应正常，电流互感器一、二次接线端子应良好，无发热打火现象，电流表指示应与实际负荷一致。</w:t>
            </w:r>
          </w:p>
          <w:p w14:paraId="776E417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6)</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检查主进柜瓷部件和开关是否正常，检查带电显示是否正常。</w:t>
            </w:r>
          </w:p>
          <w:p w14:paraId="4D07A46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检查电容运行是否正常，温度应在正常范围内，有无渗漏油及膨胀现象。</w:t>
            </w:r>
          </w:p>
          <w:p w14:paraId="7C5856F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8)</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检查低压主进柜与联络柜开关是否运行正常，各开关有无异味。</w:t>
            </w:r>
          </w:p>
          <w:p w14:paraId="62A768E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9)</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各负荷柜电源指示灯是否正常，母线漆是否变色，各触点镙丝是否压实，有无因过载变色现象。</w:t>
            </w:r>
          </w:p>
          <w:p w14:paraId="5ABF24F1">
            <w:pPr>
              <w:pStyle w:val="6"/>
              <w:spacing w:line="360"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10)</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检查高压柜、低压柜、高压母线、低压母线、高压开关、低压开关、电容器、端子是否有灰尘，是否该清扫消除灰尘，如有必要须办理停电手续（不影响业主正常工作、生活的情况下）进行停电清扫灰尘。</w:t>
            </w:r>
          </w:p>
          <w:p w14:paraId="5EE59343">
            <w:pPr>
              <w:pStyle w:val="6"/>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6.2配合第三方专业电气维保单位进行专项维保检测，做好维保检测记录的存档。</w:t>
            </w:r>
          </w:p>
          <w:p w14:paraId="494C25B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 xml:space="preserve">                                                                                                                                                                                                                                                                                                                                                                                                                                                                                                                                                                                                                                                                                                     </w:t>
            </w:r>
          </w:p>
          <w:p w14:paraId="67838D9D">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ascii="仿宋" w:hAnsi="仿宋" w:eastAsia="仿宋" w:cs="仿宋"/>
                <w:color w:val="auto"/>
                <w:sz w:val="21"/>
                <w:szCs w:val="21"/>
                <w:highlight w:val="none"/>
              </w:rPr>
              <w:t>.（泛光）照明系统</w:t>
            </w:r>
          </w:p>
          <w:p w14:paraId="5AC98A9D">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ascii="仿宋" w:hAnsi="仿宋" w:eastAsia="仿宋" w:cs="仿宋"/>
                <w:color w:val="auto"/>
                <w:sz w:val="21"/>
                <w:szCs w:val="21"/>
                <w:highlight w:val="none"/>
              </w:rPr>
              <w:t>.1负责医院内照明、动力线路及其终端系统设备；</w:t>
            </w:r>
          </w:p>
          <w:p w14:paraId="31665D87">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2</w:t>
            </w:r>
            <w:r>
              <w:rPr>
                <w:rFonts w:ascii="仿宋" w:hAnsi="仿宋" w:eastAsia="仿宋" w:cs="仿宋"/>
                <w:color w:val="auto"/>
                <w:sz w:val="21"/>
                <w:szCs w:val="21"/>
                <w:highlight w:val="none"/>
              </w:rPr>
              <w:t>负责医院内照明系统用电设施的日常维修、保养，包括低压电路、电箱的布设等。</w:t>
            </w:r>
          </w:p>
          <w:p w14:paraId="55724F27">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ascii="仿宋" w:hAnsi="仿宋" w:eastAsia="仿宋" w:cs="仿宋"/>
                <w:color w:val="auto"/>
                <w:sz w:val="21"/>
                <w:szCs w:val="21"/>
                <w:highlight w:val="none"/>
              </w:rPr>
              <w:t>.中心供氧系统设施设备、中心供氧站（储槽式）</w:t>
            </w:r>
            <w:r>
              <w:rPr>
                <w:rFonts w:hint="eastAsia" w:ascii="仿宋" w:hAnsi="仿宋" w:eastAsia="仿宋" w:cs="仿宋"/>
                <w:color w:val="auto"/>
                <w:sz w:val="21"/>
                <w:szCs w:val="21"/>
                <w:highlight w:val="none"/>
                <w:lang w:eastAsia="zh-CN"/>
              </w:rPr>
              <w:t>、正负压系统</w:t>
            </w:r>
            <w:r>
              <w:rPr>
                <w:rFonts w:ascii="仿宋" w:hAnsi="仿宋" w:eastAsia="仿宋" w:cs="仿宋"/>
                <w:color w:val="auto"/>
                <w:sz w:val="21"/>
                <w:szCs w:val="21"/>
                <w:highlight w:val="none"/>
              </w:rPr>
              <w:t>。</w:t>
            </w:r>
          </w:p>
          <w:p w14:paraId="625EC1BA">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ascii="仿宋" w:hAnsi="仿宋" w:eastAsia="仿宋" w:cs="仿宋"/>
                <w:color w:val="auto"/>
                <w:sz w:val="21"/>
                <w:szCs w:val="21"/>
                <w:highlight w:val="none"/>
              </w:rPr>
              <w:t>.1负责医院气体供应系统、液氧罐、汇流排</w:t>
            </w:r>
            <w:r>
              <w:rPr>
                <w:rFonts w:hint="eastAsia" w:ascii="仿宋" w:hAnsi="仿宋" w:eastAsia="仿宋" w:cs="仿宋"/>
                <w:color w:val="auto"/>
                <w:sz w:val="21"/>
                <w:szCs w:val="21"/>
                <w:highlight w:val="none"/>
                <w:lang w:eastAsia="zh-CN"/>
              </w:rPr>
              <w:t>、正负压系统</w:t>
            </w:r>
            <w:r>
              <w:rPr>
                <w:rFonts w:ascii="仿宋" w:hAnsi="仿宋" w:eastAsia="仿宋" w:cs="仿宋"/>
                <w:color w:val="auto"/>
                <w:sz w:val="21"/>
                <w:szCs w:val="21"/>
                <w:highlight w:val="none"/>
              </w:rPr>
              <w:t>及配套设备设施的日常巡查。</w:t>
            </w:r>
          </w:p>
          <w:p w14:paraId="597BFE4A">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ascii="仿宋" w:hAnsi="仿宋" w:eastAsia="仿宋" w:cs="仿宋"/>
                <w:color w:val="auto"/>
                <w:sz w:val="21"/>
                <w:szCs w:val="21"/>
                <w:highlight w:val="none"/>
              </w:rPr>
              <w:t>.2配送瓶装医用气体至临床科室，保证气瓶完好可用，医用气体及钢瓶在有效期内。</w:t>
            </w:r>
          </w:p>
          <w:p w14:paraId="6BD63200">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ascii="仿宋" w:hAnsi="仿宋" w:eastAsia="仿宋" w:cs="仿宋"/>
                <w:color w:val="auto"/>
                <w:sz w:val="21"/>
                <w:szCs w:val="21"/>
                <w:highlight w:val="none"/>
              </w:rPr>
              <w:t>.3监督供氧单位送氧过程并记录。</w:t>
            </w:r>
          </w:p>
          <w:p w14:paraId="07C24075">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.水电杂项维修</w:t>
            </w:r>
          </w:p>
          <w:p w14:paraId="7A91DE4A">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.1负责</w:t>
            </w:r>
            <w:r>
              <w:rPr>
                <w:rFonts w:hint="eastAsia" w:ascii="仿宋" w:hAnsi="仿宋" w:eastAsia="仿宋" w:cs="仿宋"/>
                <w:color w:val="auto"/>
                <w:sz w:val="21"/>
                <w:szCs w:val="21"/>
                <w:highlight w:val="none"/>
                <w:lang w:eastAsia="zh-CN"/>
              </w:rPr>
              <w:t>水龙头、洗手盆、</w:t>
            </w:r>
            <w:r>
              <w:rPr>
                <w:rFonts w:ascii="仿宋" w:hAnsi="仿宋" w:eastAsia="仿宋" w:cs="仿宋"/>
                <w:color w:val="auto"/>
                <w:sz w:val="21"/>
                <w:szCs w:val="21"/>
                <w:highlight w:val="none"/>
              </w:rPr>
              <w:t>卫生洁具</w:t>
            </w:r>
            <w:r>
              <w:rPr>
                <w:rFonts w:hint="eastAsia" w:ascii="仿宋" w:hAnsi="仿宋" w:eastAsia="仿宋" w:cs="仿宋"/>
                <w:color w:val="auto"/>
                <w:sz w:val="21"/>
                <w:szCs w:val="21"/>
                <w:highlight w:val="none"/>
                <w:lang w:eastAsia="zh-CN"/>
              </w:rPr>
              <w:t>、饮水机、水管</w:t>
            </w:r>
            <w:r>
              <w:rPr>
                <w:rFonts w:ascii="仿宋" w:hAnsi="仿宋" w:eastAsia="仿宋" w:cs="仿宋"/>
                <w:color w:val="auto"/>
                <w:sz w:val="21"/>
                <w:szCs w:val="21"/>
                <w:highlight w:val="none"/>
              </w:rPr>
              <w:t>等用水终端设施维护、维修；</w:t>
            </w:r>
          </w:p>
          <w:p w14:paraId="43E19BF3">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.2负责医院内家具设施、病床</w:t>
            </w:r>
            <w:r>
              <w:rPr>
                <w:rFonts w:hint="eastAsia" w:ascii="仿宋" w:hAnsi="仿宋" w:eastAsia="仿宋" w:cs="仿宋"/>
                <w:color w:val="auto"/>
                <w:sz w:val="21"/>
                <w:szCs w:val="21"/>
                <w:highlight w:val="none"/>
                <w:lang w:eastAsia="zh-CN"/>
              </w:rPr>
              <w:t>、车床</w:t>
            </w:r>
            <w:r>
              <w:rPr>
                <w:rFonts w:ascii="仿宋" w:hAnsi="仿宋" w:eastAsia="仿宋" w:cs="仿宋"/>
                <w:color w:val="auto"/>
                <w:sz w:val="21"/>
                <w:szCs w:val="21"/>
                <w:highlight w:val="none"/>
              </w:rPr>
              <w:t>等其他杂项的日常维修；</w:t>
            </w:r>
          </w:p>
          <w:p w14:paraId="24E3DADB">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门窗桌椅、门锁柜锁等的维修</w:t>
            </w:r>
            <w:r>
              <w:rPr>
                <w:rFonts w:ascii="仿宋" w:hAnsi="仿宋" w:eastAsia="仿宋" w:cs="仿宋"/>
                <w:color w:val="auto"/>
                <w:sz w:val="21"/>
                <w:szCs w:val="21"/>
                <w:highlight w:val="none"/>
              </w:rPr>
              <w:t>；</w:t>
            </w:r>
          </w:p>
          <w:p w14:paraId="715DFE5C">
            <w:pPr>
              <w:pStyle w:val="6"/>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9.4灯具、插座、电气开关、电线的日常维护、维修；</w:t>
            </w:r>
          </w:p>
          <w:p w14:paraId="5D25DBA6">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科室可视对讲</w:t>
            </w:r>
            <w:r>
              <w:rPr>
                <w:rFonts w:hint="eastAsia" w:ascii="仿宋" w:hAnsi="仿宋" w:eastAsia="仿宋" w:cs="仿宋"/>
                <w:color w:val="auto"/>
                <w:sz w:val="21"/>
                <w:szCs w:val="21"/>
                <w:highlight w:val="none"/>
                <w:lang w:eastAsia="zh-CN"/>
              </w:rPr>
              <w:t>门铃</w:t>
            </w:r>
            <w:r>
              <w:rPr>
                <w:rFonts w:ascii="仿宋" w:hAnsi="仿宋" w:eastAsia="仿宋" w:cs="仿宋"/>
                <w:color w:val="auto"/>
                <w:sz w:val="21"/>
                <w:szCs w:val="21"/>
                <w:highlight w:val="none"/>
              </w:rPr>
              <w:t>、电动门系统的维护与维修；</w:t>
            </w:r>
          </w:p>
          <w:p w14:paraId="30B8D9B4">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ascii="仿宋" w:hAnsi="仿宋" w:eastAsia="仿宋" w:cs="仿宋"/>
                <w:color w:val="auto"/>
                <w:sz w:val="21"/>
                <w:szCs w:val="21"/>
                <w:highlight w:val="none"/>
              </w:rPr>
              <w:t>负责院内普通电器产品的维修，包括但不限于分体空调、家用冰箱、微波炉、电风扇。</w:t>
            </w:r>
          </w:p>
          <w:p w14:paraId="3742CBCC">
            <w:pPr>
              <w:pStyle w:val="6"/>
              <w:spacing w:line="360" w:lineRule="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9.7电梯空调清扫保养（不低于2次/年）</w:t>
            </w:r>
            <w:r>
              <w:rPr>
                <w:rFonts w:hint="eastAsia"/>
                <w:color w:val="auto"/>
                <w:highlight w:val="none"/>
                <w:lang w:val="en-US" w:eastAsia="zh-CN"/>
              </w:rPr>
              <w:t>。</w:t>
            </w:r>
          </w:p>
          <w:p w14:paraId="56A2B421">
            <w:pPr>
              <w:pStyle w:val="6"/>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9.8因暴雨、漏水等造成后勤机电设备、线缆槽积水，实施应急抽水工作。</w:t>
            </w:r>
          </w:p>
          <w:p w14:paraId="04339653">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ascii="仿宋" w:hAnsi="仿宋" w:eastAsia="仿宋" w:cs="仿宋"/>
                <w:color w:val="auto"/>
                <w:sz w:val="21"/>
                <w:szCs w:val="21"/>
                <w:highlight w:val="none"/>
              </w:rPr>
              <w:t>.物资供应</w:t>
            </w:r>
          </w:p>
          <w:p w14:paraId="0EAC2A99">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ascii="仿宋" w:hAnsi="仿宋" w:eastAsia="仿宋" w:cs="仿宋"/>
                <w:color w:val="auto"/>
                <w:sz w:val="21"/>
                <w:szCs w:val="21"/>
                <w:highlight w:val="none"/>
              </w:rPr>
              <w:t>.1中标人承担保障</w:t>
            </w:r>
            <w:r>
              <w:rPr>
                <w:rFonts w:hint="eastAsia" w:ascii="仿宋" w:hAnsi="仿宋" w:eastAsia="仿宋" w:cs="仿宋"/>
                <w:color w:val="auto"/>
                <w:sz w:val="21"/>
                <w:szCs w:val="21"/>
                <w:highlight w:val="none"/>
                <w:lang w:eastAsia="zh-CN"/>
              </w:rPr>
              <w:t>采购</w:t>
            </w:r>
            <w:r>
              <w:rPr>
                <w:rFonts w:ascii="仿宋" w:hAnsi="仿宋" w:eastAsia="仿宋" w:cs="仿宋"/>
                <w:color w:val="auto"/>
                <w:sz w:val="21"/>
                <w:szCs w:val="21"/>
                <w:highlight w:val="none"/>
              </w:rPr>
              <w:t>人及其设备正常运行维保维修过程中</w:t>
            </w:r>
            <w:r>
              <w:rPr>
                <w:rFonts w:hint="eastAsia" w:ascii="仿宋" w:hAnsi="仿宋" w:eastAsia="仿宋" w:cs="仿宋"/>
                <w:color w:val="auto"/>
                <w:sz w:val="21"/>
                <w:szCs w:val="21"/>
                <w:highlight w:val="none"/>
                <w:lang w:eastAsia="zh-CN"/>
              </w:rPr>
              <w:t>单批在</w:t>
            </w:r>
            <w:r>
              <w:rPr>
                <w:rFonts w:ascii="仿宋" w:hAnsi="仿宋" w:eastAsia="仿宋" w:cs="仿宋"/>
                <w:color w:val="auto"/>
                <w:sz w:val="21"/>
                <w:szCs w:val="21"/>
                <w:highlight w:val="none"/>
              </w:rPr>
              <w:t>1000元以下的所有工具、原料、物料、易耗品等及应急事件、突发事件中需要采购的所有零部件及耗材</w:t>
            </w:r>
            <w:r>
              <w:rPr>
                <w:rFonts w:hint="eastAsia" w:ascii="仿宋" w:hAnsi="仿宋" w:eastAsia="仿宋" w:cs="仿宋"/>
                <w:color w:val="auto"/>
                <w:sz w:val="21"/>
                <w:szCs w:val="21"/>
                <w:highlight w:val="none"/>
                <w:lang w:eastAsia="zh-CN"/>
              </w:rPr>
              <w:t>。</w:t>
            </w:r>
          </w:p>
          <w:p w14:paraId="2B7CD31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ascii="仿宋" w:hAnsi="仿宋" w:eastAsia="仿宋" w:cs="仿宋"/>
                <w:color w:val="auto"/>
                <w:sz w:val="21"/>
                <w:szCs w:val="21"/>
                <w:highlight w:val="none"/>
              </w:rPr>
              <w:t>.2中标人应具备至少三家物资供应商，并提供采购协议和供应商的资质证明、联系方式等。其中，至少一家供应商</w:t>
            </w:r>
            <w:r>
              <w:rPr>
                <w:rFonts w:hint="eastAsia" w:ascii="仿宋" w:hAnsi="仿宋" w:eastAsia="仿宋" w:cs="仿宋"/>
                <w:color w:val="auto"/>
                <w:sz w:val="21"/>
                <w:szCs w:val="21"/>
                <w:highlight w:val="none"/>
                <w:lang w:eastAsia="zh-CN"/>
              </w:rPr>
              <w:t>满足如下条件：接到中标人通知后，一小时内到达现场。</w:t>
            </w:r>
          </w:p>
          <w:p w14:paraId="46DD8ABD">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ascii="仿宋" w:hAnsi="仿宋" w:eastAsia="仿宋" w:cs="仿宋"/>
                <w:color w:val="auto"/>
                <w:sz w:val="21"/>
                <w:szCs w:val="21"/>
                <w:highlight w:val="none"/>
              </w:rPr>
              <w:t>.3中标人物资供应需满足如下响应要求：</w:t>
            </w:r>
          </w:p>
          <w:p w14:paraId="299AD81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计划性物资采购，每月初制定计划并发出采购，当月上旬到货。偶发突发性应急采购，由中标人联系供应商或通过项目经理直接采购的方式，于12小时内到货。库存需要放置相应的应急物资，物资清单由采购人提供。</w:t>
            </w:r>
          </w:p>
          <w:p w14:paraId="7BE9BF9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ascii="仿宋" w:hAnsi="仿宋" w:eastAsia="仿宋" w:cs="仿宋"/>
                <w:color w:val="auto"/>
                <w:sz w:val="21"/>
                <w:szCs w:val="21"/>
                <w:highlight w:val="none"/>
              </w:rPr>
              <w:t>.4中标人在收到采购物资后，按照预定的采购质量标准及数量进行验收。</w:t>
            </w:r>
          </w:p>
          <w:p w14:paraId="65CA158E">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医院后勤数字化平台</w:t>
            </w:r>
          </w:p>
          <w:p w14:paraId="5DDBE951">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.1 根据院方需求，</w:t>
            </w:r>
            <w:r>
              <w:rPr>
                <w:rFonts w:hint="eastAsia" w:ascii="仿宋" w:hAnsi="仿宋" w:eastAsia="仿宋" w:cs="仿宋"/>
                <w:color w:val="auto"/>
                <w:sz w:val="21"/>
                <w:szCs w:val="21"/>
                <w:highlight w:val="none"/>
                <w:lang w:eastAsia="zh-CN"/>
              </w:rPr>
              <w:t>中标人需</w:t>
            </w:r>
            <w:r>
              <w:rPr>
                <w:rFonts w:ascii="仿宋" w:hAnsi="仿宋" w:eastAsia="仿宋" w:cs="仿宋"/>
                <w:color w:val="auto"/>
                <w:sz w:val="21"/>
                <w:szCs w:val="21"/>
                <w:highlight w:val="none"/>
              </w:rPr>
              <w:t>提供一套可操作性强的医院后勤数字化平台，涵盖设备全生命周期保养、按客户需求响应设备设施维修、定期设备点巡检三大标准业务服务流程，推进实施工程设备维保一站式服务，</w:t>
            </w:r>
            <w:r>
              <w:rPr>
                <w:rFonts w:hint="eastAsia" w:ascii="仿宋" w:hAnsi="仿宋" w:eastAsia="仿宋" w:cs="仿宋"/>
                <w:color w:val="auto"/>
                <w:sz w:val="21"/>
                <w:szCs w:val="21"/>
                <w:highlight w:val="none"/>
              </w:rPr>
              <w:t>实现后勤报障-调度-维修-反馈-评价-归档一站式全闭环数字化管理</w:t>
            </w:r>
            <w:r>
              <w:rPr>
                <w:rFonts w:hint="eastAsia" w:ascii="仿宋" w:hAnsi="仿宋" w:eastAsia="仿宋" w:cs="仿宋"/>
                <w:color w:val="auto"/>
                <w:sz w:val="21"/>
                <w:szCs w:val="21"/>
                <w:highlight w:val="none"/>
                <w:lang w:eastAsia="zh-CN"/>
              </w:rPr>
              <w:t>，提供</w:t>
            </w:r>
            <w:r>
              <w:rPr>
                <w:rFonts w:ascii="仿宋" w:hAnsi="仿宋" w:eastAsia="仿宋" w:cs="仿宋"/>
                <w:color w:val="auto"/>
                <w:sz w:val="21"/>
                <w:szCs w:val="21"/>
                <w:highlight w:val="none"/>
              </w:rPr>
              <w:t>兼容、匹配院方的配送、保洁等其他后勤服务功能</w:t>
            </w:r>
            <w:r>
              <w:rPr>
                <w:rFonts w:hint="eastAsia" w:ascii="仿宋" w:hAnsi="仿宋" w:eastAsia="仿宋" w:cs="仿宋"/>
                <w:color w:val="auto"/>
                <w:sz w:val="21"/>
                <w:szCs w:val="21"/>
                <w:highlight w:val="none"/>
                <w:lang w:eastAsia="zh-CN"/>
              </w:rPr>
              <w:t>的方案</w:t>
            </w:r>
            <w:r>
              <w:rPr>
                <w:rFonts w:ascii="仿宋" w:hAnsi="仿宋" w:eastAsia="仿宋" w:cs="仿宋"/>
                <w:color w:val="auto"/>
                <w:sz w:val="21"/>
                <w:szCs w:val="21"/>
                <w:highlight w:val="none"/>
              </w:rPr>
              <w:t>。</w:t>
            </w:r>
          </w:p>
          <w:p w14:paraId="1E841A9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.2 建立设备台账，包括维保记录、运行记录、巡检记录，实现设备档案的全数字化管理，并与院方台账数据同步。建立保养标准后可设置自动生成设备保养计划，提醒保养周期并执行反馈。</w:t>
            </w:r>
          </w:p>
          <w:p w14:paraId="0255DC3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.3 建立工程维修常用位置信息，用于设备点巡检及维修快速定位。对设备制定点巡检计划，每天自动生成点巡检工单。建立工程维修服务点，便于调度快速查找工程人员执行工单，设立服务覆盖半径加快响应速度。对工程人员进行排班，优化人员配置结构。</w:t>
            </w:r>
          </w:p>
          <w:p w14:paraId="7B42C903">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.4 临床科室可通过传统电话报修、扫码进行语音报修、上传留言图片报修等多渠道报修，调度通过工作台实时跟进各项报修与其他服务的进展，并自动派单与催单。从报修-确认-完工，全流程移动化实时管理。</w:t>
            </w:r>
          </w:p>
          <w:p w14:paraId="2285A41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.5 按</w:t>
            </w:r>
            <w:r>
              <w:rPr>
                <w:rFonts w:ascii="仿宋" w:hAnsi="仿宋" w:eastAsia="仿宋" w:cs="仿宋"/>
                <w:color w:val="auto"/>
                <w:sz w:val="21"/>
                <w:szCs w:val="21"/>
                <w:highlight w:val="none"/>
                <w:lang w:eastAsia="zh-CN"/>
              </w:rPr>
              <w:t>采购人</w:t>
            </w:r>
            <w:r>
              <w:rPr>
                <w:rFonts w:ascii="仿宋" w:hAnsi="仿宋" w:eastAsia="仿宋" w:cs="仿宋"/>
                <w:color w:val="auto"/>
                <w:sz w:val="21"/>
                <w:szCs w:val="21"/>
                <w:highlight w:val="none"/>
              </w:rPr>
              <w:t>需求，设定不同服务的响应时间、工单确认时效标准等服务标准。支持服务审批确认与工单评价移动社交化，拓宽沟通渠道，提高沟通效率，提升满意度。</w:t>
            </w:r>
          </w:p>
          <w:p w14:paraId="6F6A7ED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ascii="仿宋" w:hAnsi="仿宋" w:eastAsia="仿宋" w:cs="仿宋"/>
                <w:color w:val="auto"/>
                <w:sz w:val="21"/>
                <w:szCs w:val="21"/>
                <w:highlight w:val="none"/>
              </w:rPr>
              <w:t xml:space="preserve">.6 </w:t>
            </w:r>
            <w:r>
              <w:rPr>
                <w:rFonts w:ascii="仿宋" w:hAnsi="仿宋" w:eastAsia="仿宋" w:cs="仿宋"/>
                <w:color w:val="auto"/>
                <w:sz w:val="21"/>
                <w:szCs w:val="21"/>
                <w:highlight w:val="none"/>
                <w:lang w:eastAsia="zh-CN"/>
              </w:rPr>
              <w:t>采购人</w:t>
            </w:r>
            <w:r>
              <w:rPr>
                <w:rFonts w:ascii="仿宋" w:hAnsi="仿宋" w:eastAsia="仿宋" w:cs="仿宋"/>
                <w:color w:val="auto"/>
                <w:sz w:val="21"/>
                <w:szCs w:val="21"/>
                <w:highlight w:val="none"/>
              </w:rPr>
              <w:t>管理人员、项目经理能实时获取服务执行数据与分析结果，提出改进意见。</w:t>
            </w:r>
          </w:p>
        </w:tc>
      </w:tr>
      <w:tr w14:paraId="69567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D131ABF">
            <w:pPr>
              <w:spacing w:line="360" w:lineRule="auto"/>
              <w:rPr>
                <w:rFonts w:hint="eastAsia" w:ascii="仿宋" w:hAnsi="仿宋" w:eastAsia="仿宋" w:cs="仿宋"/>
                <w:color w:val="auto"/>
                <w:sz w:val="21"/>
                <w:szCs w:val="21"/>
                <w:highlight w:val="none"/>
              </w:rPr>
            </w:pPr>
          </w:p>
        </w:tc>
        <w:tc>
          <w:tcPr>
            <w:tcW w:w="708" w:type="dxa"/>
          </w:tcPr>
          <w:p w14:paraId="60FBC775">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5</w:t>
            </w:r>
          </w:p>
        </w:tc>
        <w:tc>
          <w:tcPr>
            <w:tcW w:w="6663" w:type="dxa"/>
          </w:tcPr>
          <w:p w14:paraId="21AB731B">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采购人院区内</w:t>
            </w:r>
            <w:r>
              <w:rPr>
                <w:rFonts w:ascii="仿宋" w:hAnsi="仿宋" w:eastAsia="仿宋" w:cs="仿宋"/>
                <w:color w:val="auto"/>
                <w:sz w:val="21"/>
                <w:szCs w:val="21"/>
                <w:highlight w:val="none"/>
              </w:rPr>
              <w:t>主要设施设备</w:t>
            </w:r>
            <w:r>
              <w:rPr>
                <w:rFonts w:hint="eastAsia" w:ascii="仿宋" w:hAnsi="仿宋" w:eastAsia="仿宋" w:cs="仿宋"/>
                <w:color w:val="auto"/>
                <w:sz w:val="21"/>
                <w:szCs w:val="21"/>
                <w:highlight w:val="none"/>
                <w:lang w:val="en-US" w:eastAsia="zh-CN"/>
              </w:rPr>
              <w:t>清单</w:t>
            </w:r>
            <w:r>
              <w:rPr>
                <w:rFonts w:ascii="仿宋" w:hAnsi="仿宋" w:eastAsia="仿宋" w:cs="仿宋"/>
                <w:color w:val="auto"/>
                <w:sz w:val="21"/>
                <w:szCs w:val="21"/>
                <w:highlight w:val="none"/>
              </w:rPr>
              <w:t>一览表：</w:t>
            </w:r>
          </w:p>
          <w:tbl>
            <w:tblPr>
              <w:tblStyle w:val="3"/>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408"/>
              <w:gridCol w:w="1843"/>
              <w:gridCol w:w="990"/>
            </w:tblGrid>
            <w:tr w14:paraId="6BCE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0" w:hRule="atLeast"/>
              </w:trPr>
              <w:tc>
                <w:tcPr>
                  <w:tcW w:w="2408" w:type="dxa"/>
                  <w:vAlign w:val="center"/>
                </w:tcPr>
                <w:p w14:paraId="3ED05C0B">
                  <w:pPr>
                    <w:spacing w:line="240" w:lineRule="exact"/>
                    <w:rPr>
                      <w:color w:val="auto"/>
                      <w:sz w:val="18"/>
                      <w:szCs w:val="18"/>
                      <w:highlight w:val="none"/>
                    </w:rPr>
                  </w:pPr>
                  <w:r>
                    <w:rPr>
                      <w:rFonts w:hint="eastAsia"/>
                      <w:color w:val="auto"/>
                      <w:sz w:val="18"/>
                      <w:szCs w:val="18"/>
                      <w:highlight w:val="none"/>
                    </w:rPr>
                    <w:t>名称</w:t>
                  </w:r>
                </w:p>
              </w:tc>
              <w:tc>
                <w:tcPr>
                  <w:tcW w:w="1843" w:type="dxa"/>
                  <w:vAlign w:val="center"/>
                </w:tcPr>
                <w:p w14:paraId="4E49623E">
                  <w:pPr>
                    <w:spacing w:line="240" w:lineRule="exact"/>
                    <w:rPr>
                      <w:color w:val="auto"/>
                      <w:sz w:val="18"/>
                      <w:szCs w:val="18"/>
                      <w:highlight w:val="none"/>
                    </w:rPr>
                  </w:pPr>
                  <w:r>
                    <w:rPr>
                      <w:rFonts w:hint="eastAsia"/>
                      <w:color w:val="auto"/>
                      <w:sz w:val="18"/>
                      <w:szCs w:val="18"/>
                      <w:highlight w:val="none"/>
                    </w:rPr>
                    <w:t>厂家</w:t>
                  </w:r>
                </w:p>
              </w:tc>
              <w:tc>
                <w:tcPr>
                  <w:tcW w:w="990" w:type="dxa"/>
                  <w:vAlign w:val="center"/>
                </w:tcPr>
                <w:p w14:paraId="461EB837">
                  <w:pPr>
                    <w:spacing w:line="240" w:lineRule="exact"/>
                    <w:rPr>
                      <w:color w:val="auto"/>
                      <w:sz w:val="18"/>
                      <w:szCs w:val="18"/>
                      <w:highlight w:val="none"/>
                    </w:rPr>
                  </w:pPr>
                  <w:r>
                    <w:rPr>
                      <w:rFonts w:hint="eastAsia"/>
                      <w:color w:val="auto"/>
                      <w:sz w:val="18"/>
                      <w:szCs w:val="18"/>
                      <w:highlight w:val="none"/>
                    </w:rPr>
                    <w:t>台</w:t>
                  </w:r>
                  <w:r>
                    <w:rPr>
                      <w:rFonts w:hint="eastAsia"/>
                      <w:color w:val="auto"/>
                      <w:sz w:val="18"/>
                      <w:szCs w:val="18"/>
                      <w:highlight w:val="none"/>
                      <w:lang w:val="en-US" w:eastAsia="zh-CN"/>
                    </w:rPr>
                    <w:t>/套</w:t>
                  </w:r>
                  <w:r>
                    <w:rPr>
                      <w:rFonts w:hint="eastAsia"/>
                      <w:color w:val="auto"/>
                      <w:sz w:val="18"/>
                      <w:szCs w:val="18"/>
                      <w:highlight w:val="none"/>
                    </w:rPr>
                    <w:t>数</w:t>
                  </w:r>
                </w:p>
              </w:tc>
            </w:tr>
            <w:tr w14:paraId="7FA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70AF95F4">
                  <w:pPr>
                    <w:spacing w:line="240" w:lineRule="exact"/>
                    <w:rPr>
                      <w:color w:val="auto"/>
                      <w:sz w:val="18"/>
                      <w:szCs w:val="18"/>
                      <w:highlight w:val="none"/>
                    </w:rPr>
                  </w:pPr>
                  <w:r>
                    <w:rPr>
                      <w:rFonts w:hint="eastAsia"/>
                      <w:color w:val="auto"/>
                      <w:sz w:val="18"/>
                      <w:szCs w:val="18"/>
                      <w:highlight w:val="none"/>
                    </w:rPr>
                    <w:t>净化机组</w:t>
                  </w:r>
                </w:p>
              </w:tc>
              <w:tc>
                <w:tcPr>
                  <w:tcW w:w="1843" w:type="dxa"/>
                  <w:vMerge w:val="restart"/>
                  <w:vAlign w:val="center"/>
                </w:tcPr>
                <w:p w14:paraId="189C2C36">
                  <w:pPr>
                    <w:spacing w:line="240" w:lineRule="exact"/>
                    <w:rPr>
                      <w:color w:val="auto"/>
                      <w:sz w:val="18"/>
                      <w:szCs w:val="18"/>
                      <w:highlight w:val="none"/>
                    </w:rPr>
                  </w:pPr>
                  <w:r>
                    <w:rPr>
                      <w:rFonts w:hint="eastAsia"/>
                      <w:color w:val="auto"/>
                      <w:sz w:val="18"/>
                      <w:szCs w:val="18"/>
                      <w:highlight w:val="none"/>
                      <w:lang w:eastAsia="zh-CN"/>
                    </w:rPr>
                    <w:t>天加、特灵、雅士</w:t>
                  </w:r>
                </w:p>
              </w:tc>
              <w:tc>
                <w:tcPr>
                  <w:tcW w:w="990" w:type="dxa"/>
                  <w:vMerge w:val="restart"/>
                  <w:vAlign w:val="center"/>
                </w:tcPr>
                <w:p w14:paraId="6C5F844C">
                  <w:pPr>
                    <w:spacing w:line="240" w:lineRule="exact"/>
                    <w:rPr>
                      <w:color w:val="auto"/>
                      <w:sz w:val="18"/>
                      <w:szCs w:val="18"/>
                      <w:highlight w:val="none"/>
                    </w:rPr>
                  </w:pPr>
                  <w:r>
                    <w:rPr>
                      <w:rFonts w:hint="eastAsia"/>
                      <w:color w:val="auto"/>
                      <w:sz w:val="18"/>
                      <w:szCs w:val="18"/>
                      <w:highlight w:val="none"/>
                      <w:lang w:val="en-US" w:eastAsia="zh-CN"/>
                    </w:rPr>
                    <w:t>68</w:t>
                  </w:r>
                </w:p>
              </w:tc>
            </w:tr>
            <w:tr w14:paraId="727B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66F3EB92">
                  <w:pPr>
                    <w:spacing w:line="240" w:lineRule="exact"/>
                    <w:rPr>
                      <w:color w:val="auto"/>
                      <w:sz w:val="18"/>
                      <w:szCs w:val="18"/>
                      <w:highlight w:val="none"/>
                    </w:rPr>
                  </w:pPr>
                </w:p>
              </w:tc>
              <w:tc>
                <w:tcPr>
                  <w:tcW w:w="1843" w:type="dxa"/>
                  <w:vMerge w:val="continue"/>
                  <w:vAlign w:val="center"/>
                </w:tcPr>
                <w:p w14:paraId="0486C868">
                  <w:pPr>
                    <w:spacing w:line="240" w:lineRule="exact"/>
                    <w:rPr>
                      <w:color w:val="auto"/>
                      <w:sz w:val="18"/>
                      <w:szCs w:val="18"/>
                      <w:highlight w:val="none"/>
                    </w:rPr>
                  </w:pPr>
                </w:p>
              </w:tc>
              <w:tc>
                <w:tcPr>
                  <w:tcW w:w="990" w:type="dxa"/>
                  <w:vMerge w:val="continue"/>
                  <w:vAlign w:val="center"/>
                </w:tcPr>
                <w:p w14:paraId="51379D64">
                  <w:pPr>
                    <w:spacing w:line="240" w:lineRule="exact"/>
                    <w:rPr>
                      <w:color w:val="auto"/>
                      <w:sz w:val="18"/>
                      <w:szCs w:val="18"/>
                      <w:highlight w:val="none"/>
                    </w:rPr>
                  </w:pPr>
                </w:p>
              </w:tc>
            </w:tr>
            <w:tr w14:paraId="4D73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7B4F495C">
                  <w:pPr>
                    <w:spacing w:line="240" w:lineRule="exact"/>
                    <w:rPr>
                      <w:color w:val="auto"/>
                      <w:sz w:val="18"/>
                      <w:szCs w:val="18"/>
                      <w:highlight w:val="none"/>
                    </w:rPr>
                  </w:pPr>
                </w:p>
              </w:tc>
              <w:tc>
                <w:tcPr>
                  <w:tcW w:w="1843" w:type="dxa"/>
                  <w:vMerge w:val="continue"/>
                  <w:vAlign w:val="center"/>
                </w:tcPr>
                <w:p w14:paraId="44170892">
                  <w:pPr>
                    <w:spacing w:line="240" w:lineRule="exact"/>
                    <w:rPr>
                      <w:color w:val="auto"/>
                      <w:sz w:val="18"/>
                      <w:szCs w:val="18"/>
                      <w:highlight w:val="none"/>
                    </w:rPr>
                  </w:pPr>
                </w:p>
              </w:tc>
              <w:tc>
                <w:tcPr>
                  <w:tcW w:w="990" w:type="dxa"/>
                  <w:vMerge w:val="continue"/>
                  <w:vAlign w:val="center"/>
                </w:tcPr>
                <w:p w14:paraId="1B1D9527">
                  <w:pPr>
                    <w:spacing w:line="240" w:lineRule="exact"/>
                    <w:rPr>
                      <w:color w:val="auto"/>
                      <w:sz w:val="18"/>
                      <w:szCs w:val="18"/>
                      <w:highlight w:val="none"/>
                    </w:rPr>
                  </w:pPr>
                </w:p>
              </w:tc>
            </w:tr>
            <w:tr w14:paraId="4EA5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1229D03B">
                  <w:pPr>
                    <w:spacing w:line="240" w:lineRule="exact"/>
                    <w:rPr>
                      <w:rFonts w:hint="eastAsia" w:eastAsiaTheme="minorEastAsia"/>
                      <w:color w:val="auto"/>
                      <w:sz w:val="18"/>
                      <w:szCs w:val="18"/>
                      <w:highlight w:val="none"/>
                      <w:lang w:eastAsia="zh-CN"/>
                    </w:rPr>
                  </w:pPr>
                  <w:r>
                    <w:rPr>
                      <w:rFonts w:hint="eastAsia"/>
                      <w:color w:val="auto"/>
                      <w:sz w:val="18"/>
                      <w:szCs w:val="18"/>
                      <w:highlight w:val="none"/>
                      <w:lang w:val="en-US" w:eastAsia="zh-CN"/>
                    </w:rPr>
                    <w:t>中央</w:t>
                  </w:r>
                  <w:r>
                    <w:rPr>
                      <w:rFonts w:hint="eastAsia"/>
                      <w:color w:val="auto"/>
                      <w:sz w:val="18"/>
                      <w:szCs w:val="18"/>
                      <w:highlight w:val="none"/>
                      <w:lang w:eastAsia="zh-CN"/>
                    </w:rPr>
                    <w:t>空调机组</w:t>
                  </w:r>
                </w:p>
              </w:tc>
              <w:tc>
                <w:tcPr>
                  <w:tcW w:w="1843" w:type="dxa"/>
                  <w:vMerge w:val="restart"/>
                  <w:vAlign w:val="center"/>
                </w:tcPr>
                <w:p w14:paraId="7EF0A31F">
                  <w:pPr>
                    <w:spacing w:line="240" w:lineRule="exact"/>
                    <w:rPr>
                      <w:color w:val="auto"/>
                      <w:sz w:val="18"/>
                      <w:szCs w:val="18"/>
                      <w:highlight w:val="none"/>
                    </w:rPr>
                  </w:pPr>
                  <w:r>
                    <w:rPr>
                      <w:rFonts w:hint="eastAsia"/>
                      <w:color w:val="auto"/>
                      <w:sz w:val="18"/>
                      <w:szCs w:val="18"/>
                      <w:highlight w:val="none"/>
                    </w:rPr>
                    <w:t>羿歌（广州华德）</w:t>
                  </w:r>
                </w:p>
              </w:tc>
              <w:tc>
                <w:tcPr>
                  <w:tcW w:w="990" w:type="dxa"/>
                  <w:vMerge w:val="restart"/>
                  <w:vAlign w:val="center"/>
                </w:tcPr>
                <w:p w14:paraId="587D06DB">
                  <w:pPr>
                    <w:spacing w:line="240" w:lineRule="exact"/>
                    <w:rPr>
                      <w:color w:val="auto"/>
                      <w:sz w:val="18"/>
                      <w:szCs w:val="18"/>
                      <w:highlight w:val="none"/>
                    </w:rPr>
                  </w:pPr>
                  <w:r>
                    <w:rPr>
                      <w:rFonts w:hint="eastAsia"/>
                      <w:color w:val="auto"/>
                      <w:sz w:val="18"/>
                      <w:szCs w:val="18"/>
                      <w:highlight w:val="none"/>
                    </w:rPr>
                    <w:t>11</w:t>
                  </w:r>
                </w:p>
              </w:tc>
            </w:tr>
            <w:tr w14:paraId="4C1A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7379BCCD">
                  <w:pPr>
                    <w:spacing w:line="240" w:lineRule="exact"/>
                    <w:rPr>
                      <w:rFonts w:hint="eastAsia"/>
                      <w:color w:val="auto"/>
                      <w:sz w:val="18"/>
                      <w:szCs w:val="18"/>
                      <w:highlight w:val="none"/>
                    </w:rPr>
                  </w:pPr>
                </w:p>
              </w:tc>
              <w:tc>
                <w:tcPr>
                  <w:tcW w:w="1843" w:type="dxa"/>
                  <w:vMerge w:val="continue"/>
                  <w:vAlign w:val="center"/>
                </w:tcPr>
                <w:p w14:paraId="6EDABC89">
                  <w:pPr>
                    <w:spacing w:line="240" w:lineRule="exact"/>
                    <w:rPr>
                      <w:rFonts w:hint="eastAsia"/>
                      <w:color w:val="auto"/>
                      <w:sz w:val="18"/>
                      <w:szCs w:val="18"/>
                      <w:highlight w:val="none"/>
                    </w:rPr>
                  </w:pPr>
                </w:p>
              </w:tc>
              <w:tc>
                <w:tcPr>
                  <w:tcW w:w="990" w:type="dxa"/>
                  <w:vMerge w:val="continue"/>
                  <w:vAlign w:val="center"/>
                </w:tcPr>
                <w:p w14:paraId="40F515D2">
                  <w:pPr>
                    <w:spacing w:line="240" w:lineRule="exact"/>
                    <w:rPr>
                      <w:rFonts w:hint="eastAsia"/>
                      <w:color w:val="auto"/>
                      <w:sz w:val="18"/>
                      <w:szCs w:val="18"/>
                      <w:highlight w:val="none"/>
                    </w:rPr>
                  </w:pPr>
                </w:p>
              </w:tc>
            </w:tr>
            <w:tr w14:paraId="0FAF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746E373A">
                  <w:pPr>
                    <w:spacing w:line="240" w:lineRule="exact"/>
                    <w:rPr>
                      <w:color w:val="auto"/>
                      <w:sz w:val="18"/>
                      <w:szCs w:val="18"/>
                      <w:highlight w:val="none"/>
                    </w:rPr>
                  </w:pPr>
                </w:p>
              </w:tc>
              <w:tc>
                <w:tcPr>
                  <w:tcW w:w="1843" w:type="dxa"/>
                  <w:vMerge w:val="continue"/>
                  <w:vAlign w:val="center"/>
                </w:tcPr>
                <w:p w14:paraId="391900E2">
                  <w:pPr>
                    <w:spacing w:line="240" w:lineRule="exact"/>
                    <w:rPr>
                      <w:color w:val="auto"/>
                      <w:sz w:val="18"/>
                      <w:szCs w:val="18"/>
                      <w:highlight w:val="none"/>
                    </w:rPr>
                  </w:pPr>
                </w:p>
              </w:tc>
              <w:tc>
                <w:tcPr>
                  <w:tcW w:w="990" w:type="dxa"/>
                  <w:vMerge w:val="continue"/>
                  <w:vAlign w:val="center"/>
                </w:tcPr>
                <w:p w14:paraId="10D36163">
                  <w:pPr>
                    <w:spacing w:line="240" w:lineRule="exact"/>
                    <w:rPr>
                      <w:color w:val="auto"/>
                      <w:sz w:val="18"/>
                      <w:szCs w:val="18"/>
                      <w:highlight w:val="none"/>
                    </w:rPr>
                  </w:pPr>
                </w:p>
              </w:tc>
            </w:tr>
            <w:tr w14:paraId="759E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77486A55">
                  <w:pPr>
                    <w:spacing w:line="240" w:lineRule="exact"/>
                    <w:rPr>
                      <w:color w:val="auto"/>
                      <w:sz w:val="18"/>
                      <w:szCs w:val="18"/>
                      <w:highlight w:val="none"/>
                    </w:rPr>
                  </w:pPr>
                  <w:r>
                    <w:rPr>
                      <w:rFonts w:hint="eastAsia"/>
                      <w:color w:val="auto"/>
                      <w:sz w:val="18"/>
                      <w:szCs w:val="18"/>
                      <w:highlight w:val="none"/>
                      <w:lang w:eastAsia="zh-CN"/>
                    </w:rPr>
                    <w:t>多联空调机组</w:t>
                  </w:r>
                </w:p>
              </w:tc>
              <w:tc>
                <w:tcPr>
                  <w:tcW w:w="1843" w:type="dxa"/>
                  <w:vMerge w:val="restart"/>
                  <w:vAlign w:val="center"/>
                </w:tcPr>
                <w:p w14:paraId="3DEB4481">
                  <w:pPr>
                    <w:spacing w:line="240" w:lineRule="exact"/>
                    <w:rPr>
                      <w:rFonts w:hint="eastAsia" w:eastAsiaTheme="minorEastAsia"/>
                      <w:color w:val="auto"/>
                      <w:sz w:val="18"/>
                      <w:szCs w:val="18"/>
                      <w:highlight w:val="none"/>
                      <w:lang w:eastAsia="zh-CN"/>
                    </w:rPr>
                  </w:pPr>
                  <w:r>
                    <w:rPr>
                      <w:rFonts w:hint="eastAsia"/>
                      <w:color w:val="auto"/>
                      <w:sz w:val="18"/>
                      <w:szCs w:val="18"/>
                      <w:highlight w:val="none"/>
                      <w:lang w:eastAsia="zh-CN"/>
                    </w:rPr>
                    <w:t>美的</w:t>
                  </w:r>
                </w:p>
              </w:tc>
              <w:tc>
                <w:tcPr>
                  <w:tcW w:w="990" w:type="dxa"/>
                  <w:vMerge w:val="restart"/>
                  <w:vAlign w:val="center"/>
                </w:tcPr>
                <w:p w14:paraId="30C90364">
                  <w:pPr>
                    <w:spacing w:line="240" w:lineRule="exact"/>
                    <w:rPr>
                      <w:rFonts w:hint="default" w:eastAsiaTheme="minorEastAsia"/>
                      <w:color w:val="auto"/>
                      <w:sz w:val="18"/>
                      <w:szCs w:val="18"/>
                      <w:highlight w:val="none"/>
                      <w:lang w:val="en-US" w:eastAsia="zh-CN"/>
                    </w:rPr>
                  </w:pPr>
                  <w:r>
                    <w:rPr>
                      <w:rFonts w:hint="eastAsia"/>
                      <w:color w:val="auto"/>
                      <w:sz w:val="18"/>
                      <w:szCs w:val="18"/>
                      <w:highlight w:val="none"/>
                      <w:lang w:val="en-US" w:eastAsia="zh-CN"/>
                    </w:rPr>
                    <w:t>99</w:t>
                  </w:r>
                </w:p>
              </w:tc>
            </w:tr>
            <w:tr w14:paraId="43F2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35E57139">
                  <w:pPr>
                    <w:spacing w:line="240" w:lineRule="exact"/>
                    <w:rPr>
                      <w:color w:val="auto"/>
                      <w:sz w:val="18"/>
                      <w:szCs w:val="18"/>
                      <w:highlight w:val="none"/>
                    </w:rPr>
                  </w:pPr>
                </w:p>
              </w:tc>
              <w:tc>
                <w:tcPr>
                  <w:tcW w:w="1843" w:type="dxa"/>
                  <w:vMerge w:val="continue"/>
                  <w:vAlign w:val="center"/>
                </w:tcPr>
                <w:p w14:paraId="61C2AF9E">
                  <w:pPr>
                    <w:spacing w:line="240" w:lineRule="exact"/>
                    <w:rPr>
                      <w:color w:val="auto"/>
                      <w:sz w:val="18"/>
                      <w:szCs w:val="18"/>
                      <w:highlight w:val="none"/>
                    </w:rPr>
                  </w:pPr>
                </w:p>
              </w:tc>
              <w:tc>
                <w:tcPr>
                  <w:tcW w:w="990" w:type="dxa"/>
                  <w:vMerge w:val="continue"/>
                  <w:vAlign w:val="center"/>
                </w:tcPr>
                <w:p w14:paraId="161668E8">
                  <w:pPr>
                    <w:spacing w:line="240" w:lineRule="exact"/>
                    <w:rPr>
                      <w:color w:val="auto"/>
                      <w:sz w:val="18"/>
                      <w:szCs w:val="18"/>
                      <w:highlight w:val="none"/>
                    </w:rPr>
                  </w:pPr>
                </w:p>
              </w:tc>
            </w:tr>
            <w:tr w14:paraId="3847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4E8BCE12">
                  <w:pPr>
                    <w:spacing w:line="240" w:lineRule="exact"/>
                    <w:rPr>
                      <w:color w:val="auto"/>
                      <w:sz w:val="18"/>
                      <w:szCs w:val="18"/>
                      <w:highlight w:val="none"/>
                    </w:rPr>
                  </w:pPr>
                  <w:r>
                    <w:rPr>
                      <w:rFonts w:hint="eastAsia"/>
                      <w:color w:val="auto"/>
                      <w:sz w:val="18"/>
                      <w:szCs w:val="18"/>
                      <w:highlight w:val="none"/>
                    </w:rPr>
                    <w:t>新风机组</w:t>
                  </w:r>
                </w:p>
              </w:tc>
              <w:tc>
                <w:tcPr>
                  <w:tcW w:w="1843" w:type="dxa"/>
                  <w:vMerge w:val="restart"/>
                  <w:vAlign w:val="center"/>
                </w:tcPr>
                <w:p w14:paraId="7D391C99">
                  <w:pPr>
                    <w:spacing w:line="240" w:lineRule="exact"/>
                    <w:rPr>
                      <w:color w:val="auto"/>
                      <w:sz w:val="18"/>
                      <w:szCs w:val="18"/>
                      <w:highlight w:val="none"/>
                    </w:rPr>
                  </w:pPr>
                </w:p>
              </w:tc>
              <w:tc>
                <w:tcPr>
                  <w:tcW w:w="990" w:type="dxa"/>
                  <w:vMerge w:val="restart"/>
                  <w:vAlign w:val="center"/>
                </w:tcPr>
                <w:p w14:paraId="27228833">
                  <w:pPr>
                    <w:spacing w:line="240" w:lineRule="exact"/>
                    <w:rPr>
                      <w:color w:val="auto"/>
                      <w:sz w:val="18"/>
                      <w:szCs w:val="18"/>
                      <w:highlight w:val="none"/>
                    </w:rPr>
                  </w:pPr>
                  <w:r>
                    <w:rPr>
                      <w:rFonts w:hint="eastAsia"/>
                      <w:color w:val="auto"/>
                      <w:sz w:val="18"/>
                      <w:szCs w:val="18"/>
                      <w:highlight w:val="none"/>
                      <w:lang w:val="en-US" w:eastAsia="zh-CN"/>
                    </w:rPr>
                    <w:t>55</w:t>
                  </w:r>
                </w:p>
              </w:tc>
            </w:tr>
            <w:tr w14:paraId="2200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7278F7EF">
                  <w:pPr>
                    <w:spacing w:line="240" w:lineRule="exact"/>
                    <w:rPr>
                      <w:color w:val="auto"/>
                      <w:sz w:val="18"/>
                      <w:szCs w:val="18"/>
                      <w:highlight w:val="none"/>
                    </w:rPr>
                  </w:pPr>
                </w:p>
              </w:tc>
              <w:tc>
                <w:tcPr>
                  <w:tcW w:w="1843" w:type="dxa"/>
                  <w:vMerge w:val="continue"/>
                  <w:vAlign w:val="center"/>
                </w:tcPr>
                <w:p w14:paraId="76094D48">
                  <w:pPr>
                    <w:spacing w:line="240" w:lineRule="exact"/>
                    <w:rPr>
                      <w:color w:val="auto"/>
                      <w:sz w:val="18"/>
                      <w:szCs w:val="18"/>
                      <w:highlight w:val="none"/>
                    </w:rPr>
                  </w:pPr>
                </w:p>
              </w:tc>
              <w:tc>
                <w:tcPr>
                  <w:tcW w:w="990" w:type="dxa"/>
                  <w:vMerge w:val="continue"/>
                  <w:vAlign w:val="center"/>
                </w:tcPr>
                <w:p w14:paraId="5FC0E207">
                  <w:pPr>
                    <w:spacing w:line="240" w:lineRule="exact"/>
                    <w:rPr>
                      <w:color w:val="auto"/>
                      <w:sz w:val="18"/>
                      <w:szCs w:val="18"/>
                      <w:highlight w:val="none"/>
                    </w:rPr>
                  </w:pPr>
                </w:p>
              </w:tc>
            </w:tr>
            <w:tr w14:paraId="00AC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0" w:hRule="atLeast"/>
              </w:trPr>
              <w:tc>
                <w:tcPr>
                  <w:tcW w:w="2408" w:type="dxa"/>
                  <w:vMerge w:val="continue"/>
                  <w:vAlign w:val="center"/>
                </w:tcPr>
                <w:p w14:paraId="21B8CC14">
                  <w:pPr>
                    <w:spacing w:line="240" w:lineRule="exact"/>
                    <w:rPr>
                      <w:color w:val="auto"/>
                      <w:sz w:val="18"/>
                      <w:szCs w:val="18"/>
                      <w:highlight w:val="none"/>
                    </w:rPr>
                  </w:pPr>
                </w:p>
              </w:tc>
              <w:tc>
                <w:tcPr>
                  <w:tcW w:w="1843" w:type="dxa"/>
                  <w:vMerge w:val="continue"/>
                  <w:vAlign w:val="center"/>
                </w:tcPr>
                <w:p w14:paraId="4F33A922">
                  <w:pPr>
                    <w:spacing w:line="240" w:lineRule="exact"/>
                    <w:rPr>
                      <w:color w:val="auto"/>
                      <w:sz w:val="18"/>
                      <w:szCs w:val="18"/>
                      <w:highlight w:val="none"/>
                    </w:rPr>
                  </w:pPr>
                </w:p>
              </w:tc>
              <w:tc>
                <w:tcPr>
                  <w:tcW w:w="990" w:type="dxa"/>
                  <w:vMerge w:val="continue"/>
                  <w:vAlign w:val="center"/>
                </w:tcPr>
                <w:p w14:paraId="4B9C1D87">
                  <w:pPr>
                    <w:spacing w:line="240" w:lineRule="exact"/>
                    <w:rPr>
                      <w:color w:val="auto"/>
                      <w:sz w:val="18"/>
                      <w:szCs w:val="18"/>
                      <w:highlight w:val="none"/>
                    </w:rPr>
                  </w:pPr>
                </w:p>
              </w:tc>
            </w:tr>
            <w:tr w14:paraId="168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79CFFA3C">
                  <w:pPr>
                    <w:spacing w:line="240" w:lineRule="exact"/>
                    <w:rPr>
                      <w:color w:val="auto"/>
                      <w:sz w:val="18"/>
                      <w:szCs w:val="18"/>
                      <w:highlight w:val="none"/>
                    </w:rPr>
                  </w:pPr>
                  <w:r>
                    <w:rPr>
                      <w:rFonts w:hint="eastAsia"/>
                      <w:color w:val="auto"/>
                      <w:sz w:val="18"/>
                      <w:szCs w:val="18"/>
                      <w:highlight w:val="none"/>
                    </w:rPr>
                    <w:t>热泵机组</w:t>
                  </w:r>
                </w:p>
              </w:tc>
              <w:tc>
                <w:tcPr>
                  <w:tcW w:w="1843" w:type="dxa"/>
                  <w:vMerge w:val="restart"/>
                  <w:vAlign w:val="center"/>
                </w:tcPr>
                <w:p w14:paraId="103C9625">
                  <w:pPr>
                    <w:spacing w:line="240" w:lineRule="exact"/>
                    <w:rPr>
                      <w:color w:val="auto"/>
                      <w:sz w:val="18"/>
                      <w:szCs w:val="18"/>
                      <w:highlight w:val="none"/>
                    </w:rPr>
                  </w:pPr>
                </w:p>
              </w:tc>
              <w:tc>
                <w:tcPr>
                  <w:tcW w:w="990" w:type="dxa"/>
                  <w:vMerge w:val="restart"/>
                  <w:vAlign w:val="center"/>
                </w:tcPr>
                <w:p w14:paraId="0B1E3E13">
                  <w:pPr>
                    <w:spacing w:line="240" w:lineRule="exact"/>
                    <w:rPr>
                      <w:color w:val="auto"/>
                      <w:sz w:val="18"/>
                      <w:szCs w:val="18"/>
                      <w:highlight w:val="none"/>
                    </w:rPr>
                  </w:pPr>
                  <w:r>
                    <w:rPr>
                      <w:rFonts w:hint="eastAsia"/>
                      <w:color w:val="auto"/>
                      <w:sz w:val="18"/>
                      <w:szCs w:val="18"/>
                      <w:highlight w:val="none"/>
                    </w:rPr>
                    <w:t>1</w:t>
                  </w:r>
                  <w:r>
                    <w:rPr>
                      <w:rFonts w:hint="eastAsia"/>
                      <w:color w:val="auto"/>
                      <w:sz w:val="18"/>
                      <w:szCs w:val="18"/>
                      <w:highlight w:val="none"/>
                      <w:lang w:val="en-US" w:eastAsia="zh-CN"/>
                    </w:rPr>
                    <w:t>6</w:t>
                  </w:r>
                </w:p>
              </w:tc>
            </w:tr>
            <w:tr w14:paraId="0CC9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0EA8216A">
                  <w:pPr>
                    <w:spacing w:line="240" w:lineRule="exact"/>
                    <w:rPr>
                      <w:color w:val="auto"/>
                      <w:sz w:val="18"/>
                      <w:szCs w:val="18"/>
                      <w:highlight w:val="none"/>
                    </w:rPr>
                  </w:pPr>
                </w:p>
              </w:tc>
              <w:tc>
                <w:tcPr>
                  <w:tcW w:w="1843" w:type="dxa"/>
                  <w:vMerge w:val="continue"/>
                  <w:vAlign w:val="center"/>
                </w:tcPr>
                <w:p w14:paraId="09357232">
                  <w:pPr>
                    <w:spacing w:line="240" w:lineRule="exact"/>
                    <w:rPr>
                      <w:color w:val="auto"/>
                      <w:sz w:val="18"/>
                      <w:szCs w:val="18"/>
                      <w:highlight w:val="none"/>
                    </w:rPr>
                  </w:pPr>
                </w:p>
              </w:tc>
              <w:tc>
                <w:tcPr>
                  <w:tcW w:w="990" w:type="dxa"/>
                  <w:vMerge w:val="continue"/>
                  <w:vAlign w:val="center"/>
                </w:tcPr>
                <w:p w14:paraId="6BAEDF63">
                  <w:pPr>
                    <w:spacing w:line="240" w:lineRule="exact"/>
                    <w:rPr>
                      <w:color w:val="auto"/>
                      <w:sz w:val="18"/>
                      <w:szCs w:val="18"/>
                      <w:highlight w:val="none"/>
                    </w:rPr>
                  </w:pPr>
                </w:p>
              </w:tc>
            </w:tr>
            <w:tr w14:paraId="517B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0" w:hRule="atLeast"/>
              </w:trPr>
              <w:tc>
                <w:tcPr>
                  <w:tcW w:w="2408" w:type="dxa"/>
                  <w:vAlign w:val="center"/>
                </w:tcPr>
                <w:p w14:paraId="21E87F44">
                  <w:pPr>
                    <w:spacing w:line="240" w:lineRule="exact"/>
                    <w:rPr>
                      <w:rFonts w:hint="eastAsia" w:eastAsiaTheme="minorEastAsia"/>
                      <w:color w:val="auto"/>
                      <w:sz w:val="18"/>
                      <w:szCs w:val="18"/>
                      <w:highlight w:val="none"/>
                      <w:lang w:eastAsia="zh-CN"/>
                    </w:rPr>
                  </w:pPr>
                  <w:r>
                    <w:rPr>
                      <w:rFonts w:hint="eastAsia"/>
                      <w:color w:val="auto"/>
                      <w:sz w:val="18"/>
                      <w:szCs w:val="18"/>
                      <w:highlight w:val="none"/>
                      <w:lang w:eastAsia="zh-CN"/>
                    </w:rPr>
                    <w:t>太阳能热水系统</w:t>
                  </w:r>
                </w:p>
              </w:tc>
              <w:tc>
                <w:tcPr>
                  <w:tcW w:w="1843" w:type="dxa"/>
                  <w:vAlign w:val="center"/>
                </w:tcPr>
                <w:p w14:paraId="4EBB3137">
                  <w:pPr>
                    <w:spacing w:line="240" w:lineRule="exact"/>
                    <w:rPr>
                      <w:color w:val="auto"/>
                      <w:sz w:val="18"/>
                      <w:szCs w:val="18"/>
                      <w:highlight w:val="none"/>
                    </w:rPr>
                  </w:pPr>
                </w:p>
              </w:tc>
              <w:tc>
                <w:tcPr>
                  <w:tcW w:w="990" w:type="dxa"/>
                  <w:vAlign w:val="center"/>
                </w:tcPr>
                <w:p w14:paraId="375BF59E">
                  <w:pPr>
                    <w:spacing w:line="240" w:lineRule="exact"/>
                    <w:rPr>
                      <w:rFonts w:hint="eastAsia" w:eastAsiaTheme="minorEastAsia"/>
                      <w:color w:val="auto"/>
                      <w:sz w:val="18"/>
                      <w:szCs w:val="18"/>
                      <w:highlight w:val="none"/>
                      <w:lang w:val="en-US" w:eastAsia="zh-CN"/>
                    </w:rPr>
                  </w:pPr>
                  <w:r>
                    <w:rPr>
                      <w:rFonts w:hint="eastAsia"/>
                      <w:color w:val="auto"/>
                      <w:sz w:val="18"/>
                      <w:szCs w:val="18"/>
                      <w:highlight w:val="none"/>
                      <w:lang w:val="en-US" w:eastAsia="zh-CN"/>
                    </w:rPr>
                    <w:t>2</w:t>
                  </w:r>
                </w:p>
              </w:tc>
            </w:tr>
            <w:tr w14:paraId="3F59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11CF7C48">
                  <w:pPr>
                    <w:spacing w:line="240" w:lineRule="exact"/>
                    <w:rPr>
                      <w:color w:val="auto"/>
                      <w:sz w:val="18"/>
                      <w:szCs w:val="18"/>
                      <w:highlight w:val="none"/>
                    </w:rPr>
                  </w:pPr>
                  <w:r>
                    <w:rPr>
                      <w:rFonts w:hint="eastAsia"/>
                      <w:color w:val="auto"/>
                      <w:sz w:val="18"/>
                      <w:szCs w:val="18"/>
                      <w:highlight w:val="none"/>
                    </w:rPr>
                    <w:t>电极式加湿器</w:t>
                  </w:r>
                </w:p>
              </w:tc>
              <w:tc>
                <w:tcPr>
                  <w:tcW w:w="1843" w:type="dxa"/>
                  <w:vMerge w:val="restart"/>
                  <w:vAlign w:val="center"/>
                </w:tcPr>
                <w:p w14:paraId="7A87F089">
                  <w:pPr>
                    <w:spacing w:line="240" w:lineRule="exact"/>
                    <w:rPr>
                      <w:color w:val="auto"/>
                      <w:sz w:val="18"/>
                      <w:szCs w:val="18"/>
                      <w:highlight w:val="none"/>
                    </w:rPr>
                  </w:pPr>
                  <w:r>
                    <w:rPr>
                      <w:rFonts w:hint="eastAsia"/>
                      <w:color w:val="auto"/>
                      <w:sz w:val="18"/>
                      <w:szCs w:val="18"/>
                      <w:highlight w:val="none"/>
                    </w:rPr>
                    <w:t>北京诺德曼</w:t>
                  </w:r>
                </w:p>
              </w:tc>
              <w:tc>
                <w:tcPr>
                  <w:tcW w:w="990" w:type="dxa"/>
                  <w:vMerge w:val="restart"/>
                  <w:vAlign w:val="center"/>
                </w:tcPr>
                <w:p w14:paraId="1FDC91DB">
                  <w:pPr>
                    <w:spacing w:line="240" w:lineRule="exact"/>
                    <w:rPr>
                      <w:color w:val="auto"/>
                      <w:sz w:val="18"/>
                      <w:szCs w:val="18"/>
                      <w:highlight w:val="none"/>
                    </w:rPr>
                  </w:pPr>
                  <w:r>
                    <w:rPr>
                      <w:rFonts w:hint="eastAsia"/>
                      <w:color w:val="auto"/>
                      <w:sz w:val="18"/>
                      <w:szCs w:val="18"/>
                      <w:highlight w:val="none"/>
                      <w:lang w:val="en-US" w:eastAsia="zh-CN"/>
                    </w:rPr>
                    <w:t>36</w:t>
                  </w:r>
                </w:p>
              </w:tc>
            </w:tr>
            <w:tr w14:paraId="63F7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1BCC90C4">
                  <w:pPr>
                    <w:spacing w:line="240" w:lineRule="exact"/>
                    <w:rPr>
                      <w:color w:val="auto"/>
                      <w:sz w:val="18"/>
                      <w:szCs w:val="18"/>
                      <w:highlight w:val="none"/>
                    </w:rPr>
                  </w:pPr>
                </w:p>
              </w:tc>
              <w:tc>
                <w:tcPr>
                  <w:tcW w:w="1843" w:type="dxa"/>
                  <w:vMerge w:val="continue"/>
                  <w:vAlign w:val="center"/>
                </w:tcPr>
                <w:p w14:paraId="4E47AC0C">
                  <w:pPr>
                    <w:spacing w:line="240" w:lineRule="exact"/>
                    <w:rPr>
                      <w:color w:val="auto"/>
                      <w:sz w:val="18"/>
                      <w:szCs w:val="18"/>
                      <w:highlight w:val="none"/>
                    </w:rPr>
                  </w:pPr>
                </w:p>
              </w:tc>
              <w:tc>
                <w:tcPr>
                  <w:tcW w:w="990" w:type="dxa"/>
                  <w:vMerge w:val="continue"/>
                  <w:vAlign w:val="center"/>
                </w:tcPr>
                <w:p w14:paraId="1CCD25AE">
                  <w:pPr>
                    <w:spacing w:line="240" w:lineRule="exact"/>
                    <w:rPr>
                      <w:color w:val="auto"/>
                      <w:sz w:val="18"/>
                      <w:szCs w:val="18"/>
                      <w:highlight w:val="none"/>
                    </w:rPr>
                  </w:pPr>
                </w:p>
              </w:tc>
            </w:tr>
            <w:tr w14:paraId="634D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01A2D31D">
                  <w:pPr>
                    <w:spacing w:line="240" w:lineRule="exact"/>
                    <w:rPr>
                      <w:color w:val="auto"/>
                      <w:sz w:val="18"/>
                      <w:szCs w:val="18"/>
                      <w:highlight w:val="none"/>
                    </w:rPr>
                  </w:pPr>
                </w:p>
              </w:tc>
              <w:tc>
                <w:tcPr>
                  <w:tcW w:w="1843" w:type="dxa"/>
                  <w:vMerge w:val="continue"/>
                  <w:vAlign w:val="center"/>
                </w:tcPr>
                <w:p w14:paraId="3FC62C56">
                  <w:pPr>
                    <w:spacing w:line="240" w:lineRule="exact"/>
                    <w:rPr>
                      <w:color w:val="auto"/>
                      <w:sz w:val="18"/>
                      <w:szCs w:val="18"/>
                      <w:highlight w:val="none"/>
                    </w:rPr>
                  </w:pPr>
                </w:p>
              </w:tc>
              <w:tc>
                <w:tcPr>
                  <w:tcW w:w="990" w:type="dxa"/>
                  <w:vMerge w:val="continue"/>
                  <w:vAlign w:val="center"/>
                </w:tcPr>
                <w:p w14:paraId="1B29B1FB">
                  <w:pPr>
                    <w:spacing w:line="240" w:lineRule="exact"/>
                    <w:rPr>
                      <w:color w:val="auto"/>
                      <w:sz w:val="18"/>
                      <w:szCs w:val="18"/>
                      <w:highlight w:val="none"/>
                    </w:rPr>
                  </w:pPr>
                </w:p>
              </w:tc>
            </w:tr>
            <w:tr w14:paraId="7D65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6C9E8FE3">
                  <w:pPr>
                    <w:spacing w:line="240" w:lineRule="exact"/>
                    <w:rPr>
                      <w:color w:val="auto"/>
                      <w:sz w:val="18"/>
                      <w:szCs w:val="18"/>
                      <w:highlight w:val="none"/>
                    </w:rPr>
                  </w:pPr>
                  <w:r>
                    <w:rPr>
                      <w:rFonts w:hint="eastAsia"/>
                      <w:color w:val="auto"/>
                      <w:sz w:val="18"/>
                      <w:szCs w:val="18"/>
                      <w:highlight w:val="none"/>
                    </w:rPr>
                    <w:t>UPS</w:t>
                  </w:r>
                </w:p>
              </w:tc>
              <w:tc>
                <w:tcPr>
                  <w:tcW w:w="1843" w:type="dxa"/>
                  <w:vMerge w:val="restart"/>
                  <w:vAlign w:val="center"/>
                </w:tcPr>
                <w:p w14:paraId="1302EC7B">
                  <w:pPr>
                    <w:spacing w:line="240" w:lineRule="exact"/>
                    <w:rPr>
                      <w:color w:val="auto"/>
                      <w:sz w:val="18"/>
                      <w:szCs w:val="18"/>
                      <w:highlight w:val="none"/>
                    </w:rPr>
                  </w:pPr>
                </w:p>
              </w:tc>
              <w:tc>
                <w:tcPr>
                  <w:tcW w:w="990" w:type="dxa"/>
                  <w:vMerge w:val="restart"/>
                  <w:vAlign w:val="center"/>
                </w:tcPr>
                <w:p w14:paraId="3A76D927">
                  <w:pPr>
                    <w:spacing w:line="240" w:lineRule="exact"/>
                    <w:rPr>
                      <w:color w:val="auto"/>
                      <w:sz w:val="18"/>
                      <w:szCs w:val="18"/>
                      <w:highlight w:val="none"/>
                    </w:rPr>
                  </w:pPr>
                  <w:r>
                    <w:rPr>
                      <w:rFonts w:hint="eastAsia"/>
                      <w:color w:val="auto"/>
                      <w:sz w:val="18"/>
                      <w:szCs w:val="18"/>
                      <w:highlight w:val="none"/>
                      <w:lang w:val="en-US" w:eastAsia="zh-CN"/>
                    </w:rPr>
                    <w:t>9</w:t>
                  </w:r>
                </w:p>
              </w:tc>
            </w:tr>
            <w:tr w14:paraId="3FB8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7897F326">
                  <w:pPr>
                    <w:spacing w:line="240" w:lineRule="exact"/>
                    <w:rPr>
                      <w:color w:val="auto"/>
                      <w:sz w:val="18"/>
                      <w:szCs w:val="18"/>
                      <w:highlight w:val="none"/>
                    </w:rPr>
                  </w:pPr>
                </w:p>
              </w:tc>
              <w:tc>
                <w:tcPr>
                  <w:tcW w:w="1843" w:type="dxa"/>
                  <w:vMerge w:val="continue"/>
                  <w:vAlign w:val="center"/>
                </w:tcPr>
                <w:p w14:paraId="19855472">
                  <w:pPr>
                    <w:spacing w:line="240" w:lineRule="exact"/>
                    <w:rPr>
                      <w:color w:val="auto"/>
                      <w:sz w:val="18"/>
                      <w:szCs w:val="18"/>
                      <w:highlight w:val="none"/>
                    </w:rPr>
                  </w:pPr>
                </w:p>
              </w:tc>
              <w:tc>
                <w:tcPr>
                  <w:tcW w:w="990" w:type="dxa"/>
                  <w:vMerge w:val="continue"/>
                  <w:vAlign w:val="center"/>
                </w:tcPr>
                <w:p w14:paraId="5900E8A4">
                  <w:pPr>
                    <w:spacing w:line="240" w:lineRule="exact"/>
                    <w:rPr>
                      <w:color w:val="auto"/>
                      <w:sz w:val="18"/>
                      <w:szCs w:val="18"/>
                      <w:highlight w:val="none"/>
                    </w:rPr>
                  </w:pPr>
                </w:p>
              </w:tc>
            </w:tr>
            <w:tr w14:paraId="62E6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1C306BDB">
                  <w:pPr>
                    <w:spacing w:line="240" w:lineRule="exact"/>
                    <w:rPr>
                      <w:color w:val="auto"/>
                      <w:sz w:val="18"/>
                      <w:szCs w:val="18"/>
                      <w:highlight w:val="none"/>
                    </w:rPr>
                  </w:pPr>
                </w:p>
              </w:tc>
              <w:tc>
                <w:tcPr>
                  <w:tcW w:w="1843" w:type="dxa"/>
                  <w:vMerge w:val="continue"/>
                  <w:vAlign w:val="center"/>
                </w:tcPr>
                <w:p w14:paraId="1776CC4D">
                  <w:pPr>
                    <w:spacing w:line="240" w:lineRule="exact"/>
                    <w:rPr>
                      <w:color w:val="auto"/>
                      <w:sz w:val="18"/>
                      <w:szCs w:val="18"/>
                      <w:highlight w:val="none"/>
                    </w:rPr>
                  </w:pPr>
                </w:p>
              </w:tc>
              <w:tc>
                <w:tcPr>
                  <w:tcW w:w="990" w:type="dxa"/>
                  <w:vMerge w:val="continue"/>
                  <w:vAlign w:val="center"/>
                </w:tcPr>
                <w:p w14:paraId="12CAA7FF">
                  <w:pPr>
                    <w:spacing w:line="240" w:lineRule="exact"/>
                    <w:rPr>
                      <w:color w:val="auto"/>
                      <w:sz w:val="18"/>
                      <w:szCs w:val="18"/>
                      <w:highlight w:val="none"/>
                    </w:rPr>
                  </w:pPr>
                </w:p>
              </w:tc>
            </w:tr>
            <w:tr w14:paraId="333A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7885F526">
                  <w:pPr>
                    <w:spacing w:line="240" w:lineRule="exact"/>
                    <w:rPr>
                      <w:color w:val="auto"/>
                      <w:sz w:val="18"/>
                      <w:szCs w:val="18"/>
                      <w:highlight w:val="none"/>
                    </w:rPr>
                  </w:pPr>
                  <w:r>
                    <w:rPr>
                      <w:rFonts w:hint="eastAsia"/>
                      <w:color w:val="auto"/>
                      <w:sz w:val="18"/>
                      <w:szCs w:val="18"/>
                      <w:highlight w:val="none"/>
                    </w:rPr>
                    <w:t>三相异步电动机(循环水泵）</w:t>
                  </w:r>
                </w:p>
              </w:tc>
              <w:tc>
                <w:tcPr>
                  <w:tcW w:w="1843" w:type="dxa"/>
                  <w:vMerge w:val="restart"/>
                  <w:vAlign w:val="center"/>
                </w:tcPr>
                <w:p w14:paraId="14338754">
                  <w:pPr>
                    <w:spacing w:line="240" w:lineRule="exact"/>
                    <w:rPr>
                      <w:color w:val="auto"/>
                      <w:sz w:val="18"/>
                      <w:szCs w:val="18"/>
                      <w:highlight w:val="none"/>
                    </w:rPr>
                  </w:pPr>
                  <w:r>
                    <w:rPr>
                      <w:rFonts w:hint="eastAsia"/>
                      <w:color w:val="auto"/>
                      <w:sz w:val="18"/>
                      <w:szCs w:val="18"/>
                      <w:highlight w:val="none"/>
                    </w:rPr>
                    <w:t>信源机电</w:t>
                  </w:r>
                </w:p>
              </w:tc>
              <w:tc>
                <w:tcPr>
                  <w:tcW w:w="990" w:type="dxa"/>
                  <w:vMerge w:val="restart"/>
                  <w:vAlign w:val="center"/>
                </w:tcPr>
                <w:p w14:paraId="0832D0EC">
                  <w:pPr>
                    <w:spacing w:line="240" w:lineRule="exact"/>
                    <w:rPr>
                      <w:color w:val="auto"/>
                      <w:sz w:val="18"/>
                      <w:szCs w:val="18"/>
                      <w:highlight w:val="none"/>
                    </w:rPr>
                  </w:pPr>
                  <w:r>
                    <w:rPr>
                      <w:rFonts w:hint="eastAsia"/>
                      <w:color w:val="auto"/>
                      <w:sz w:val="18"/>
                      <w:szCs w:val="18"/>
                      <w:highlight w:val="none"/>
                    </w:rPr>
                    <w:t>3</w:t>
                  </w:r>
                </w:p>
              </w:tc>
            </w:tr>
            <w:tr w14:paraId="6375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6AF8B5F5">
                  <w:pPr>
                    <w:spacing w:line="240" w:lineRule="exact"/>
                    <w:rPr>
                      <w:color w:val="auto"/>
                      <w:sz w:val="18"/>
                      <w:szCs w:val="18"/>
                      <w:highlight w:val="none"/>
                    </w:rPr>
                  </w:pPr>
                </w:p>
              </w:tc>
              <w:tc>
                <w:tcPr>
                  <w:tcW w:w="1843" w:type="dxa"/>
                  <w:vMerge w:val="continue"/>
                  <w:vAlign w:val="center"/>
                </w:tcPr>
                <w:p w14:paraId="2BF3B938">
                  <w:pPr>
                    <w:spacing w:line="240" w:lineRule="exact"/>
                    <w:rPr>
                      <w:color w:val="auto"/>
                      <w:sz w:val="18"/>
                      <w:szCs w:val="18"/>
                      <w:highlight w:val="none"/>
                    </w:rPr>
                  </w:pPr>
                </w:p>
              </w:tc>
              <w:tc>
                <w:tcPr>
                  <w:tcW w:w="990" w:type="dxa"/>
                  <w:vMerge w:val="continue"/>
                  <w:vAlign w:val="center"/>
                </w:tcPr>
                <w:p w14:paraId="24962C3D">
                  <w:pPr>
                    <w:spacing w:line="240" w:lineRule="exact"/>
                    <w:rPr>
                      <w:color w:val="auto"/>
                      <w:sz w:val="18"/>
                      <w:szCs w:val="18"/>
                      <w:highlight w:val="none"/>
                    </w:rPr>
                  </w:pPr>
                </w:p>
              </w:tc>
            </w:tr>
            <w:tr w14:paraId="69C0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5B22CFA4">
                  <w:pPr>
                    <w:spacing w:line="240" w:lineRule="exact"/>
                    <w:rPr>
                      <w:color w:val="auto"/>
                      <w:sz w:val="18"/>
                      <w:szCs w:val="18"/>
                      <w:highlight w:val="none"/>
                    </w:rPr>
                  </w:pPr>
                  <w:r>
                    <w:rPr>
                      <w:rFonts w:hint="eastAsia"/>
                      <w:color w:val="auto"/>
                      <w:sz w:val="18"/>
                      <w:szCs w:val="18"/>
                      <w:highlight w:val="none"/>
                    </w:rPr>
                    <w:t>风冷冷（热）水机组</w:t>
                  </w:r>
                </w:p>
              </w:tc>
              <w:tc>
                <w:tcPr>
                  <w:tcW w:w="1843" w:type="dxa"/>
                  <w:vMerge w:val="restart"/>
                  <w:vAlign w:val="center"/>
                </w:tcPr>
                <w:p w14:paraId="072B25F3">
                  <w:pPr>
                    <w:spacing w:line="240" w:lineRule="exact"/>
                    <w:rPr>
                      <w:rFonts w:hint="eastAsia" w:eastAsiaTheme="minorEastAsia"/>
                      <w:color w:val="auto"/>
                      <w:sz w:val="18"/>
                      <w:szCs w:val="18"/>
                      <w:highlight w:val="none"/>
                      <w:lang w:eastAsia="zh-CN"/>
                    </w:rPr>
                  </w:pPr>
                  <w:r>
                    <w:rPr>
                      <w:rFonts w:hint="eastAsia"/>
                      <w:color w:val="auto"/>
                      <w:sz w:val="18"/>
                      <w:szCs w:val="18"/>
                      <w:highlight w:val="none"/>
                    </w:rPr>
                    <w:t>羿歌（广州华德）</w:t>
                  </w:r>
                  <w:r>
                    <w:rPr>
                      <w:rFonts w:hint="eastAsia"/>
                      <w:color w:val="auto"/>
                      <w:sz w:val="18"/>
                      <w:szCs w:val="18"/>
                      <w:highlight w:val="none"/>
                      <w:lang w:eastAsia="zh-CN"/>
                    </w:rPr>
                    <w:t>、特灵、雅士</w:t>
                  </w:r>
                </w:p>
              </w:tc>
              <w:tc>
                <w:tcPr>
                  <w:tcW w:w="990" w:type="dxa"/>
                  <w:vMerge w:val="restart"/>
                  <w:vAlign w:val="center"/>
                </w:tcPr>
                <w:p w14:paraId="1F187BAE">
                  <w:pPr>
                    <w:spacing w:line="240" w:lineRule="exact"/>
                    <w:rPr>
                      <w:color w:val="auto"/>
                      <w:sz w:val="18"/>
                      <w:szCs w:val="18"/>
                      <w:highlight w:val="none"/>
                    </w:rPr>
                  </w:pPr>
                  <w:r>
                    <w:rPr>
                      <w:rFonts w:hint="eastAsia"/>
                      <w:color w:val="auto"/>
                      <w:sz w:val="18"/>
                      <w:szCs w:val="18"/>
                      <w:highlight w:val="none"/>
                      <w:lang w:val="en-US" w:eastAsia="zh-CN"/>
                    </w:rPr>
                    <w:t>11</w:t>
                  </w:r>
                </w:p>
              </w:tc>
            </w:tr>
            <w:tr w14:paraId="24D3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3793C9B0">
                  <w:pPr>
                    <w:spacing w:line="240" w:lineRule="exact"/>
                    <w:rPr>
                      <w:color w:val="auto"/>
                      <w:sz w:val="18"/>
                      <w:szCs w:val="18"/>
                      <w:highlight w:val="none"/>
                    </w:rPr>
                  </w:pPr>
                </w:p>
              </w:tc>
              <w:tc>
                <w:tcPr>
                  <w:tcW w:w="1843" w:type="dxa"/>
                  <w:vMerge w:val="continue"/>
                  <w:vAlign w:val="center"/>
                </w:tcPr>
                <w:p w14:paraId="31D9440C">
                  <w:pPr>
                    <w:spacing w:line="240" w:lineRule="exact"/>
                    <w:rPr>
                      <w:color w:val="auto"/>
                      <w:sz w:val="18"/>
                      <w:szCs w:val="18"/>
                      <w:highlight w:val="none"/>
                    </w:rPr>
                  </w:pPr>
                </w:p>
              </w:tc>
              <w:tc>
                <w:tcPr>
                  <w:tcW w:w="990" w:type="dxa"/>
                  <w:vMerge w:val="continue"/>
                  <w:vAlign w:val="center"/>
                </w:tcPr>
                <w:p w14:paraId="4D8246FF">
                  <w:pPr>
                    <w:spacing w:line="240" w:lineRule="exact"/>
                    <w:rPr>
                      <w:color w:val="auto"/>
                      <w:sz w:val="18"/>
                      <w:szCs w:val="18"/>
                      <w:highlight w:val="none"/>
                    </w:rPr>
                  </w:pPr>
                </w:p>
              </w:tc>
            </w:tr>
            <w:tr w14:paraId="04CC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2D7316EC">
                  <w:pPr>
                    <w:spacing w:line="240" w:lineRule="exact"/>
                    <w:rPr>
                      <w:color w:val="auto"/>
                      <w:sz w:val="18"/>
                      <w:szCs w:val="18"/>
                      <w:highlight w:val="none"/>
                    </w:rPr>
                  </w:pPr>
                  <w:r>
                    <w:rPr>
                      <w:rFonts w:hint="eastAsia"/>
                      <w:color w:val="auto"/>
                      <w:sz w:val="18"/>
                      <w:szCs w:val="18"/>
                      <w:highlight w:val="none"/>
                    </w:rPr>
                    <w:t>风机盘管</w:t>
                  </w:r>
                </w:p>
              </w:tc>
              <w:tc>
                <w:tcPr>
                  <w:tcW w:w="1843" w:type="dxa"/>
                  <w:vMerge w:val="restart"/>
                  <w:vAlign w:val="center"/>
                </w:tcPr>
                <w:p w14:paraId="39549B10">
                  <w:pPr>
                    <w:spacing w:line="240" w:lineRule="exact"/>
                    <w:rPr>
                      <w:color w:val="auto"/>
                      <w:sz w:val="18"/>
                      <w:szCs w:val="18"/>
                      <w:highlight w:val="none"/>
                    </w:rPr>
                  </w:pPr>
                </w:p>
              </w:tc>
              <w:tc>
                <w:tcPr>
                  <w:tcW w:w="990" w:type="dxa"/>
                  <w:vMerge w:val="restart"/>
                  <w:vAlign w:val="center"/>
                </w:tcPr>
                <w:p w14:paraId="2BC843B3">
                  <w:pPr>
                    <w:spacing w:line="240" w:lineRule="exact"/>
                    <w:rPr>
                      <w:color w:val="auto"/>
                      <w:sz w:val="18"/>
                      <w:szCs w:val="18"/>
                      <w:highlight w:val="none"/>
                    </w:rPr>
                  </w:pPr>
                  <w:r>
                    <w:rPr>
                      <w:rFonts w:hint="eastAsia"/>
                      <w:color w:val="auto"/>
                      <w:sz w:val="18"/>
                      <w:szCs w:val="18"/>
                      <w:highlight w:val="none"/>
                      <w:lang w:val="en-US" w:eastAsia="zh-CN"/>
                    </w:rPr>
                    <w:t>1595</w:t>
                  </w:r>
                </w:p>
              </w:tc>
            </w:tr>
            <w:tr w14:paraId="41AF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56B57829">
                  <w:pPr>
                    <w:spacing w:line="240" w:lineRule="exact"/>
                    <w:rPr>
                      <w:color w:val="auto"/>
                      <w:sz w:val="18"/>
                      <w:szCs w:val="18"/>
                      <w:highlight w:val="none"/>
                    </w:rPr>
                  </w:pPr>
                </w:p>
              </w:tc>
              <w:tc>
                <w:tcPr>
                  <w:tcW w:w="1843" w:type="dxa"/>
                  <w:vMerge w:val="continue"/>
                  <w:vAlign w:val="center"/>
                </w:tcPr>
                <w:p w14:paraId="1E6AB01D">
                  <w:pPr>
                    <w:spacing w:line="240" w:lineRule="exact"/>
                    <w:rPr>
                      <w:color w:val="auto"/>
                      <w:sz w:val="18"/>
                      <w:szCs w:val="18"/>
                      <w:highlight w:val="none"/>
                    </w:rPr>
                  </w:pPr>
                </w:p>
              </w:tc>
              <w:tc>
                <w:tcPr>
                  <w:tcW w:w="990" w:type="dxa"/>
                  <w:vMerge w:val="continue"/>
                  <w:vAlign w:val="center"/>
                </w:tcPr>
                <w:p w14:paraId="54E43DEC">
                  <w:pPr>
                    <w:spacing w:line="240" w:lineRule="exact"/>
                    <w:rPr>
                      <w:color w:val="auto"/>
                      <w:sz w:val="18"/>
                      <w:szCs w:val="18"/>
                      <w:highlight w:val="none"/>
                    </w:rPr>
                  </w:pPr>
                </w:p>
              </w:tc>
            </w:tr>
            <w:tr w14:paraId="2B71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restart"/>
                  <w:vAlign w:val="center"/>
                </w:tcPr>
                <w:p w14:paraId="061B960A">
                  <w:pPr>
                    <w:spacing w:line="240" w:lineRule="exact"/>
                    <w:rPr>
                      <w:color w:val="auto"/>
                      <w:sz w:val="18"/>
                      <w:szCs w:val="18"/>
                      <w:highlight w:val="none"/>
                    </w:rPr>
                  </w:pPr>
                  <w:r>
                    <w:rPr>
                      <w:rFonts w:hint="eastAsia"/>
                      <w:color w:val="auto"/>
                      <w:sz w:val="18"/>
                      <w:szCs w:val="18"/>
                      <w:highlight w:val="none"/>
                    </w:rPr>
                    <w:t>排风机</w:t>
                  </w:r>
                </w:p>
              </w:tc>
              <w:tc>
                <w:tcPr>
                  <w:tcW w:w="1843" w:type="dxa"/>
                  <w:vMerge w:val="restart"/>
                  <w:vAlign w:val="center"/>
                </w:tcPr>
                <w:p w14:paraId="084771E2">
                  <w:pPr>
                    <w:spacing w:line="240" w:lineRule="exact"/>
                    <w:rPr>
                      <w:color w:val="auto"/>
                      <w:sz w:val="18"/>
                      <w:szCs w:val="18"/>
                      <w:highlight w:val="none"/>
                    </w:rPr>
                  </w:pPr>
                </w:p>
              </w:tc>
              <w:tc>
                <w:tcPr>
                  <w:tcW w:w="990" w:type="dxa"/>
                  <w:vMerge w:val="restart"/>
                  <w:vAlign w:val="center"/>
                </w:tcPr>
                <w:p w14:paraId="2D983C3D">
                  <w:pPr>
                    <w:spacing w:line="240" w:lineRule="exact"/>
                    <w:rPr>
                      <w:rFonts w:hint="default" w:eastAsiaTheme="minorEastAsia"/>
                      <w:color w:val="auto"/>
                      <w:sz w:val="18"/>
                      <w:szCs w:val="18"/>
                      <w:highlight w:val="none"/>
                      <w:lang w:val="en-US" w:eastAsia="zh-CN"/>
                    </w:rPr>
                  </w:pPr>
                  <w:r>
                    <w:rPr>
                      <w:rFonts w:hint="eastAsia"/>
                      <w:color w:val="auto"/>
                      <w:sz w:val="18"/>
                      <w:szCs w:val="18"/>
                      <w:highlight w:val="none"/>
                      <w:lang w:val="en-US" w:eastAsia="zh-CN"/>
                    </w:rPr>
                    <w:t>76</w:t>
                  </w:r>
                </w:p>
              </w:tc>
            </w:tr>
            <w:tr w14:paraId="5B38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12" w:hRule="atLeast"/>
              </w:trPr>
              <w:tc>
                <w:tcPr>
                  <w:tcW w:w="2408" w:type="dxa"/>
                  <w:vMerge w:val="continue"/>
                  <w:vAlign w:val="center"/>
                </w:tcPr>
                <w:p w14:paraId="75F44F8A">
                  <w:pPr>
                    <w:spacing w:line="240" w:lineRule="exact"/>
                    <w:rPr>
                      <w:color w:val="auto"/>
                      <w:sz w:val="18"/>
                      <w:szCs w:val="18"/>
                      <w:highlight w:val="none"/>
                    </w:rPr>
                  </w:pPr>
                </w:p>
              </w:tc>
              <w:tc>
                <w:tcPr>
                  <w:tcW w:w="1843" w:type="dxa"/>
                  <w:vMerge w:val="continue"/>
                  <w:vAlign w:val="center"/>
                </w:tcPr>
                <w:p w14:paraId="41983693">
                  <w:pPr>
                    <w:spacing w:line="240" w:lineRule="exact"/>
                    <w:rPr>
                      <w:color w:val="auto"/>
                      <w:sz w:val="18"/>
                      <w:szCs w:val="18"/>
                      <w:highlight w:val="none"/>
                    </w:rPr>
                  </w:pPr>
                </w:p>
              </w:tc>
              <w:tc>
                <w:tcPr>
                  <w:tcW w:w="990" w:type="dxa"/>
                  <w:vMerge w:val="continue"/>
                  <w:vAlign w:val="center"/>
                </w:tcPr>
                <w:p w14:paraId="652851A8">
                  <w:pPr>
                    <w:spacing w:line="240" w:lineRule="exact"/>
                    <w:rPr>
                      <w:color w:val="auto"/>
                      <w:sz w:val="18"/>
                      <w:szCs w:val="18"/>
                      <w:highlight w:val="none"/>
                    </w:rPr>
                  </w:pPr>
                </w:p>
              </w:tc>
            </w:tr>
            <w:tr w14:paraId="4050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1" w:hRule="atLeast"/>
              </w:trPr>
              <w:tc>
                <w:tcPr>
                  <w:tcW w:w="2408" w:type="dxa"/>
                  <w:vAlign w:val="center"/>
                </w:tcPr>
                <w:p w14:paraId="7673B297">
                  <w:pPr>
                    <w:spacing w:line="240" w:lineRule="exact"/>
                    <w:rPr>
                      <w:color w:val="auto"/>
                      <w:sz w:val="18"/>
                      <w:szCs w:val="18"/>
                      <w:highlight w:val="none"/>
                    </w:rPr>
                  </w:pPr>
                  <w:r>
                    <w:rPr>
                      <w:rFonts w:hint="eastAsia"/>
                      <w:color w:val="auto"/>
                      <w:sz w:val="18"/>
                      <w:szCs w:val="18"/>
                      <w:highlight w:val="none"/>
                    </w:rPr>
                    <w:t>隔离变压器</w:t>
                  </w:r>
                </w:p>
              </w:tc>
              <w:tc>
                <w:tcPr>
                  <w:tcW w:w="1843" w:type="dxa"/>
                  <w:vAlign w:val="center"/>
                </w:tcPr>
                <w:p w14:paraId="3D060B21">
                  <w:pPr>
                    <w:spacing w:line="240" w:lineRule="exact"/>
                    <w:rPr>
                      <w:color w:val="auto"/>
                      <w:sz w:val="18"/>
                      <w:szCs w:val="18"/>
                      <w:highlight w:val="none"/>
                    </w:rPr>
                  </w:pPr>
                </w:p>
              </w:tc>
              <w:tc>
                <w:tcPr>
                  <w:tcW w:w="990" w:type="dxa"/>
                  <w:vAlign w:val="center"/>
                </w:tcPr>
                <w:p w14:paraId="4201AA64">
                  <w:pPr>
                    <w:spacing w:line="240" w:lineRule="exact"/>
                    <w:rPr>
                      <w:color w:val="auto"/>
                      <w:sz w:val="18"/>
                      <w:szCs w:val="18"/>
                      <w:highlight w:val="none"/>
                    </w:rPr>
                  </w:pPr>
                  <w:r>
                    <w:rPr>
                      <w:rFonts w:hint="eastAsia"/>
                      <w:color w:val="auto"/>
                      <w:sz w:val="18"/>
                      <w:szCs w:val="18"/>
                      <w:highlight w:val="none"/>
                    </w:rPr>
                    <w:t>42</w:t>
                  </w:r>
                </w:p>
              </w:tc>
            </w:tr>
            <w:tr w14:paraId="26AF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6" w:hRule="atLeast"/>
              </w:trPr>
              <w:tc>
                <w:tcPr>
                  <w:tcW w:w="2408" w:type="dxa"/>
                  <w:vAlign w:val="center"/>
                </w:tcPr>
                <w:p w14:paraId="7B5E1B7D">
                  <w:pPr>
                    <w:spacing w:line="240" w:lineRule="exact"/>
                    <w:rPr>
                      <w:color w:val="auto"/>
                      <w:sz w:val="18"/>
                      <w:szCs w:val="18"/>
                      <w:highlight w:val="none"/>
                    </w:rPr>
                  </w:pPr>
                  <w:r>
                    <w:rPr>
                      <w:rFonts w:hint="eastAsia"/>
                      <w:color w:val="auto"/>
                      <w:sz w:val="18"/>
                      <w:szCs w:val="18"/>
                      <w:highlight w:val="none"/>
                    </w:rPr>
                    <w:t>汇流排</w:t>
                  </w:r>
                </w:p>
              </w:tc>
              <w:tc>
                <w:tcPr>
                  <w:tcW w:w="1843" w:type="dxa"/>
                  <w:vAlign w:val="center"/>
                </w:tcPr>
                <w:p w14:paraId="7908F5EC">
                  <w:pPr>
                    <w:spacing w:line="240" w:lineRule="exact"/>
                    <w:rPr>
                      <w:color w:val="auto"/>
                      <w:sz w:val="18"/>
                      <w:szCs w:val="18"/>
                      <w:highlight w:val="none"/>
                    </w:rPr>
                  </w:pPr>
                </w:p>
              </w:tc>
              <w:tc>
                <w:tcPr>
                  <w:tcW w:w="990" w:type="dxa"/>
                  <w:vAlign w:val="center"/>
                </w:tcPr>
                <w:p w14:paraId="02B7E182">
                  <w:pPr>
                    <w:spacing w:line="240" w:lineRule="exact"/>
                    <w:rPr>
                      <w:color w:val="auto"/>
                      <w:sz w:val="18"/>
                      <w:szCs w:val="18"/>
                      <w:highlight w:val="none"/>
                    </w:rPr>
                  </w:pPr>
                  <w:r>
                    <w:rPr>
                      <w:rFonts w:hint="eastAsia"/>
                      <w:color w:val="auto"/>
                      <w:sz w:val="18"/>
                      <w:szCs w:val="18"/>
                      <w:highlight w:val="none"/>
                    </w:rPr>
                    <w:t>2</w:t>
                  </w:r>
                </w:p>
              </w:tc>
            </w:tr>
            <w:tr w14:paraId="20D5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2" w:hRule="atLeast"/>
              </w:trPr>
              <w:tc>
                <w:tcPr>
                  <w:tcW w:w="2408" w:type="dxa"/>
                  <w:vAlign w:val="center"/>
                </w:tcPr>
                <w:p w14:paraId="2AABF22B">
                  <w:pPr>
                    <w:spacing w:line="240" w:lineRule="exact"/>
                    <w:rPr>
                      <w:color w:val="auto"/>
                      <w:sz w:val="18"/>
                      <w:szCs w:val="18"/>
                      <w:highlight w:val="none"/>
                    </w:rPr>
                  </w:pPr>
                  <w:r>
                    <w:rPr>
                      <w:rFonts w:hint="eastAsia"/>
                      <w:color w:val="auto"/>
                      <w:sz w:val="18"/>
                      <w:szCs w:val="18"/>
                      <w:highlight w:val="none"/>
                    </w:rPr>
                    <w:t>高压变配电柜</w:t>
                  </w:r>
                </w:p>
              </w:tc>
              <w:tc>
                <w:tcPr>
                  <w:tcW w:w="1843" w:type="dxa"/>
                  <w:vAlign w:val="center"/>
                </w:tcPr>
                <w:p w14:paraId="3119B00C">
                  <w:pPr>
                    <w:spacing w:line="240" w:lineRule="exact"/>
                    <w:rPr>
                      <w:color w:val="auto"/>
                      <w:sz w:val="18"/>
                      <w:szCs w:val="18"/>
                      <w:highlight w:val="none"/>
                    </w:rPr>
                  </w:pPr>
                </w:p>
              </w:tc>
              <w:tc>
                <w:tcPr>
                  <w:tcW w:w="990" w:type="dxa"/>
                  <w:vAlign w:val="center"/>
                </w:tcPr>
                <w:p w14:paraId="69290619">
                  <w:pPr>
                    <w:spacing w:line="240" w:lineRule="exact"/>
                    <w:rPr>
                      <w:color w:val="auto"/>
                      <w:sz w:val="18"/>
                      <w:szCs w:val="18"/>
                      <w:highlight w:val="none"/>
                    </w:rPr>
                  </w:pPr>
                  <w:r>
                    <w:rPr>
                      <w:rFonts w:hint="eastAsia"/>
                      <w:color w:val="auto"/>
                      <w:sz w:val="18"/>
                      <w:szCs w:val="18"/>
                      <w:highlight w:val="none"/>
                    </w:rPr>
                    <w:t>7</w:t>
                  </w:r>
                </w:p>
              </w:tc>
            </w:tr>
            <w:tr w14:paraId="1170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6" w:hRule="atLeast"/>
              </w:trPr>
              <w:tc>
                <w:tcPr>
                  <w:tcW w:w="2408" w:type="dxa"/>
                  <w:vAlign w:val="center"/>
                </w:tcPr>
                <w:p w14:paraId="1D8103F7">
                  <w:pPr>
                    <w:spacing w:line="240" w:lineRule="exact"/>
                    <w:rPr>
                      <w:color w:val="auto"/>
                      <w:sz w:val="18"/>
                      <w:szCs w:val="18"/>
                      <w:highlight w:val="none"/>
                    </w:rPr>
                  </w:pPr>
                  <w:r>
                    <w:rPr>
                      <w:rFonts w:hint="eastAsia"/>
                      <w:color w:val="auto"/>
                      <w:sz w:val="18"/>
                      <w:szCs w:val="18"/>
                      <w:highlight w:val="none"/>
                    </w:rPr>
                    <w:t>低压变配电柜</w:t>
                  </w:r>
                </w:p>
              </w:tc>
              <w:tc>
                <w:tcPr>
                  <w:tcW w:w="1843" w:type="dxa"/>
                  <w:vAlign w:val="center"/>
                </w:tcPr>
                <w:p w14:paraId="1BE80697">
                  <w:pPr>
                    <w:spacing w:line="240" w:lineRule="exact"/>
                    <w:rPr>
                      <w:color w:val="auto"/>
                      <w:sz w:val="18"/>
                      <w:szCs w:val="18"/>
                      <w:highlight w:val="none"/>
                    </w:rPr>
                  </w:pPr>
                </w:p>
              </w:tc>
              <w:tc>
                <w:tcPr>
                  <w:tcW w:w="990" w:type="dxa"/>
                  <w:vAlign w:val="center"/>
                </w:tcPr>
                <w:p w14:paraId="18E695DF">
                  <w:pPr>
                    <w:spacing w:line="240" w:lineRule="exact"/>
                    <w:rPr>
                      <w:color w:val="auto"/>
                      <w:sz w:val="18"/>
                      <w:szCs w:val="18"/>
                      <w:highlight w:val="none"/>
                    </w:rPr>
                  </w:pPr>
                  <w:r>
                    <w:rPr>
                      <w:rFonts w:hint="eastAsia"/>
                      <w:color w:val="auto"/>
                      <w:sz w:val="18"/>
                      <w:szCs w:val="18"/>
                      <w:highlight w:val="none"/>
                    </w:rPr>
                    <w:t>30</w:t>
                  </w:r>
                </w:p>
              </w:tc>
            </w:tr>
            <w:tr w14:paraId="1EF8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1" w:hRule="atLeast"/>
              </w:trPr>
              <w:tc>
                <w:tcPr>
                  <w:tcW w:w="2408" w:type="dxa"/>
                  <w:vAlign w:val="center"/>
                </w:tcPr>
                <w:p w14:paraId="03E9DB11">
                  <w:pPr>
                    <w:spacing w:line="240" w:lineRule="exact"/>
                    <w:rPr>
                      <w:color w:val="auto"/>
                      <w:sz w:val="18"/>
                      <w:szCs w:val="18"/>
                      <w:highlight w:val="none"/>
                    </w:rPr>
                  </w:pPr>
                  <w:r>
                    <w:rPr>
                      <w:rFonts w:hint="eastAsia"/>
                      <w:color w:val="auto"/>
                      <w:sz w:val="18"/>
                      <w:szCs w:val="18"/>
                      <w:highlight w:val="none"/>
                    </w:rPr>
                    <w:t>双回路变压器</w:t>
                  </w:r>
                </w:p>
              </w:tc>
              <w:tc>
                <w:tcPr>
                  <w:tcW w:w="1843" w:type="dxa"/>
                  <w:vAlign w:val="center"/>
                </w:tcPr>
                <w:p w14:paraId="44513158">
                  <w:pPr>
                    <w:spacing w:line="240" w:lineRule="exact"/>
                    <w:rPr>
                      <w:color w:val="auto"/>
                      <w:sz w:val="18"/>
                      <w:szCs w:val="18"/>
                      <w:highlight w:val="none"/>
                    </w:rPr>
                  </w:pPr>
                </w:p>
              </w:tc>
              <w:tc>
                <w:tcPr>
                  <w:tcW w:w="990" w:type="dxa"/>
                  <w:vAlign w:val="center"/>
                </w:tcPr>
                <w:p w14:paraId="653EFAB3">
                  <w:pPr>
                    <w:spacing w:line="240" w:lineRule="exact"/>
                    <w:rPr>
                      <w:color w:val="auto"/>
                      <w:sz w:val="18"/>
                      <w:szCs w:val="18"/>
                      <w:highlight w:val="none"/>
                    </w:rPr>
                  </w:pPr>
                  <w:r>
                    <w:rPr>
                      <w:rFonts w:hint="eastAsia"/>
                      <w:color w:val="auto"/>
                      <w:sz w:val="18"/>
                      <w:szCs w:val="18"/>
                      <w:highlight w:val="none"/>
                    </w:rPr>
                    <w:t>2</w:t>
                  </w:r>
                </w:p>
              </w:tc>
            </w:tr>
            <w:tr w14:paraId="42CF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2" w:hRule="atLeast"/>
              </w:trPr>
              <w:tc>
                <w:tcPr>
                  <w:tcW w:w="2408" w:type="dxa"/>
                  <w:vAlign w:val="center"/>
                </w:tcPr>
                <w:p w14:paraId="16B35EE4">
                  <w:pPr>
                    <w:spacing w:line="240" w:lineRule="exact"/>
                    <w:rPr>
                      <w:color w:val="auto"/>
                      <w:sz w:val="18"/>
                      <w:szCs w:val="18"/>
                      <w:highlight w:val="none"/>
                    </w:rPr>
                  </w:pPr>
                  <w:r>
                    <w:rPr>
                      <w:rFonts w:hint="eastAsia"/>
                      <w:color w:val="auto"/>
                      <w:sz w:val="18"/>
                      <w:szCs w:val="18"/>
                      <w:highlight w:val="none"/>
                    </w:rPr>
                    <w:t>发电机</w:t>
                  </w:r>
                </w:p>
              </w:tc>
              <w:tc>
                <w:tcPr>
                  <w:tcW w:w="1843" w:type="dxa"/>
                  <w:vAlign w:val="center"/>
                </w:tcPr>
                <w:p w14:paraId="6DCB6548">
                  <w:pPr>
                    <w:spacing w:line="240" w:lineRule="exact"/>
                    <w:rPr>
                      <w:color w:val="auto"/>
                      <w:sz w:val="18"/>
                      <w:szCs w:val="18"/>
                      <w:highlight w:val="none"/>
                    </w:rPr>
                  </w:pPr>
                </w:p>
              </w:tc>
              <w:tc>
                <w:tcPr>
                  <w:tcW w:w="990" w:type="dxa"/>
                  <w:vAlign w:val="center"/>
                </w:tcPr>
                <w:p w14:paraId="38569FB5">
                  <w:pPr>
                    <w:spacing w:line="240" w:lineRule="exact"/>
                    <w:rPr>
                      <w:color w:val="auto"/>
                      <w:sz w:val="18"/>
                      <w:szCs w:val="18"/>
                      <w:highlight w:val="none"/>
                    </w:rPr>
                  </w:pPr>
                  <w:r>
                    <w:rPr>
                      <w:rFonts w:hint="eastAsia"/>
                      <w:color w:val="auto"/>
                      <w:sz w:val="18"/>
                      <w:szCs w:val="18"/>
                      <w:highlight w:val="none"/>
                    </w:rPr>
                    <w:t>4</w:t>
                  </w:r>
                </w:p>
              </w:tc>
            </w:tr>
            <w:tr w14:paraId="334D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18" w:hRule="atLeast"/>
              </w:trPr>
              <w:tc>
                <w:tcPr>
                  <w:tcW w:w="2408" w:type="dxa"/>
                  <w:vAlign w:val="center"/>
                </w:tcPr>
                <w:p w14:paraId="5A3928CD">
                  <w:pPr>
                    <w:spacing w:line="240" w:lineRule="exact"/>
                    <w:rPr>
                      <w:color w:val="auto"/>
                      <w:sz w:val="18"/>
                      <w:szCs w:val="18"/>
                      <w:highlight w:val="none"/>
                    </w:rPr>
                  </w:pPr>
                  <w:r>
                    <w:rPr>
                      <w:rFonts w:hint="eastAsia"/>
                      <w:color w:val="auto"/>
                      <w:sz w:val="18"/>
                      <w:szCs w:val="18"/>
                      <w:highlight w:val="none"/>
                    </w:rPr>
                    <w:t>干式变压器</w:t>
                  </w:r>
                </w:p>
              </w:tc>
              <w:tc>
                <w:tcPr>
                  <w:tcW w:w="1843" w:type="dxa"/>
                  <w:vAlign w:val="center"/>
                </w:tcPr>
                <w:p w14:paraId="27190B75">
                  <w:pPr>
                    <w:spacing w:line="240" w:lineRule="exact"/>
                    <w:rPr>
                      <w:color w:val="auto"/>
                      <w:sz w:val="18"/>
                      <w:szCs w:val="18"/>
                      <w:highlight w:val="none"/>
                    </w:rPr>
                  </w:pPr>
                </w:p>
              </w:tc>
              <w:tc>
                <w:tcPr>
                  <w:tcW w:w="990" w:type="dxa"/>
                  <w:vAlign w:val="center"/>
                </w:tcPr>
                <w:p w14:paraId="2F56CA7C">
                  <w:pPr>
                    <w:spacing w:line="240" w:lineRule="exact"/>
                    <w:rPr>
                      <w:color w:val="auto"/>
                      <w:sz w:val="18"/>
                      <w:szCs w:val="18"/>
                      <w:highlight w:val="none"/>
                    </w:rPr>
                  </w:pPr>
                  <w:r>
                    <w:rPr>
                      <w:rFonts w:hint="eastAsia"/>
                      <w:color w:val="auto"/>
                      <w:sz w:val="18"/>
                      <w:szCs w:val="18"/>
                      <w:highlight w:val="none"/>
                    </w:rPr>
                    <w:t>4</w:t>
                  </w:r>
                </w:p>
              </w:tc>
            </w:tr>
            <w:tr w14:paraId="2DD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2" w:hRule="atLeast"/>
              </w:trPr>
              <w:tc>
                <w:tcPr>
                  <w:tcW w:w="2408" w:type="dxa"/>
                  <w:vAlign w:val="center"/>
                </w:tcPr>
                <w:p w14:paraId="09AC0AE9">
                  <w:pPr>
                    <w:spacing w:line="240" w:lineRule="exact"/>
                    <w:rPr>
                      <w:color w:val="auto"/>
                      <w:sz w:val="18"/>
                      <w:szCs w:val="18"/>
                      <w:highlight w:val="none"/>
                    </w:rPr>
                  </w:pPr>
                  <w:r>
                    <w:rPr>
                      <w:rFonts w:hint="eastAsia"/>
                      <w:color w:val="auto"/>
                      <w:sz w:val="18"/>
                      <w:szCs w:val="18"/>
                      <w:highlight w:val="none"/>
                    </w:rPr>
                    <w:t>主供（备供）进线柜</w:t>
                  </w:r>
                </w:p>
              </w:tc>
              <w:tc>
                <w:tcPr>
                  <w:tcW w:w="1843" w:type="dxa"/>
                  <w:vAlign w:val="center"/>
                </w:tcPr>
                <w:p w14:paraId="7F4AC700">
                  <w:pPr>
                    <w:spacing w:line="240" w:lineRule="exact"/>
                    <w:rPr>
                      <w:color w:val="auto"/>
                      <w:sz w:val="18"/>
                      <w:szCs w:val="18"/>
                      <w:highlight w:val="none"/>
                    </w:rPr>
                  </w:pPr>
                </w:p>
              </w:tc>
              <w:tc>
                <w:tcPr>
                  <w:tcW w:w="990" w:type="dxa"/>
                  <w:vAlign w:val="center"/>
                </w:tcPr>
                <w:p w14:paraId="14F16461">
                  <w:pPr>
                    <w:spacing w:line="240" w:lineRule="exact"/>
                    <w:rPr>
                      <w:color w:val="auto"/>
                      <w:sz w:val="18"/>
                      <w:szCs w:val="18"/>
                      <w:highlight w:val="none"/>
                    </w:rPr>
                  </w:pPr>
                  <w:r>
                    <w:rPr>
                      <w:rFonts w:hint="eastAsia"/>
                      <w:color w:val="auto"/>
                      <w:sz w:val="18"/>
                      <w:szCs w:val="18"/>
                      <w:highlight w:val="none"/>
                    </w:rPr>
                    <w:t>2</w:t>
                  </w:r>
                </w:p>
              </w:tc>
            </w:tr>
            <w:tr w14:paraId="3FC7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2" w:hRule="atLeast"/>
              </w:trPr>
              <w:tc>
                <w:tcPr>
                  <w:tcW w:w="2408" w:type="dxa"/>
                  <w:vAlign w:val="center"/>
                </w:tcPr>
                <w:p w14:paraId="528DE496">
                  <w:pPr>
                    <w:spacing w:line="240" w:lineRule="exact"/>
                    <w:rPr>
                      <w:color w:val="auto"/>
                      <w:sz w:val="18"/>
                      <w:szCs w:val="18"/>
                      <w:highlight w:val="none"/>
                    </w:rPr>
                  </w:pPr>
                  <w:r>
                    <w:rPr>
                      <w:rFonts w:hint="eastAsia"/>
                      <w:color w:val="auto"/>
                      <w:sz w:val="18"/>
                      <w:szCs w:val="18"/>
                      <w:highlight w:val="none"/>
                    </w:rPr>
                    <w:t>主供（备供）计量柜</w:t>
                  </w:r>
                </w:p>
              </w:tc>
              <w:tc>
                <w:tcPr>
                  <w:tcW w:w="1843" w:type="dxa"/>
                  <w:vAlign w:val="center"/>
                </w:tcPr>
                <w:p w14:paraId="07A463F3">
                  <w:pPr>
                    <w:spacing w:line="240" w:lineRule="exact"/>
                    <w:rPr>
                      <w:color w:val="auto"/>
                      <w:sz w:val="18"/>
                      <w:szCs w:val="18"/>
                      <w:highlight w:val="none"/>
                    </w:rPr>
                  </w:pPr>
                </w:p>
              </w:tc>
              <w:tc>
                <w:tcPr>
                  <w:tcW w:w="990" w:type="dxa"/>
                  <w:vAlign w:val="center"/>
                </w:tcPr>
                <w:p w14:paraId="6CC4F1FA">
                  <w:pPr>
                    <w:spacing w:line="240" w:lineRule="exact"/>
                    <w:rPr>
                      <w:color w:val="auto"/>
                      <w:sz w:val="18"/>
                      <w:szCs w:val="18"/>
                      <w:highlight w:val="none"/>
                    </w:rPr>
                  </w:pPr>
                  <w:r>
                    <w:rPr>
                      <w:rFonts w:hint="eastAsia"/>
                      <w:color w:val="auto"/>
                      <w:sz w:val="18"/>
                      <w:szCs w:val="18"/>
                      <w:highlight w:val="none"/>
                    </w:rPr>
                    <w:t>1</w:t>
                  </w:r>
                </w:p>
              </w:tc>
            </w:tr>
            <w:tr w14:paraId="6017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82" w:hRule="atLeast"/>
              </w:trPr>
              <w:tc>
                <w:tcPr>
                  <w:tcW w:w="2408" w:type="dxa"/>
                  <w:vAlign w:val="center"/>
                </w:tcPr>
                <w:p w14:paraId="5CF10866">
                  <w:pPr>
                    <w:spacing w:line="240" w:lineRule="exact"/>
                    <w:rPr>
                      <w:color w:val="auto"/>
                      <w:sz w:val="18"/>
                      <w:szCs w:val="18"/>
                      <w:highlight w:val="none"/>
                    </w:rPr>
                  </w:pPr>
                  <w:r>
                    <w:rPr>
                      <w:rFonts w:hint="eastAsia"/>
                      <w:color w:val="auto"/>
                      <w:sz w:val="18"/>
                      <w:szCs w:val="18"/>
                      <w:highlight w:val="none"/>
                    </w:rPr>
                    <w:t>专变出线柜</w:t>
                  </w:r>
                </w:p>
              </w:tc>
              <w:tc>
                <w:tcPr>
                  <w:tcW w:w="1843" w:type="dxa"/>
                  <w:vAlign w:val="center"/>
                </w:tcPr>
                <w:p w14:paraId="7444768F">
                  <w:pPr>
                    <w:spacing w:line="240" w:lineRule="exact"/>
                    <w:rPr>
                      <w:color w:val="auto"/>
                      <w:sz w:val="18"/>
                      <w:szCs w:val="18"/>
                      <w:highlight w:val="none"/>
                    </w:rPr>
                  </w:pPr>
                </w:p>
              </w:tc>
              <w:tc>
                <w:tcPr>
                  <w:tcW w:w="990" w:type="dxa"/>
                  <w:vAlign w:val="center"/>
                </w:tcPr>
                <w:p w14:paraId="5768CC90">
                  <w:pPr>
                    <w:spacing w:line="240" w:lineRule="exact"/>
                    <w:rPr>
                      <w:color w:val="auto"/>
                      <w:sz w:val="18"/>
                      <w:szCs w:val="18"/>
                      <w:highlight w:val="none"/>
                    </w:rPr>
                  </w:pPr>
                  <w:r>
                    <w:rPr>
                      <w:rFonts w:hint="eastAsia"/>
                      <w:color w:val="auto"/>
                      <w:sz w:val="18"/>
                      <w:szCs w:val="18"/>
                      <w:highlight w:val="none"/>
                    </w:rPr>
                    <w:t>5</w:t>
                  </w:r>
                </w:p>
              </w:tc>
            </w:tr>
          </w:tbl>
          <w:p w14:paraId="6C63E0B7">
            <w:pPr>
              <w:pStyle w:val="6"/>
              <w:spacing w:line="360" w:lineRule="auto"/>
              <w:rPr>
                <w:rFonts w:hint="eastAsia" w:ascii="仿宋" w:hAnsi="仿宋" w:eastAsia="仿宋" w:cs="仿宋"/>
                <w:color w:val="auto"/>
                <w:sz w:val="21"/>
                <w:szCs w:val="21"/>
                <w:highlight w:val="none"/>
              </w:rPr>
            </w:pPr>
          </w:p>
          <w:p w14:paraId="4352C9B9">
            <w:pPr>
              <w:pStyle w:val="6"/>
              <w:spacing w:line="360" w:lineRule="auto"/>
              <w:rPr>
                <w:rFonts w:hint="eastAsia" w:ascii="仿宋" w:hAnsi="仿宋" w:eastAsia="仿宋" w:cs="仿宋"/>
                <w:color w:val="auto"/>
                <w:sz w:val="21"/>
                <w:szCs w:val="21"/>
                <w:highlight w:val="none"/>
              </w:rPr>
            </w:pPr>
          </w:p>
        </w:tc>
      </w:tr>
      <w:tr w14:paraId="58563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FEE9935">
            <w:pPr>
              <w:spacing w:line="360" w:lineRule="auto"/>
              <w:rPr>
                <w:rFonts w:hint="eastAsia" w:ascii="仿宋" w:hAnsi="仿宋" w:eastAsia="仿宋" w:cs="仿宋"/>
                <w:color w:val="auto"/>
                <w:sz w:val="21"/>
                <w:szCs w:val="21"/>
                <w:highlight w:val="none"/>
              </w:rPr>
            </w:pPr>
          </w:p>
        </w:tc>
        <w:tc>
          <w:tcPr>
            <w:tcW w:w="708" w:type="dxa"/>
          </w:tcPr>
          <w:p w14:paraId="2FF6641E">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6</w:t>
            </w:r>
          </w:p>
        </w:tc>
        <w:tc>
          <w:tcPr>
            <w:tcW w:w="6663" w:type="dxa"/>
          </w:tcPr>
          <w:p w14:paraId="1EEC36C1">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人员数量及限价要求：</w:t>
            </w:r>
          </w:p>
          <w:p w14:paraId="141627E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 人员数量</w:t>
            </w:r>
            <w:r>
              <w:rPr>
                <w:rFonts w:hint="eastAsia" w:ascii="仿宋" w:hAnsi="仿宋" w:eastAsia="仿宋" w:cs="仿宋"/>
                <w:color w:val="auto"/>
                <w:sz w:val="21"/>
                <w:szCs w:val="21"/>
                <w:highlight w:val="none"/>
                <w:lang w:val="en-US" w:eastAsia="zh-CN"/>
              </w:rPr>
              <w:t>及费用要求</w:t>
            </w:r>
            <w:r>
              <w:rPr>
                <w:rFonts w:ascii="仿宋" w:hAnsi="仿宋" w:eastAsia="仿宋" w:cs="仿宋"/>
                <w:color w:val="auto"/>
                <w:sz w:val="21"/>
                <w:szCs w:val="21"/>
                <w:highlight w:val="none"/>
              </w:rPr>
              <w:t>：</w:t>
            </w:r>
          </w:p>
          <w:p w14:paraId="52FE2E2F">
            <w:pPr>
              <w:pStyle w:val="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为保证服务质量，中标人需组建一支不少于</w:t>
            </w:r>
            <w:r>
              <w:rPr>
                <w:rFonts w:hint="eastAsia" w:ascii="仿宋" w:hAnsi="仿宋" w:eastAsia="仿宋" w:cs="仿宋"/>
                <w:color w:val="auto"/>
                <w:sz w:val="21"/>
                <w:szCs w:val="21"/>
                <w:highlight w:val="none"/>
              </w:rPr>
              <w:t>32</w:t>
            </w:r>
            <w:r>
              <w:rPr>
                <w:rFonts w:ascii="仿宋" w:hAnsi="仿宋" w:eastAsia="仿宋" w:cs="仿宋"/>
                <w:color w:val="auto"/>
                <w:sz w:val="21"/>
                <w:szCs w:val="21"/>
                <w:highlight w:val="none"/>
              </w:rPr>
              <w:t>人的日常维保服务队伍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人员费用见下表</w:t>
            </w:r>
          </w:p>
          <w:tbl>
            <w:tblPr>
              <w:tblStyle w:val="3"/>
              <w:tblW w:w="7481" w:type="dxa"/>
              <w:jc w:val="center"/>
              <w:tblLayout w:type="autofit"/>
              <w:tblCellMar>
                <w:top w:w="0" w:type="dxa"/>
                <w:left w:w="108" w:type="dxa"/>
                <w:bottom w:w="0" w:type="dxa"/>
                <w:right w:w="108" w:type="dxa"/>
              </w:tblCellMar>
            </w:tblPr>
            <w:tblGrid>
              <w:gridCol w:w="509"/>
              <w:gridCol w:w="881"/>
              <w:gridCol w:w="2860"/>
              <w:gridCol w:w="631"/>
              <w:gridCol w:w="2575"/>
            </w:tblGrid>
            <w:tr w14:paraId="214787CD">
              <w:tblPrEx>
                <w:tblCellMar>
                  <w:top w:w="0" w:type="dxa"/>
                  <w:left w:w="108" w:type="dxa"/>
                  <w:bottom w:w="0" w:type="dxa"/>
                  <w:right w:w="108" w:type="dxa"/>
                </w:tblCellMar>
              </w:tblPrEx>
              <w:trPr>
                <w:cantSplit/>
                <w:trHeight w:val="322"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79AA231B">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73F53BF">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类别</w:t>
                  </w:r>
                </w:p>
              </w:tc>
              <w:tc>
                <w:tcPr>
                  <w:tcW w:w="2870" w:type="dxa"/>
                  <w:tcBorders>
                    <w:top w:val="single" w:color="000000" w:sz="4" w:space="0"/>
                    <w:left w:val="single" w:color="000000" w:sz="4" w:space="0"/>
                    <w:bottom w:val="single" w:color="000000" w:sz="4" w:space="0"/>
                    <w:right w:val="single" w:color="000000" w:sz="4" w:space="0"/>
                  </w:tcBorders>
                  <w:noWrap/>
                  <w:vAlign w:val="center"/>
                </w:tcPr>
                <w:p w14:paraId="630D5A90">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岗位</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BCD732C">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人数</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394F6603">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单价最高限价</w:t>
                  </w:r>
                </w:p>
                <w:p w14:paraId="6F942501">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b/>
                      <w:bCs/>
                      <w:color w:val="auto"/>
                      <w:kern w:val="0"/>
                      <w:sz w:val="21"/>
                      <w:szCs w:val="21"/>
                      <w:highlight w:val="none"/>
                      <w:lang w:eastAsia="zh-CN" w:bidi="ar"/>
                    </w:rPr>
                    <w:t>人员费</w:t>
                  </w:r>
                  <w:r>
                    <w:rPr>
                      <w:rFonts w:hint="eastAsia" w:ascii="仿宋" w:hAnsi="仿宋" w:eastAsia="仿宋" w:cs="仿宋"/>
                      <w:b/>
                      <w:bCs/>
                      <w:color w:val="auto"/>
                      <w:kern w:val="0"/>
                      <w:sz w:val="21"/>
                      <w:szCs w:val="21"/>
                      <w:highlight w:val="none"/>
                      <w:lang w:val="en-US" w:eastAsia="zh-CN" w:bidi="ar"/>
                    </w:rPr>
                    <w:t>用</w:t>
                  </w:r>
                  <w:r>
                    <w:rPr>
                      <w:rFonts w:hint="eastAsia" w:ascii="仿宋" w:hAnsi="仿宋" w:eastAsia="仿宋" w:cs="仿宋"/>
                      <w:color w:val="auto"/>
                      <w:highlight w:val="none"/>
                      <w:lang w:val="en-US" w:eastAsia="zh-CN"/>
                    </w:rPr>
                    <w:t>）</w:t>
                  </w:r>
                </w:p>
                <w:p w14:paraId="48129A12">
                  <w:pPr>
                    <w:widowControl/>
                    <w:spacing w:line="360" w:lineRule="auto"/>
                    <w:jc w:val="center"/>
                    <w:textAlignment w:val="center"/>
                    <w:rPr>
                      <w:rFonts w:hint="eastAsia" w:ascii="仿宋" w:hAnsi="仿宋" w:eastAsia="仿宋" w:cs="仿宋"/>
                      <w:b/>
                      <w:bCs/>
                      <w:color w:val="auto"/>
                      <w:sz w:val="21"/>
                      <w:szCs w:val="21"/>
                      <w:highlight w:val="none"/>
                      <w:lang w:eastAsia="zh-CN"/>
                    </w:rPr>
                  </w:pPr>
                </w:p>
              </w:tc>
            </w:tr>
            <w:tr w14:paraId="4EAC188F">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4F9526B0">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884" w:type="dxa"/>
                  <w:vMerge w:val="restart"/>
                  <w:tcBorders>
                    <w:top w:val="single" w:color="000000" w:sz="4" w:space="0"/>
                    <w:left w:val="single" w:color="000000" w:sz="4" w:space="0"/>
                    <w:bottom w:val="single" w:color="000000" w:sz="4" w:space="0"/>
                    <w:right w:val="single" w:color="000000" w:sz="4" w:space="0"/>
                  </w:tcBorders>
                  <w:noWrap/>
                  <w:vAlign w:val="center"/>
                </w:tcPr>
                <w:p w14:paraId="5F48B45E">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管理人员</w:t>
                  </w:r>
                </w:p>
              </w:tc>
              <w:tc>
                <w:tcPr>
                  <w:tcW w:w="2870" w:type="dxa"/>
                  <w:tcBorders>
                    <w:top w:val="single" w:color="000000" w:sz="4" w:space="0"/>
                    <w:left w:val="single" w:color="000000" w:sz="4" w:space="0"/>
                    <w:bottom w:val="single" w:color="000000" w:sz="4" w:space="0"/>
                    <w:right w:val="single" w:color="000000" w:sz="4" w:space="0"/>
                  </w:tcBorders>
                  <w:vAlign w:val="center"/>
                </w:tcPr>
                <w:p w14:paraId="315D3485">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项目经理</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02906B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662378A1">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6000元/月*人</w:t>
                  </w:r>
                </w:p>
              </w:tc>
            </w:tr>
            <w:tr w14:paraId="517B8750">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43508EE3">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2A0D0A2">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2C0ED63D">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技术总工</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3F0D64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0E9A8EFE">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7EBA1184">
              <w:tblPrEx>
                <w:tblCellMar>
                  <w:top w:w="0" w:type="dxa"/>
                  <w:left w:w="108" w:type="dxa"/>
                  <w:bottom w:w="0" w:type="dxa"/>
                  <w:right w:w="108" w:type="dxa"/>
                </w:tblCellMar>
              </w:tblPrEx>
              <w:trPr>
                <w:cantSplit/>
                <w:trHeight w:val="430"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6BDBFF57">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DE88514">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6EF18F84">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文员</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EBCBEC8">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0589D837">
                  <w:pPr>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3CAF341D">
              <w:tblPrEx>
                <w:tblCellMar>
                  <w:top w:w="0" w:type="dxa"/>
                  <w:left w:w="108" w:type="dxa"/>
                  <w:bottom w:w="0" w:type="dxa"/>
                  <w:right w:w="108" w:type="dxa"/>
                </w:tblCellMar>
              </w:tblPrEx>
              <w:trPr>
                <w:cantSplit/>
                <w:trHeight w:val="735"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2607E40A">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884" w:type="dxa"/>
                  <w:vMerge w:val="restart"/>
                  <w:tcBorders>
                    <w:top w:val="single" w:color="000000" w:sz="4" w:space="0"/>
                    <w:left w:val="single" w:color="000000" w:sz="4" w:space="0"/>
                    <w:bottom w:val="single" w:color="000000" w:sz="4" w:space="0"/>
                    <w:right w:val="single" w:color="000000" w:sz="4" w:space="0"/>
                  </w:tcBorders>
                  <w:noWrap/>
                  <w:vAlign w:val="center"/>
                </w:tcPr>
                <w:p w14:paraId="5C22AE7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操作人员</w:t>
                  </w:r>
                </w:p>
              </w:tc>
              <w:tc>
                <w:tcPr>
                  <w:tcW w:w="2870" w:type="dxa"/>
                  <w:tcBorders>
                    <w:top w:val="single" w:color="000000" w:sz="4" w:space="0"/>
                    <w:left w:val="single" w:color="000000" w:sz="4" w:space="0"/>
                    <w:bottom w:val="single" w:color="000000" w:sz="4" w:space="0"/>
                    <w:right w:val="single" w:color="000000" w:sz="4" w:space="0"/>
                  </w:tcBorders>
                  <w:vAlign w:val="center"/>
                </w:tcPr>
                <w:p w14:paraId="7F2C59F2">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0"/>
                      <w:szCs w:val="20"/>
                      <w:highlight w:val="none"/>
                      <w:lang w:bidi="ar"/>
                    </w:rPr>
                    <w:t>维保团队【洁净区、净化系统、</w:t>
                  </w:r>
                  <w:r>
                    <w:rPr>
                      <w:rFonts w:hint="eastAsia" w:ascii="仿宋" w:hAnsi="仿宋" w:eastAsia="仿宋" w:cs="仿宋"/>
                      <w:color w:val="auto"/>
                      <w:kern w:val="0"/>
                      <w:sz w:val="20"/>
                      <w:szCs w:val="20"/>
                      <w:highlight w:val="none"/>
                      <w:lang w:eastAsia="zh-CN" w:bidi="ar"/>
                    </w:rPr>
                    <w:t>多联机系统、洁净空调系统</w:t>
                  </w:r>
                  <w:r>
                    <w:rPr>
                      <w:rFonts w:hint="eastAsia" w:ascii="仿宋" w:hAnsi="仿宋" w:eastAsia="仿宋" w:cs="仿宋"/>
                      <w:color w:val="auto"/>
                      <w:kern w:val="0"/>
                      <w:sz w:val="20"/>
                      <w:szCs w:val="20"/>
                      <w:highlight w:val="none"/>
                      <w:lang w:bidi="ar"/>
                    </w:rPr>
                    <w:t>、热水系统、UPS电池系统、医气系统等】</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1EA84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2584" w:type="dxa"/>
                  <w:tcBorders>
                    <w:top w:val="single" w:color="000000" w:sz="4" w:space="0"/>
                    <w:left w:val="single" w:color="000000" w:sz="4" w:space="0"/>
                    <w:bottom w:val="single" w:color="000000" w:sz="4" w:space="0"/>
                    <w:right w:val="single" w:color="000000" w:sz="4" w:space="0"/>
                  </w:tcBorders>
                  <w:vAlign w:val="center"/>
                </w:tcPr>
                <w:p w14:paraId="03A1BD52">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p>
                <w:p w14:paraId="63EEBB0C">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6000元/月*人</w:t>
                  </w:r>
                </w:p>
                <w:p w14:paraId="7EBECAEB">
                  <w:pPr>
                    <w:widowControl/>
                    <w:spacing w:line="360" w:lineRule="auto"/>
                    <w:jc w:val="left"/>
                    <w:textAlignment w:val="center"/>
                    <w:rPr>
                      <w:rFonts w:hint="eastAsia" w:ascii="仿宋" w:hAnsi="仿宋" w:eastAsia="仿宋" w:cs="仿宋"/>
                      <w:color w:val="auto"/>
                      <w:sz w:val="21"/>
                      <w:szCs w:val="21"/>
                      <w:highlight w:val="none"/>
                    </w:rPr>
                  </w:pPr>
                </w:p>
              </w:tc>
            </w:tr>
            <w:tr w14:paraId="6AC254FD">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631A8ADA">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8714719">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791F438D">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0"/>
                      <w:szCs w:val="20"/>
                      <w:highlight w:val="none"/>
                      <w:lang w:bidi="ar"/>
                    </w:rPr>
                    <w:t>全院净化系统、</w:t>
                  </w:r>
                  <w:r>
                    <w:rPr>
                      <w:rFonts w:hint="eastAsia" w:ascii="仿宋" w:hAnsi="仿宋" w:eastAsia="仿宋" w:cs="仿宋"/>
                      <w:color w:val="auto"/>
                      <w:kern w:val="0"/>
                      <w:sz w:val="20"/>
                      <w:szCs w:val="20"/>
                      <w:highlight w:val="none"/>
                      <w:lang w:eastAsia="zh-CN" w:bidi="ar"/>
                    </w:rPr>
                    <w:t>多联机系统、洁净空调系统</w:t>
                  </w:r>
                  <w:r>
                    <w:rPr>
                      <w:rFonts w:hint="eastAsia" w:ascii="仿宋" w:hAnsi="仿宋" w:eastAsia="仿宋" w:cs="仿宋"/>
                      <w:color w:val="auto"/>
                      <w:kern w:val="0"/>
                      <w:sz w:val="20"/>
                      <w:szCs w:val="20"/>
                      <w:highlight w:val="none"/>
                      <w:lang w:bidi="ar"/>
                    </w:rPr>
                    <w:t>等的滤网清洁、消毒</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FD3DF7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1EF7DED9">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4F7FB0A7">
              <w:tblPrEx>
                <w:tblCellMar>
                  <w:top w:w="0" w:type="dxa"/>
                  <w:left w:w="108" w:type="dxa"/>
                  <w:bottom w:w="0" w:type="dxa"/>
                  <w:right w:w="108" w:type="dxa"/>
                </w:tblCellMar>
              </w:tblPrEx>
              <w:trPr>
                <w:cantSplit/>
                <w:trHeight w:val="839"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17B73CF4">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6E52F14">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62930478">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零星机电维保团队</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F56EF03">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584" w:type="dxa"/>
                  <w:tcBorders>
                    <w:top w:val="single" w:color="000000" w:sz="4" w:space="0"/>
                    <w:left w:val="single" w:color="000000" w:sz="4" w:space="0"/>
                    <w:bottom w:val="single" w:color="000000" w:sz="4" w:space="0"/>
                    <w:right w:val="single" w:color="000000" w:sz="4" w:space="0"/>
                  </w:tcBorders>
                  <w:vAlign w:val="center"/>
                </w:tcPr>
                <w:p w14:paraId="099819F0">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p>
                <w:p w14:paraId="5673A062">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6000元/月*人</w:t>
                  </w:r>
                </w:p>
                <w:p w14:paraId="23CB91CD">
                  <w:pPr>
                    <w:widowControl/>
                    <w:spacing w:line="360" w:lineRule="auto"/>
                    <w:jc w:val="left"/>
                    <w:textAlignment w:val="center"/>
                    <w:rPr>
                      <w:rFonts w:hint="eastAsia" w:ascii="仿宋" w:hAnsi="仿宋" w:eastAsia="仿宋" w:cs="仿宋"/>
                      <w:color w:val="auto"/>
                      <w:sz w:val="21"/>
                      <w:szCs w:val="21"/>
                      <w:highlight w:val="none"/>
                    </w:rPr>
                  </w:pPr>
                </w:p>
              </w:tc>
            </w:tr>
            <w:tr w14:paraId="4476AF4C">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567E60EF">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0A0FCC2">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67880F2F">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多联机等空调维保</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A9DE04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6CBD6541">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04558FD3">
              <w:tblPrEx>
                <w:tblCellMar>
                  <w:top w:w="0" w:type="dxa"/>
                  <w:left w:w="108" w:type="dxa"/>
                  <w:bottom w:w="0" w:type="dxa"/>
                  <w:right w:w="108" w:type="dxa"/>
                </w:tblCellMar>
              </w:tblPrEx>
              <w:trPr>
                <w:cantSplit/>
                <w:trHeight w:val="1463"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04DAB804">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4F4E65D9">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1B197F4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操作人员顶班</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D10696F">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584" w:type="dxa"/>
                  <w:tcBorders>
                    <w:top w:val="single" w:color="000000" w:sz="4" w:space="0"/>
                    <w:left w:val="single" w:color="000000" w:sz="4" w:space="0"/>
                    <w:bottom w:val="single" w:color="000000" w:sz="4" w:space="0"/>
                    <w:right w:val="single" w:color="000000" w:sz="4" w:space="0"/>
                  </w:tcBorders>
                  <w:vAlign w:val="center"/>
                </w:tcPr>
                <w:p w14:paraId="627EEA4E">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p>
                <w:p w14:paraId="2B7483E5">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6000元/月*人</w:t>
                  </w:r>
                </w:p>
                <w:p w14:paraId="31050D4B">
                  <w:pPr>
                    <w:widowControl/>
                    <w:spacing w:line="360" w:lineRule="auto"/>
                    <w:jc w:val="left"/>
                    <w:textAlignment w:val="center"/>
                    <w:rPr>
                      <w:rFonts w:hint="eastAsia" w:ascii="仿宋" w:hAnsi="仿宋" w:eastAsia="仿宋" w:cs="仿宋"/>
                      <w:color w:val="auto"/>
                      <w:sz w:val="21"/>
                      <w:szCs w:val="21"/>
                      <w:highlight w:val="none"/>
                    </w:rPr>
                  </w:pPr>
                </w:p>
              </w:tc>
            </w:tr>
            <w:tr w14:paraId="4BE000CF">
              <w:tblPrEx>
                <w:tblCellMar>
                  <w:top w:w="0" w:type="dxa"/>
                  <w:left w:w="108" w:type="dxa"/>
                  <w:bottom w:w="0" w:type="dxa"/>
                  <w:right w:w="108" w:type="dxa"/>
                </w:tblCellMar>
              </w:tblPrEx>
              <w:trPr>
                <w:cantSplit/>
                <w:trHeight w:val="245"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04D1CF5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9DEA707">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384EB531">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合计</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3515A1F">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32</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37E88713">
                  <w:pPr>
                    <w:spacing w:line="360" w:lineRule="auto"/>
                    <w:jc w:val="center"/>
                    <w:rPr>
                      <w:rFonts w:hint="eastAsia" w:ascii="仿宋" w:hAnsi="仿宋" w:eastAsia="仿宋" w:cs="仿宋"/>
                      <w:b/>
                      <w:bCs/>
                      <w:color w:val="auto"/>
                      <w:sz w:val="21"/>
                      <w:szCs w:val="21"/>
                      <w:highlight w:val="none"/>
                    </w:rPr>
                  </w:pPr>
                </w:p>
              </w:tc>
            </w:tr>
          </w:tbl>
          <w:p w14:paraId="210F646D">
            <w:pPr>
              <w:keepNext/>
              <w:keepLines/>
              <w:spacing w:line="360" w:lineRule="auto"/>
              <w:ind w:firstLine="422" w:firstLineChars="200"/>
              <w:outlineLvl w:val="3"/>
              <w:rPr>
                <w:rFonts w:hint="eastAsia" w:ascii="仿宋" w:hAnsi="仿宋" w:eastAsia="仿宋" w:cs="仿宋"/>
                <w:b/>
                <w:bCs/>
                <w:color w:val="auto"/>
                <w:sz w:val="21"/>
                <w:szCs w:val="21"/>
                <w:highlight w:val="none"/>
                <w:lang w:val="zh-CN" w:eastAsia="zh-CN"/>
              </w:rPr>
            </w:pPr>
            <w:r>
              <w:rPr>
                <w:rFonts w:hint="eastAsia" w:ascii="仿宋" w:hAnsi="仿宋" w:eastAsia="仿宋" w:cs="仿宋"/>
                <w:b/>
                <w:bCs/>
                <w:color w:val="auto"/>
                <w:sz w:val="21"/>
                <w:szCs w:val="21"/>
                <w:highlight w:val="none"/>
                <w:lang w:val="zh-CN" w:eastAsia="zh-CN"/>
              </w:rPr>
              <w:t>2. 具体岗位的工作要求</w:t>
            </w:r>
          </w:p>
          <w:p w14:paraId="3474723C">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2.1项目经理</w:t>
            </w:r>
          </w:p>
          <w:p w14:paraId="1D340684">
            <w:pPr>
              <w:spacing w:line="360" w:lineRule="auto"/>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1.制定并落实项目年度/月度工作计划；</w:t>
            </w:r>
            <w:r>
              <w:rPr>
                <w:rFonts w:ascii="仿宋" w:hAnsi="仿宋" w:eastAsia="仿宋" w:cs="仿宋"/>
                <w:color w:val="auto"/>
                <w:sz w:val="21"/>
                <w:szCs w:val="21"/>
                <w:highlight w:val="none"/>
              </w:rPr>
              <w:t>负责医院全部后勤设备管理的</w:t>
            </w:r>
            <w:r>
              <w:rPr>
                <w:rFonts w:hint="eastAsia" w:ascii="仿宋" w:hAnsi="仿宋" w:eastAsia="仿宋" w:cs="仿宋"/>
                <w:color w:val="auto"/>
                <w:sz w:val="21"/>
                <w:szCs w:val="21"/>
                <w:highlight w:val="none"/>
                <w:lang w:val="en-US" w:eastAsia="zh-CN"/>
              </w:rPr>
              <w:t>总</w:t>
            </w:r>
            <w:r>
              <w:rPr>
                <w:rFonts w:ascii="仿宋" w:hAnsi="仿宋" w:eastAsia="仿宋" w:cs="仿宋"/>
                <w:color w:val="auto"/>
                <w:sz w:val="21"/>
                <w:szCs w:val="21"/>
                <w:highlight w:val="none"/>
              </w:rPr>
              <w:t>技术</w:t>
            </w:r>
            <w:r>
              <w:rPr>
                <w:rFonts w:hint="eastAsia" w:ascii="仿宋" w:hAnsi="仿宋" w:eastAsia="仿宋" w:cs="仿宋"/>
                <w:color w:val="auto"/>
                <w:sz w:val="21"/>
                <w:szCs w:val="21"/>
                <w:highlight w:val="none"/>
                <w:lang w:val="en-US" w:eastAsia="zh-CN"/>
              </w:rPr>
              <w:t>管理及</w:t>
            </w:r>
            <w:r>
              <w:rPr>
                <w:rFonts w:ascii="仿宋" w:hAnsi="仿宋" w:eastAsia="仿宋" w:cs="仿宋"/>
                <w:color w:val="auto"/>
                <w:sz w:val="21"/>
                <w:szCs w:val="21"/>
                <w:highlight w:val="none"/>
              </w:rPr>
              <w:t>指导工作。</w:t>
            </w:r>
          </w:p>
          <w:p w14:paraId="31646818">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2.熟悉管辖范围内各管理岗位的工作流程、职责和标准；</w:t>
            </w:r>
          </w:p>
          <w:p w14:paraId="1B3AD705">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3.熟悉本项目内设施设备的数量、位置、维护保养的流程和时间；</w:t>
            </w:r>
          </w:p>
          <w:p w14:paraId="3B6F7AF9">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4.负责组织对下级的各项培训、竞赛和考评，确保技能和管理达标；</w:t>
            </w:r>
          </w:p>
          <w:p w14:paraId="4CD46D8C">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5.负责每月对当月工作完成情况向院方汇报具体情况；</w:t>
            </w:r>
          </w:p>
          <w:p w14:paraId="2CC1EF11">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6.遵守国家的法律法规，建立本项目的专业运作管理手册、工作标准、操作程序，监督工程师完成专业设备设施的计划保养工作，确保设备设施安全完好和稳定运行；</w:t>
            </w:r>
          </w:p>
          <w:p w14:paraId="29AC331F">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7.严格按照国家相关专业规程、操作程序的有关规定，合理组织实施并及时对员工维修工作进行指导和检查，对违规违章操作及时纠正，保证服务质量，保证安全操作，杜绝事故隐患；</w:t>
            </w:r>
          </w:p>
          <w:p w14:paraId="0A4E4115">
            <w:pPr>
              <w:tabs>
                <w:tab w:val="left" w:pos="456"/>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对下属员工负有工作指导、安全防护、工作组织、培训的管理责任；负有对员工进行专业技能培训、安全操作培训，以及制度程序、专项预案、政府法律法规及公司涉及下属员工的指示文件的宣传普及和培训责任；</w:t>
            </w:r>
          </w:p>
          <w:p w14:paraId="6BCE0AEF">
            <w:pPr>
              <w:tabs>
                <w:tab w:val="left" w:pos="456"/>
              </w:tabs>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r>
              <w:rPr>
                <w:rFonts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val="en-US" w:eastAsia="zh-CN"/>
              </w:rPr>
              <w:t>5</w:t>
            </w:r>
            <w:r>
              <w:rPr>
                <w:rFonts w:ascii="仿宋" w:hAnsi="仿宋" w:eastAsia="仿宋" w:cs="仿宋"/>
                <w:color w:val="auto"/>
                <w:sz w:val="21"/>
                <w:szCs w:val="21"/>
                <w:highlight w:val="none"/>
              </w:rPr>
              <w:t>年</w:t>
            </w:r>
            <w:r>
              <w:rPr>
                <w:rFonts w:hint="eastAsia" w:ascii="仿宋" w:hAnsi="仿宋" w:eastAsia="仿宋" w:cs="仿宋"/>
                <w:color w:val="auto"/>
                <w:sz w:val="21"/>
                <w:szCs w:val="21"/>
                <w:highlight w:val="none"/>
                <w:lang w:eastAsia="zh-CN"/>
              </w:rPr>
              <w:t>或以上三甲医院后勤机电维保</w:t>
            </w:r>
            <w:r>
              <w:rPr>
                <w:rFonts w:ascii="仿宋" w:hAnsi="仿宋" w:eastAsia="仿宋" w:cs="仿宋"/>
                <w:color w:val="auto"/>
                <w:sz w:val="21"/>
                <w:szCs w:val="21"/>
                <w:highlight w:val="none"/>
              </w:rPr>
              <w:t>项目管理经验，负责医院全部后勤设备管理的技术指导工作。</w:t>
            </w:r>
          </w:p>
          <w:p w14:paraId="5EC18552">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2.2技术总工</w:t>
            </w:r>
          </w:p>
          <w:p w14:paraId="70B3F3B3">
            <w:pPr>
              <w:pStyle w:val="7"/>
              <w:numPr>
                <w:ilvl w:val="0"/>
                <w:numId w:val="0"/>
              </w:numPr>
              <w:tabs>
                <w:tab w:val="left" w:pos="720"/>
              </w:tabs>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1)</w:t>
            </w:r>
            <w:r>
              <w:rPr>
                <w:rFonts w:hint="eastAsia" w:ascii="仿宋" w:hAnsi="仿宋" w:eastAsia="仿宋" w:cs="仿宋"/>
                <w:color w:val="auto"/>
                <w:sz w:val="21"/>
                <w:szCs w:val="21"/>
                <w:highlight w:val="none"/>
              </w:rPr>
              <w:t>协助项目经理管理工作。</w:t>
            </w:r>
            <w:r>
              <w:rPr>
                <w:rFonts w:ascii="仿宋" w:hAnsi="仿宋" w:eastAsia="仿宋" w:cs="仿宋"/>
                <w:color w:val="auto"/>
                <w:sz w:val="21"/>
                <w:szCs w:val="21"/>
                <w:highlight w:val="none"/>
              </w:rPr>
              <w:t>负责医院全部后勤设备管理的技术指导工作。</w:t>
            </w:r>
          </w:p>
          <w:p w14:paraId="2C7517A5">
            <w:pPr>
              <w:pStyle w:val="7"/>
              <w:numPr>
                <w:ilvl w:val="0"/>
                <w:numId w:val="0"/>
              </w:numPr>
              <w:tabs>
                <w:tab w:val="left" w:pos="720"/>
              </w:tabs>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sz w:val="21"/>
                <w:szCs w:val="21"/>
                <w:highlight w:val="none"/>
              </w:rPr>
              <w:t>具体负责项目设施设备维修养护保证计划、各类施工技术方案和安全文明施工组织管理方案的编制及其检查和落实工作。</w:t>
            </w:r>
          </w:p>
          <w:p w14:paraId="75A32B04">
            <w:pPr>
              <w:pStyle w:val="7"/>
              <w:numPr>
                <w:ilvl w:val="0"/>
                <w:numId w:val="0"/>
              </w:numPr>
              <w:tabs>
                <w:tab w:val="left" w:pos="720"/>
              </w:tabs>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3)</w:t>
            </w:r>
            <w:r>
              <w:rPr>
                <w:rFonts w:hint="eastAsia" w:ascii="仿宋" w:hAnsi="仿宋" w:eastAsia="仿宋" w:cs="仿宋"/>
                <w:color w:val="auto"/>
                <w:sz w:val="21"/>
                <w:szCs w:val="21"/>
                <w:highlight w:val="none"/>
              </w:rPr>
              <w:t>负责员工培训工作。</w:t>
            </w:r>
          </w:p>
          <w:p w14:paraId="71058F0D">
            <w:pPr>
              <w:pStyle w:val="7"/>
              <w:numPr>
                <w:ilvl w:val="0"/>
                <w:numId w:val="0"/>
              </w:numPr>
              <w:tabs>
                <w:tab w:val="left" w:pos="720"/>
              </w:tabs>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4)</w:t>
            </w:r>
            <w:r>
              <w:rPr>
                <w:rFonts w:hint="eastAsia" w:ascii="仿宋" w:hAnsi="仿宋" w:eastAsia="仿宋" w:cs="仿宋"/>
                <w:color w:val="auto"/>
                <w:sz w:val="21"/>
                <w:szCs w:val="21"/>
                <w:highlight w:val="none"/>
              </w:rPr>
              <w:t>负责项目工作目标、进度的组织、管理和落实工作。</w:t>
            </w:r>
          </w:p>
          <w:p w14:paraId="49CABFEA">
            <w:pPr>
              <w:pStyle w:val="7"/>
              <w:numPr>
                <w:ilvl w:val="0"/>
                <w:numId w:val="0"/>
              </w:numPr>
              <w:tabs>
                <w:tab w:val="left" w:pos="720"/>
              </w:tabs>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sz w:val="21"/>
                <w:szCs w:val="21"/>
                <w:highlight w:val="none"/>
              </w:rPr>
              <w:t>负责项目的技术指导工作。</w:t>
            </w:r>
          </w:p>
          <w:p w14:paraId="4892B25A">
            <w:pPr>
              <w:pStyle w:val="7"/>
              <w:numPr>
                <w:ilvl w:val="0"/>
                <w:numId w:val="0"/>
              </w:numPr>
              <w:tabs>
                <w:tab w:val="left" w:pos="720"/>
              </w:tabs>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6)</w:t>
            </w:r>
            <w:r>
              <w:rPr>
                <w:rFonts w:hint="eastAsia" w:ascii="仿宋" w:hAnsi="仿宋" w:eastAsia="仿宋" w:cs="仿宋"/>
                <w:color w:val="auto"/>
                <w:sz w:val="21"/>
                <w:szCs w:val="21"/>
                <w:highlight w:val="none"/>
              </w:rPr>
              <w:t>负责技术方案的审核工作。</w:t>
            </w:r>
          </w:p>
          <w:p w14:paraId="30AE09B4">
            <w:pPr>
              <w:pStyle w:val="7"/>
              <w:numPr>
                <w:ilvl w:val="0"/>
                <w:numId w:val="0"/>
              </w:numPr>
              <w:snapToGrid w:val="0"/>
              <w:spacing w:line="360" w:lineRule="auto"/>
              <w:ind w:left="420" w:leftChars="0" w:hanging="42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lang w:val="en-US" w:eastAsia="zh-CN" w:bidi="ar-SA"/>
              </w:rPr>
              <w:t>7)</w:t>
            </w:r>
            <w:r>
              <w:rPr>
                <w:rFonts w:hint="eastAsia" w:ascii="仿宋" w:hAnsi="仿宋" w:eastAsia="仿宋" w:cs="仿宋"/>
                <w:color w:val="auto"/>
                <w:sz w:val="21"/>
                <w:szCs w:val="21"/>
                <w:highlight w:val="none"/>
              </w:rPr>
              <w:t>熟悉各工种的专业知识，发现问题能准确判断。</w:t>
            </w:r>
          </w:p>
          <w:p w14:paraId="3A0A6A39">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2.3洁净系统人员</w:t>
            </w:r>
          </w:p>
          <w:p w14:paraId="4A0B3AEE">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1.运行值班员要尽职尽责，坚守工作岗位，认真监视设备的运行情况，按时做好设备运行记录，发现异常情况及时报告并做好记录；</w:t>
            </w:r>
          </w:p>
          <w:p w14:paraId="071A2FFD">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2.熟练掌握机组的工作原理、运行特点和技术性能等专业知识；</w:t>
            </w:r>
          </w:p>
          <w:p w14:paraId="66FE6FB1">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3.负责空调机组和手术室内设备的维护保养，定时巡视检查机组运行状况，做好每日运行、维护、保养纪录；</w:t>
            </w:r>
          </w:p>
          <w:p w14:paraId="50329BD0">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4.要以高度的责任心检查并记录每台机组的温度、湿度、压力、电流、电压等关键数据，看其是否在正常工作范围；按保养规定做好设备的周、月、季保养工作，确保设备的正常运行；</w:t>
            </w:r>
          </w:p>
          <w:p w14:paraId="2253BCCE">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5.接到手术室报修电话后，应立即组织维修。如需停机维修，应通知手术室有关人员，同意后方可工作并作详细记录；</w:t>
            </w:r>
          </w:p>
          <w:p w14:paraId="27A5E21C">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6.运行值班员必须熟练掌握发生灾害事故和设备运行故障的紧急处理方法，熟悉消防器材的使用。当发生紧急情况时采取相应措施并报告主管或经理；</w:t>
            </w:r>
          </w:p>
          <w:p w14:paraId="75AEEEF0">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9.运行值班员应按规定着装进入手术室，每天对机房责任区（含楼面）进行清扫，确保卫生整洁；</w:t>
            </w:r>
          </w:p>
          <w:p w14:paraId="48F94137">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10.值班人员要服从指挥，严格执行操作规程、完成领导安排的一切工作、不得在工作岗位上做与值班内容无关的事情，不得擅自调试正常运行的设备参数；</w:t>
            </w:r>
          </w:p>
          <w:p w14:paraId="5BFC7B48">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11.认真执行机房登记制度，无关人员未经允许禁止进入空调机房，机房内禁止吸烟，违者罚款。</w:t>
            </w:r>
          </w:p>
          <w:p w14:paraId="4A756919">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2.4</w:t>
            </w:r>
            <w:r>
              <w:rPr>
                <w:rFonts w:hint="eastAsia" w:ascii="仿宋_GB2312" w:hAnsi="仿宋_GB2312" w:eastAsia="仿宋_GB2312" w:cs="仿宋_GB2312"/>
                <w:color w:val="auto"/>
                <w:kern w:val="0"/>
                <w:sz w:val="20"/>
                <w:szCs w:val="20"/>
                <w:highlight w:val="none"/>
                <w:lang w:eastAsia="zh-CN" w:bidi="ar"/>
              </w:rPr>
              <w:t>多联机系统、洁净空调系统</w:t>
            </w:r>
            <w:r>
              <w:rPr>
                <w:rFonts w:hint="eastAsia" w:ascii="宋体" w:hAnsi="宋体" w:eastAsia="宋体" w:cs="宋体"/>
                <w:color w:val="auto"/>
                <w:sz w:val="20"/>
                <w:szCs w:val="20"/>
                <w:highlight w:val="none"/>
              </w:rPr>
              <w:t>人员</w:t>
            </w:r>
          </w:p>
          <w:p w14:paraId="66D4C5EC">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1.负责</w:t>
            </w:r>
            <w:r>
              <w:rPr>
                <w:rFonts w:hint="eastAsia" w:ascii="仿宋_GB2312" w:hAnsi="仿宋_GB2312" w:eastAsia="仿宋_GB2312" w:cs="仿宋_GB2312"/>
                <w:color w:val="auto"/>
                <w:kern w:val="0"/>
                <w:sz w:val="20"/>
                <w:szCs w:val="20"/>
                <w:highlight w:val="none"/>
                <w:lang w:eastAsia="zh-CN" w:bidi="ar"/>
              </w:rPr>
              <w:t>多联机系统、洁净空调系统</w:t>
            </w:r>
            <w:r>
              <w:rPr>
                <w:rFonts w:hint="eastAsia" w:ascii="仿宋" w:hAnsi="仿宋" w:eastAsia="仿宋" w:cs="仿宋"/>
                <w:color w:val="auto"/>
                <w:sz w:val="21"/>
                <w:szCs w:val="21"/>
                <w:highlight w:val="none"/>
              </w:rPr>
              <w:t>制冷机房内制冷机组的操作运行；</w:t>
            </w:r>
          </w:p>
          <w:p w14:paraId="70E137D4">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2.负责制冷机组相配套的冷冻水泵、分集水器、软化水设备及水箱的操作运行；</w:t>
            </w:r>
          </w:p>
          <w:p w14:paraId="3C96F22C">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3.负责屋面冷却水塔的操作运行，负责冷却水塔相配套的冷却水泵的操作运行；</w:t>
            </w:r>
          </w:p>
          <w:p w14:paraId="15415B20">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4.负责空调制冷机房内生活冷、热水的供给运行及相配套的加压水泵、热交换罐、分水缸及水箱等的操作运行；</w:t>
            </w:r>
          </w:p>
          <w:p w14:paraId="27B3FA48">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5.负责机房内消防水箱、水泵的监视运行；</w:t>
            </w:r>
          </w:p>
          <w:p w14:paraId="385C9A78">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6.负责机房内设备电气控制柜及保护装置的操控和监视；</w:t>
            </w:r>
          </w:p>
          <w:p w14:paraId="1EB7F10F">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7.负责机房内的安全防火工作；</w:t>
            </w:r>
          </w:p>
          <w:p w14:paraId="1E5A0790">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8.执行部门安排的机房内设备设施的维护保养工作和设备检修工作；</w:t>
            </w:r>
          </w:p>
          <w:p w14:paraId="4949C864">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9.执行部门安排的其它临时性工作。</w:t>
            </w:r>
          </w:p>
          <w:p w14:paraId="26707DA7">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2.5热水系统人员</w:t>
            </w:r>
          </w:p>
          <w:p w14:paraId="1FB4C48F">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1.负责热力机房内供暖循环水泵机组、供暖空调循环水泵机组、专供手术室供暖循环机组的运行，负责循环水泵机组相配套的补水水泵、热板换、分、集水缸、水箱及软化水设备的操作运行；</w:t>
            </w:r>
          </w:p>
          <w:p w14:paraId="67214D5D">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2.负责热力机房内生活冷、热水的供给运行及相配套的加压水泵、热交换罐、分水缸及水箱等的操作运行；</w:t>
            </w:r>
          </w:p>
          <w:p w14:paraId="2E491D62">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3.负责机房内消防水箱、水泵的监视运行；</w:t>
            </w:r>
          </w:p>
          <w:p w14:paraId="0BB04116">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4.负责机房内设备电气控制柜及保护装置的操控和监视；</w:t>
            </w:r>
          </w:p>
          <w:p w14:paraId="0134547B">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5.负责锅炉水的化验工作；</w:t>
            </w:r>
          </w:p>
          <w:p w14:paraId="499AC2A9">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6.负责机房内的安全防火工作；</w:t>
            </w:r>
          </w:p>
          <w:p w14:paraId="15E7DAE8">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7.执行部门安排的机房内设备设施的维护保养工作和设备检修工作；</w:t>
            </w:r>
          </w:p>
          <w:p w14:paraId="1C70E179">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8.执行部门安排的其它临时性工作。</w:t>
            </w:r>
          </w:p>
          <w:p w14:paraId="74D461F5">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9.负责医院太阳能热水供给系统的日常维护</w:t>
            </w:r>
          </w:p>
          <w:p w14:paraId="1E9B011C">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 xml:space="preserve">2.6 </w:t>
            </w:r>
            <w:r>
              <w:rPr>
                <w:rFonts w:hint="eastAsia" w:ascii="仿宋" w:hAnsi="仿宋" w:eastAsia="仿宋" w:cs="仿宋"/>
                <w:b/>
                <w:bCs/>
                <w:color w:val="auto"/>
                <w:sz w:val="21"/>
                <w:szCs w:val="21"/>
                <w:highlight w:val="none"/>
                <w:u w:val="single"/>
                <w:lang w:eastAsia="zh-CN"/>
              </w:rPr>
              <w:t>机电设备后勤信息</w:t>
            </w:r>
            <w:r>
              <w:rPr>
                <w:rFonts w:hint="eastAsia" w:ascii="仿宋" w:hAnsi="仿宋" w:eastAsia="仿宋" w:cs="仿宋"/>
                <w:b/>
                <w:bCs/>
                <w:color w:val="auto"/>
                <w:sz w:val="21"/>
                <w:szCs w:val="21"/>
                <w:highlight w:val="none"/>
                <w:u w:val="single"/>
              </w:rPr>
              <w:t>系统人员</w:t>
            </w:r>
            <w:r>
              <w:rPr>
                <w:rFonts w:hint="eastAsia" w:ascii="仿宋" w:hAnsi="仿宋" w:eastAsia="仿宋" w:cs="仿宋"/>
                <w:b/>
                <w:bCs/>
                <w:color w:val="auto"/>
                <w:sz w:val="21"/>
                <w:szCs w:val="21"/>
                <w:highlight w:val="none"/>
                <w:u w:val="single"/>
                <w:lang w:val="en-US" w:eastAsia="zh-CN"/>
              </w:rPr>
              <w:t xml:space="preserve"> </w:t>
            </w:r>
          </w:p>
          <w:p w14:paraId="03A02E87">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（1）熟悉制冷空调专业知识，熟悉楼宇自控系统控制对象：冷水机组及冷冻站、组合式空调、新风机组、换热器及换热站、给排水、变配电系统、照明系统、电梯系统工作原理；</w:t>
            </w:r>
          </w:p>
          <w:p w14:paraId="1AD72982">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（2）熟悉电工基础知识，熟悉三相五线供电工作原理，熟悉交流接触器、热继电器、变压器、继电器等主要电气原件工作原理，熟悉各种线材规格及选型；</w:t>
            </w:r>
          </w:p>
          <w:p w14:paraId="0DC815EC">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熟悉楼宇自控系统工作原理、作用，了解楼控系统主要设备中央管理软件、通讯控制器（网络控制器）、直接数字控制器或者程序逻辑控制器和末端设备（温湿度传感器、压差开关、低温断路器、电动风阀执行器、电动水阀、微压差变送器、二痒化碳变送器、浮球开关、水流开关、液位变送器）等功能；</w:t>
            </w:r>
          </w:p>
          <w:p w14:paraId="5D0E5A88">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（4）熟练通过现场控制器对空调机组、冷水机组、制冷站、换热站、给排水系统、照明系统等运行操作；</w:t>
            </w:r>
          </w:p>
          <w:p w14:paraId="2C71E360">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（5）熟练通过中央管理站对空调机组、冷水机组、制冷站、给排水系统、照明系统等运行操作；</w:t>
            </w:r>
          </w:p>
          <w:p w14:paraId="0C140B3E">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（6）能够配合上一级领导处理完成相关工作。</w:t>
            </w:r>
          </w:p>
          <w:p w14:paraId="00BCC105">
            <w:pPr>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（7）熟练WORD、EXCEL、具有起草系统检修报告能力；</w:t>
            </w:r>
          </w:p>
          <w:p w14:paraId="03C57E97">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（8）能根据DDC、或中央站给出数据对楼控所管理设备故障部位进行准确判断；</w:t>
            </w:r>
          </w:p>
          <w:p w14:paraId="31620984">
            <w:pPr>
              <w:widowControl/>
              <w:shd w:val="clear" w:color="auto" w:fill="FFFFFF"/>
              <w:spacing w:line="360" w:lineRule="auto"/>
              <w:ind w:firstLine="218" w:firstLineChars="10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（9）熟悉变频器工作原理，至少掌握一个品牌变频器的设定、操作；</w:t>
            </w:r>
          </w:p>
          <w:p w14:paraId="2B0542B4">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2.7供配电系统人员</w:t>
            </w:r>
          </w:p>
          <w:p w14:paraId="65731E5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1.高低压变电房日常维护、值班等，24小时双岗值守。</w:t>
            </w:r>
          </w:p>
          <w:p w14:paraId="3FF17F42">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2.负责配电室内高压配电装置及变压器的值班监视运行；</w:t>
            </w:r>
          </w:p>
          <w:p w14:paraId="395CF0C0">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3.负责配电室内低压配电装置、直流控制屏柜及保护监视装置的值班监视运行；</w:t>
            </w:r>
          </w:p>
          <w:p w14:paraId="1A5E106A">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4.执行电气负责主管下达的倒闸操作指令且所有操作均符合电气规程的要求；</w:t>
            </w:r>
          </w:p>
          <w:p w14:paraId="40E39B85">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5.负责机房内的安全防火工作；</w:t>
            </w:r>
          </w:p>
          <w:p w14:paraId="1EC2F4EB">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6.★负责医院高低压变配电及备用电源的运行维护、管理，要求从业人员具有《特种作业操作证》（高压电工作业），且实行24小时双人值班制度，并要求在值班过程中不得从事其他</w:t>
            </w:r>
            <w:r>
              <w:rPr>
                <w:rFonts w:hint="eastAsia" w:ascii="仿宋" w:hAnsi="仿宋" w:eastAsia="仿宋" w:cs="仿宋"/>
                <w:color w:val="auto"/>
                <w:sz w:val="21"/>
                <w:szCs w:val="21"/>
                <w:highlight w:val="none"/>
                <w:lang w:eastAsia="zh-CN"/>
              </w:rPr>
              <w:t>与本职</w:t>
            </w:r>
            <w:r>
              <w:rPr>
                <w:rFonts w:hint="eastAsia" w:ascii="仿宋" w:hAnsi="仿宋" w:eastAsia="仿宋" w:cs="仿宋"/>
                <w:color w:val="auto"/>
                <w:sz w:val="21"/>
                <w:szCs w:val="21"/>
                <w:highlight w:val="none"/>
              </w:rPr>
              <w:t>无关的工作。</w:t>
            </w:r>
            <w:r>
              <w:rPr>
                <w:rFonts w:hint="eastAsia" w:ascii="仿宋" w:hAnsi="仿宋" w:eastAsia="仿宋" w:cs="仿宋"/>
                <w:color w:val="auto"/>
                <w:sz w:val="21"/>
                <w:szCs w:val="21"/>
                <w:highlight w:val="none"/>
                <w:lang w:eastAsia="zh-CN"/>
              </w:rPr>
              <w:t>（提供承诺函，格式自拟）</w:t>
            </w:r>
          </w:p>
          <w:p w14:paraId="3FEDE6EC">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7.设置专人（电气相关专业、本科及以上学历）对供电设备设施、供电线路以及其他与工程安全有关的巡查、排查工作，定期形成电气安全巡检报告。</w:t>
            </w:r>
          </w:p>
          <w:p w14:paraId="599975CA">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8.执行部门安排的配电室内设备设施的维护保养工作和设备检修工作；</w:t>
            </w:r>
          </w:p>
          <w:p w14:paraId="2621A83E">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9.变电室值班电工应严格遵守采购人的管理规定。执行各项规定的中的条款；</w:t>
            </w:r>
          </w:p>
          <w:p w14:paraId="0A6A5ECF">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10.值班人员应掌握变配电设备的结构、性能、操作方法，</w:t>
            </w:r>
            <w:r>
              <w:rPr>
                <w:rFonts w:hint="eastAsia" w:ascii="仿宋" w:hAnsi="仿宋" w:eastAsia="仿宋" w:cs="仿宋"/>
                <w:color w:val="auto"/>
                <w:sz w:val="21"/>
                <w:szCs w:val="21"/>
                <w:highlight w:val="none"/>
                <w:lang w:eastAsia="zh-CN"/>
              </w:rPr>
              <w:t>如</w:t>
            </w:r>
            <w:r>
              <w:rPr>
                <w:rFonts w:hint="eastAsia" w:ascii="仿宋" w:hAnsi="仿宋" w:eastAsia="仿宋" w:cs="仿宋"/>
                <w:color w:val="auto"/>
                <w:sz w:val="21"/>
                <w:szCs w:val="21"/>
                <w:highlight w:val="none"/>
              </w:rPr>
              <w:t>遇有突发事故时，应能做到果断、迅速、正确处理；</w:t>
            </w:r>
          </w:p>
          <w:p w14:paraId="3B200CA9">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11.遵守“调度制度”，执行上一级供电部门发布的操作命令，并认真作好记录。同时应遵守供电部门颁布的其它规章和规程；</w:t>
            </w:r>
          </w:p>
          <w:p w14:paraId="015D4050">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12.每小时对设备进行一次巡视，并做运行记录，抄表时，数据要准确，字迹要工整；</w:t>
            </w:r>
          </w:p>
          <w:p w14:paraId="508C4EEF">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13.遵守各项规定，提前做好工作准备，按工作程序完成停送电工作；</w:t>
            </w:r>
          </w:p>
          <w:p w14:paraId="25ECBACD">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14.遵守《交接班制度》，点交好交接班内容，认真做好交接班工作；</w:t>
            </w:r>
          </w:p>
          <w:p w14:paraId="1D9F1562">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15.保持设备场地的整洁，每班均须打扫卫生；</w:t>
            </w:r>
          </w:p>
          <w:p w14:paraId="0E748038">
            <w:pPr>
              <w:tabs>
                <w:tab w:val="left" w:pos="0"/>
              </w:tabs>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16.执行部门安排的其它临时性工作；</w:t>
            </w:r>
          </w:p>
          <w:p w14:paraId="60DDB22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17.负责本专业培训工作。</w:t>
            </w:r>
          </w:p>
          <w:p w14:paraId="3DA83006">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2.7.1</w:t>
            </w:r>
            <w:r>
              <w:rPr>
                <w:rFonts w:hint="eastAsia" w:ascii="仿宋" w:hAnsi="仿宋" w:eastAsia="仿宋" w:cs="仿宋"/>
                <w:color w:val="auto"/>
                <w:sz w:val="21"/>
                <w:szCs w:val="21"/>
                <w:highlight w:val="none"/>
                <w:lang w:val="en-GB"/>
              </w:rPr>
              <w:t>高低压变电房日常维护、值班质量要求</w:t>
            </w:r>
          </w:p>
          <w:p w14:paraId="678F3027">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GB"/>
              </w:rPr>
              <w:t>要求值班人员必需持符合供电部门要求的高、低压电工证上岗。有从事电工工作经验及高、低压电房管理工作经验。</w:t>
            </w:r>
          </w:p>
          <w:p w14:paraId="77C44F9A">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GB"/>
              </w:rPr>
              <w:t>根据机电设备运行规范要求，对高压房、变压器设备设施进行24小时运行值班监控，按供电局要求填写运行记录，保障设备设施的正常运转。</w:t>
            </w:r>
          </w:p>
          <w:p w14:paraId="480C23F8">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GB"/>
              </w:rPr>
              <w:t>提供高压房、专变房、低压房（新旧楼各一间）室内设备的日常维护、保养服务，保证室内环境、设备的清洁卫生。积极协助医院的供配电的急修、零修、小修工作，进行维修工作时严格按照采购人的有关规定进行。</w:t>
            </w:r>
          </w:p>
          <w:p w14:paraId="4700607D">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GB"/>
              </w:rPr>
              <w:t>负责医院低压用电及各机房应急处理。发现问题及时报告，并组织有关人员处理，保障医院正常供电。</w:t>
            </w:r>
          </w:p>
          <w:p w14:paraId="2E2BA71C">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GB"/>
              </w:rPr>
              <w:t>依据医院的实际需要，建立健全切实可行符合行业规范要求的各项规章制度、操作规程及服务规范。保证高、低压电房管理符合供电部门和医院要求。</w:t>
            </w:r>
          </w:p>
          <w:p w14:paraId="12E18E00">
            <w:pPr>
              <w:snapToGrid w:val="0"/>
              <w:spacing w:line="360" w:lineRule="auto"/>
              <w:ind w:firstLine="420" w:firstLineChars="200"/>
              <w:jc w:val="left"/>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GB"/>
              </w:rPr>
              <w:t>做好机房安全防火工作，不准在机房内抽烟、喝酒、接访客人。值班期间不得在机房睡觉或干与值班无关的工作。</w:t>
            </w:r>
          </w:p>
          <w:p w14:paraId="6E1CB43E">
            <w:pPr>
              <w:snapToGrid w:val="0"/>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2.8水电杂项维修人员</w:t>
            </w:r>
          </w:p>
          <w:p w14:paraId="6D92088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1.部门有明确的管理制度、安全操作规程、岗位职责和各类人员职责。</w:t>
            </w:r>
          </w:p>
          <w:p w14:paraId="6A52223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2.服务热情，礼貌用语，主动了解科室需求，对科室提出的要求，询问清楚并详细记录，及时解决。</w:t>
            </w:r>
          </w:p>
          <w:p w14:paraId="4CB21AC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3.工具房摆放整齐，保持室内和设备的整洁，保持通风良好和设备整洁，防止杂物堆放，</w:t>
            </w:r>
            <w:r>
              <w:rPr>
                <w:rFonts w:hint="eastAsia" w:ascii="仿宋" w:hAnsi="仿宋" w:eastAsia="仿宋" w:cs="仿宋"/>
                <w:color w:val="auto"/>
                <w:sz w:val="21"/>
                <w:szCs w:val="21"/>
                <w:highlight w:val="none"/>
                <w:lang w:eastAsia="zh-CN"/>
              </w:rPr>
              <w:t>中标人提供</w:t>
            </w:r>
            <w:r>
              <w:rPr>
                <w:rFonts w:hint="eastAsia" w:ascii="仿宋" w:hAnsi="仿宋" w:eastAsia="仿宋" w:cs="仿宋"/>
                <w:color w:val="auto"/>
                <w:sz w:val="21"/>
                <w:szCs w:val="21"/>
                <w:highlight w:val="none"/>
              </w:rPr>
              <w:t>防鼠板按要求放置。</w:t>
            </w:r>
          </w:p>
          <w:p w14:paraId="52F9F39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4.日常维修服务小修不过夜，大修2天内处理完毕。维修完毕后及时告知科室并填好相关记录；对不能及时维修的内容，及时向科室解释清楚。保证维修质量，并做好复检工作。</w:t>
            </w:r>
          </w:p>
          <w:p w14:paraId="32F6081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5.完善科室、公共区域巡查制度（</w:t>
            </w:r>
            <w:r>
              <w:rPr>
                <w:rFonts w:hint="eastAsia" w:ascii="仿宋" w:hAnsi="仿宋" w:eastAsia="仿宋" w:cs="仿宋"/>
                <w:color w:val="auto"/>
                <w:sz w:val="21"/>
                <w:szCs w:val="21"/>
                <w:highlight w:val="none"/>
                <w:lang w:eastAsia="zh-CN"/>
              </w:rPr>
              <w:t>每日至少一次</w:t>
            </w:r>
            <w:r>
              <w:rPr>
                <w:rFonts w:hint="eastAsia" w:ascii="仿宋" w:hAnsi="仿宋" w:eastAsia="仿宋" w:cs="仿宋"/>
                <w:color w:val="auto"/>
                <w:sz w:val="21"/>
                <w:szCs w:val="21"/>
                <w:highlight w:val="none"/>
              </w:rPr>
              <w:t>）。负责公共设施的检查工作，及时发现公共基础设施的完好状况，发现有损坏、隐患或其他不正常情况，做好记录并及时组织人员维修，确保公共设施的正常。保证公共照明及用水正常，防止浪费。</w:t>
            </w:r>
          </w:p>
          <w:p w14:paraId="618A1BE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6.发生停电、停水、火警或其他事故，应立即到位与相关部门取得联系，并迅速查明原因，并采取应急措施。及时排除故障，恢复正常。</w:t>
            </w:r>
          </w:p>
          <w:p w14:paraId="79E4AB7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7.要做到三勤（勤巡视、勤检查、勤保养），四会（会操作、会判断异常情况、会处理故障、维护保养）。</w:t>
            </w:r>
          </w:p>
          <w:p w14:paraId="7CAAC35B">
            <w:pPr>
              <w:widowControl/>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 xml:space="preserve">备注： </w:t>
            </w:r>
          </w:p>
          <w:p w14:paraId="30D37E7A">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（1）所有岗位人员均应属于中标人在编人员，不得采用任何形式的分包方式进行管理。</w:t>
            </w:r>
          </w:p>
          <w:p w14:paraId="38623FB4">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（2）项目</w:t>
            </w:r>
            <w:r>
              <w:rPr>
                <w:rFonts w:hint="eastAsia" w:ascii="仿宋" w:hAnsi="仿宋" w:eastAsia="仿宋" w:cs="仿宋"/>
                <w:color w:val="auto"/>
                <w:sz w:val="21"/>
                <w:szCs w:val="21"/>
                <w:highlight w:val="none"/>
                <w:lang w:val="en-GB" w:eastAsia="zh-CN"/>
              </w:rPr>
              <w:t>经理</w:t>
            </w:r>
            <w:r>
              <w:rPr>
                <w:rFonts w:hint="eastAsia" w:ascii="仿宋" w:hAnsi="仿宋" w:eastAsia="仿宋" w:cs="仿宋"/>
                <w:color w:val="auto"/>
                <w:sz w:val="21"/>
                <w:szCs w:val="21"/>
                <w:highlight w:val="none"/>
                <w:lang w:val="en-GB"/>
              </w:rPr>
              <w:t>：须具备</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GB"/>
              </w:rPr>
              <w:t>年</w:t>
            </w:r>
            <w:r>
              <w:rPr>
                <w:rFonts w:hint="eastAsia" w:ascii="仿宋" w:hAnsi="仿宋" w:eastAsia="仿宋" w:cs="仿宋"/>
                <w:color w:val="auto"/>
                <w:sz w:val="21"/>
                <w:szCs w:val="21"/>
                <w:highlight w:val="none"/>
                <w:lang w:val="en-GB" w:eastAsia="zh-CN"/>
              </w:rPr>
              <w:t>或</w:t>
            </w:r>
            <w:r>
              <w:rPr>
                <w:rFonts w:hint="eastAsia" w:ascii="仿宋" w:hAnsi="仿宋" w:eastAsia="仿宋" w:cs="仿宋"/>
                <w:color w:val="auto"/>
                <w:sz w:val="21"/>
                <w:szCs w:val="21"/>
                <w:highlight w:val="none"/>
                <w:lang w:val="en-GB"/>
              </w:rPr>
              <w:t>以上的三甲医院后勤机电维保项目经验，了解医院运作程序，掌握医疗设施安全运行维护方式，并具有动力设备设施运行维护项目的管理经验。</w:t>
            </w:r>
          </w:p>
          <w:p w14:paraId="5FC4C91C">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（3）</w:t>
            </w:r>
            <w:r>
              <w:rPr>
                <w:rFonts w:hint="eastAsia" w:ascii="仿宋" w:hAnsi="仿宋" w:eastAsia="仿宋" w:cs="仿宋"/>
                <w:color w:val="auto"/>
                <w:sz w:val="21"/>
                <w:szCs w:val="21"/>
                <w:highlight w:val="none"/>
              </w:rPr>
              <w:t>技术总工</w:t>
            </w:r>
            <w:r>
              <w:rPr>
                <w:rFonts w:hint="eastAsia" w:ascii="仿宋" w:hAnsi="仿宋" w:eastAsia="仿宋" w:cs="仿宋"/>
                <w:color w:val="auto"/>
                <w:sz w:val="21"/>
                <w:szCs w:val="21"/>
                <w:highlight w:val="none"/>
                <w:lang w:val="en-GB"/>
              </w:rPr>
              <w:t>：须具备</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GB"/>
              </w:rPr>
              <w:t>年</w:t>
            </w:r>
            <w:r>
              <w:rPr>
                <w:rFonts w:hint="eastAsia"/>
                <w:color w:val="auto"/>
                <w:highlight w:val="none"/>
                <w:lang w:eastAsia="zh-CN"/>
              </w:rPr>
              <w:t>或</w:t>
            </w:r>
            <w:r>
              <w:rPr>
                <w:rFonts w:hint="eastAsia" w:ascii="仿宋" w:hAnsi="仿宋" w:eastAsia="仿宋" w:cs="仿宋"/>
                <w:color w:val="auto"/>
                <w:sz w:val="21"/>
                <w:szCs w:val="21"/>
                <w:highlight w:val="none"/>
                <w:lang w:val="en-GB"/>
              </w:rPr>
              <w:t>以上三甲医院电气或净化系统工作经验，掌握各</w:t>
            </w:r>
            <w:r>
              <w:rPr>
                <w:rFonts w:hint="eastAsia" w:ascii="仿宋" w:hAnsi="仿宋" w:eastAsia="仿宋" w:cs="仿宋"/>
                <w:color w:val="auto"/>
                <w:sz w:val="21"/>
                <w:szCs w:val="21"/>
                <w:highlight w:val="none"/>
              </w:rPr>
              <w:t>系统</w:t>
            </w:r>
            <w:r>
              <w:rPr>
                <w:rFonts w:hint="eastAsia" w:ascii="仿宋" w:hAnsi="仿宋" w:eastAsia="仿宋" w:cs="仿宋"/>
                <w:color w:val="auto"/>
                <w:sz w:val="21"/>
                <w:szCs w:val="21"/>
                <w:highlight w:val="none"/>
                <w:lang w:val="en-GB"/>
              </w:rPr>
              <w:t>安全运行维护方式，并具有</w:t>
            </w:r>
            <w:r>
              <w:rPr>
                <w:rFonts w:hint="eastAsia" w:ascii="仿宋" w:hAnsi="仿宋" w:eastAsia="仿宋" w:cs="仿宋"/>
                <w:color w:val="auto"/>
                <w:sz w:val="21"/>
                <w:szCs w:val="21"/>
                <w:highlight w:val="none"/>
              </w:rPr>
              <w:t>医疗洁净系统</w:t>
            </w:r>
            <w:r>
              <w:rPr>
                <w:rFonts w:hint="eastAsia" w:ascii="仿宋" w:hAnsi="仿宋" w:eastAsia="仿宋" w:cs="仿宋"/>
                <w:color w:val="auto"/>
                <w:sz w:val="21"/>
                <w:szCs w:val="21"/>
                <w:highlight w:val="none"/>
                <w:lang w:val="en-GB"/>
              </w:rPr>
              <w:t>运行维护的技术综合能力。</w:t>
            </w:r>
          </w:p>
          <w:p w14:paraId="60504FA0">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（4）各专业主管人员必须具备操作证</w:t>
            </w:r>
            <w:r>
              <w:rPr>
                <w:rFonts w:hint="eastAsia" w:ascii="仿宋" w:hAnsi="仿宋" w:eastAsia="仿宋" w:cs="仿宋"/>
                <w:color w:val="auto"/>
                <w:sz w:val="21"/>
                <w:szCs w:val="21"/>
                <w:highlight w:val="none"/>
                <w:lang w:val="en-GB" w:eastAsia="zh-CN"/>
              </w:rPr>
              <w:t>或</w:t>
            </w:r>
            <w:r>
              <w:rPr>
                <w:rFonts w:hint="eastAsia" w:ascii="仿宋" w:hAnsi="仿宋" w:eastAsia="仿宋" w:cs="仿宋"/>
                <w:color w:val="auto"/>
                <w:sz w:val="21"/>
                <w:szCs w:val="21"/>
                <w:highlight w:val="none"/>
                <w:lang w:val="en-GB"/>
              </w:rPr>
              <w:t>以上职称证书。</w:t>
            </w:r>
          </w:p>
          <w:p w14:paraId="1283AF1C">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（5）各重要运行岗位服务人员应持有相应的上岗资格证书。</w:t>
            </w:r>
          </w:p>
          <w:p w14:paraId="6992C73A">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（6）承诺为本项目全员配发岗位工作相关小型维修工具。</w:t>
            </w:r>
          </w:p>
          <w:p w14:paraId="5E05D9EB">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（7）承诺对医院现有人员进行专业培养培训。</w:t>
            </w:r>
          </w:p>
          <w:p w14:paraId="4B9BCE73">
            <w:pPr>
              <w:snapToGrid w:val="0"/>
              <w:spacing w:line="360" w:lineRule="auto"/>
              <w:ind w:firstLine="422" w:firstLineChars="200"/>
              <w:rPr>
                <w:rFonts w:hint="eastAsia" w:ascii="仿宋" w:hAnsi="仿宋" w:eastAsia="仿宋" w:cs="仿宋"/>
                <w:b/>
                <w:color w:val="auto"/>
                <w:sz w:val="21"/>
                <w:szCs w:val="21"/>
                <w:highlight w:val="none"/>
                <w:lang w:val="en-GB"/>
              </w:rPr>
            </w:pPr>
            <w:r>
              <w:rPr>
                <w:rFonts w:hint="eastAsia" w:ascii="仿宋" w:hAnsi="仿宋" w:eastAsia="仿宋" w:cs="仿宋"/>
                <w:b/>
                <w:color w:val="auto"/>
                <w:sz w:val="21"/>
                <w:szCs w:val="21"/>
                <w:highlight w:val="none"/>
              </w:rPr>
              <w:t>3、人员考核与管理</w:t>
            </w:r>
          </w:p>
          <w:p w14:paraId="4C798EA4">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（1）签订合同时采购人需明确用工人员资质，中标人需在进场时附人员名单、身份证明和资质证明的复印件交</w:t>
            </w:r>
            <w:r>
              <w:rPr>
                <w:rFonts w:hint="eastAsia" w:ascii="仿宋" w:hAnsi="仿宋" w:eastAsia="仿宋" w:cs="仿宋"/>
                <w:color w:val="auto"/>
                <w:sz w:val="21"/>
                <w:szCs w:val="21"/>
                <w:highlight w:val="none"/>
                <w:lang w:val="en-GB" w:eastAsia="zh-CN"/>
              </w:rPr>
              <w:t>采购人</w:t>
            </w:r>
            <w:r>
              <w:rPr>
                <w:rFonts w:hint="eastAsia" w:ascii="仿宋" w:hAnsi="仿宋" w:eastAsia="仿宋" w:cs="仿宋"/>
                <w:color w:val="auto"/>
                <w:sz w:val="21"/>
                <w:szCs w:val="21"/>
                <w:highlight w:val="none"/>
                <w:lang w:val="en-GB"/>
              </w:rPr>
              <w:t>存档。</w:t>
            </w:r>
          </w:p>
          <w:p w14:paraId="32BA2C47">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（2）为维持人员稳定性、保证工作质量，合同期内不允许更换重要岗位骨干技术人员（包括但不限于项目经理、技术总工），若重要岗位人员离职，必须提前至少一个月书面通知采购人，获</w:t>
            </w:r>
            <w:r>
              <w:rPr>
                <w:rFonts w:hint="eastAsia" w:ascii="仿宋" w:hAnsi="仿宋" w:eastAsia="仿宋" w:cs="仿宋"/>
                <w:color w:val="auto"/>
                <w:sz w:val="21"/>
                <w:szCs w:val="21"/>
                <w:highlight w:val="none"/>
                <w:lang w:val="en-GB" w:eastAsia="zh-CN"/>
              </w:rPr>
              <w:t>采购人</w:t>
            </w:r>
            <w:r>
              <w:rPr>
                <w:rFonts w:hint="eastAsia" w:ascii="仿宋" w:hAnsi="仿宋" w:eastAsia="仿宋" w:cs="仿宋"/>
                <w:color w:val="auto"/>
                <w:sz w:val="21"/>
                <w:szCs w:val="21"/>
                <w:highlight w:val="none"/>
                <w:lang w:val="en-GB"/>
              </w:rPr>
              <w:t>同意后方可离职，并于离职后由中标人出具书面离职证明供采购人备案。其他人员原则上不允许更换或借调，确需变更，要求中标人提前一周书面提出，新上岗人员需经采购人指派人员进行面试，面试合格通过以后才能正式上岗，借调人员按日期扣减相应服务费。</w:t>
            </w:r>
          </w:p>
          <w:p w14:paraId="05C5811F">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（3）新员工上岗必须安排一周的培训时间，做好新老交接与</w:t>
            </w:r>
            <w:r>
              <w:rPr>
                <w:rFonts w:hint="eastAsia" w:ascii="仿宋" w:hAnsi="仿宋" w:eastAsia="仿宋" w:cs="仿宋"/>
                <w:color w:val="auto"/>
                <w:sz w:val="21"/>
                <w:szCs w:val="21"/>
                <w:highlight w:val="none"/>
                <w:lang w:val="en-GB" w:eastAsia="zh-CN"/>
              </w:rPr>
              <w:t>业务</w:t>
            </w:r>
            <w:r>
              <w:rPr>
                <w:rFonts w:hint="eastAsia" w:ascii="仿宋" w:hAnsi="仿宋" w:eastAsia="仿宋" w:cs="仿宋"/>
                <w:color w:val="auto"/>
                <w:sz w:val="21"/>
                <w:szCs w:val="21"/>
                <w:highlight w:val="none"/>
                <w:lang w:val="en-GB"/>
              </w:rPr>
              <w:t>知识传递工作。</w:t>
            </w:r>
          </w:p>
          <w:p w14:paraId="0BA548E3">
            <w:pPr>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（4）建立符合采购人的人才管理理念，建立合理的激励机制、淘汰机制，增强服务意识，加强量化管理及标准运作等。</w:t>
            </w:r>
          </w:p>
          <w:p w14:paraId="34B69EF4">
            <w:pPr>
              <w:adjustRightInd w:val="0"/>
              <w:snapToGrid w:val="0"/>
              <w:spacing w:line="360" w:lineRule="auto"/>
              <w:ind w:firstLine="420" w:firstLineChars="20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（5）建立严格的考勤制度。中标人提供考勤管理设备，为采购人定期提供考勤真实数据，数据要留原始资料，采购人定期组织进行抽查。</w:t>
            </w:r>
          </w:p>
          <w:p w14:paraId="693235B1">
            <w:pPr>
              <w:snapToGrid w:val="0"/>
              <w:spacing w:line="360" w:lineRule="auto"/>
              <w:ind w:firstLine="422" w:firstLineChars="200"/>
              <w:rPr>
                <w:rFonts w:hint="eastAsia" w:ascii="仿宋" w:hAnsi="仿宋" w:eastAsia="仿宋" w:cs="仿宋"/>
                <w:color w:val="auto"/>
                <w:kern w:val="2"/>
                <w:sz w:val="21"/>
                <w:szCs w:val="21"/>
                <w:highlight w:val="none"/>
                <w:lang w:val="en-GB" w:eastAsia="zh-CN"/>
              </w:rPr>
            </w:pPr>
            <w:r>
              <w:rPr>
                <w:rFonts w:hint="eastAsia" w:ascii="仿宋" w:hAnsi="仿宋" w:eastAsia="仿宋" w:cs="仿宋"/>
                <w:b/>
                <w:color w:val="auto"/>
                <w:sz w:val="21"/>
                <w:szCs w:val="21"/>
                <w:highlight w:val="none"/>
              </w:rPr>
              <w:t>4、物资供应费用限价</w:t>
            </w:r>
          </w:p>
          <w:p w14:paraId="6D54BF4D">
            <w:pPr>
              <w:adjustRightInd w:val="0"/>
              <w:snapToGrid w:val="0"/>
              <w:spacing w:line="360" w:lineRule="auto"/>
              <w:ind w:firstLine="420" w:firstLineChars="200"/>
              <w:rPr>
                <w:color w:val="auto"/>
                <w:highlight w:val="none"/>
              </w:rPr>
            </w:pPr>
            <w:r>
              <w:rPr>
                <w:rFonts w:hint="eastAsia" w:ascii="仿宋" w:hAnsi="仿宋" w:eastAsia="仿宋" w:cs="仿宋"/>
                <w:color w:val="auto"/>
                <w:sz w:val="21"/>
                <w:szCs w:val="21"/>
                <w:highlight w:val="none"/>
                <w:lang w:val="en-GB"/>
              </w:rPr>
              <w:t>本项目采用维修材料包干制，采购人不再额外采购五金配件，即中标人在维保过程中产生的材料费用（工具、原料、物料、易耗品）及应急事件、突发事件中需要采购的所有零部件及耗材，单</w:t>
            </w:r>
            <w:r>
              <w:rPr>
                <w:rFonts w:hint="eastAsia" w:ascii="仿宋" w:hAnsi="仿宋" w:eastAsia="仿宋" w:cs="仿宋"/>
                <w:color w:val="auto"/>
                <w:sz w:val="21"/>
                <w:szCs w:val="21"/>
                <w:highlight w:val="none"/>
                <w:lang w:val="en-GB" w:eastAsia="zh-CN"/>
              </w:rPr>
              <w:t>批</w:t>
            </w:r>
            <w:r>
              <w:rPr>
                <w:rFonts w:hint="eastAsia" w:ascii="仿宋" w:hAnsi="仿宋" w:eastAsia="仿宋" w:cs="仿宋"/>
                <w:color w:val="auto"/>
                <w:sz w:val="21"/>
                <w:szCs w:val="21"/>
                <w:highlight w:val="none"/>
                <w:lang w:val="en-GB"/>
              </w:rPr>
              <w:t>在1000元</w:t>
            </w:r>
            <w:r>
              <w:rPr>
                <w:rFonts w:hint="eastAsia" w:ascii="仿宋" w:hAnsi="仿宋" w:eastAsia="仿宋" w:cs="仿宋"/>
                <w:color w:val="auto"/>
                <w:sz w:val="21"/>
                <w:szCs w:val="21"/>
                <w:highlight w:val="none"/>
                <w:lang w:val="en-GB" w:eastAsia="zh-CN"/>
              </w:rPr>
              <w:t>或</w:t>
            </w:r>
            <w:r>
              <w:rPr>
                <w:rFonts w:hint="eastAsia" w:ascii="仿宋" w:hAnsi="仿宋" w:eastAsia="仿宋" w:cs="仿宋"/>
                <w:color w:val="auto"/>
                <w:sz w:val="21"/>
                <w:szCs w:val="21"/>
                <w:highlight w:val="none"/>
                <w:lang w:val="en-GB"/>
              </w:rPr>
              <w:t>以下的（净化系统所需的初、中、高效过滤器以及各系统的检测费用除外），全部由中标人自行采购管理。材料费</w:t>
            </w:r>
            <w:r>
              <w:rPr>
                <w:rFonts w:hint="eastAsia" w:ascii="仿宋" w:hAnsi="仿宋" w:eastAsia="仿宋" w:cs="仿宋"/>
                <w:color w:val="auto"/>
                <w:sz w:val="21"/>
                <w:szCs w:val="21"/>
                <w:highlight w:val="none"/>
                <w:lang w:val="en-US" w:eastAsia="zh-CN"/>
              </w:rPr>
              <w:t>按照中标人材料费报价总金额</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平均到</w:t>
            </w:r>
            <w:r>
              <w:rPr>
                <w:rFonts w:hint="eastAsia" w:ascii="仿宋" w:hAnsi="仿宋" w:eastAsia="仿宋" w:cs="仿宋"/>
                <w:color w:val="auto"/>
                <w:sz w:val="21"/>
                <w:szCs w:val="21"/>
                <w:highlight w:val="none"/>
                <w:lang w:val="en-GB" w:eastAsia="zh-CN"/>
              </w:rPr>
              <w:t>按月支付</w:t>
            </w:r>
          </w:p>
          <w:p w14:paraId="10DC911A">
            <w:pPr>
              <w:adjustRightInd w:val="0"/>
              <w:snapToGrid w:val="0"/>
              <w:spacing w:line="360" w:lineRule="auto"/>
              <w:ind w:firstLine="422"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常用物料清单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717"/>
              <w:gridCol w:w="3738"/>
            </w:tblGrid>
            <w:tr w14:paraId="758A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0F260829">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2717" w:type="dxa"/>
                </w:tcPr>
                <w:p w14:paraId="58EEEE34">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名称</w:t>
                  </w:r>
                </w:p>
              </w:tc>
              <w:tc>
                <w:tcPr>
                  <w:tcW w:w="3738" w:type="dxa"/>
                </w:tcPr>
                <w:p w14:paraId="7624AE39">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r>
            <w:tr w14:paraId="6E95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434CB5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717" w:type="dxa"/>
                </w:tcPr>
                <w:p w14:paraId="6A19E956">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LED平板灯</w:t>
                  </w:r>
                </w:p>
              </w:tc>
              <w:tc>
                <w:tcPr>
                  <w:tcW w:w="3738" w:type="dxa"/>
                </w:tcPr>
                <w:p w14:paraId="6B8114CB">
                  <w:pP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5C7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0F8D325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2717" w:type="dxa"/>
                </w:tcPr>
                <w:p w14:paraId="17E5A665">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LED灯管</w:t>
                  </w:r>
                  <w:r>
                    <w:rPr>
                      <w:rFonts w:hint="eastAsia" w:ascii="仿宋" w:hAnsi="仿宋" w:eastAsia="仿宋" w:cs="仿宋"/>
                      <w:color w:val="auto"/>
                      <w:sz w:val="24"/>
                      <w:szCs w:val="24"/>
                      <w:highlight w:val="none"/>
                      <w:vertAlign w:val="baseline"/>
                      <w:lang w:eastAsia="zh-CN"/>
                    </w:rPr>
                    <w:t>、支架</w:t>
                  </w:r>
                </w:p>
              </w:tc>
              <w:tc>
                <w:tcPr>
                  <w:tcW w:w="3738" w:type="dxa"/>
                </w:tcPr>
                <w:p w14:paraId="342F7912">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44E2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6121EBA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2717" w:type="dxa"/>
                </w:tcPr>
                <w:p w14:paraId="39E8B2C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PVC管道、配件</w:t>
                  </w:r>
                </w:p>
              </w:tc>
              <w:tc>
                <w:tcPr>
                  <w:tcW w:w="3738" w:type="dxa"/>
                </w:tcPr>
                <w:p w14:paraId="78FDB267">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68C9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360B0C5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2717" w:type="dxa"/>
                  <w:vAlign w:val="top"/>
                </w:tcPr>
                <w:p w14:paraId="63E060F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PPR管道、配件</w:t>
                  </w:r>
                </w:p>
              </w:tc>
              <w:tc>
                <w:tcPr>
                  <w:tcW w:w="3738" w:type="dxa"/>
                  <w:vAlign w:val="top"/>
                </w:tcPr>
                <w:p w14:paraId="40473E60">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321A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24F972F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2717" w:type="dxa"/>
                </w:tcPr>
                <w:p w14:paraId="28B2342C">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LED T5支架</w:t>
                  </w:r>
                  <w:r>
                    <w:rPr>
                      <w:rFonts w:hint="eastAsia" w:ascii="仿宋" w:hAnsi="仿宋" w:eastAsia="仿宋" w:cs="仿宋"/>
                      <w:color w:val="auto"/>
                      <w:sz w:val="24"/>
                      <w:szCs w:val="24"/>
                      <w:highlight w:val="none"/>
                      <w:vertAlign w:val="baseline"/>
                      <w:lang w:eastAsia="zh-CN"/>
                    </w:rPr>
                    <w:t>灯</w:t>
                  </w:r>
                </w:p>
              </w:tc>
              <w:tc>
                <w:tcPr>
                  <w:tcW w:w="3738" w:type="dxa"/>
                </w:tcPr>
                <w:p w14:paraId="098CDF1E">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7AE2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E1764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717" w:type="dxa"/>
                  <w:vAlign w:val="center"/>
                </w:tcPr>
                <w:p w14:paraId="124F13A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筒灯</w:t>
                  </w:r>
                </w:p>
              </w:tc>
              <w:tc>
                <w:tcPr>
                  <w:tcW w:w="3738" w:type="dxa"/>
                </w:tcPr>
                <w:p w14:paraId="5432146E">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7FCC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0CBB3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717" w:type="dxa"/>
                  <w:vAlign w:val="center"/>
                </w:tcPr>
                <w:p w14:paraId="6782D6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空气开关</w:t>
                  </w:r>
                </w:p>
              </w:tc>
              <w:tc>
                <w:tcPr>
                  <w:tcW w:w="3738" w:type="dxa"/>
                </w:tcPr>
                <w:p w14:paraId="55AE3847">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2AC4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B839A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2717" w:type="dxa"/>
                  <w:vAlign w:val="center"/>
                </w:tcPr>
                <w:p w14:paraId="5E17D9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漏电开关</w:t>
                  </w:r>
                </w:p>
              </w:tc>
              <w:tc>
                <w:tcPr>
                  <w:tcW w:w="3738" w:type="dxa"/>
                </w:tcPr>
                <w:p w14:paraId="700EF0F6">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27D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CC055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2717" w:type="dxa"/>
                  <w:vAlign w:val="center"/>
                </w:tcPr>
                <w:p w14:paraId="19C6E6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开关/插座</w:t>
                  </w:r>
                </w:p>
              </w:tc>
              <w:tc>
                <w:tcPr>
                  <w:tcW w:w="3738" w:type="dxa"/>
                </w:tcPr>
                <w:p w14:paraId="33FDAAC5">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7A2D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8B059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2717" w:type="dxa"/>
                  <w:vAlign w:val="center"/>
                </w:tcPr>
                <w:p w14:paraId="7650CA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自动喷漆</w:t>
                  </w:r>
                </w:p>
              </w:tc>
              <w:tc>
                <w:tcPr>
                  <w:tcW w:w="3738" w:type="dxa"/>
                </w:tcPr>
                <w:p w14:paraId="123A2AAA">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6D54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B7CFE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2717" w:type="dxa"/>
                  <w:vAlign w:val="center"/>
                </w:tcPr>
                <w:p w14:paraId="0047DC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线槽</w:t>
                  </w:r>
                </w:p>
              </w:tc>
              <w:tc>
                <w:tcPr>
                  <w:tcW w:w="3738" w:type="dxa"/>
                </w:tcPr>
                <w:p w14:paraId="0F058353">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1CCE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D17FB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2717" w:type="dxa"/>
                  <w:vAlign w:val="center"/>
                </w:tcPr>
                <w:p w14:paraId="627CC87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电缆</w:t>
                  </w:r>
                </w:p>
              </w:tc>
              <w:tc>
                <w:tcPr>
                  <w:tcW w:w="3738" w:type="dxa"/>
                </w:tcPr>
                <w:p w14:paraId="000E534A">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3368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3BAE3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2717" w:type="dxa"/>
                  <w:vAlign w:val="center"/>
                </w:tcPr>
                <w:p w14:paraId="691DBE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电线</w:t>
                  </w:r>
                </w:p>
              </w:tc>
              <w:tc>
                <w:tcPr>
                  <w:tcW w:w="3738" w:type="dxa"/>
                </w:tcPr>
                <w:p w14:paraId="6BB01B20">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25FE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9BFC8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2717" w:type="dxa"/>
                  <w:vAlign w:val="center"/>
                </w:tcPr>
                <w:p w14:paraId="7613C5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花晒套装</w:t>
                  </w:r>
                </w:p>
              </w:tc>
              <w:tc>
                <w:tcPr>
                  <w:tcW w:w="3738" w:type="dxa"/>
                </w:tcPr>
                <w:p w14:paraId="4BC82506">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4A8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ADA9D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2717" w:type="dxa"/>
                  <w:vAlign w:val="center"/>
                </w:tcPr>
                <w:p w14:paraId="25B00C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马桶盖</w:t>
                  </w:r>
                </w:p>
              </w:tc>
              <w:tc>
                <w:tcPr>
                  <w:tcW w:w="3738" w:type="dxa"/>
                </w:tcPr>
                <w:p w14:paraId="454ABBD6">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1B60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9F582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2717" w:type="dxa"/>
                  <w:vAlign w:val="center"/>
                </w:tcPr>
                <w:p w14:paraId="2467A7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不锈钢角阀</w:t>
                  </w:r>
                </w:p>
              </w:tc>
              <w:tc>
                <w:tcPr>
                  <w:tcW w:w="3738" w:type="dxa"/>
                </w:tcPr>
                <w:p w14:paraId="6F625604">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4FBC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F03F6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2717" w:type="dxa"/>
                  <w:vAlign w:val="center"/>
                </w:tcPr>
                <w:p w14:paraId="1B499E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不锈钢水龙头</w:t>
                  </w:r>
                </w:p>
              </w:tc>
              <w:tc>
                <w:tcPr>
                  <w:tcW w:w="3738" w:type="dxa"/>
                </w:tcPr>
                <w:p w14:paraId="553E21AB">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143C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42880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2717" w:type="dxa"/>
                  <w:vAlign w:val="center"/>
                </w:tcPr>
                <w:p w14:paraId="30FE05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感应水龙头</w:t>
                  </w:r>
                </w:p>
              </w:tc>
              <w:tc>
                <w:tcPr>
                  <w:tcW w:w="3738" w:type="dxa"/>
                </w:tcPr>
                <w:p w14:paraId="27BB8CDB">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196F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488AA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w:t>
                  </w:r>
                </w:p>
              </w:tc>
              <w:tc>
                <w:tcPr>
                  <w:tcW w:w="2717" w:type="dxa"/>
                  <w:vAlign w:val="center"/>
                </w:tcPr>
                <w:p w14:paraId="11A06C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排气扇</w:t>
                  </w:r>
                </w:p>
              </w:tc>
              <w:tc>
                <w:tcPr>
                  <w:tcW w:w="3738" w:type="dxa"/>
                </w:tcPr>
                <w:p w14:paraId="72389D1D">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2DF7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3DC7B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2717" w:type="dxa"/>
                  <w:vAlign w:val="center"/>
                </w:tcPr>
                <w:p w14:paraId="5BF2D7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执手门锁</w:t>
                  </w:r>
                </w:p>
              </w:tc>
              <w:tc>
                <w:tcPr>
                  <w:tcW w:w="3738" w:type="dxa"/>
                </w:tcPr>
                <w:p w14:paraId="23551D11">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BD7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AEBEF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w:t>
                  </w:r>
                </w:p>
              </w:tc>
              <w:tc>
                <w:tcPr>
                  <w:tcW w:w="2717" w:type="dxa"/>
                  <w:vAlign w:val="center"/>
                </w:tcPr>
                <w:p w14:paraId="41F137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球锁</w:t>
                  </w:r>
                </w:p>
              </w:tc>
              <w:tc>
                <w:tcPr>
                  <w:tcW w:w="3738" w:type="dxa"/>
                </w:tcPr>
                <w:p w14:paraId="6B245EDA">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39EC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CFE81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w:t>
                  </w:r>
                </w:p>
              </w:tc>
              <w:tc>
                <w:tcPr>
                  <w:tcW w:w="2717" w:type="dxa"/>
                  <w:vAlign w:val="center"/>
                </w:tcPr>
                <w:p w14:paraId="51580C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柜锁</w:t>
                  </w:r>
                </w:p>
              </w:tc>
              <w:tc>
                <w:tcPr>
                  <w:tcW w:w="3738" w:type="dxa"/>
                </w:tcPr>
                <w:p w14:paraId="54F7035D">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26D1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739094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w:t>
                  </w:r>
                </w:p>
              </w:tc>
              <w:tc>
                <w:tcPr>
                  <w:tcW w:w="2717" w:type="dxa"/>
                  <w:vAlign w:val="center"/>
                </w:tcPr>
                <w:p w14:paraId="14AFEF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电话线</w:t>
                  </w:r>
                </w:p>
              </w:tc>
              <w:tc>
                <w:tcPr>
                  <w:tcW w:w="3738" w:type="dxa"/>
                </w:tcPr>
                <w:p w14:paraId="716EA8E4">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414B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76FF7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w:t>
                  </w:r>
                </w:p>
              </w:tc>
              <w:tc>
                <w:tcPr>
                  <w:tcW w:w="2717" w:type="dxa"/>
                  <w:vAlign w:val="center"/>
                </w:tcPr>
                <w:p w14:paraId="2B3A66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玻璃胶</w:t>
                  </w:r>
                </w:p>
              </w:tc>
              <w:tc>
                <w:tcPr>
                  <w:tcW w:w="3738" w:type="dxa"/>
                </w:tcPr>
                <w:p w14:paraId="219A8120">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6A8C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46F2D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w:t>
                  </w:r>
                </w:p>
              </w:tc>
              <w:tc>
                <w:tcPr>
                  <w:tcW w:w="2717" w:type="dxa"/>
                  <w:vAlign w:val="center"/>
                </w:tcPr>
                <w:p w14:paraId="097923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平开门合页</w:t>
                  </w:r>
                </w:p>
              </w:tc>
              <w:tc>
                <w:tcPr>
                  <w:tcW w:w="3738" w:type="dxa"/>
                </w:tcPr>
                <w:p w14:paraId="1B27BADA">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599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A8AB9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w:t>
                  </w:r>
                </w:p>
              </w:tc>
              <w:tc>
                <w:tcPr>
                  <w:tcW w:w="2717" w:type="dxa"/>
                  <w:vAlign w:val="center"/>
                </w:tcPr>
                <w:p w14:paraId="4B3E74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柜门铰链</w:t>
                  </w:r>
                </w:p>
              </w:tc>
              <w:tc>
                <w:tcPr>
                  <w:tcW w:w="3738" w:type="dxa"/>
                </w:tcPr>
                <w:p w14:paraId="230F24D0">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4917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CDAFB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w:t>
                  </w:r>
                </w:p>
              </w:tc>
              <w:tc>
                <w:tcPr>
                  <w:tcW w:w="2717" w:type="dxa"/>
                  <w:vAlign w:val="center"/>
                </w:tcPr>
                <w:p w14:paraId="057CAE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闭门器</w:t>
                  </w:r>
                </w:p>
              </w:tc>
              <w:tc>
                <w:tcPr>
                  <w:tcW w:w="3738" w:type="dxa"/>
                </w:tcPr>
                <w:p w14:paraId="0F89A751">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4D8F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758B1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28 </w:t>
                  </w:r>
                </w:p>
              </w:tc>
              <w:tc>
                <w:tcPr>
                  <w:tcW w:w="2717" w:type="dxa"/>
                  <w:vAlign w:val="center"/>
                </w:tcPr>
                <w:p w14:paraId="7E8630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电池</w:t>
                  </w:r>
                </w:p>
              </w:tc>
              <w:tc>
                <w:tcPr>
                  <w:tcW w:w="3738" w:type="dxa"/>
                </w:tcPr>
                <w:p w14:paraId="4F055F27">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1938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13A0FB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w:t>
                  </w:r>
                </w:p>
              </w:tc>
              <w:tc>
                <w:tcPr>
                  <w:tcW w:w="2717" w:type="dxa"/>
                  <w:vAlign w:val="center"/>
                </w:tcPr>
                <w:p w14:paraId="2264B8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3738" w:type="dxa"/>
                </w:tcPr>
                <w:p w14:paraId="4E29C88F">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536E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DFC2D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w:t>
                  </w:r>
                </w:p>
              </w:tc>
              <w:tc>
                <w:tcPr>
                  <w:tcW w:w="2717" w:type="dxa"/>
                  <w:vAlign w:val="center"/>
                </w:tcPr>
                <w:p w14:paraId="301CF4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键盘轨道</w:t>
                  </w:r>
                </w:p>
              </w:tc>
              <w:tc>
                <w:tcPr>
                  <w:tcW w:w="3738" w:type="dxa"/>
                </w:tcPr>
                <w:p w14:paraId="17E78D45">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54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A7A6D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w:t>
                  </w:r>
                </w:p>
              </w:tc>
              <w:tc>
                <w:tcPr>
                  <w:tcW w:w="2717" w:type="dxa"/>
                  <w:vAlign w:val="center"/>
                </w:tcPr>
                <w:p w14:paraId="091FAD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自攻螺丝</w:t>
                  </w:r>
                </w:p>
              </w:tc>
              <w:tc>
                <w:tcPr>
                  <w:tcW w:w="3738" w:type="dxa"/>
                </w:tcPr>
                <w:p w14:paraId="4A3489C8">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599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40A1E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2717" w:type="dxa"/>
                  <w:vAlign w:val="center"/>
                </w:tcPr>
                <w:p w14:paraId="7F6EFE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铆钉</w:t>
                  </w:r>
                </w:p>
              </w:tc>
              <w:tc>
                <w:tcPr>
                  <w:tcW w:w="3738" w:type="dxa"/>
                </w:tcPr>
                <w:p w14:paraId="00007F0A">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2C6C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028EA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2717" w:type="dxa"/>
                  <w:vAlign w:val="center"/>
                </w:tcPr>
                <w:p w14:paraId="513F61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无线门铃</w:t>
                  </w:r>
                </w:p>
              </w:tc>
              <w:tc>
                <w:tcPr>
                  <w:tcW w:w="3738" w:type="dxa"/>
                </w:tcPr>
                <w:p w14:paraId="3B6C4387">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08AE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62A90F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w:t>
                  </w:r>
                </w:p>
              </w:tc>
              <w:tc>
                <w:tcPr>
                  <w:tcW w:w="2717" w:type="dxa"/>
                  <w:vAlign w:val="center"/>
                </w:tcPr>
                <w:p w14:paraId="4B3E1B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空调电容</w:t>
                  </w:r>
                </w:p>
              </w:tc>
              <w:tc>
                <w:tcPr>
                  <w:tcW w:w="3738" w:type="dxa"/>
                </w:tcPr>
                <w:p w14:paraId="4A08C3FC">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7729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295DEA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2717" w:type="dxa"/>
                  <w:vAlign w:val="center"/>
                </w:tcPr>
                <w:p w14:paraId="2C0085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雪种</w:t>
                  </w:r>
                </w:p>
              </w:tc>
              <w:tc>
                <w:tcPr>
                  <w:tcW w:w="3738" w:type="dxa"/>
                </w:tcPr>
                <w:p w14:paraId="0310AAEB">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2BF1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34FCBC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w:t>
                  </w:r>
                </w:p>
              </w:tc>
              <w:tc>
                <w:tcPr>
                  <w:tcW w:w="2717" w:type="dxa"/>
                  <w:vAlign w:val="center"/>
                </w:tcPr>
                <w:p w14:paraId="7EBDDB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38" w:type="dxa"/>
                </w:tcPr>
                <w:p w14:paraId="7D3400DE">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4482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3C06E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37</w:t>
                  </w:r>
                </w:p>
              </w:tc>
              <w:tc>
                <w:tcPr>
                  <w:tcW w:w="2717" w:type="dxa"/>
                  <w:vAlign w:val="center"/>
                </w:tcPr>
                <w:p w14:paraId="01FDAD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感应浮球</w:t>
                  </w:r>
                </w:p>
              </w:tc>
              <w:tc>
                <w:tcPr>
                  <w:tcW w:w="3738" w:type="dxa"/>
                </w:tcPr>
                <w:p w14:paraId="419D5CB4">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62CD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48DB3E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w:t>
                  </w:r>
                </w:p>
              </w:tc>
              <w:tc>
                <w:tcPr>
                  <w:tcW w:w="2717" w:type="dxa"/>
                  <w:vAlign w:val="center"/>
                </w:tcPr>
                <w:p w14:paraId="4A58B1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压力表</w:t>
                  </w:r>
                </w:p>
              </w:tc>
              <w:tc>
                <w:tcPr>
                  <w:tcW w:w="3738" w:type="dxa"/>
                  <w:vAlign w:val="top"/>
                </w:tcPr>
                <w:p w14:paraId="3CE27E11">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174B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509707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39</w:t>
                  </w:r>
                </w:p>
              </w:tc>
              <w:tc>
                <w:tcPr>
                  <w:tcW w:w="2717" w:type="dxa"/>
                  <w:vAlign w:val="center"/>
                </w:tcPr>
                <w:p w14:paraId="65009F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二通电磁阀</w:t>
                  </w:r>
                </w:p>
              </w:tc>
              <w:tc>
                <w:tcPr>
                  <w:tcW w:w="3738" w:type="dxa"/>
                  <w:vAlign w:val="top"/>
                </w:tcPr>
                <w:p w14:paraId="61BBA377">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按维保过程中产生的实际需求</w:t>
                  </w:r>
                </w:p>
              </w:tc>
            </w:tr>
            <w:tr w14:paraId="30C5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14:paraId="05B171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w:t>
                  </w:r>
                </w:p>
              </w:tc>
              <w:tc>
                <w:tcPr>
                  <w:tcW w:w="2717" w:type="dxa"/>
                  <w:vAlign w:val="center"/>
                </w:tcPr>
                <w:p w14:paraId="4F1A93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轴承</w:t>
                  </w:r>
                </w:p>
              </w:tc>
              <w:tc>
                <w:tcPr>
                  <w:tcW w:w="3738" w:type="dxa"/>
                </w:tcPr>
                <w:p w14:paraId="72B538E4">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按维保过程中产生的实际需求</w:t>
                  </w:r>
                </w:p>
              </w:tc>
            </w:tr>
          </w:tbl>
          <w:p w14:paraId="38840230">
            <w:pPr>
              <w:adjustRightInd w:val="0"/>
              <w:snapToGrid w:val="0"/>
              <w:spacing w:line="360" w:lineRule="auto"/>
              <w:ind w:firstLine="420" w:firstLineChars="200"/>
              <w:rPr>
                <w:rFonts w:hint="default"/>
                <w:color w:val="auto"/>
                <w:highlight w:val="none"/>
                <w:lang w:val="en-US" w:eastAsia="zh-CN"/>
              </w:rPr>
            </w:pPr>
          </w:p>
        </w:tc>
      </w:tr>
      <w:tr w14:paraId="423AC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E05BCBB">
            <w:pPr>
              <w:spacing w:line="360" w:lineRule="auto"/>
              <w:rPr>
                <w:rFonts w:hint="eastAsia" w:ascii="仿宋" w:hAnsi="仿宋" w:eastAsia="仿宋" w:cs="仿宋"/>
                <w:color w:val="auto"/>
                <w:sz w:val="21"/>
                <w:szCs w:val="21"/>
                <w:highlight w:val="none"/>
              </w:rPr>
            </w:pPr>
          </w:p>
        </w:tc>
        <w:tc>
          <w:tcPr>
            <w:tcW w:w="708" w:type="dxa"/>
          </w:tcPr>
          <w:p w14:paraId="216ADF96">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7</w:t>
            </w:r>
          </w:p>
        </w:tc>
        <w:tc>
          <w:tcPr>
            <w:tcW w:w="6663" w:type="dxa"/>
          </w:tcPr>
          <w:p w14:paraId="75D69051">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相关费用问题：</w:t>
            </w:r>
          </w:p>
          <w:p w14:paraId="22AA39A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1、采购人根据自身情况可提供管理用房及库房各一间，</w:t>
            </w:r>
            <w:r>
              <w:rPr>
                <w:rFonts w:hint="eastAsia" w:ascii="仿宋" w:hAnsi="仿宋" w:eastAsia="仿宋" w:cs="仿宋"/>
                <w:color w:val="auto"/>
                <w:sz w:val="21"/>
                <w:szCs w:val="21"/>
                <w:highlight w:val="none"/>
                <w:lang w:val="en-US" w:eastAsia="zh-CN"/>
              </w:rPr>
              <w:t>其他</w:t>
            </w:r>
            <w:r>
              <w:rPr>
                <w:rFonts w:ascii="仿宋" w:hAnsi="仿宋" w:eastAsia="仿宋" w:cs="仿宋"/>
                <w:color w:val="auto"/>
                <w:sz w:val="21"/>
                <w:szCs w:val="21"/>
                <w:highlight w:val="none"/>
              </w:rPr>
              <w:t>业务用房无法提供，中标人需自行解决，采购人不承担费用。</w:t>
            </w:r>
          </w:p>
          <w:p w14:paraId="24EBFBE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2、住宿及餐饮费用承担情况</w:t>
            </w:r>
          </w:p>
          <w:p w14:paraId="2B24D823">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1)</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采购人不提供食宿</w:t>
            </w:r>
            <w:r>
              <w:rPr>
                <w:rFonts w:hint="eastAsia" w:ascii="仿宋" w:hAnsi="仿宋" w:eastAsia="仿宋" w:cs="仿宋"/>
                <w:color w:val="auto"/>
                <w:sz w:val="21"/>
                <w:szCs w:val="21"/>
                <w:highlight w:val="none"/>
                <w:lang w:val="en-US" w:eastAsia="zh-CN"/>
              </w:rPr>
              <w:t>.</w:t>
            </w:r>
          </w:p>
          <w:p w14:paraId="653D5386">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3、易耗品费用承担</w:t>
            </w:r>
            <w:r>
              <w:rPr>
                <w:rFonts w:hint="eastAsia" w:ascii="仿宋" w:hAnsi="仿宋" w:eastAsia="仿宋" w:cs="仿宋"/>
                <w:color w:val="auto"/>
                <w:sz w:val="21"/>
                <w:szCs w:val="21"/>
                <w:highlight w:val="none"/>
                <w:lang w:val="en-US" w:eastAsia="zh-CN"/>
              </w:rPr>
              <w:t>.</w:t>
            </w:r>
          </w:p>
          <w:p w14:paraId="1494D130">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ascii="仿宋" w:hAnsi="仿宋" w:eastAsia="仿宋" w:cs="仿宋"/>
                <w:color w:val="auto"/>
                <w:sz w:val="21"/>
                <w:szCs w:val="21"/>
                <w:highlight w:val="none"/>
              </w:rPr>
              <w:tab/>
            </w:r>
            <w:r>
              <w:rPr>
                <w:rFonts w:ascii="仿宋" w:hAnsi="仿宋" w:eastAsia="仿宋" w:cs="仿宋"/>
                <w:color w:val="auto"/>
                <w:sz w:val="21"/>
                <w:szCs w:val="21"/>
                <w:highlight w:val="none"/>
              </w:rPr>
              <w:t>中标人应为本项目全员配发岗位工作相关维修工具。</w:t>
            </w:r>
          </w:p>
        </w:tc>
      </w:tr>
      <w:tr w14:paraId="41253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18A6EEC">
            <w:pPr>
              <w:spacing w:line="360" w:lineRule="auto"/>
              <w:rPr>
                <w:rFonts w:hint="eastAsia" w:ascii="仿宋" w:hAnsi="仿宋" w:eastAsia="仿宋" w:cs="仿宋"/>
                <w:color w:val="auto"/>
                <w:sz w:val="21"/>
                <w:szCs w:val="21"/>
                <w:highlight w:val="none"/>
              </w:rPr>
            </w:pPr>
          </w:p>
        </w:tc>
        <w:tc>
          <w:tcPr>
            <w:tcW w:w="708" w:type="dxa"/>
          </w:tcPr>
          <w:p w14:paraId="270B8822">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lang w:eastAsia="zh-CN"/>
              </w:rPr>
              <w:t>8</w:t>
            </w:r>
          </w:p>
        </w:tc>
        <w:tc>
          <w:tcPr>
            <w:tcW w:w="6663" w:type="dxa"/>
          </w:tcPr>
          <w:p w14:paraId="410B4B7D">
            <w:pPr>
              <w:pStyle w:val="6"/>
              <w:spacing w:line="360" w:lineRule="auto"/>
              <w:rPr>
                <w:rFonts w:hint="eastAsia" w:ascii="仿宋" w:hAnsi="仿宋" w:eastAsia="仿宋" w:cs="仿宋"/>
                <w:b/>
                <w:color w:val="auto"/>
                <w:sz w:val="21"/>
                <w:szCs w:val="21"/>
                <w:highlight w:val="none"/>
              </w:rPr>
            </w:pPr>
            <w:r>
              <w:rPr>
                <w:rFonts w:ascii="仿宋" w:hAnsi="仿宋" w:eastAsia="仿宋" w:cs="仿宋"/>
                <w:b/>
                <w:color w:val="auto"/>
                <w:sz w:val="21"/>
                <w:szCs w:val="21"/>
                <w:highlight w:val="none"/>
              </w:rPr>
              <w:t>（一）人员培训要求：</w:t>
            </w:r>
          </w:p>
          <w:p w14:paraId="780A81F2">
            <w:pPr>
              <w:pStyle w:val="6"/>
              <w:spacing w:line="360" w:lineRule="auto"/>
              <w:rPr>
                <w:rFonts w:hint="eastAsia" w:ascii="仿宋" w:hAnsi="仿宋" w:eastAsia="仿宋" w:cs="仿宋"/>
                <w:b w:val="0"/>
                <w:bCs/>
                <w:color w:val="auto"/>
                <w:sz w:val="21"/>
                <w:szCs w:val="21"/>
                <w:highlight w:val="none"/>
                <w:lang w:eastAsia="zh-CN"/>
              </w:rPr>
            </w:pPr>
            <w:r>
              <w:rPr>
                <w:rFonts w:ascii="仿宋" w:hAnsi="仿宋" w:eastAsia="仿宋" w:cs="仿宋"/>
                <w:b w:val="0"/>
                <w:bCs/>
                <w:color w:val="auto"/>
                <w:sz w:val="21"/>
                <w:szCs w:val="21"/>
                <w:highlight w:val="none"/>
              </w:rPr>
              <w:t>1、根据</w:t>
            </w:r>
            <w:r>
              <w:rPr>
                <w:rFonts w:ascii="仿宋" w:hAnsi="仿宋" w:eastAsia="仿宋" w:cs="仿宋"/>
                <w:b w:val="0"/>
                <w:bCs/>
                <w:color w:val="auto"/>
                <w:sz w:val="21"/>
                <w:szCs w:val="21"/>
                <w:highlight w:val="none"/>
                <w:lang w:eastAsia="zh-CN"/>
              </w:rPr>
              <w:t>项目</w:t>
            </w:r>
            <w:r>
              <w:rPr>
                <w:rFonts w:ascii="仿宋" w:hAnsi="仿宋" w:eastAsia="仿宋" w:cs="仿宋"/>
                <w:b w:val="0"/>
                <w:bCs/>
                <w:color w:val="auto"/>
                <w:sz w:val="21"/>
                <w:szCs w:val="21"/>
                <w:highlight w:val="none"/>
              </w:rPr>
              <w:t>实际情况及维护保养事项制定培训方案（包括不限于培训内容、培训方式、培训师资、时间安排等）</w:t>
            </w:r>
            <w:r>
              <w:rPr>
                <w:rFonts w:hint="eastAsia" w:ascii="仿宋" w:hAnsi="仿宋" w:eastAsia="仿宋" w:cs="仿宋"/>
                <w:b w:val="0"/>
                <w:bCs/>
                <w:color w:val="auto"/>
                <w:sz w:val="21"/>
                <w:szCs w:val="21"/>
                <w:highlight w:val="none"/>
                <w:lang w:eastAsia="zh-CN"/>
              </w:rPr>
              <w:t>。</w:t>
            </w:r>
          </w:p>
          <w:p w14:paraId="33CD0C58">
            <w:pPr>
              <w:pStyle w:val="6"/>
              <w:spacing w:line="360" w:lineRule="auto"/>
              <w:rPr>
                <w:rFonts w:hint="eastAsia" w:ascii="仿宋" w:hAnsi="仿宋" w:eastAsia="仿宋" w:cs="仿宋"/>
                <w:b w:val="0"/>
                <w:bCs/>
                <w:color w:val="auto"/>
                <w:sz w:val="21"/>
                <w:szCs w:val="21"/>
                <w:highlight w:val="none"/>
              </w:rPr>
            </w:pPr>
            <w:r>
              <w:rPr>
                <w:rFonts w:ascii="仿宋" w:hAnsi="仿宋" w:eastAsia="仿宋" w:cs="仿宋"/>
                <w:b w:val="0"/>
                <w:bCs/>
                <w:color w:val="auto"/>
                <w:sz w:val="21"/>
                <w:szCs w:val="21"/>
                <w:highlight w:val="none"/>
              </w:rPr>
              <w:t>2、中标人指定工程师专门负责采购人的维修和清洗保养培训工作。</w:t>
            </w:r>
          </w:p>
          <w:p w14:paraId="4D67A792">
            <w:pPr>
              <w:pStyle w:val="6"/>
              <w:spacing w:line="360" w:lineRule="auto"/>
              <w:rPr>
                <w:rFonts w:hint="eastAsia" w:ascii="仿宋" w:hAnsi="仿宋" w:eastAsia="仿宋" w:cs="仿宋"/>
                <w:b w:val="0"/>
                <w:bCs/>
                <w:color w:val="auto"/>
                <w:sz w:val="21"/>
                <w:szCs w:val="21"/>
                <w:highlight w:val="none"/>
              </w:rPr>
            </w:pPr>
            <w:r>
              <w:rPr>
                <w:rFonts w:ascii="仿宋" w:hAnsi="仿宋" w:eastAsia="仿宋" w:cs="仿宋"/>
                <w:b w:val="0"/>
                <w:bCs/>
                <w:color w:val="auto"/>
                <w:sz w:val="21"/>
                <w:szCs w:val="21"/>
                <w:highlight w:val="none"/>
                <w:lang w:eastAsia="zh-CN"/>
              </w:rPr>
              <w:t>3、</w:t>
            </w:r>
            <w:r>
              <w:rPr>
                <w:rFonts w:ascii="仿宋" w:hAnsi="仿宋" w:eastAsia="仿宋" w:cs="仿宋"/>
                <w:b w:val="0"/>
                <w:bCs/>
                <w:color w:val="auto"/>
                <w:sz w:val="21"/>
                <w:szCs w:val="21"/>
                <w:highlight w:val="none"/>
              </w:rPr>
              <w:t>根据存在的问题，每年安排1-2次资深工程师对采购人进行设备的使用维护针对性培训。</w:t>
            </w:r>
          </w:p>
          <w:p w14:paraId="217DE0FC">
            <w:pPr>
              <w:pStyle w:val="6"/>
              <w:spacing w:line="360" w:lineRule="auto"/>
              <w:rPr>
                <w:rFonts w:hint="eastAsia" w:ascii="仿宋" w:hAnsi="仿宋" w:eastAsia="仿宋" w:cs="仿宋"/>
                <w:b w:val="0"/>
                <w:bCs/>
                <w:color w:val="auto"/>
                <w:sz w:val="21"/>
                <w:szCs w:val="21"/>
                <w:highlight w:val="none"/>
              </w:rPr>
            </w:pPr>
            <w:r>
              <w:rPr>
                <w:rFonts w:ascii="仿宋" w:hAnsi="仿宋" w:eastAsia="仿宋" w:cs="仿宋"/>
                <w:b w:val="0"/>
                <w:bCs/>
                <w:color w:val="auto"/>
                <w:sz w:val="21"/>
                <w:szCs w:val="21"/>
                <w:highlight w:val="none"/>
                <w:lang w:eastAsia="zh-CN"/>
              </w:rPr>
              <w:t>4、</w:t>
            </w:r>
            <w:r>
              <w:rPr>
                <w:rFonts w:ascii="仿宋" w:hAnsi="仿宋" w:eastAsia="仿宋" w:cs="仿宋"/>
                <w:b w:val="0"/>
                <w:bCs/>
                <w:color w:val="auto"/>
                <w:sz w:val="21"/>
                <w:szCs w:val="21"/>
                <w:highlight w:val="none"/>
              </w:rPr>
              <w:t>对</w:t>
            </w:r>
            <w:r>
              <w:rPr>
                <w:rFonts w:ascii="仿宋" w:hAnsi="仿宋" w:eastAsia="仿宋" w:cs="仿宋"/>
                <w:b w:val="0"/>
                <w:bCs/>
                <w:color w:val="auto"/>
                <w:sz w:val="21"/>
                <w:szCs w:val="21"/>
                <w:highlight w:val="none"/>
                <w:lang w:eastAsia="zh-CN"/>
              </w:rPr>
              <w:t>人员</w:t>
            </w:r>
            <w:r>
              <w:rPr>
                <w:rFonts w:ascii="仿宋" w:hAnsi="仿宋" w:eastAsia="仿宋" w:cs="仿宋"/>
                <w:b w:val="0"/>
                <w:bCs/>
                <w:color w:val="auto"/>
                <w:sz w:val="21"/>
                <w:szCs w:val="21"/>
                <w:highlight w:val="none"/>
              </w:rPr>
              <w:t>进行岗前培训，对特种设备人员进行三级安全教育，每年至少对员工进行两次岗位培训并做好记录。</w:t>
            </w:r>
          </w:p>
          <w:p w14:paraId="07121F00">
            <w:pPr>
              <w:pStyle w:val="6"/>
              <w:spacing w:line="360" w:lineRule="auto"/>
              <w:rPr>
                <w:rFonts w:hint="eastAsia" w:ascii="仿宋" w:hAnsi="仿宋" w:eastAsia="仿宋" w:cs="仿宋"/>
                <w:b w:val="0"/>
                <w:bCs/>
                <w:color w:val="auto"/>
                <w:sz w:val="21"/>
                <w:szCs w:val="21"/>
                <w:highlight w:val="none"/>
                <w:lang w:eastAsia="zh-CN"/>
              </w:rPr>
            </w:pPr>
            <w:r>
              <w:rPr>
                <w:rFonts w:ascii="仿宋" w:hAnsi="仿宋" w:eastAsia="仿宋" w:cs="仿宋"/>
                <w:b w:val="0"/>
                <w:bCs/>
                <w:color w:val="auto"/>
                <w:sz w:val="21"/>
                <w:szCs w:val="21"/>
                <w:highlight w:val="none"/>
                <w:lang w:eastAsia="zh-CN"/>
              </w:rPr>
              <w:t>5</w:t>
            </w:r>
            <w:r>
              <w:rPr>
                <w:rFonts w:hint="eastAsia" w:ascii="仿宋" w:hAnsi="仿宋" w:eastAsia="仿宋" w:cs="仿宋"/>
                <w:b w:val="0"/>
                <w:bCs/>
                <w:color w:val="auto"/>
                <w:sz w:val="21"/>
                <w:szCs w:val="21"/>
                <w:highlight w:val="none"/>
                <w:lang w:eastAsia="zh-CN"/>
              </w:rPr>
              <w:t>、</w:t>
            </w:r>
            <w:r>
              <w:rPr>
                <w:rFonts w:ascii="仿宋" w:hAnsi="仿宋" w:eastAsia="仿宋" w:cs="仿宋"/>
                <w:b w:val="0"/>
                <w:bCs/>
                <w:color w:val="auto"/>
                <w:sz w:val="21"/>
                <w:szCs w:val="21"/>
                <w:highlight w:val="none"/>
                <w:lang w:eastAsia="zh-CN"/>
              </w:rPr>
              <w:t>对员工进行专业技能培训、安全操作培训、政府法律法规及公司涉及下属员工的指示文件的宣传普及和培训责任；</w:t>
            </w:r>
          </w:p>
          <w:p w14:paraId="29F9077E">
            <w:pPr>
              <w:pStyle w:val="6"/>
              <w:spacing w:line="360" w:lineRule="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（二）应急要求：</w:t>
            </w:r>
          </w:p>
          <w:p w14:paraId="5303F3A6">
            <w:pPr>
              <w:pStyle w:val="6"/>
              <w:spacing w:line="360" w:lineRule="auto"/>
              <w:rPr>
                <w:rFonts w:hint="eastAsia" w:ascii="仿宋" w:hAnsi="仿宋" w:eastAsia="仿宋" w:cs="仿宋"/>
                <w:b w:val="0"/>
                <w:bCs/>
                <w:color w:val="auto"/>
                <w:sz w:val="21"/>
                <w:szCs w:val="21"/>
                <w:highlight w:val="none"/>
                <w:lang w:eastAsia="zh-CN"/>
              </w:rPr>
            </w:pPr>
            <w:r>
              <w:rPr>
                <w:rFonts w:ascii="仿宋" w:hAnsi="仿宋" w:eastAsia="仿宋" w:cs="仿宋"/>
                <w:b w:val="0"/>
                <w:bCs/>
                <w:color w:val="auto"/>
                <w:sz w:val="21"/>
                <w:szCs w:val="21"/>
                <w:highlight w:val="none"/>
                <w:lang w:eastAsia="zh-CN"/>
              </w:rPr>
              <w:t>1、投标人需提供对</w:t>
            </w:r>
            <w:r>
              <w:rPr>
                <w:rFonts w:hint="eastAsia" w:ascii="仿宋" w:hAnsi="仿宋" w:eastAsia="仿宋" w:cs="仿宋"/>
                <w:b w:val="0"/>
                <w:bCs/>
                <w:color w:val="auto"/>
                <w:sz w:val="21"/>
                <w:szCs w:val="21"/>
                <w:highlight w:val="none"/>
                <w:lang w:eastAsia="zh-CN"/>
              </w:rPr>
              <w:t>停水、停电、电梯困人、压力容器泄漏、台风暴雨等</w:t>
            </w:r>
            <w:r>
              <w:rPr>
                <w:rFonts w:ascii="仿宋" w:hAnsi="仿宋" w:eastAsia="仿宋" w:cs="仿宋"/>
                <w:b w:val="0"/>
                <w:bCs/>
                <w:color w:val="auto"/>
                <w:sz w:val="21"/>
                <w:szCs w:val="21"/>
                <w:highlight w:val="none"/>
                <w:lang w:eastAsia="zh-CN"/>
              </w:rPr>
              <w:t>突发事件的应急方案，包括但不限于：①应急预案；②突发事件的处理措施；③资源调配能力等；</w:t>
            </w:r>
          </w:p>
          <w:p w14:paraId="3ADFDC43">
            <w:pPr>
              <w:pStyle w:val="6"/>
              <w:spacing w:line="360" w:lineRule="auto"/>
              <w:rPr>
                <w:rFonts w:hint="eastAsia" w:ascii="仿宋" w:hAnsi="仿宋" w:eastAsia="仿宋" w:cs="仿宋"/>
                <w:b w:val="0"/>
                <w:bCs/>
                <w:color w:val="auto"/>
                <w:sz w:val="21"/>
                <w:szCs w:val="21"/>
                <w:highlight w:val="none"/>
                <w:lang w:eastAsia="zh-CN"/>
              </w:rPr>
            </w:pPr>
            <w:r>
              <w:rPr>
                <w:rFonts w:ascii="仿宋" w:hAnsi="仿宋" w:eastAsia="仿宋" w:cs="仿宋"/>
                <w:b w:val="0"/>
                <w:bCs/>
                <w:color w:val="auto"/>
                <w:sz w:val="21"/>
                <w:szCs w:val="21"/>
                <w:highlight w:val="none"/>
                <w:lang w:eastAsia="zh-CN"/>
              </w:rPr>
              <w:t>2、每年至少开展两次全方面的应急演练</w:t>
            </w:r>
            <w:r>
              <w:rPr>
                <w:rFonts w:hint="eastAsia" w:ascii="仿宋" w:hAnsi="仿宋" w:eastAsia="仿宋" w:cs="仿宋"/>
                <w:b w:val="0"/>
                <w:bCs/>
                <w:color w:val="auto"/>
                <w:sz w:val="21"/>
                <w:szCs w:val="21"/>
                <w:highlight w:val="none"/>
                <w:lang w:eastAsia="zh-CN"/>
              </w:rPr>
              <w:t>。</w:t>
            </w:r>
          </w:p>
          <w:p w14:paraId="7B699A78">
            <w:pPr>
              <w:pStyle w:val="6"/>
              <w:spacing w:line="360" w:lineRule="auto"/>
              <w:rPr>
                <w:rFonts w:hint="eastAsia" w:ascii="仿宋" w:hAnsi="仿宋" w:eastAsia="仿宋" w:cs="仿宋"/>
                <w:b w:val="0"/>
                <w:bCs/>
                <w:color w:val="auto"/>
                <w:sz w:val="21"/>
                <w:szCs w:val="21"/>
                <w:highlight w:val="none"/>
                <w:lang w:eastAsia="zh-CN"/>
              </w:rPr>
            </w:pPr>
            <w:r>
              <w:rPr>
                <w:rFonts w:ascii="仿宋" w:hAnsi="仿宋" w:eastAsia="仿宋" w:cs="仿宋"/>
                <w:b w:val="0"/>
                <w:bCs/>
                <w:color w:val="auto"/>
                <w:sz w:val="21"/>
                <w:szCs w:val="21"/>
                <w:highlight w:val="none"/>
                <w:lang w:eastAsia="zh-CN"/>
              </w:rPr>
              <w:t>3、发生停电、停水、火警或其他事故，应立即到位与相关部门取得联系，并迅速查明原因，并采取应急措施。及时排除故障，恢复正常。</w:t>
            </w:r>
          </w:p>
          <w:p w14:paraId="05353376">
            <w:pPr>
              <w:pStyle w:val="6"/>
              <w:spacing w:line="360" w:lineRule="auto"/>
              <w:rPr>
                <w:rFonts w:hint="eastAsia" w:ascii="仿宋" w:hAnsi="仿宋" w:eastAsia="仿宋" w:cs="仿宋"/>
                <w:b w:val="0"/>
                <w:bCs/>
                <w:color w:val="auto"/>
                <w:sz w:val="21"/>
                <w:szCs w:val="21"/>
                <w:highlight w:val="none"/>
                <w:lang w:eastAsia="zh-CN"/>
              </w:rPr>
            </w:pPr>
            <w:r>
              <w:rPr>
                <w:rFonts w:ascii="仿宋" w:hAnsi="仿宋" w:eastAsia="仿宋" w:cs="仿宋"/>
                <w:b w:val="0"/>
                <w:bCs/>
                <w:color w:val="auto"/>
                <w:sz w:val="21"/>
                <w:szCs w:val="21"/>
                <w:highlight w:val="none"/>
                <w:lang w:eastAsia="zh-CN"/>
              </w:rPr>
              <w:t>4、偶发突发性应急采购，由中标人联系供应商或通过项目经理直接采购的方式，于12小时内到货。库存需要放置相应的应急物资，物资清单由采购人提供。</w:t>
            </w:r>
          </w:p>
          <w:p w14:paraId="6FE62412">
            <w:pPr>
              <w:pStyle w:val="6"/>
              <w:spacing w:line="360" w:lineRule="auto"/>
              <w:rPr>
                <w:rFonts w:hint="eastAsia" w:ascii="仿宋" w:hAnsi="仿宋" w:eastAsia="仿宋" w:cs="仿宋"/>
                <w:b/>
                <w:color w:val="auto"/>
                <w:sz w:val="21"/>
                <w:szCs w:val="21"/>
                <w:highlight w:val="none"/>
                <w:lang w:eastAsia="zh-CN"/>
              </w:rPr>
            </w:pPr>
            <w:r>
              <w:rPr>
                <w:rFonts w:ascii="仿宋" w:hAnsi="仿宋" w:eastAsia="仿宋" w:cs="仿宋"/>
                <w:b w:val="0"/>
                <w:bCs/>
                <w:color w:val="auto"/>
                <w:sz w:val="21"/>
                <w:szCs w:val="21"/>
                <w:highlight w:val="none"/>
                <w:lang w:eastAsia="zh-CN"/>
              </w:rPr>
              <w:t>5、负责医院低压用电及各机房应急处理。发现问题及时报告，并组织有关人员处理，保障医院正常供电。</w:t>
            </w:r>
          </w:p>
        </w:tc>
      </w:tr>
      <w:tr w14:paraId="3489E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CC1A574">
            <w:pPr>
              <w:spacing w:line="360" w:lineRule="auto"/>
              <w:rPr>
                <w:rFonts w:hint="eastAsia" w:ascii="仿宋" w:hAnsi="仿宋" w:eastAsia="仿宋" w:cs="仿宋"/>
                <w:color w:val="auto"/>
                <w:sz w:val="21"/>
                <w:szCs w:val="21"/>
                <w:highlight w:val="none"/>
              </w:rPr>
            </w:pPr>
          </w:p>
        </w:tc>
        <w:tc>
          <w:tcPr>
            <w:tcW w:w="708" w:type="dxa"/>
          </w:tcPr>
          <w:p w14:paraId="3CC787C6">
            <w:pPr>
              <w:pStyle w:val="6"/>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w:t>
            </w:r>
          </w:p>
        </w:tc>
        <w:tc>
          <w:tcPr>
            <w:tcW w:w="6663" w:type="dxa"/>
          </w:tcPr>
          <w:p w14:paraId="741099D5">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详细的履约考核评分细则</w:t>
            </w:r>
          </w:p>
          <w:p w14:paraId="2A3B1029">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1.考核标准如下（参考表）：</w:t>
            </w:r>
          </w:p>
          <w:tbl>
            <w:tblPr>
              <w:tblStyle w:val="3"/>
              <w:tblW w:w="0" w:type="auto"/>
              <w:jc w:val="center"/>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Layout w:type="autofit"/>
              <w:tblCellMar>
                <w:top w:w="0" w:type="dxa"/>
                <w:left w:w="78" w:type="dxa"/>
                <w:bottom w:w="0" w:type="dxa"/>
                <w:right w:w="108" w:type="dxa"/>
              </w:tblCellMar>
            </w:tblPr>
            <w:tblGrid>
              <w:gridCol w:w="4008"/>
              <w:gridCol w:w="2715"/>
              <w:gridCol w:w="703"/>
            </w:tblGrid>
            <w:tr w14:paraId="4E04EEBA">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273" w:hRule="atLeast"/>
                <w:jc w:val="center"/>
              </w:trPr>
              <w:tc>
                <w:tcPr>
                  <w:tcW w:w="4099" w:type="dxa"/>
                  <w:tcMar>
                    <w:left w:w="78" w:type="dxa"/>
                  </w:tcMar>
                  <w:vAlign w:val="center"/>
                </w:tcPr>
                <w:p w14:paraId="68A3DE1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服务质量要求</w:t>
                  </w:r>
                </w:p>
              </w:tc>
              <w:tc>
                <w:tcPr>
                  <w:tcW w:w="2775" w:type="dxa"/>
                  <w:tcMar>
                    <w:left w:w="78" w:type="dxa"/>
                  </w:tcMar>
                  <w:vAlign w:val="center"/>
                </w:tcPr>
                <w:p w14:paraId="2594D10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质量考评标准</w:t>
                  </w:r>
                </w:p>
              </w:tc>
              <w:tc>
                <w:tcPr>
                  <w:tcW w:w="712" w:type="dxa"/>
                  <w:tcMar>
                    <w:left w:w="78" w:type="dxa"/>
                  </w:tcMar>
                  <w:vAlign w:val="center"/>
                </w:tcPr>
                <w:p w14:paraId="1BE1CED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14:paraId="65250710">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263" w:hRule="atLeast"/>
                <w:jc w:val="center"/>
              </w:trPr>
              <w:tc>
                <w:tcPr>
                  <w:tcW w:w="6874" w:type="dxa"/>
                  <w:gridSpan w:val="2"/>
                  <w:tcMar>
                    <w:left w:w="78" w:type="dxa"/>
                  </w:tcMar>
                  <w:vAlign w:val="center"/>
                </w:tcPr>
                <w:p w14:paraId="28F5DCC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综合要求</w:t>
                  </w:r>
                </w:p>
              </w:tc>
              <w:tc>
                <w:tcPr>
                  <w:tcW w:w="712" w:type="dxa"/>
                  <w:tcMar>
                    <w:left w:w="78" w:type="dxa"/>
                  </w:tcMar>
                </w:tcPr>
                <w:p w14:paraId="3C83671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4DACC44F">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1610" w:hRule="atLeast"/>
                <w:jc w:val="center"/>
              </w:trPr>
              <w:tc>
                <w:tcPr>
                  <w:tcW w:w="4099" w:type="dxa"/>
                  <w:tcMar>
                    <w:left w:w="78" w:type="dxa"/>
                  </w:tcMar>
                  <w:vAlign w:val="center"/>
                </w:tcPr>
                <w:p w14:paraId="40117E6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（1）员工应按规定技术要求聘用，各工种和岗位严格按医院标准定人定位，并要根据医院发展需要，及时增加专业技术人员。</w:t>
                  </w:r>
                </w:p>
              </w:tc>
              <w:tc>
                <w:tcPr>
                  <w:tcW w:w="2775" w:type="dxa"/>
                  <w:tcMar>
                    <w:left w:w="78" w:type="dxa"/>
                  </w:tcMar>
                  <w:vAlign w:val="center"/>
                </w:tcPr>
                <w:p w14:paraId="1DDC1D5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员工技术水平达不到工作要求扣0.5分，不能按合同要求进行定岗定位，扣0.5分，部门运作制度、方案、程序不全每项扣1分，各项检查、维修、保养记录不全，扣0.5分。</w:t>
                  </w:r>
                </w:p>
              </w:tc>
              <w:tc>
                <w:tcPr>
                  <w:tcW w:w="712" w:type="dxa"/>
                  <w:tcMar>
                    <w:left w:w="78" w:type="dxa"/>
                  </w:tcMar>
                </w:tcPr>
                <w:p w14:paraId="669E4B9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1785B26E">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574" w:hRule="atLeast"/>
                <w:jc w:val="center"/>
              </w:trPr>
              <w:tc>
                <w:tcPr>
                  <w:tcW w:w="4099" w:type="dxa"/>
                  <w:tcMar>
                    <w:left w:w="78" w:type="dxa"/>
                  </w:tcMar>
                  <w:vAlign w:val="center"/>
                </w:tcPr>
                <w:p w14:paraId="1EA1981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（2）建立健全维修制度和程序，制定设备安全运行操作规程和管理方案，实施岗位责任制，建立并执行维修档案管理制度。现场实行文明生产管理。</w:t>
                  </w:r>
                </w:p>
              </w:tc>
              <w:tc>
                <w:tcPr>
                  <w:tcW w:w="2775" w:type="dxa"/>
                  <w:tcMar>
                    <w:left w:w="78" w:type="dxa"/>
                  </w:tcMar>
                  <w:vAlign w:val="center"/>
                </w:tcPr>
                <w:p w14:paraId="62A0608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维护保养无计划方案、无巡查、巡查无记录，每项扣0.5分，机电保障、维修问题得不到及时处理扣0.5分，设备、机房等处有杂物、灰尘、污渍、渗水、油，环境不符合标准，扣0.5分，无责任人，扣1分。</w:t>
                  </w:r>
                </w:p>
              </w:tc>
              <w:tc>
                <w:tcPr>
                  <w:tcW w:w="712" w:type="dxa"/>
                  <w:tcMar>
                    <w:left w:w="78" w:type="dxa"/>
                  </w:tcMar>
                </w:tcPr>
                <w:p w14:paraId="710EC8B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0444DE92">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810" w:hRule="atLeast"/>
                <w:jc w:val="center"/>
              </w:trPr>
              <w:tc>
                <w:tcPr>
                  <w:tcW w:w="4099" w:type="dxa"/>
                  <w:tcMar>
                    <w:left w:w="78" w:type="dxa"/>
                  </w:tcMar>
                  <w:vAlign w:val="center"/>
                </w:tcPr>
                <w:p w14:paraId="7B7CD30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（3）严密组织对机电设备的运行状态巡查，记录齐全。对设备维护、保养做到有计划、有措施，确保设备性能完好，运行正常。</w:t>
                  </w:r>
                </w:p>
              </w:tc>
              <w:tc>
                <w:tcPr>
                  <w:tcW w:w="2775" w:type="dxa"/>
                  <w:tcMar>
                    <w:left w:w="78" w:type="dxa"/>
                  </w:tcMar>
                  <w:vAlign w:val="center"/>
                </w:tcPr>
                <w:p w14:paraId="0DDC540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一项不符合每处，扣0.5分。</w:t>
                  </w:r>
                </w:p>
              </w:tc>
              <w:tc>
                <w:tcPr>
                  <w:tcW w:w="712" w:type="dxa"/>
                  <w:tcMar>
                    <w:left w:w="78" w:type="dxa"/>
                  </w:tcMar>
                </w:tcPr>
                <w:p w14:paraId="127F827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7B3103E2">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1084" w:hRule="atLeast"/>
                <w:jc w:val="center"/>
              </w:trPr>
              <w:tc>
                <w:tcPr>
                  <w:tcW w:w="4099" w:type="dxa"/>
                  <w:tcMar>
                    <w:left w:w="78" w:type="dxa"/>
                  </w:tcMar>
                  <w:vAlign w:val="center"/>
                </w:tcPr>
                <w:p w14:paraId="6A0A352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（4）建立并落实维修服务承诺制，对临床科室的各种报修及时维修，确保工作正常。接到报修任务后，15分钟内维修人员到达现场，确认报修完成时间，并做好维修记录。零修、急修及时率100％。</w:t>
                  </w:r>
                </w:p>
              </w:tc>
              <w:tc>
                <w:tcPr>
                  <w:tcW w:w="2775" w:type="dxa"/>
                  <w:tcMar>
                    <w:left w:w="78" w:type="dxa"/>
                  </w:tcMar>
                  <w:vAlign w:val="center"/>
                </w:tcPr>
                <w:p w14:paraId="2DA25F5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制度建立但未落实扣1分，未建立承诺制度扣2分，维修不及时，每次扣1分，没有修复，影响正常工作，情况属实，每次扣1分，无记录或记录不完整，每次扣0.5分。因延误维修造成后果负责赔偿损失。</w:t>
                  </w:r>
                </w:p>
              </w:tc>
              <w:tc>
                <w:tcPr>
                  <w:tcW w:w="712" w:type="dxa"/>
                  <w:tcMar>
                    <w:left w:w="78" w:type="dxa"/>
                  </w:tcMar>
                </w:tcPr>
                <w:p w14:paraId="4C6B1BE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72718F6F">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2158" w:hRule="atLeast"/>
                <w:jc w:val="center"/>
              </w:trPr>
              <w:tc>
                <w:tcPr>
                  <w:tcW w:w="4099" w:type="dxa"/>
                  <w:tcMar>
                    <w:left w:w="78" w:type="dxa"/>
                  </w:tcMar>
                  <w:vAlign w:val="center"/>
                </w:tcPr>
                <w:p w14:paraId="7E3000B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（5）对维修进行跟踪、督办、及时反馈。返修率不高于</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％，并有回访记录，投诉回访率100％，维修等服务回访率不低于60％，管理处回访工作必须自业主投诉或报修之日起三天之内进行回访。对重大报修和紧急报修，立即通知抢修，并报告医院相关部门。</w:t>
                  </w:r>
                </w:p>
              </w:tc>
              <w:tc>
                <w:tcPr>
                  <w:tcW w:w="2775" w:type="dxa"/>
                  <w:tcMar>
                    <w:left w:w="78" w:type="dxa"/>
                  </w:tcMar>
                  <w:vAlign w:val="center"/>
                </w:tcPr>
                <w:p w14:paraId="036526E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维修后没有信息反馈，每次扣0.5分，指标每降低1个百分点扣0.1分，返修率一项不符合扣1分；无回访记录或过时回访扣1分，对重大和紧急报修不能及时正确处理、报告，每次扣2分，造成社会影响，扣4分，并追究责任。</w:t>
                  </w:r>
                </w:p>
              </w:tc>
              <w:tc>
                <w:tcPr>
                  <w:tcW w:w="712" w:type="dxa"/>
                  <w:tcMar>
                    <w:left w:w="78" w:type="dxa"/>
                  </w:tcMar>
                </w:tcPr>
                <w:p w14:paraId="5F9B66F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17ECE092">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1337" w:hRule="atLeast"/>
                <w:jc w:val="center"/>
              </w:trPr>
              <w:tc>
                <w:tcPr>
                  <w:tcW w:w="4099" w:type="dxa"/>
                  <w:tcMar>
                    <w:left w:w="78" w:type="dxa"/>
                  </w:tcMar>
                  <w:vAlign w:val="center"/>
                </w:tcPr>
                <w:p w14:paraId="23BC1C0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（6）机电人员严格遵守操作规程，各值班岗位严格遵守值班规定，遵守劳动纪律。现场符合安全生产和文明行为要求。保持设备及机房环境整洁，无杂物、无鼠虫害发生，机房环境符合设备要求。</w:t>
                  </w:r>
                </w:p>
              </w:tc>
              <w:tc>
                <w:tcPr>
                  <w:tcW w:w="2775" w:type="dxa"/>
                  <w:tcMar>
                    <w:left w:w="78" w:type="dxa"/>
                  </w:tcMar>
                  <w:vAlign w:val="center"/>
                </w:tcPr>
                <w:p w14:paraId="1AB5182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发现一次违反规定扣1～2分，不听从监管员合理的管理指挥，扣2～2.5分，因玩忽职守造成后果，扣2.5分，并追究责任。</w:t>
                  </w:r>
                </w:p>
              </w:tc>
              <w:tc>
                <w:tcPr>
                  <w:tcW w:w="712" w:type="dxa"/>
                  <w:tcMar>
                    <w:left w:w="78" w:type="dxa"/>
                  </w:tcMar>
                </w:tcPr>
                <w:p w14:paraId="7CE1E6B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65FBC3F4">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1610" w:hRule="atLeast"/>
                <w:jc w:val="center"/>
              </w:trPr>
              <w:tc>
                <w:tcPr>
                  <w:tcW w:w="4099" w:type="dxa"/>
                  <w:tcMar>
                    <w:left w:w="78" w:type="dxa"/>
                  </w:tcMar>
                  <w:vAlign w:val="center"/>
                </w:tcPr>
                <w:p w14:paraId="67E8C30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（7）有应急处理机电故障和临时停送电工作方案、应急措施，确保医院无故障停电。确保全年无管理责任事故发生。</w:t>
                  </w:r>
                </w:p>
              </w:tc>
              <w:tc>
                <w:tcPr>
                  <w:tcW w:w="2775" w:type="dxa"/>
                  <w:tcMar>
                    <w:left w:w="78" w:type="dxa"/>
                  </w:tcMar>
                  <w:vAlign w:val="center"/>
                </w:tcPr>
                <w:p w14:paraId="54D33E4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机电负责人，值班员不了解院内设备的运行状态，扣1分，随意停电或故障停电停气查不出原因，每次扣1分，因此导致后果视情节轻重另行处罚。发生责任事故，追究责任。</w:t>
                  </w:r>
                </w:p>
              </w:tc>
              <w:tc>
                <w:tcPr>
                  <w:tcW w:w="712" w:type="dxa"/>
                  <w:tcMar>
                    <w:left w:w="78" w:type="dxa"/>
                  </w:tcMar>
                </w:tcPr>
                <w:p w14:paraId="3764950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5FC3D968">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1610" w:hRule="atLeast"/>
                <w:jc w:val="center"/>
              </w:trPr>
              <w:tc>
                <w:tcPr>
                  <w:tcW w:w="4099" w:type="dxa"/>
                  <w:tcMar>
                    <w:left w:w="78" w:type="dxa"/>
                  </w:tcMar>
                  <w:vAlign w:val="center"/>
                </w:tcPr>
                <w:p w14:paraId="0B2C62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（8）经常组织员工进行培训，提高技术水平；根据工作业务量变化配置人员。定期向院管理科室上报机电设备的运行状况和参数。</w:t>
                  </w:r>
                </w:p>
              </w:tc>
              <w:tc>
                <w:tcPr>
                  <w:tcW w:w="2775" w:type="dxa"/>
                  <w:tcMar>
                    <w:left w:w="78" w:type="dxa"/>
                  </w:tcMar>
                  <w:vAlign w:val="center"/>
                </w:tcPr>
                <w:p w14:paraId="71C49F0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年度有培训计划、成立技术攻关小组，一项不符合扣1分，机电部技术力量满足不了医院工作需要，扣1分，引发后果要追究责任。各种上报材料、参数不准确，不及时，每项扣1分。</w:t>
                  </w:r>
                </w:p>
              </w:tc>
              <w:tc>
                <w:tcPr>
                  <w:tcW w:w="712" w:type="dxa"/>
                  <w:tcMar>
                    <w:left w:w="78" w:type="dxa"/>
                  </w:tcMar>
                </w:tcPr>
                <w:p w14:paraId="215E277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291F8C2B">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2158" w:hRule="atLeast"/>
                <w:jc w:val="center"/>
              </w:trPr>
              <w:tc>
                <w:tcPr>
                  <w:tcW w:w="4099" w:type="dxa"/>
                  <w:tcMar>
                    <w:left w:w="78" w:type="dxa"/>
                  </w:tcMar>
                  <w:vAlign w:val="center"/>
                </w:tcPr>
                <w:p w14:paraId="219D311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设施、设备确保维修质量。不能解决的故障要立即向上级部门汇报，严禁隐瞒不报。对低压配电柜、控制柜、发电机(停、送电)、配电房、给排水系统等处的管理必须有各自的工作制度、工作职责、工作程序、流程图、应急方案。</w:t>
                  </w:r>
                </w:p>
              </w:tc>
              <w:tc>
                <w:tcPr>
                  <w:tcW w:w="2775" w:type="dxa"/>
                  <w:tcMar>
                    <w:left w:w="78" w:type="dxa"/>
                  </w:tcMar>
                  <w:vAlign w:val="center"/>
                </w:tcPr>
                <w:p w14:paraId="01E3CB8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维修质量达不到标准，维修不及时，扣1分，工作规定、程序不健全，扣1分，隐瞒故障、整改不力每项扣1分，并追究责任。对全院机电每个系统、部门、不同的库站均应有制度、职责、程序、流程图健全并上墙，不符合每处，扣0.5分。</w:t>
                  </w:r>
                </w:p>
              </w:tc>
              <w:tc>
                <w:tcPr>
                  <w:tcW w:w="712" w:type="dxa"/>
                  <w:tcMar>
                    <w:left w:w="78" w:type="dxa"/>
                  </w:tcMar>
                </w:tcPr>
                <w:p w14:paraId="2D8FEE8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r w14:paraId="25CA1B02">
              <w:tblPrEx>
                <w:tblBorders>
                  <w:top w:val="single" w:color="000001" w:sz="12" w:space="0"/>
                  <w:left w:val="single" w:color="000001" w:sz="12" w:space="0"/>
                  <w:bottom w:val="single" w:color="000001" w:sz="12" w:space="0"/>
                  <w:right w:val="single" w:color="000001" w:sz="12" w:space="0"/>
                  <w:insideH w:val="single" w:color="000001" w:sz="4" w:space="0"/>
                  <w:insideV w:val="single" w:color="000001" w:sz="4" w:space="0"/>
                </w:tblBorders>
                <w:tblCellMar>
                  <w:top w:w="0" w:type="dxa"/>
                  <w:left w:w="78" w:type="dxa"/>
                  <w:bottom w:w="0" w:type="dxa"/>
                  <w:right w:w="108" w:type="dxa"/>
                </w:tblCellMar>
              </w:tblPrEx>
              <w:trPr>
                <w:trHeight w:val="1073" w:hRule="atLeast"/>
                <w:jc w:val="center"/>
              </w:trPr>
              <w:tc>
                <w:tcPr>
                  <w:tcW w:w="4099" w:type="dxa"/>
                  <w:tcMar>
                    <w:left w:w="78" w:type="dxa"/>
                  </w:tcMar>
                  <w:vAlign w:val="center"/>
                </w:tcPr>
                <w:p w14:paraId="765149A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（10）班组人员搭配，要按高、中、低技术等级合理搭配，不同的技术工种有不同技术人员，各种专业人员都必须有国家颁发的上岗证，坚决杜绝无证上岗。</w:t>
                  </w:r>
                </w:p>
              </w:tc>
              <w:tc>
                <w:tcPr>
                  <w:tcW w:w="2775" w:type="dxa"/>
                  <w:tcMar>
                    <w:left w:w="78" w:type="dxa"/>
                  </w:tcMar>
                  <w:vAlign w:val="center"/>
                </w:tcPr>
                <w:p w14:paraId="205AE4D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技术人员不能合理搭配扣1分，发现无证操作每人次，扣1分，并追究当事人和领导责任。</w:t>
                  </w:r>
                </w:p>
              </w:tc>
              <w:tc>
                <w:tcPr>
                  <w:tcW w:w="712" w:type="dxa"/>
                  <w:tcMar>
                    <w:left w:w="78" w:type="dxa"/>
                  </w:tcMar>
                </w:tcPr>
                <w:p w14:paraId="652AE77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r>
          </w:tbl>
          <w:p w14:paraId="51DBEDD4">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上表为参考表格，采购人可根据实际需要进行调整。</w:t>
            </w:r>
          </w:p>
          <w:p w14:paraId="725CB6E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采购人每月对中标人服务情况进行考核，如考评分数为80-90分（含80分不含90分）为合格；考评分数90分以上（含90分）为优秀，采购人有权进行适当奖励；考评分数80分以下为不合格，甲方有权处罚；合同期间出现3次考评不合格情况，采购人有权要求中标人整改，整改效果仍不满意的，采购人有权终止合同，不承担任何责任。</w:t>
            </w:r>
          </w:p>
          <w:p w14:paraId="342FC64C">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 检查与处理办法</w:t>
            </w:r>
          </w:p>
          <w:p w14:paraId="1F9E31BA">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2.1 检查人每月组织检查，每月组织不少于1次明查和安排不少于1次暗查；检查完毕后检查员与被检查者签字认定；每次检查结束后将结果书面告知中标人。</w:t>
            </w:r>
          </w:p>
          <w:p w14:paraId="27D1D1A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2.2 中标人作业应接受采购人检查，并服从检查纠改要求。</w:t>
            </w:r>
          </w:p>
        </w:tc>
      </w:tr>
      <w:tr w14:paraId="70BD9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37400D8">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说明</w:t>
            </w:r>
          </w:p>
        </w:tc>
        <w:tc>
          <w:tcPr>
            <w:tcW w:w="7371" w:type="dxa"/>
            <w:gridSpan w:val="2"/>
          </w:tcPr>
          <w:p w14:paraId="5E20AA1E">
            <w:pPr>
              <w:pStyle w:val="6"/>
              <w:spacing w:line="360" w:lineRule="auto"/>
              <w:rPr>
                <w:rFonts w:hint="eastAsia" w:ascii="仿宋" w:hAnsi="仿宋" w:eastAsia="仿宋" w:cs="仿宋"/>
                <w:color w:val="auto"/>
                <w:sz w:val="21"/>
                <w:szCs w:val="21"/>
                <w:highlight w:val="none"/>
                <w:lang w:eastAsia="zh-CN"/>
              </w:rPr>
            </w:pPr>
            <w:r>
              <w:rPr>
                <w:rFonts w:ascii="仿宋" w:hAnsi="仿宋" w:eastAsia="仿宋" w:cs="仿宋"/>
                <w:color w:val="auto"/>
                <w:sz w:val="21"/>
                <w:szCs w:val="21"/>
                <w:highlight w:val="none"/>
              </w:rPr>
              <w:t>打“★”号条款为实质性条款，若有任何一条负偏离或不满足则导致投标无效。</w:t>
            </w:r>
          </w:p>
          <w:p w14:paraId="6EF4BB22">
            <w:pPr>
              <w:pStyle w:val="6"/>
              <w:spacing w:line="360" w:lineRule="auto"/>
              <w:rPr>
                <w:rFonts w:hint="eastAsia" w:ascii="仿宋" w:hAnsi="仿宋" w:eastAsia="仿宋" w:cs="仿宋"/>
                <w:color w:val="auto"/>
                <w:sz w:val="21"/>
                <w:szCs w:val="21"/>
                <w:highlight w:val="none"/>
              </w:rPr>
            </w:pPr>
            <w:r>
              <w:rPr>
                <w:rFonts w:ascii="仿宋" w:hAnsi="仿宋" w:eastAsia="仿宋" w:cs="仿宋"/>
                <w:color w:val="auto"/>
                <w:sz w:val="21"/>
                <w:szCs w:val="21"/>
                <w:highlight w:val="none"/>
              </w:rPr>
              <w:t>打“▲”号条款为重要技术参数，若有部分“▲”条款未响应或不满足，将导致其响应性评审加重扣分，但不作为无效投标条款。</w:t>
            </w:r>
          </w:p>
        </w:tc>
      </w:tr>
    </w:tbl>
    <w:p w14:paraId="3BF678AC">
      <w:pPr>
        <w:pStyle w:val="6"/>
        <w:spacing w:line="360" w:lineRule="auto"/>
        <w:rPr>
          <w:rFonts w:hint="eastAsia" w:ascii="仿宋" w:hAnsi="仿宋" w:eastAsia="仿宋" w:cs="仿宋"/>
          <w:color w:val="auto"/>
          <w:sz w:val="24"/>
          <w:szCs w:val="24"/>
          <w:highlight w:val="none"/>
        </w:rPr>
      </w:pPr>
    </w:p>
    <w:p w14:paraId="3ABE03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dmMWJhZTM5ZTFiNDc4OTNmMWM0ZTQxMDcwZjkifQ=="/>
  </w:docVars>
  <w:rsids>
    <w:rsidRoot w:val="506E7BA7"/>
    <w:rsid w:val="003D1C14"/>
    <w:rsid w:val="007C617A"/>
    <w:rsid w:val="009E1753"/>
    <w:rsid w:val="015562B7"/>
    <w:rsid w:val="019F5901"/>
    <w:rsid w:val="01D67DC1"/>
    <w:rsid w:val="02824480"/>
    <w:rsid w:val="03397088"/>
    <w:rsid w:val="03F84712"/>
    <w:rsid w:val="040C1343"/>
    <w:rsid w:val="050012D8"/>
    <w:rsid w:val="05AE19F2"/>
    <w:rsid w:val="05FC74AD"/>
    <w:rsid w:val="067044D6"/>
    <w:rsid w:val="06C37191"/>
    <w:rsid w:val="07061848"/>
    <w:rsid w:val="07227539"/>
    <w:rsid w:val="074F7D22"/>
    <w:rsid w:val="076C513D"/>
    <w:rsid w:val="07CC71E1"/>
    <w:rsid w:val="07D772F8"/>
    <w:rsid w:val="086A51A5"/>
    <w:rsid w:val="0940181A"/>
    <w:rsid w:val="0A100CCF"/>
    <w:rsid w:val="0A320D05"/>
    <w:rsid w:val="0A4108E6"/>
    <w:rsid w:val="0A4F56F6"/>
    <w:rsid w:val="0A747B6B"/>
    <w:rsid w:val="0A9E44AC"/>
    <w:rsid w:val="0AC819B0"/>
    <w:rsid w:val="0AD01F2E"/>
    <w:rsid w:val="0B02240C"/>
    <w:rsid w:val="0B4551EF"/>
    <w:rsid w:val="0B6A7333"/>
    <w:rsid w:val="0C371790"/>
    <w:rsid w:val="0C723858"/>
    <w:rsid w:val="0DDC108E"/>
    <w:rsid w:val="0DDD4B9F"/>
    <w:rsid w:val="0F6B44B0"/>
    <w:rsid w:val="0F9D49CF"/>
    <w:rsid w:val="0FC651EF"/>
    <w:rsid w:val="100643E9"/>
    <w:rsid w:val="10152930"/>
    <w:rsid w:val="10717B79"/>
    <w:rsid w:val="10BD1D21"/>
    <w:rsid w:val="10C44D8E"/>
    <w:rsid w:val="11A07D07"/>
    <w:rsid w:val="11EB0698"/>
    <w:rsid w:val="1241670C"/>
    <w:rsid w:val="12624D47"/>
    <w:rsid w:val="144D20E5"/>
    <w:rsid w:val="14745F1A"/>
    <w:rsid w:val="1522370E"/>
    <w:rsid w:val="15666B96"/>
    <w:rsid w:val="16033DDE"/>
    <w:rsid w:val="160631FD"/>
    <w:rsid w:val="16F95C58"/>
    <w:rsid w:val="170B0A8B"/>
    <w:rsid w:val="17CA0C8D"/>
    <w:rsid w:val="17CF77F7"/>
    <w:rsid w:val="182B7961"/>
    <w:rsid w:val="183654EB"/>
    <w:rsid w:val="185A3439"/>
    <w:rsid w:val="18D954CC"/>
    <w:rsid w:val="19924F6D"/>
    <w:rsid w:val="19DC5908"/>
    <w:rsid w:val="1A436F5B"/>
    <w:rsid w:val="1A775BD0"/>
    <w:rsid w:val="1B3B333A"/>
    <w:rsid w:val="1B9B7602"/>
    <w:rsid w:val="1BA3636F"/>
    <w:rsid w:val="1BA629B1"/>
    <w:rsid w:val="1C4D6024"/>
    <w:rsid w:val="1CCA7C23"/>
    <w:rsid w:val="1D4346DB"/>
    <w:rsid w:val="1E0C1846"/>
    <w:rsid w:val="1E364ABB"/>
    <w:rsid w:val="1E3D1D66"/>
    <w:rsid w:val="1EBB7FD7"/>
    <w:rsid w:val="1F3A3763"/>
    <w:rsid w:val="1FB14ADA"/>
    <w:rsid w:val="1FBE3FCA"/>
    <w:rsid w:val="203736E0"/>
    <w:rsid w:val="20676975"/>
    <w:rsid w:val="20926234"/>
    <w:rsid w:val="20C97AB8"/>
    <w:rsid w:val="20E425E0"/>
    <w:rsid w:val="212264CC"/>
    <w:rsid w:val="21B84FBB"/>
    <w:rsid w:val="22023D1E"/>
    <w:rsid w:val="22105277"/>
    <w:rsid w:val="22154A39"/>
    <w:rsid w:val="2228224B"/>
    <w:rsid w:val="22AA6F0C"/>
    <w:rsid w:val="235845CE"/>
    <w:rsid w:val="24367503"/>
    <w:rsid w:val="246674A6"/>
    <w:rsid w:val="24F24F2E"/>
    <w:rsid w:val="25063CF2"/>
    <w:rsid w:val="25081547"/>
    <w:rsid w:val="258043F8"/>
    <w:rsid w:val="26516DBD"/>
    <w:rsid w:val="266C2325"/>
    <w:rsid w:val="26963CBF"/>
    <w:rsid w:val="26E827E5"/>
    <w:rsid w:val="274F5C31"/>
    <w:rsid w:val="278504DF"/>
    <w:rsid w:val="282F7E9B"/>
    <w:rsid w:val="283E153C"/>
    <w:rsid w:val="283E6B13"/>
    <w:rsid w:val="29125FD8"/>
    <w:rsid w:val="29490912"/>
    <w:rsid w:val="295241BD"/>
    <w:rsid w:val="299D7464"/>
    <w:rsid w:val="29C20921"/>
    <w:rsid w:val="29F267C3"/>
    <w:rsid w:val="2A077882"/>
    <w:rsid w:val="2A565760"/>
    <w:rsid w:val="2AAF7DF1"/>
    <w:rsid w:val="2B1D20E9"/>
    <w:rsid w:val="2B514291"/>
    <w:rsid w:val="2B544B84"/>
    <w:rsid w:val="2CB9079E"/>
    <w:rsid w:val="2D167F79"/>
    <w:rsid w:val="2DE33277"/>
    <w:rsid w:val="2DE43651"/>
    <w:rsid w:val="2E1B4F31"/>
    <w:rsid w:val="2E5A1991"/>
    <w:rsid w:val="2E907332"/>
    <w:rsid w:val="2EB77BD8"/>
    <w:rsid w:val="2ED51C5D"/>
    <w:rsid w:val="2F701657"/>
    <w:rsid w:val="2FC37C9F"/>
    <w:rsid w:val="2FED0A68"/>
    <w:rsid w:val="301F3354"/>
    <w:rsid w:val="302F1181"/>
    <w:rsid w:val="30462300"/>
    <w:rsid w:val="30737006"/>
    <w:rsid w:val="30764D01"/>
    <w:rsid w:val="30796E4A"/>
    <w:rsid w:val="30947EF6"/>
    <w:rsid w:val="314A7500"/>
    <w:rsid w:val="319A4478"/>
    <w:rsid w:val="31AE7A5A"/>
    <w:rsid w:val="31E3796F"/>
    <w:rsid w:val="31E61D67"/>
    <w:rsid w:val="322D7963"/>
    <w:rsid w:val="32F62C2E"/>
    <w:rsid w:val="334B75BF"/>
    <w:rsid w:val="336373CE"/>
    <w:rsid w:val="336C4DB9"/>
    <w:rsid w:val="33C2292C"/>
    <w:rsid w:val="33F62924"/>
    <w:rsid w:val="341130F9"/>
    <w:rsid w:val="346B40A4"/>
    <w:rsid w:val="349A4449"/>
    <w:rsid w:val="350F1F97"/>
    <w:rsid w:val="35F90AEA"/>
    <w:rsid w:val="36193FFF"/>
    <w:rsid w:val="36870D46"/>
    <w:rsid w:val="369F18E3"/>
    <w:rsid w:val="36FC0BC5"/>
    <w:rsid w:val="371137F3"/>
    <w:rsid w:val="380A5BA2"/>
    <w:rsid w:val="38733356"/>
    <w:rsid w:val="392B200D"/>
    <w:rsid w:val="396D4167"/>
    <w:rsid w:val="398D44DF"/>
    <w:rsid w:val="39A3756E"/>
    <w:rsid w:val="3A362051"/>
    <w:rsid w:val="3A4579C7"/>
    <w:rsid w:val="3A556D80"/>
    <w:rsid w:val="3A734369"/>
    <w:rsid w:val="3A8E119F"/>
    <w:rsid w:val="3B0279DF"/>
    <w:rsid w:val="3B8D1DB2"/>
    <w:rsid w:val="3BD151D0"/>
    <w:rsid w:val="3C074C65"/>
    <w:rsid w:val="3C7A173D"/>
    <w:rsid w:val="3C7E4BFC"/>
    <w:rsid w:val="3CD12B36"/>
    <w:rsid w:val="3CE9678E"/>
    <w:rsid w:val="3D0D26E7"/>
    <w:rsid w:val="3D1111EA"/>
    <w:rsid w:val="3D4761A7"/>
    <w:rsid w:val="3E3B22A9"/>
    <w:rsid w:val="3E92254C"/>
    <w:rsid w:val="3EA54235"/>
    <w:rsid w:val="3EE255EF"/>
    <w:rsid w:val="3EED24CB"/>
    <w:rsid w:val="3F1C77BE"/>
    <w:rsid w:val="402179EF"/>
    <w:rsid w:val="40556A18"/>
    <w:rsid w:val="409B07B2"/>
    <w:rsid w:val="41025B59"/>
    <w:rsid w:val="41B87871"/>
    <w:rsid w:val="42271EA2"/>
    <w:rsid w:val="4274575D"/>
    <w:rsid w:val="42A757F7"/>
    <w:rsid w:val="42B76C49"/>
    <w:rsid w:val="42D6121C"/>
    <w:rsid w:val="437E2A4C"/>
    <w:rsid w:val="43A10383"/>
    <w:rsid w:val="4461247F"/>
    <w:rsid w:val="44F65E97"/>
    <w:rsid w:val="45083D29"/>
    <w:rsid w:val="45215D31"/>
    <w:rsid w:val="45847281"/>
    <w:rsid w:val="45D14C0C"/>
    <w:rsid w:val="460808AE"/>
    <w:rsid w:val="46CE3AF8"/>
    <w:rsid w:val="46F16653"/>
    <w:rsid w:val="470F4D1A"/>
    <w:rsid w:val="47102F58"/>
    <w:rsid w:val="473C00F9"/>
    <w:rsid w:val="476B1B17"/>
    <w:rsid w:val="483B5FD2"/>
    <w:rsid w:val="489A10ED"/>
    <w:rsid w:val="48C77895"/>
    <w:rsid w:val="491F6842"/>
    <w:rsid w:val="49521F38"/>
    <w:rsid w:val="4A2635DD"/>
    <w:rsid w:val="4A665F1F"/>
    <w:rsid w:val="4B6D4764"/>
    <w:rsid w:val="4BD401A2"/>
    <w:rsid w:val="4C2A7988"/>
    <w:rsid w:val="4D407691"/>
    <w:rsid w:val="4DD700A8"/>
    <w:rsid w:val="4E317B2B"/>
    <w:rsid w:val="4E450D79"/>
    <w:rsid w:val="4F990C9D"/>
    <w:rsid w:val="506E7BA7"/>
    <w:rsid w:val="511C4819"/>
    <w:rsid w:val="5298199C"/>
    <w:rsid w:val="52C45798"/>
    <w:rsid w:val="53DE2B8A"/>
    <w:rsid w:val="53EF37D2"/>
    <w:rsid w:val="54223754"/>
    <w:rsid w:val="54265D9E"/>
    <w:rsid w:val="54337DE2"/>
    <w:rsid w:val="547E0778"/>
    <w:rsid w:val="54B34B03"/>
    <w:rsid w:val="54FA1DD6"/>
    <w:rsid w:val="55260ACC"/>
    <w:rsid w:val="553D4F0F"/>
    <w:rsid w:val="55FA736D"/>
    <w:rsid w:val="562B5016"/>
    <w:rsid w:val="56751DEA"/>
    <w:rsid w:val="56DB3930"/>
    <w:rsid w:val="57012E78"/>
    <w:rsid w:val="57914EBE"/>
    <w:rsid w:val="57B456DF"/>
    <w:rsid w:val="57F93A8B"/>
    <w:rsid w:val="59176032"/>
    <w:rsid w:val="59586511"/>
    <w:rsid w:val="59854343"/>
    <w:rsid w:val="59C83B7E"/>
    <w:rsid w:val="5A505176"/>
    <w:rsid w:val="5A8A6407"/>
    <w:rsid w:val="5BB24393"/>
    <w:rsid w:val="5BC117AC"/>
    <w:rsid w:val="5C0F3150"/>
    <w:rsid w:val="5C7F4A95"/>
    <w:rsid w:val="5D355068"/>
    <w:rsid w:val="5D4E33C6"/>
    <w:rsid w:val="5D7D225B"/>
    <w:rsid w:val="5E026A92"/>
    <w:rsid w:val="5E3C724E"/>
    <w:rsid w:val="5E5E65AB"/>
    <w:rsid w:val="5F635465"/>
    <w:rsid w:val="5FEA4961"/>
    <w:rsid w:val="603F7F35"/>
    <w:rsid w:val="60623C34"/>
    <w:rsid w:val="60936FFB"/>
    <w:rsid w:val="616A1054"/>
    <w:rsid w:val="61A56442"/>
    <w:rsid w:val="62384FEC"/>
    <w:rsid w:val="62774838"/>
    <w:rsid w:val="62996A99"/>
    <w:rsid w:val="632E3299"/>
    <w:rsid w:val="635E6EFD"/>
    <w:rsid w:val="63CD561D"/>
    <w:rsid w:val="63DE7A32"/>
    <w:rsid w:val="642242A0"/>
    <w:rsid w:val="64BA649C"/>
    <w:rsid w:val="661E4A0D"/>
    <w:rsid w:val="66315EF8"/>
    <w:rsid w:val="66401712"/>
    <w:rsid w:val="668976A1"/>
    <w:rsid w:val="67137E1B"/>
    <w:rsid w:val="67262384"/>
    <w:rsid w:val="678E7206"/>
    <w:rsid w:val="67C67469"/>
    <w:rsid w:val="68A953D9"/>
    <w:rsid w:val="68F248C0"/>
    <w:rsid w:val="69872067"/>
    <w:rsid w:val="69DD52A5"/>
    <w:rsid w:val="6A505E97"/>
    <w:rsid w:val="6A95422B"/>
    <w:rsid w:val="6B723072"/>
    <w:rsid w:val="6B764C64"/>
    <w:rsid w:val="6C2232F6"/>
    <w:rsid w:val="6C4A022B"/>
    <w:rsid w:val="6C6539D0"/>
    <w:rsid w:val="6CCE349D"/>
    <w:rsid w:val="6D5826B9"/>
    <w:rsid w:val="6D645EF8"/>
    <w:rsid w:val="6D66455F"/>
    <w:rsid w:val="6DE86BF1"/>
    <w:rsid w:val="6E304906"/>
    <w:rsid w:val="6F0A601B"/>
    <w:rsid w:val="6FA25904"/>
    <w:rsid w:val="6FA96883"/>
    <w:rsid w:val="709734C6"/>
    <w:rsid w:val="70BB6047"/>
    <w:rsid w:val="70D87991"/>
    <w:rsid w:val="71065E35"/>
    <w:rsid w:val="710837FE"/>
    <w:rsid w:val="713770CD"/>
    <w:rsid w:val="7189763F"/>
    <w:rsid w:val="72276104"/>
    <w:rsid w:val="7320660C"/>
    <w:rsid w:val="751C3F70"/>
    <w:rsid w:val="758050BB"/>
    <w:rsid w:val="75B4432B"/>
    <w:rsid w:val="761D16DF"/>
    <w:rsid w:val="76E0440E"/>
    <w:rsid w:val="77726F53"/>
    <w:rsid w:val="77C145E4"/>
    <w:rsid w:val="7858669E"/>
    <w:rsid w:val="78C53D06"/>
    <w:rsid w:val="795A5B65"/>
    <w:rsid w:val="79B42C6C"/>
    <w:rsid w:val="79DB1089"/>
    <w:rsid w:val="79F3266A"/>
    <w:rsid w:val="7B294C20"/>
    <w:rsid w:val="7B2C1AB2"/>
    <w:rsid w:val="7B891BF7"/>
    <w:rsid w:val="7B8A4C82"/>
    <w:rsid w:val="7C957F67"/>
    <w:rsid w:val="7CB721C8"/>
    <w:rsid w:val="7DF16BF5"/>
    <w:rsid w:val="7E4A73B7"/>
    <w:rsid w:val="7ED24BB6"/>
    <w:rsid w:val="7EF05285"/>
    <w:rsid w:val="7F2541B1"/>
    <w:rsid w:val="7F9B68DD"/>
    <w:rsid w:val="7FDE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17044</Words>
  <Characters>17646</Characters>
  <Lines>0</Lines>
  <Paragraphs>0</Paragraphs>
  <TotalTime>0</TotalTime>
  <ScaleCrop>false</ScaleCrop>
  <LinksUpToDate>false</LinksUpToDate>
  <CharactersWithSpaces>18367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2024-08-28T06:52:00Z</dcterms:created>
  <dc:creator>黄熙栋</dc:creator>
  <cp:lastModifiedBy>黄熙栋</cp:lastModifiedBy>
  <dcterms:modified xsi:type="dcterms:W3CDTF">2024-08-28T07:58:08Z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ADA2DCAC25F2414BA6DC95C475E3BEC6_11</vt:lpwstr>
  </property>
</Properties>
</file>