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4"/>
        </w:rPr>
      </w:pPr>
      <w:r>
        <w:rPr>
          <w:rFonts w:hint="eastAsia" w:ascii="宋体" w:hAnsi="宋体" w:eastAsia="宋体"/>
          <w:b/>
          <w:kern w:val="32"/>
          <w:sz w:val="28"/>
          <w:szCs w:val="24"/>
        </w:rPr>
        <w:t>中新镇广州东部公铁联运枢纽项目产生的黑泥矿产资源竞买</w:t>
      </w:r>
      <w:r>
        <w:rPr>
          <w:rFonts w:ascii="宋体" w:hAnsi="宋体" w:eastAsia="宋体"/>
          <w:b/>
          <w:kern w:val="32"/>
          <w:sz w:val="28"/>
          <w:szCs w:val="24"/>
        </w:rPr>
        <w:t>须知</w:t>
      </w:r>
    </w:p>
    <w:p>
      <w:pPr>
        <w:rPr>
          <w:rFonts w:ascii="宋体" w:hAnsi="宋体" w:eastAsia="宋体"/>
          <w:sz w:val="24"/>
          <w:szCs w:val="24"/>
        </w:rPr>
      </w:pP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中新镇广州东部公铁联运枢纽项目产生的黑泥矿产资源</w:t>
      </w:r>
      <w:r>
        <w:rPr>
          <w:rFonts w:hint="eastAsia" w:ascii="宋体" w:hAnsi="宋体" w:eastAsia="宋体"/>
          <w:sz w:val="24"/>
          <w:szCs w:val="24"/>
        </w:rPr>
        <w:t>网上拍卖，是指广州交易集团有限公司（广州公共资源交易中心）（以下简称交易中心）接受广州市增城区</w:t>
      </w:r>
      <w:r>
        <w:rPr>
          <w:rFonts w:hint="eastAsia" w:ascii="宋体" w:hAnsi="宋体" w:eastAsia="宋体"/>
          <w:sz w:val="24"/>
          <w:szCs w:val="24"/>
          <w:lang w:val="en-US" w:eastAsia="zh-CN"/>
        </w:rPr>
        <w:t>中新</w:t>
      </w:r>
      <w:r>
        <w:rPr>
          <w:rFonts w:hint="eastAsia" w:ascii="宋体" w:hAnsi="宋体" w:eastAsia="宋体"/>
          <w:sz w:val="24"/>
          <w:szCs w:val="24"/>
        </w:rPr>
        <w:t>镇人民政府（以下简称委托方）委托，在互联网和规定场所发布</w:t>
      </w:r>
      <w:r>
        <w:rPr>
          <w:rFonts w:hint="eastAsia" w:ascii="宋体" w:hAnsi="宋体" w:eastAsia="宋体"/>
          <w:sz w:val="24"/>
          <w:szCs w:val="24"/>
          <w:lang w:val="en-US" w:eastAsia="zh-CN"/>
        </w:rPr>
        <w:t>黑泥</w:t>
      </w:r>
      <w:r>
        <w:rPr>
          <w:rFonts w:hint="eastAsia" w:ascii="宋体" w:hAnsi="宋体" w:eastAsia="宋体"/>
          <w:sz w:val="24"/>
          <w:szCs w:val="24"/>
        </w:rPr>
        <w:t>矿产资源网上拍卖公告，通过广州交易集团有限公司（广州公共资源交易中心）土地矿业权网上交易系统（以下简称交易系统）接受竞买申请，组织竞买人参与网上拍卖，确认竞买资格，最终确定竞得人的活动。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四、提交竞买申请之前，竞买人应当详细阅读</w:t>
      </w:r>
      <w:r>
        <w:rPr>
          <w:rFonts w:hint="eastAsia" w:ascii="宋体" w:hAnsi="宋体" w:eastAsia="宋体"/>
          <w:bCs/>
          <w:sz w:val="24"/>
          <w:szCs w:val="24"/>
          <w:lang w:val="en-US" w:eastAsia="zh-CN"/>
        </w:rPr>
        <w:t>黑泥</w:t>
      </w:r>
      <w:r>
        <w:rPr>
          <w:rFonts w:hint="eastAsia" w:ascii="宋体" w:hAnsi="宋体" w:eastAsia="宋体"/>
          <w:bCs/>
          <w:sz w:val="24"/>
          <w:szCs w:val="24"/>
        </w:rPr>
        <w:t>矿产资源</w:t>
      </w:r>
      <w:r>
        <w:rPr>
          <w:rFonts w:ascii="宋体" w:hAnsi="宋体" w:eastAsia="宋体"/>
          <w:bCs/>
          <w:sz w:val="24"/>
          <w:szCs w:val="24"/>
        </w:rPr>
        <w:t>网上</w:t>
      </w:r>
      <w:r>
        <w:rPr>
          <w:rFonts w:hint="eastAsia" w:ascii="宋体" w:hAnsi="宋体" w:eastAsia="宋体"/>
          <w:bCs/>
          <w:sz w:val="24"/>
          <w:szCs w:val="24"/>
        </w:rPr>
        <w:t>拍卖</w:t>
      </w:r>
      <w:r>
        <w:rPr>
          <w:rFonts w:ascii="宋体" w:hAnsi="宋体" w:eastAsia="宋体"/>
          <w:bCs/>
          <w:sz w:val="24"/>
          <w:szCs w:val="24"/>
        </w:rPr>
        <w:t>公告</w:t>
      </w:r>
      <w:r>
        <w:rPr>
          <w:rFonts w:hint="eastAsia" w:ascii="宋体" w:hAnsi="宋体" w:eastAsia="宋体"/>
          <w:sz w:val="24"/>
          <w:szCs w:val="24"/>
        </w:rPr>
        <w:t>等文件，必要时，应当自行实地看样，电话咨询（咨询电话：020-28866000）或前往交易中心现场咨询。竞买申请书一经提交，即视为竞买人对拍卖的</w:t>
      </w:r>
      <w:r>
        <w:rPr>
          <w:rFonts w:hint="eastAsia" w:ascii="宋体" w:hAnsi="宋体" w:eastAsia="宋体"/>
          <w:sz w:val="24"/>
          <w:szCs w:val="24"/>
          <w:lang w:val="en-US" w:eastAsia="zh-CN"/>
        </w:rPr>
        <w:t>黑泥</w:t>
      </w:r>
      <w:r>
        <w:rPr>
          <w:rFonts w:hint="eastAsia" w:ascii="宋体" w:hAnsi="宋体" w:eastAsia="宋体"/>
          <w:sz w:val="24"/>
          <w:szCs w:val="24"/>
        </w:rPr>
        <w:t>矿产资源现状、数量、</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网上拍卖公告、评估报告、相关拍卖资料等已充分了解并无异议，由此产生的一切风险及后果由竞买人自行承担，</w:t>
      </w:r>
      <w:r>
        <w:rPr>
          <w:rFonts w:hint="eastAsia" w:ascii="宋体" w:hAnsi="宋体" w:eastAsia="宋体"/>
          <w:kern w:val="32"/>
          <w:sz w:val="24"/>
          <w:szCs w:val="24"/>
        </w:rPr>
        <w:t>委托方对此不承担责任。</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委托方认为需要对拍卖公告作出修改、补充时，将于网上交易申请截止日前在交易中心门户网站发布补充公告，不作另行通知，若因竞买人未自行及时关注交易中心门户网站发布的补充公告，由此产生的一切风险及后果由竞买人自行承担，委托方不对此承担责任。</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参与网上拍卖出让活动前，竞买人应前往交易中心二楼窗口办理CA数字证书及电子签章。竞买人办理的CA数字证书须与交易系统进行绑定，才能登录交易系统参与网上拍卖活动。办理资料及流程详见交易中心网门户网站（http://www.gzggzy.cn）服务指南/办事指引/CA及电子签章。</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（一）竞买人凭CA数字证书登录交易中心土地（矿业）权交易平台的企业库系统（http://www.gzggzy.cn/cms/index.html）办理企业信息登记入库；办理资料及流程详见交易中心网门户网站（</w:t>
      </w:r>
      <w:r>
        <w:fldChar w:fldCharType="begin"/>
      </w:r>
      <w:r>
        <w:instrText xml:space="preserve"> HYPERLINK "http://www.gzggzy.cn" </w:instrText>
      </w:r>
      <w:r>
        <w:fldChar w:fldCharType="separate"/>
      </w:r>
      <w:r>
        <w:rPr>
          <w:rStyle w:val="13"/>
          <w:rFonts w:hint="eastAsia" w:ascii="宋体" w:hAnsi="宋体" w:eastAsia="宋体"/>
          <w:color w:val="auto"/>
          <w:sz w:val="24"/>
          <w:szCs w:val="24"/>
        </w:rPr>
        <w:t>http://www.gzggzy.cn</w:t>
      </w:r>
      <w:r>
        <w:rPr>
          <w:rStyle w:val="13"/>
          <w:rFonts w:hint="eastAsia" w:ascii="宋体" w:hAnsi="宋体" w:eastAsia="宋体"/>
          <w:color w:val="auto"/>
          <w:sz w:val="24"/>
          <w:szCs w:val="24"/>
        </w:rPr>
        <w:fldChar w:fldCharType="end"/>
      </w:r>
      <w:r>
        <w:rPr>
          <w:rFonts w:hint="eastAsia" w:ascii="宋体" w:hAnsi="宋体" w:eastAsia="宋体"/>
          <w:sz w:val="24"/>
          <w:szCs w:val="24"/>
        </w:rPr>
        <w:t>）服务指南/办事指引/企业信息登记/自然资源类栏目《土地使用权及矿业（其他自然资源）权类企业信息登记办事指引》。</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（三）竞买人应在公告约定截止时间前通过交易系统选择其中一间银行及相应币种（限人民币），并按照随机分配的银行子账号，按时足额缴纳保证金，交易系统以此子账号作为识别竞买人身份的依据；</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（四）竞买人登录交易系统在“保证金管理”栏目查询保证金缴纳状态，确认到账后，方可进入后续报价、竞价环节。</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八、竞买人应在公告规定的申请截止日期前，通过交易系统提交网上申请，因未按公告要求导致上传资料不全或逾期提交的，将无法取得竞买或竞得资格。申请文件包括但不限于下列文件：</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3.法定代表人证明及法人代表身份证复印件；</w:t>
      </w:r>
    </w:p>
    <w:p>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4.授权委托书及代理人身份证复印件。</w:t>
      </w:r>
    </w:p>
    <w:p>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5.竞买人必须为中华人民共和国境内注册登记的营利法人、非营利法人中的事业单位法人、个人独资企业、合伙企业或个体工商户，个人不得参与竞拍。</w:t>
      </w:r>
    </w:p>
    <w:p>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6.竞买人未被列入“信用中国”失信联合惩戒对象或失信黑名单。</w:t>
      </w:r>
    </w:p>
    <w:p>
      <w:pPr>
        <w:shd w:val="clear" w:color="auto" w:fill="FFFFFF"/>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rPr>
        <w:t>7.本次网上拍卖接受单独竞买，同时接受联合体竞买，但联合体双方需约定相</w:t>
      </w:r>
      <w:r>
        <w:rPr>
          <w:rFonts w:hint="eastAsia" w:ascii="宋体" w:hAnsi="宋体" w:eastAsia="宋体"/>
          <w:sz w:val="24"/>
          <w:szCs w:val="24"/>
          <w:highlight w:val="none"/>
        </w:rPr>
        <w:t>关的责任，本资格和要求由联合体任意一方或者双方组合补充后具备即可。</w:t>
      </w:r>
    </w:p>
    <w:p>
      <w:pPr>
        <w:shd w:val="clear" w:color="auto" w:fill="FFFFFF"/>
        <w:spacing w:line="360" w:lineRule="auto"/>
        <w:ind w:firstLine="480" w:firstLineChars="200"/>
        <w:rPr>
          <w:rFonts w:hint="eastAsia" w:ascii="宋体" w:hAnsi="宋体" w:eastAsia="宋体"/>
          <w:color w:val="auto"/>
          <w:sz w:val="24"/>
          <w:szCs w:val="24"/>
          <w:highlight w:val="none"/>
          <w:shd w:val="clear" w:color="FFFFFF" w:fill="D9D9D9"/>
        </w:rPr>
      </w:pPr>
      <w:r>
        <w:rPr>
          <w:rFonts w:hint="eastAsia" w:ascii="宋体" w:hAnsi="宋体" w:eastAsia="宋体"/>
          <w:sz w:val="24"/>
          <w:szCs w:val="24"/>
        </w:rPr>
        <w:t>10.竞买人拟参与本次多批次拍卖标的，应当</w:t>
      </w:r>
      <w:r>
        <w:rPr>
          <w:rFonts w:hint="eastAsia" w:ascii="宋体" w:hAnsi="宋体" w:eastAsia="宋体"/>
          <w:sz w:val="24"/>
          <w:szCs w:val="24"/>
          <w:highlight w:val="none"/>
        </w:rPr>
        <w:t>按照本公告、</w:t>
      </w:r>
      <w:r>
        <w:rPr>
          <w:rFonts w:hint="eastAsia" w:ascii="宋体" w:hAnsi="宋体" w:eastAsia="宋体"/>
          <w:sz w:val="24"/>
          <w:szCs w:val="24"/>
          <w:highlight w:val="none"/>
          <w:lang w:val="en-US" w:eastAsia="zh-CN"/>
        </w:rPr>
        <w:t>竞买</w:t>
      </w:r>
      <w:r>
        <w:rPr>
          <w:rFonts w:hint="eastAsia" w:ascii="宋体" w:hAnsi="宋体" w:eastAsia="宋体"/>
          <w:sz w:val="24"/>
          <w:szCs w:val="24"/>
          <w:highlight w:val="none"/>
        </w:rPr>
        <w:t>须知等相关文件，按照拟参与</w:t>
      </w:r>
      <w:r>
        <w:rPr>
          <w:rFonts w:hint="eastAsia" w:ascii="宋体" w:hAnsi="宋体" w:eastAsia="宋体"/>
          <w:color w:val="auto"/>
          <w:sz w:val="24"/>
          <w:szCs w:val="24"/>
          <w:highlight w:val="none"/>
        </w:rPr>
        <w:t>的批次提交参与拍卖申请并缴交保证金，保证金暂定人民币</w:t>
      </w: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万元整。如竞买人为联合体参加的，由任意一方出具保证金均可。</w:t>
      </w:r>
    </w:p>
    <w:p>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11.如为联合体竞买的，提供联合竞买协议原件。</w:t>
      </w:r>
    </w:p>
    <w:p>
      <w:pPr>
        <w:shd w:val="clear" w:color="auto" w:fill="FFFFFF"/>
        <w:spacing w:line="360" w:lineRule="auto"/>
        <w:ind w:firstLine="480" w:firstLineChars="200"/>
        <w:rPr>
          <w:rFonts w:eastAsia="宋体"/>
          <w:color w:val="auto"/>
          <w:highlight w:val="none"/>
        </w:rPr>
      </w:pP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竞买人需在工程施工红线外自行解决加工场地进行砂</w:t>
      </w:r>
      <w:r>
        <w:rPr>
          <w:rFonts w:hint="eastAsia" w:ascii="宋体" w:hAnsi="宋体" w:eastAsia="宋体"/>
          <w:color w:val="auto"/>
          <w:sz w:val="24"/>
          <w:szCs w:val="24"/>
          <w:highlight w:val="none"/>
          <w:lang w:val="en-US" w:eastAsia="zh-CN"/>
        </w:rPr>
        <w:t>石</w:t>
      </w:r>
      <w:r>
        <w:rPr>
          <w:rFonts w:hint="eastAsia" w:ascii="宋体" w:hAnsi="宋体" w:eastAsia="宋体"/>
          <w:color w:val="auto"/>
          <w:sz w:val="24"/>
          <w:szCs w:val="24"/>
          <w:highlight w:val="none"/>
        </w:rPr>
        <w:t>土余渣加工，且加工场地需具备合法手续，如建筑废弃物处置证等，并将标的物外运至该加工场地进行加工。</w:t>
      </w:r>
    </w:p>
    <w:p>
      <w:pPr>
        <w:pStyle w:val="8"/>
        <w:topLinePunct/>
        <w:ind w:firstLine="480" w:firstLineChars="200"/>
        <w:textAlignment w:val="center"/>
        <w:rPr>
          <w:rFonts w:ascii="宋体" w:hAnsi="宋体" w:eastAsia="宋体"/>
          <w:color w:val="auto"/>
          <w:szCs w:val="24"/>
          <w:highlight w:val="none"/>
        </w:rPr>
      </w:pPr>
      <w:r>
        <w:rPr>
          <w:rFonts w:hint="eastAsia" w:ascii="宋体" w:hAnsi="宋体" w:eastAsia="宋体"/>
          <w:color w:val="auto"/>
          <w:szCs w:val="24"/>
          <w:highlight w:val="none"/>
        </w:rPr>
        <w:t>九、网上交易的报价规则</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（一）竞买人通过交易系统进行报价；</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（二）同一竞买人可连续、多次报价；</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（三）初次报价不得低于起始价；</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（四）报价应以增价方式进行，每次增价幅度不得小于公告规定增价幅度；</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（五）符合相关条件的报价，交易系统予以接受，并即时公布；</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（六）交易系统自动提醒竞买人谨慎报价，报价一经提交并经系统记录即视为有效报价，不得撤回。</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rPr>
        <w:t>、网上限时竞价结束，交易系统按下列规则确定是否成交，并在相关信息栏中显示交易结果：</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（一）网上限时竞价中，有竞买人进行报价，最高报价为最终报价，该竞买人为最终报价人，最终报价人待资格审核通过后确定为竞得人；</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（二）网上限时竞价中无人报价的，交易系统显示拍卖不成交。</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、竞买人未按时缴纳竞买保证金，造成竞买保证金在规定时间内未到账的，所造成的一切损失和法律后果由竞买人自行承担。</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rPr>
        <w:t>、竞买人在交易系统实施的所有行为，均由交易系统服务器自动记录，视为竞买人真实或经合法授权的行为，该行为所引起的法律责任由竞买人承担。</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、竞买人在2</w:t>
      </w:r>
      <w:r>
        <w:rPr>
          <w:rFonts w:ascii="宋体" w:hAnsi="宋体" w:eastAsia="宋体"/>
          <w:color w:val="auto"/>
          <w:sz w:val="24"/>
          <w:szCs w:val="24"/>
          <w:highlight w:val="none"/>
        </w:rPr>
        <w:t>4</w:t>
      </w:r>
      <w:r>
        <w:rPr>
          <w:rFonts w:hint="eastAsia" w:ascii="宋体" w:hAnsi="宋体" w:eastAsia="宋体"/>
          <w:color w:val="auto"/>
          <w:sz w:val="24"/>
          <w:szCs w:val="24"/>
          <w:highlight w:val="none"/>
        </w:rPr>
        <w:t>小时内连续六次输错密码，交易系统将自动锁定竞买人相关权限。CA证书锁定后需要解锁的，竞买人应向电子商务认证机构提供相关证明申请办理解锁。</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竞买人应当妥善保管数字证书和密码。因竞买人电脑操作系统被侵入或其他自身原因导致数字证书遗失或密码泄漏等造成的损失，由竞买人自行承担。</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五</w:t>
      </w:r>
      <w:r>
        <w:rPr>
          <w:rFonts w:hint="eastAsia" w:ascii="宋体" w:hAnsi="宋体" w:eastAsia="宋体"/>
          <w:color w:val="auto"/>
          <w:sz w:val="24"/>
          <w:szCs w:val="24"/>
          <w:highlight w:val="none"/>
        </w:rPr>
        <w:t>、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、有下列情形之一的，应暂停、中止或终止网上交易活动：</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（一）交易系统受到网络恶意入侵的；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（二）因交易系统遭受破坏或发生电力、网络故障等不可抗力的非交易中心因素，导致交易系统不能正常运行的；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（三）委托方根据有关规定要求暂停、中止或终止网上交易活动的；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（四）司法机关要求暂停、中止或终止网上交易活动的；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（五）涉及网上交易标的纠纷，不能及时解决的；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（六）委托方、交易中心认为应当暂停、中止或终止网上交易活动的其他情形。</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、出现本须知第十七条第（一）项规定情形的，交易中心暂停网上交易活动后，应将情况及时上报委托方，待问题排查、清除后恢复交易；</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出现本须知第十七条第（二）项至第（四）项规定情形的，交易中心应发函告知委托方；</w:t>
      </w:r>
    </w:p>
    <w:p>
      <w:pPr>
        <w:numPr>
          <w:ilvl w:val="-1"/>
          <w:numId w:val="0"/>
        </w:numPr>
        <w:shd w:val="clear" w:color="auto" w:fill="FFFFFF"/>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宋体" w:hAnsi="宋体" w:eastAsia="宋体"/>
          <w:color w:val="auto"/>
          <w:sz w:val="24"/>
          <w:szCs w:val="24"/>
          <w:highlight w:val="none"/>
        </w:rPr>
        <w:t>出现本须知第十七条第（五、六）项规定情形的，交易中心应报委托方审核。在委托方做出暂停、中止或终止网上交易活动的决定后，由交易中心通过原公告渠道发布暂停、中止或终止公告，并关闭交易系统竞价通道。</w:t>
      </w:r>
    </w:p>
    <w:p>
      <w:pPr>
        <w:numPr>
          <w:numId w:val="0"/>
        </w:num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Theme="majorEastAsia" w:hAnsiTheme="majorEastAsia" w:eastAsiaTheme="majorEastAsia" w:cstheme="majorEastAsia"/>
          <w:color w:val="auto"/>
          <w:sz w:val="24"/>
          <w:szCs w:val="24"/>
          <w:highlight w:val="none"/>
          <w:shd w:val="clear" w:color="auto" w:fill="FFFFFF"/>
          <w:lang w:val="en-US" w:eastAsia="zh-CN"/>
        </w:rPr>
        <w:t>十八、</w:t>
      </w:r>
      <w:r>
        <w:rPr>
          <w:rFonts w:hint="eastAsia" w:asciiTheme="majorEastAsia" w:hAnsiTheme="majorEastAsia" w:eastAsiaTheme="majorEastAsia" w:cstheme="majorEastAsia"/>
          <w:color w:val="auto"/>
          <w:sz w:val="24"/>
          <w:szCs w:val="24"/>
          <w:highlight w:val="none"/>
          <w:shd w:val="clear" w:color="auto" w:fill="FFFFFF"/>
        </w:rPr>
        <w:t>网上拍卖活动结束后，未竞得人缴纳的保证金及利息由交易中心5个工作日内予以退还，利息按银行的同期活期利率计算。</w:t>
      </w:r>
    </w:p>
    <w:p>
      <w:pPr>
        <w:numPr>
          <w:numId w:val="0"/>
        </w:num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九</w:t>
      </w:r>
      <w:r>
        <w:rPr>
          <w:rFonts w:hint="eastAsia" w:ascii="宋体" w:hAnsi="宋体" w:eastAsia="宋体"/>
          <w:color w:val="auto"/>
          <w:sz w:val="24"/>
          <w:szCs w:val="24"/>
          <w:highlight w:val="none"/>
        </w:rPr>
        <w:t>、竞得人应于资格确认后2个工作日内与交易中心签订《成交确认书》，</w:t>
      </w:r>
      <w:r>
        <w:rPr>
          <w:rFonts w:ascii="宋体" w:hAnsi="宋体" w:eastAsia="宋体"/>
          <w:color w:val="auto"/>
          <w:sz w:val="24"/>
          <w:szCs w:val="24"/>
          <w:highlight w:val="none"/>
        </w:rPr>
        <w:t>并在签订《成交确认书》后2个工作日内</w:t>
      </w:r>
      <w:r>
        <w:rPr>
          <w:rFonts w:hint="eastAsia" w:asciiTheme="majorEastAsia" w:hAnsiTheme="majorEastAsia" w:eastAsiaTheme="majorEastAsia" w:cstheme="majorEastAsia"/>
          <w:color w:val="auto"/>
          <w:sz w:val="24"/>
          <w:szCs w:val="24"/>
          <w:highlight w:val="none"/>
          <w:shd w:val="clear" w:color="auto" w:fill="FFFFFF"/>
        </w:rPr>
        <w:t>竞得人携企业营业执照及相关处理</w:t>
      </w:r>
      <w:r>
        <w:rPr>
          <w:rFonts w:hint="eastAsia" w:asciiTheme="majorEastAsia" w:hAnsiTheme="majorEastAsia" w:eastAsiaTheme="majorEastAsia" w:cstheme="majorEastAsia"/>
          <w:color w:val="auto"/>
          <w:sz w:val="24"/>
          <w:szCs w:val="24"/>
          <w:highlight w:val="none"/>
          <w:shd w:val="clear" w:color="auto" w:fill="FFFFFF"/>
          <w:lang w:val="en-US" w:eastAsia="zh-CN"/>
        </w:rPr>
        <w:t>黑泥</w:t>
      </w:r>
      <w:r>
        <w:rPr>
          <w:rFonts w:hint="eastAsia" w:asciiTheme="majorEastAsia" w:hAnsiTheme="majorEastAsia" w:eastAsiaTheme="majorEastAsia" w:cstheme="majorEastAsia"/>
          <w:color w:val="auto"/>
          <w:sz w:val="24"/>
          <w:szCs w:val="24"/>
          <w:highlight w:val="none"/>
          <w:shd w:val="clear" w:color="auto" w:fill="FFFFFF"/>
        </w:rPr>
        <w:t>矿产资源所需的相关证明</w:t>
      </w:r>
      <w:r>
        <w:rPr>
          <w:rFonts w:hint="eastAsia" w:asciiTheme="majorEastAsia" w:hAnsiTheme="majorEastAsia" w:eastAsiaTheme="majorEastAsia" w:cstheme="majorEastAsia"/>
          <w:color w:val="auto"/>
          <w:sz w:val="24"/>
          <w:szCs w:val="24"/>
          <w:highlight w:val="none"/>
          <w:shd w:val="clear" w:color="auto" w:fill="FFFFFF"/>
          <w:lang w:eastAsia="zh-CN"/>
        </w:rPr>
        <w:t>材料到</w:t>
      </w:r>
      <w:r>
        <w:rPr>
          <w:rFonts w:hint="eastAsia" w:ascii="宋体" w:hAnsi="宋体" w:eastAsia="宋体"/>
          <w:color w:val="auto"/>
          <w:sz w:val="24"/>
          <w:szCs w:val="24"/>
          <w:highlight w:val="none"/>
          <w:lang w:val="en-US" w:eastAsia="zh-CN"/>
        </w:rPr>
        <w:t>中新</w:t>
      </w:r>
      <w:r>
        <w:rPr>
          <w:rFonts w:hint="eastAsia" w:ascii="宋体" w:hAnsi="宋体" w:eastAsia="宋体"/>
          <w:color w:val="auto"/>
          <w:sz w:val="24"/>
          <w:szCs w:val="24"/>
          <w:highlight w:val="none"/>
        </w:rPr>
        <w:t>镇签订《矿产资源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合同》。在签订</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合同之日起3个工作日内，足额支付成交价款，并办理领取登记手续。</w:t>
      </w:r>
    </w:p>
    <w:p>
      <w:pPr>
        <w:pStyle w:val="8"/>
        <w:widowControl/>
        <w:shd w:val="clear" w:color="auto" w:fill="FFFFFF"/>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olor w:val="auto"/>
          <w:szCs w:val="24"/>
          <w:highlight w:val="none"/>
        </w:rPr>
        <w:t>（一）本工程建设项目现场共有</w:t>
      </w:r>
      <w:r>
        <w:rPr>
          <w:rFonts w:hint="eastAsia" w:ascii="宋体" w:hAnsi="宋体" w:eastAsia="宋体"/>
          <w:color w:val="auto"/>
          <w:szCs w:val="24"/>
          <w:highlight w:val="none"/>
          <w:lang w:val="en-US" w:eastAsia="zh-CN"/>
        </w:rPr>
        <w:t>1</w:t>
      </w:r>
      <w:r>
        <w:rPr>
          <w:rFonts w:hint="eastAsia" w:ascii="宋体" w:hAnsi="宋体" w:eastAsia="宋体"/>
          <w:color w:val="auto"/>
          <w:szCs w:val="24"/>
          <w:highlight w:val="none"/>
        </w:rPr>
        <w:t>个堆放场地在</w:t>
      </w:r>
      <w:r>
        <w:rPr>
          <w:rFonts w:hint="eastAsia" w:ascii="宋体" w:hAnsi="宋体" w:eastAsia="宋体"/>
          <w:color w:val="auto"/>
          <w:szCs w:val="24"/>
          <w:highlight w:val="none"/>
          <w:lang w:val="en-US" w:eastAsia="zh-CN"/>
        </w:rPr>
        <w:t>增城区中新镇</w:t>
      </w:r>
      <w:r>
        <w:rPr>
          <w:rFonts w:hint="eastAsia" w:ascii="宋体" w:hAnsi="宋体" w:eastAsia="宋体"/>
          <w:color w:val="auto"/>
          <w:szCs w:val="24"/>
          <w:highlight w:val="none"/>
        </w:rPr>
        <w:t>慈岭村合罗岭（土名）</w:t>
      </w:r>
      <w:r>
        <w:rPr>
          <w:rFonts w:hint="eastAsia" w:ascii="宋体" w:hAnsi="宋体" w:eastAsia="宋体"/>
          <w:color w:val="auto"/>
          <w:szCs w:val="24"/>
          <w:highlight w:val="none"/>
          <w:lang w:val="en-US" w:eastAsia="zh-CN"/>
        </w:rPr>
        <w:t>内</w:t>
      </w:r>
      <w:r>
        <w:rPr>
          <w:rFonts w:hint="eastAsia" w:ascii="宋体" w:hAnsi="宋体" w:eastAsia="宋体"/>
          <w:color w:val="auto"/>
          <w:szCs w:val="24"/>
          <w:highlight w:val="none"/>
        </w:rPr>
        <w:t>，其中堆场实测面积为10867.40平方米初步估算堆放场内</w:t>
      </w:r>
      <w:r>
        <w:rPr>
          <w:rFonts w:hint="eastAsia" w:ascii="宋体" w:hAnsi="宋体" w:eastAsia="宋体"/>
          <w:color w:val="auto"/>
          <w:szCs w:val="24"/>
          <w:highlight w:val="none"/>
          <w:lang w:val="en-US" w:eastAsia="zh-CN"/>
        </w:rPr>
        <w:t>黑泥</w:t>
      </w:r>
      <w:r>
        <w:rPr>
          <w:rFonts w:hint="eastAsia" w:ascii="宋体" w:hAnsi="宋体" w:eastAsia="宋体"/>
          <w:color w:val="auto"/>
          <w:szCs w:val="24"/>
          <w:highlight w:val="none"/>
        </w:rPr>
        <w:t>总方量约为</w:t>
      </w:r>
      <w:r>
        <w:rPr>
          <w:rFonts w:hint="eastAsia" w:ascii="仿宋_GB2312" w:hAnsi="仿宋_GB2312" w:eastAsia="仿宋_GB2312" w:cs="仿宋_GB2312"/>
          <w:color w:val="auto"/>
          <w:sz w:val="32"/>
          <w:szCs w:val="32"/>
          <w:highlight w:val="none"/>
          <w:lang w:val="en-US" w:eastAsia="zh-CN"/>
        </w:rPr>
        <w:t>23</w:t>
      </w:r>
      <w:r>
        <w:rPr>
          <w:rFonts w:hint="eastAsia" w:ascii="宋体" w:hAnsi="宋体" w:eastAsia="宋体"/>
          <w:color w:val="auto"/>
          <w:szCs w:val="24"/>
          <w:highlight w:val="none"/>
        </w:rPr>
        <w:t>万立方米。具体</w:t>
      </w:r>
      <w:r>
        <w:rPr>
          <w:rFonts w:hint="eastAsia" w:ascii="宋体" w:hAnsi="宋体" w:eastAsia="宋体"/>
          <w:color w:val="auto"/>
          <w:szCs w:val="24"/>
          <w:highlight w:val="none"/>
          <w:lang w:val="en-US" w:eastAsia="zh-CN"/>
        </w:rPr>
        <w:t>黑泥</w:t>
      </w:r>
      <w:r>
        <w:rPr>
          <w:rFonts w:hint="eastAsia" w:ascii="宋体" w:hAnsi="宋体" w:eastAsia="宋体"/>
          <w:color w:val="auto"/>
          <w:szCs w:val="24"/>
          <w:highlight w:val="none"/>
        </w:rPr>
        <w:t>总量以实际测量和评估为准。</w:t>
      </w:r>
      <w:r>
        <w:rPr>
          <w:rFonts w:hint="eastAsia" w:ascii="宋体" w:hAnsi="宋体" w:eastAsia="宋体" w:cs="宋体"/>
          <w:color w:val="auto"/>
          <w:szCs w:val="24"/>
          <w:highlight w:val="none"/>
        </w:rPr>
        <w:t>（备注：由于该标的物的特殊性，</w:t>
      </w:r>
      <w:r>
        <w:rPr>
          <w:rFonts w:hint="eastAsia" w:ascii="宋体" w:hAnsi="宋体" w:eastAsia="宋体" w:cs="宋体"/>
          <w:color w:val="auto"/>
          <w:highlight w:val="none"/>
          <w:shd w:val="clear" w:color="auto" w:fill="FFFFFF"/>
        </w:rPr>
        <w:t>实际数量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随着存放条件及各种不可预见的因素变化而变化，竞买人拍得</w:t>
      </w:r>
      <w:r>
        <w:rPr>
          <w:rFonts w:hint="eastAsia" w:ascii="宋体" w:hAnsi="宋体" w:eastAsia="宋体" w:cs="宋体"/>
          <w:color w:val="auto"/>
          <w:highlight w:val="none"/>
          <w:shd w:val="clear" w:color="auto" w:fill="FFFFFF"/>
          <w:lang w:val="en-US" w:eastAsia="zh-CN"/>
        </w:rPr>
        <w:t>的黑泥</w:t>
      </w:r>
      <w:r>
        <w:rPr>
          <w:rFonts w:hint="eastAsia" w:ascii="宋体" w:hAnsi="宋体" w:eastAsia="宋体" w:cs="宋体"/>
          <w:color w:val="auto"/>
          <w:highlight w:val="none"/>
          <w:shd w:val="clear" w:color="auto" w:fill="FFFFFF"/>
        </w:rPr>
        <w:t>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以存放地实物现状为准。</w:t>
      </w:r>
      <w:r>
        <w:rPr>
          <w:rFonts w:hint="eastAsia" w:ascii="宋体" w:hAnsi="宋体" w:eastAsia="宋体" w:cs="宋体"/>
          <w:color w:val="auto"/>
          <w:szCs w:val="24"/>
          <w:highlight w:val="none"/>
        </w:rPr>
        <w:t>）</w:t>
      </w:r>
    </w:p>
    <w:p>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（二）本次网上拍卖标的物在处于一个在建工地内，且施工周边环境、关系复杂，为不影响在建项目施工，竞得人采集时间必须与“</w:t>
      </w:r>
      <w:r>
        <w:rPr>
          <w:rFonts w:hint="eastAsia" w:asciiTheme="majorEastAsia" w:hAnsiTheme="majorEastAsia" w:eastAsiaTheme="majorEastAsia" w:cstheme="majorEastAsia"/>
          <w:b w:val="0"/>
          <w:color w:val="auto"/>
          <w:kern w:val="2"/>
          <w:sz w:val="24"/>
          <w:szCs w:val="32"/>
          <w:highlight w:val="none"/>
          <w:shd w:val="clear" w:color="auto" w:fill="FFFFFF"/>
        </w:rPr>
        <w:t>中新镇广州东部公铁联运枢纽项目</w:t>
      </w:r>
      <w:r>
        <w:rPr>
          <w:rFonts w:hint="eastAsia" w:asciiTheme="majorEastAsia" w:hAnsiTheme="majorEastAsia" w:eastAsiaTheme="majorEastAsia" w:cstheme="majorEastAsia"/>
          <w:color w:val="auto"/>
          <w:highlight w:val="none"/>
          <w:shd w:val="clear" w:color="auto" w:fill="FFFFFF"/>
        </w:rPr>
        <w:t>－主体、水保、环评部分施工”施工总承包项目施工内容保持同步，故本项目的采集时间限制在“</w:t>
      </w:r>
      <w:r>
        <w:rPr>
          <w:rFonts w:hint="eastAsia" w:asciiTheme="majorEastAsia" w:hAnsiTheme="majorEastAsia" w:eastAsiaTheme="majorEastAsia" w:cstheme="majorEastAsia"/>
          <w:color w:val="auto"/>
          <w:highlight w:val="none"/>
          <w:shd w:val="clear" w:color="auto" w:fill="FFFFFF"/>
          <w:lang w:val="en-US" w:eastAsia="zh-CN"/>
        </w:rPr>
        <w:t>2024年x月x日</w:t>
      </w:r>
      <w:r>
        <w:rPr>
          <w:rFonts w:hint="eastAsia" w:asciiTheme="majorEastAsia" w:hAnsiTheme="majorEastAsia" w:eastAsiaTheme="majorEastAsia" w:cstheme="majorEastAsia"/>
          <w:color w:val="auto"/>
          <w:highlight w:val="none"/>
          <w:shd w:val="clear" w:color="auto" w:fill="FFFFFF"/>
        </w:rPr>
        <w:t>”为截止日期</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成交后7天内</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rPr>
        <w:t>。截止日期不能处理完毕的，由处置单位收回，重新处置。竞得人需有对该时间风险有充分的考虑。</w:t>
      </w:r>
    </w:p>
    <w:p>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（三）本次网上拍卖标的物在采集过程中</w:t>
      </w:r>
      <w:r>
        <w:rPr>
          <w:rFonts w:hint="eastAsia" w:asciiTheme="majorEastAsia" w:hAnsiTheme="majorEastAsia" w:eastAsiaTheme="majorEastAsia" w:cstheme="majorEastAsia"/>
          <w:color w:val="auto"/>
          <w:highlight w:val="none"/>
          <w:shd w:val="clear" w:color="auto" w:fill="FFFFFF"/>
          <w:lang w:val="en-US" w:eastAsia="zh-CN"/>
        </w:rPr>
        <w:t>如果有</w:t>
      </w:r>
      <w:r>
        <w:rPr>
          <w:rFonts w:hint="eastAsia" w:asciiTheme="majorEastAsia" w:hAnsiTheme="majorEastAsia" w:eastAsiaTheme="majorEastAsia" w:cstheme="majorEastAsia"/>
          <w:color w:val="auto"/>
          <w:highlight w:val="none"/>
          <w:shd w:val="clear" w:color="auto" w:fill="FFFFFF"/>
        </w:rPr>
        <w:t>产生</w:t>
      </w:r>
      <w:r>
        <w:rPr>
          <w:rFonts w:hint="eastAsia" w:asciiTheme="majorEastAsia" w:hAnsiTheme="majorEastAsia" w:eastAsiaTheme="majorEastAsia" w:cstheme="majorEastAsia"/>
          <w:color w:val="auto"/>
          <w:highlight w:val="none"/>
          <w:shd w:val="clear" w:color="auto" w:fill="FFFFFF"/>
          <w:lang w:val="en-US" w:eastAsia="zh-CN"/>
        </w:rPr>
        <w:t>的</w:t>
      </w:r>
      <w:r>
        <w:rPr>
          <w:rFonts w:hint="eastAsia" w:asciiTheme="majorEastAsia" w:hAnsiTheme="majorEastAsia" w:eastAsiaTheme="majorEastAsia" w:cstheme="majorEastAsia"/>
          <w:color w:val="auto"/>
          <w:highlight w:val="none"/>
          <w:shd w:val="clear" w:color="auto" w:fill="FFFFFF"/>
        </w:rPr>
        <w:t>渣土、泥尾等</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rPr>
        <w:t>必须外运处理，需按建筑物余泥渣土处理办法执行，按规定办理相关余泥外运手续。</w:t>
      </w:r>
    </w:p>
    <w:p>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（四）竞得人在进场后，需自行负责与本工程施工总承包方协调相关交叉作业等事宜，挖取和运输等工作不得影响在建项目的实施进度，竞得人需充分考虑该协调风险。</w:t>
      </w:r>
    </w:p>
    <w:p>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lang w:eastAsia="zh-CN"/>
        </w:rPr>
      </w:pP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五</w:t>
      </w:r>
      <w:r>
        <w:rPr>
          <w:rFonts w:hint="eastAsia" w:asciiTheme="majorEastAsia" w:hAnsiTheme="majorEastAsia" w:eastAsiaTheme="majorEastAsia" w:cstheme="majorEastAsia"/>
          <w:color w:val="auto"/>
          <w:highlight w:val="none"/>
          <w:shd w:val="clear" w:color="auto" w:fill="FFFFFF"/>
          <w:lang w:eastAsia="zh-CN"/>
        </w:rPr>
        <w:t>）竞买人需提供自有或上级管理公司授权使用、调拨证明，可用于本项目所必须的施工设备，包括：起重机、挖掘机、装载机、推土机、吸泥车等，用于自行运输“黑泥”</w:t>
      </w:r>
    </w:p>
    <w:p>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lang w:eastAsia="zh-CN"/>
        </w:rPr>
      </w:pP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六</w:t>
      </w:r>
      <w:r>
        <w:rPr>
          <w:rFonts w:hint="eastAsia" w:asciiTheme="majorEastAsia" w:hAnsiTheme="majorEastAsia" w:eastAsiaTheme="majorEastAsia" w:cstheme="majorEastAsia"/>
          <w:color w:val="auto"/>
          <w:highlight w:val="none"/>
          <w:shd w:val="clear" w:color="auto" w:fill="FFFFFF"/>
          <w:lang w:eastAsia="zh-CN"/>
        </w:rPr>
        <w:t>）广州市增城区中新镇人民政府委托“勘测设计单位”、“价格认定单位”进行前期的勘察和评估工作，费用在拍卖后需由竟得人支付。</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ascii="宋体" w:hAnsi="宋体" w:eastAsia="宋体"/>
          <w:color w:val="auto"/>
          <w:sz w:val="24"/>
          <w:szCs w:val="24"/>
          <w:highlight w:val="none"/>
        </w:rPr>
        <w:t>生效后</w:t>
      </w:r>
      <w:r>
        <w:rPr>
          <w:rFonts w:hint="eastAsia" w:ascii="宋体" w:hAnsi="宋体" w:eastAsia="宋体"/>
          <w:color w:val="auto"/>
          <w:sz w:val="24"/>
          <w:szCs w:val="24"/>
          <w:highlight w:val="none"/>
        </w:rPr>
        <w:t>，竞得人必须</w:t>
      </w:r>
      <w:r>
        <w:rPr>
          <w:rFonts w:hint="eastAsia" w:ascii="宋体" w:hAnsi="宋体" w:eastAsia="宋体"/>
          <w:color w:val="auto"/>
          <w:sz w:val="24"/>
          <w:szCs w:val="24"/>
          <w:highlight w:val="none"/>
          <w:lang w:eastAsia="zh-Hans"/>
        </w:rPr>
        <w:t>按照</w:t>
      </w:r>
      <w:r>
        <w:rPr>
          <w:rFonts w:hint="eastAsia" w:ascii="宋体" w:hAnsi="宋体" w:eastAsia="宋体"/>
          <w:color w:val="auto"/>
          <w:sz w:val="24"/>
          <w:szCs w:val="24"/>
          <w:highlight w:val="none"/>
        </w:rPr>
        <w:t>合同约定足额支付成交价款。</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rPr>
        <w:t>、竞得人缴纳的保证金及利息，在竞得人签订</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hint="eastAsia" w:ascii="宋体" w:hAnsi="宋体" w:eastAsia="宋体"/>
          <w:color w:val="auto"/>
          <w:sz w:val="24"/>
          <w:szCs w:val="24"/>
          <w:highlight w:val="none"/>
          <w:lang w:eastAsia="zh-Hans"/>
        </w:rPr>
        <w:t>足额支付成交价款并按期处理完毕全部</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矿产资源后</w:t>
      </w:r>
      <w:r>
        <w:rPr>
          <w:rFonts w:ascii="宋体" w:hAnsi="宋体" w:eastAsia="宋体"/>
          <w:color w:val="auto"/>
          <w:sz w:val="24"/>
          <w:szCs w:val="24"/>
          <w:highlight w:val="none"/>
          <w:lang w:eastAsia="zh-Hans"/>
        </w:rPr>
        <w:t>5</w:t>
      </w:r>
      <w:r>
        <w:rPr>
          <w:rFonts w:hint="eastAsia" w:ascii="宋体" w:hAnsi="宋体" w:eastAsia="宋体"/>
          <w:color w:val="auto"/>
          <w:sz w:val="24"/>
          <w:szCs w:val="24"/>
          <w:highlight w:val="none"/>
        </w:rPr>
        <w:t>个工作日内退还，</w:t>
      </w:r>
      <w:r>
        <w:rPr>
          <w:rFonts w:hint="eastAsia" w:ascii="宋体" w:hAnsi="宋体" w:eastAsia="宋体"/>
          <w:color w:val="auto"/>
          <w:kern w:val="32"/>
          <w:sz w:val="24"/>
          <w:szCs w:val="24"/>
          <w:highlight w:val="none"/>
        </w:rPr>
        <w:t>利息按银行的同期活期利率计算</w:t>
      </w:r>
      <w:r>
        <w:rPr>
          <w:rFonts w:hint="eastAsia" w:ascii="宋体" w:hAnsi="宋体" w:eastAsia="宋体"/>
          <w:color w:val="auto"/>
          <w:sz w:val="24"/>
          <w:szCs w:val="24"/>
          <w:highlight w:val="none"/>
        </w:rPr>
        <w:t>。</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w:t>
      </w:r>
      <w:r>
        <w:rPr>
          <w:rFonts w:hint="eastAsia" w:ascii="宋体" w:hAnsi="宋体" w:eastAsia="宋体"/>
          <w:color w:val="auto"/>
          <w:sz w:val="24"/>
          <w:szCs w:val="24"/>
          <w:highlight w:val="none"/>
          <w:lang w:val="en-US" w:eastAsia="zh-CN"/>
        </w:rPr>
        <w:t>二</w:t>
      </w:r>
      <w:bookmarkStart w:id="0" w:name="_GoBack"/>
      <w:bookmarkEnd w:id="0"/>
      <w:r>
        <w:rPr>
          <w:rFonts w:hint="eastAsia" w:ascii="宋体" w:hAnsi="宋体" w:eastAsia="宋体"/>
          <w:color w:val="auto"/>
          <w:sz w:val="24"/>
          <w:szCs w:val="24"/>
          <w:highlight w:val="none"/>
        </w:rPr>
        <w:t>、竞得人有下列行为之一的，视为违约，委托方可取消其竞得人资格，竞买保证金不予退还：</w:t>
      </w:r>
    </w:p>
    <w:p>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竞得人逾期或拒绝签订《成交确认书》的；</w:t>
      </w:r>
    </w:p>
    <w:p>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竞得人逾期或拒绝签订</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3.竞得人逾期或拒绝</w:t>
      </w:r>
      <w:r>
        <w:rPr>
          <w:rFonts w:hint="eastAsia" w:ascii="宋体" w:hAnsi="宋体" w:eastAsia="宋体"/>
          <w:color w:val="auto"/>
          <w:sz w:val="24"/>
          <w:szCs w:val="24"/>
          <w:highlight w:val="none"/>
          <w:lang w:eastAsia="zh-Hans"/>
        </w:rPr>
        <w:t>处理完毕</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lang w:eastAsia="zh-Hans"/>
        </w:rPr>
        <w:t>矿产资源的</w:t>
      </w:r>
      <w:r>
        <w:rPr>
          <w:rFonts w:hint="eastAsia" w:ascii="宋体" w:hAnsi="宋体" w:eastAsia="宋体"/>
          <w:color w:val="auto"/>
          <w:sz w:val="24"/>
          <w:szCs w:val="24"/>
          <w:highlight w:val="none"/>
        </w:rPr>
        <w:t>；</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4.因竞得人提供的信息不真实、不准确、不完整等原因造成拍卖成交的；</w:t>
      </w:r>
    </w:p>
    <w:p>
      <w:pPr>
        <w:shd w:val="clear" w:color="auto" w:fill="FFFFFF"/>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5.竞买人提供虚假文件材料、隐瞒重要事实的</w:t>
      </w:r>
      <w:r>
        <w:rPr>
          <w:rFonts w:hint="eastAsia" w:ascii="宋体" w:hAnsi="宋体" w:eastAsia="宋体"/>
          <w:color w:val="auto"/>
          <w:sz w:val="24"/>
          <w:szCs w:val="24"/>
          <w:highlight w:val="none"/>
          <w:lang w:eastAsia="zh-CN"/>
        </w:rPr>
        <w:t>；</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6.竞得人转包（转让）中标的</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7.竞得人超范围挖取</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矿产资源的；</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8.竞得人不按处置方案违规处置的；</w:t>
      </w:r>
    </w:p>
    <w:p>
      <w:pPr>
        <w:shd w:val="clear" w:color="auto" w:fill="FFFFFF"/>
        <w:spacing w:line="360" w:lineRule="auto"/>
        <w:ind w:firstLine="480" w:firstLineChars="200"/>
        <w:rPr>
          <w:color w:val="auto"/>
          <w:highlight w:val="none"/>
        </w:rPr>
      </w:pPr>
      <w:r>
        <w:rPr>
          <w:rFonts w:hint="eastAsia" w:ascii="宋体" w:hAnsi="宋体" w:eastAsia="宋体"/>
          <w:color w:val="auto"/>
          <w:sz w:val="24"/>
          <w:szCs w:val="24"/>
          <w:highlight w:val="none"/>
        </w:rPr>
        <w:t>9.构成违约责任的其他行为。</w:t>
      </w:r>
    </w:p>
    <w:p>
      <w:pPr>
        <w:shd w:val="clear" w:color="auto" w:fill="FFFFFF"/>
        <w:spacing w:line="360" w:lineRule="auto"/>
        <w:ind w:firstLine="480" w:firstLineChars="200"/>
        <w:rPr>
          <w:rFonts w:ascii="宋体" w:hAnsi="宋体" w:eastAsia="宋体"/>
          <w:sz w:val="24"/>
          <w:szCs w:val="24"/>
        </w:rPr>
      </w:pP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pPr>
          <w:pStyle w:val="6"/>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MzMjEyMjI1YzQ5MTNlNWE0ZTVmMTQyMDhiNzIifQ=="/>
    <w:docVar w:name="KSO_WPS_MARK_KEY" w:val="e5ef8977-4498-482e-9c14-72b77d4ce43f"/>
  </w:docVars>
  <w:rsids>
    <w:rsidRoot w:val="004F6211"/>
    <w:rsid w:val="0002170C"/>
    <w:rsid w:val="00062195"/>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E67DF"/>
    <w:rsid w:val="002F31DE"/>
    <w:rsid w:val="002F3D15"/>
    <w:rsid w:val="003057FE"/>
    <w:rsid w:val="003079D6"/>
    <w:rsid w:val="00314275"/>
    <w:rsid w:val="00343788"/>
    <w:rsid w:val="00357671"/>
    <w:rsid w:val="00357D65"/>
    <w:rsid w:val="00360E75"/>
    <w:rsid w:val="00374855"/>
    <w:rsid w:val="00382B6A"/>
    <w:rsid w:val="00391475"/>
    <w:rsid w:val="003A30BA"/>
    <w:rsid w:val="003C1A02"/>
    <w:rsid w:val="003C6D88"/>
    <w:rsid w:val="003D4F98"/>
    <w:rsid w:val="003D7573"/>
    <w:rsid w:val="00407D83"/>
    <w:rsid w:val="0041577A"/>
    <w:rsid w:val="00415F2C"/>
    <w:rsid w:val="00427E89"/>
    <w:rsid w:val="00431CC0"/>
    <w:rsid w:val="004541CE"/>
    <w:rsid w:val="0045706E"/>
    <w:rsid w:val="00461B6D"/>
    <w:rsid w:val="00461D4A"/>
    <w:rsid w:val="0047176F"/>
    <w:rsid w:val="00471D75"/>
    <w:rsid w:val="00485E24"/>
    <w:rsid w:val="0048674E"/>
    <w:rsid w:val="004A19BA"/>
    <w:rsid w:val="004B6204"/>
    <w:rsid w:val="004C0E0B"/>
    <w:rsid w:val="004F6211"/>
    <w:rsid w:val="00530C15"/>
    <w:rsid w:val="00532FED"/>
    <w:rsid w:val="00551E6F"/>
    <w:rsid w:val="00564B6C"/>
    <w:rsid w:val="00566AA1"/>
    <w:rsid w:val="005722AC"/>
    <w:rsid w:val="005724DD"/>
    <w:rsid w:val="00572D0E"/>
    <w:rsid w:val="00577F3E"/>
    <w:rsid w:val="00582F07"/>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6D1C"/>
    <w:rsid w:val="007B7385"/>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7B34"/>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71F79"/>
    <w:rsid w:val="00C909D8"/>
    <w:rsid w:val="00C940D1"/>
    <w:rsid w:val="00C941C7"/>
    <w:rsid w:val="00C9657A"/>
    <w:rsid w:val="00CA3A3E"/>
    <w:rsid w:val="00CB64DE"/>
    <w:rsid w:val="00CC647E"/>
    <w:rsid w:val="00CD5F2F"/>
    <w:rsid w:val="00CF6494"/>
    <w:rsid w:val="00D17D68"/>
    <w:rsid w:val="00D21395"/>
    <w:rsid w:val="00D50D50"/>
    <w:rsid w:val="00D54963"/>
    <w:rsid w:val="00D613CA"/>
    <w:rsid w:val="00D70C3D"/>
    <w:rsid w:val="00D75D31"/>
    <w:rsid w:val="00D860DB"/>
    <w:rsid w:val="00D944DF"/>
    <w:rsid w:val="00DD0043"/>
    <w:rsid w:val="00DD5B47"/>
    <w:rsid w:val="00DE4A7A"/>
    <w:rsid w:val="00DF273D"/>
    <w:rsid w:val="00DF57BF"/>
    <w:rsid w:val="00E00546"/>
    <w:rsid w:val="00E119A5"/>
    <w:rsid w:val="00E144CB"/>
    <w:rsid w:val="00E42D21"/>
    <w:rsid w:val="00E458B2"/>
    <w:rsid w:val="00E61E9E"/>
    <w:rsid w:val="00E718DD"/>
    <w:rsid w:val="00E7385F"/>
    <w:rsid w:val="00E76995"/>
    <w:rsid w:val="00E904A6"/>
    <w:rsid w:val="00E97473"/>
    <w:rsid w:val="00EA0668"/>
    <w:rsid w:val="00ED2821"/>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4B223B8"/>
    <w:rsid w:val="051F3B2F"/>
    <w:rsid w:val="05D4091E"/>
    <w:rsid w:val="064536A2"/>
    <w:rsid w:val="06B34AD0"/>
    <w:rsid w:val="078D2442"/>
    <w:rsid w:val="07FB56BA"/>
    <w:rsid w:val="09FA0E74"/>
    <w:rsid w:val="0B5A6644"/>
    <w:rsid w:val="0B637951"/>
    <w:rsid w:val="0B93484D"/>
    <w:rsid w:val="0C181ECC"/>
    <w:rsid w:val="0C2946EA"/>
    <w:rsid w:val="0D0F361F"/>
    <w:rsid w:val="0DD362D8"/>
    <w:rsid w:val="10192B03"/>
    <w:rsid w:val="108A1EC8"/>
    <w:rsid w:val="10CD22A4"/>
    <w:rsid w:val="11503C0C"/>
    <w:rsid w:val="11F346D0"/>
    <w:rsid w:val="12280B6E"/>
    <w:rsid w:val="141C7108"/>
    <w:rsid w:val="187E58BC"/>
    <w:rsid w:val="18DC5277"/>
    <w:rsid w:val="1A4C776A"/>
    <w:rsid w:val="1A8F770C"/>
    <w:rsid w:val="1AD21DBA"/>
    <w:rsid w:val="1B1063D8"/>
    <w:rsid w:val="1B713881"/>
    <w:rsid w:val="1D2E7AA2"/>
    <w:rsid w:val="1D6141EB"/>
    <w:rsid w:val="1D770D8A"/>
    <w:rsid w:val="1EAD2CE3"/>
    <w:rsid w:val="1FEF78BE"/>
    <w:rsid w:val="20341C0E"/>
    <w:rsid w:val="20473607"/>
    <w:rsid w:val="2270017D"/>
    <w:rsid w:val="229E2534"/>
    <w:rsid w:val="24C4278D"/>
    <w:rsid w:val="273E5D3E"/>
    <w:rsid w:val="29B82A95"/>
    <w:rsid w:val="2A43092E"/>
    <w:rsid w:val="2ABA1EB6"/>
    <w:rsid w:val="2B7550A0"/>
    <w:rsid w:val="2BC64C6D"/>
    <w:rsid w:val="2C4436A1"/>
    <w:rsid w:val="2DCB10B0"/>
    <w:rsid w:val="307D5C30"/>
    <w:rsid w:val="307E4869"/>
    <w:rsid w:val="30BD6B69"/>
    <w:rsid w:val="338E23C5"/>
    <w:rsid w:val="33C32726"/>
    <w:rsid w:val="34350C37"/>
    <w:rsid w:val="355359DB"/>
    <w:rsid w:val="375351AC"/>
    <w:rsid w:val="39331C92"/>
    <w:rsid w:val="3AF33D54"/>
    <w:rsid w:val="3D316BD2"/>
    <w:rsid w:val="3E043BE7"/>
    <w:rsid w:val="3E59135C"/>
    <w:rsid w:val="3F9E515E"/>
    <w:rsid w:val="400B1B99"/>
    <w:rsid w:val="40265C96"/>
    <w:rsid w:val="41DA582B"/>
    <w:rsid w:val="4208751B"/>
    <w:rsid w:val="43373F32"/>
    <w:rsid w:val="44D05DBF"/>
    <w:rsid w:val="454121AE"/>
    <w:rsid w:val="45A651B1"/>
    <w:rsid w:val="45A87FE1"/>
    <w:rsid w:val="48ED4377"/>
    <w:rsid w:val="492B1BEA"/>
    <w:rsid w:val="4AA96836"/>
    <w:rsid w:val="4BCD01A5"/>
    <w:rsid w:val="4C6E207F"/>
    <w:rsid w:val="4CD11242"/>
    <w:rsid w:val="4D827B3A"/>
    <w:rsid w:val="503F121B"/>
    <w:rsid w:val="51A717B5"/>
    <w:rsid w:val="520212A0"/>
    <w:rsid w:val="563B6BD0"/>
    <w:rsid w:val="563C4689"/>
    <w:rsid w:val="565412B2"/>
    <w:rsid w:val="573F1A3E"/>
    <w:rsid w:val="57C51504"/>
    <w:rsid w:val="57CA1F7E"/>
    <w:rsid w:val="581A7D50"/>
    <w:rsid w:val="59C53C55"/>
    <w:rsid w:val="5AD933C3"/>
    <w:rsid w:val="5B154313"/>
    <w:rsid w:val="5CB1489E"/>
    <w:rsid w:val="5D9E7A1A"/>
    <w:rsid w:val="5F0261B6"/>
    <w:rsid w:val="609437E2"/>
    <w:rsid w:val="60AA14C5"/>
    <w:rsid w:val="6116554E"/>
    <w:rsid w:val="6184354C"/>
    <w:rsid w:val="624163EE"/>
    <w:rsid w:val="62AD0F9A"/>
    <w:rsid w:val="64834092"/>
    <w:rsid w:val="659D2A1F"/>
    <w:rsid w:val="65FE37E5"/>
    <w:rsid w:val="66B10EF0"/>
    <w:rsid w:val="67335160"/>
    <w:rsid w:val="675C4B50"/>
    <w:rsid w:val="678621B0"/>
    <w:rsid w:val="67CA14A2"/>
    <w:rsid w:val="684D4B6C"/>
    <w:rsid w:val="686103AD"/>
    <w:rsid w:val="68AD782B"/>
    <w:rsid w:val="68EA0C4F"/>
    <w:rsid w:val="69D46307"/>
    <w:rsid w:val="6A7D5A9F"/>
    <w:rsid w:val="6ACA565B"/>
    <w:rsid w:val="6B1004CF"/>
    <w:rsid w:val="6C597D53"/>
    <w:rsid w:val="6F2A357F"/>
    <w:rsid w:val="7048198B"/>
    <w:rsid w:val="71791CDC"/>
    <w:rsid w:val="72644FFF"/>
    <w:rsid w:val="744D5ADF"/>
    <w:rsid w:val="753E657A"/>
    <w:rsid w:val="7790403B"/>
    <w:rsid w:val="787926A3"/>
    <w:rsid w:val="79E86F11"/>
    <w:rsid w:val="7BB36982"/>
    <w:rsid w:val="7BC75146"/>
    <w:rsid w:val="7C1E4D05"/>
    <w:rsid w:val="7DA24F81"/>
    <w:rsid w:val="7E171744"/>
    <w:rsid w:val="7E9A042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3"/>
    <w:basedOn w:val="1"/>
    <w:next w:val="1"/>
    <w:link w:val="17"/>
    <w:autoRedefine/>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annotation text"/>
    <w:basedOn w:val="1"/>
    <w:link w:val="23"/>
    <w:unhideWhenUsed/>
    <w:qFormat/>
    <w:uiPriority w:val="99"/>
    <w:pPr>
      <w:jc w:val="left"/>
    </w:pPr>
  </w:style>
  <w:style w:type="paragraph" w:styleId="5">
    <w:name w:val="Balloon Text"/>
    <w:basedOn w:val="1"/>
    <w:link w:val="18"/>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rPr>
      <w:sz w:val="24"/>
    </w:rPr>
  </w:style>
  <w:style w:type="paragraph" w:styleId="9">
    <w:name w:val="annotation subject"/>
    <w:basedOn w:val="4"/>
    <w:next w:val="4"/>
    <w:link w:val="24"/>
    <w:unhideWhenUsed/>
    <w:qFormat/>
    <w:uiPriority w:val="99"/>
    <w:rPr>
      <w:b/>
      <w:bCs/>
    </w:rPr>
  </w:style>
  <w:style w:type="character" w:styleId="12">
    <w:name w:val="FollowedHyperlink"/>
    <w:basedOn w:val="11"/>
    <w:autoRedefine/>
    <w:unhideWhenUsed/>
    <w:qFormat/>
    <w:uiPriority w:val="99"/>
    <w:rPr>
      <w:color w:val="000000"/>
      <w:u w:val="none"/>
    </w:rPr>
  </w:style>
  <w:style w:type="character" w:styleId="13">
    <w:name w:val="Hyperlink"/>
    <w:basedOn w:val="11"/>
    <w:autoRedefine/>
    <w:unhideWhenUsed/>
    <w:qFormat/>
    <w:uiPriority w:val="99"/>
    <w:rPr>
      <w:color w:val="000000"/>
      <w:u w:val="none"/>
    </w:rPr>
  </w:style>
  <w:style w:type="character" w:styleId="14">
    <w:name w:val="annotation reference"/>
    <w:basedOn w:val="11"/>
    <w:autoRedefine/>
    <w:unhideWhenUsed/>
    <w:qFormat/>
    <w:uiPriority w:val="99"/>
    <w:rPr>
      <w:sz w:val="21"/>
      <w:szCs w:val="21"/>
    </w:rPr>
  </w:style>
  <w:style w:type="character" w:customStyle="1" w:styleId="15">
    <w:name w:val="页眉 Char"/>
    <w:basedOn w:val="11"/>
    <w:link w:val="7"/>
    <w:autoRedefine/>
    <w:semiHidden/>
    <w:qFormat/>
    <w:uiPriority w:val="99"/>
    <w:rPr>
      <w:sz w:val="18"/>
      <w:szCs w:val="18"/>
    </w:rPr>
  </w:style>
  <w:style w:type="character" w:customStyle="1" w:styleId="16">
    <w:name w:val="页脚 Char"/>
    <w:basedOn w:val="11"/>
    <w:link w:val="6"/>
    <w:autoRedefine/>
    <w:qFormat/>
    <w:uiPriority w:val="99"/>
    <w:rPr>
      <w:sz w:val="18"/>
      <w:szCs w:val="18"/>
    </w:rPr>
  </w:style>
  <w:style w:type="character" w:customStyle="1" w:styleId="17">
    <w:name w:val="标题 3 Char"/>
    <w:basedOn w:val="11"/>
    <w:link w:val="3"/>
    <w:autoRedefine/>
    <w:qFormat/>
    <w:uiPriority w:val="0"/>
    <w:rPr>
      <w:rFonts w:ascii="仿宋_GB2312" w:hAnsi="Calibri" w:eastAsia="方正仿宋简体" w:cs="Times New Roman"/>
      <w:b/>
      <w:bCs/>
      <w:kern w:val="0"/>
      <w:sz w:val="32"/>
      <w:szCs w:val="32"/>
    </w:rPr>
  </w:style>
  <w:style w:type="character" w:customStyle="1" w:styleId="18">
    <w:name w:val="批注框文本 Char"/>
    <w:basedOn w:val="11"/>
    <w:link w:val="5"/>
    <w:autoRedefine/>
    <w:semiHidden/>
    <w:qFormat/>
    <w:uiPriority w:val="99"/>
    <w:rPr>
      <w:rFonts w:ascii="Calibri" w:hAnsi="Calibri" w:eastAsia="仿宋_GB2312" w:cs="Times New Roman"/>
      <w:kern w:val="2"/>
      <w:sz w:val="18"/>
      <w:szCs w:val="18"/>
    </w:rPr>
  </w:style>
  <w:style w:type="character" w:customStyle="1" w:styleId="19">
    <w:name w:val="times"/>
    <w:basedOn w:val="11"/>
    <w:autoRedefine/>
    <w:qFormat/>
    <w:uiPriority w:val="0"/>
    <w:rPr>
      <w:color w:val="3399FF"/>
      <w:bdr w:val="single" w:color="D1EDF8" w:sz="6" w:space="0"/>
      <w:shd w:val="clear" w:color="auto" w:fill="EAF9FF"/>
    </w:rPr>
  </w:style>
  <w:style w:type="character" w:customStyle="1" w:styleId="20">
    <w:name w:val="times1"/>
    <w:basedOn w:val="11"/>
    <w:autoRedefine/>
    <w:qFormat/>
    <w:uiPriority w:val="0"/>
    <w:rPr>
      <w:color w:val="CDCDCD"/>
      <w:bdr w:val="single" w:color="CDCDCD" w:sz="6" w:space="0"/>
      <w:shd w:val="clear" w:color="auto" w:fill="EFEFEF"/>
    </w:rPr>
  </w:style>
  <w:style w:type="character" w:customStyle="1" w:styleId="21">
    <w:name w:val="hover42"/>
    <w:basedOn w:val="11"/>
    <w:autoRedefine/>
    <w:qFormat/>
    <w:uiPriority w:val="0"/>
  </w:style>
  <w:style w:type="character" w:customStyle="1" w:styleId="22">
    <w:name w:val="hover41"/>
    <w:basedOn w:val="11"/>
    <w:autoRedefine/>
    <w:qFormat/>
    <w:uiPriority w:val="0"/>
  </w:style>
  <w:style w:type="character" w:customStyle="1" w:styleId="23">
    <w:name w:val="批注文字 Char"/>
    <w:basedOn w:val="11"/>
    <w:link w:val="4"/>
    <w:autoRedefine/>
    <w:semiHidden/>
    <w:qFormat/>
    <w:uiPriority w:val="99"/>
    <w:rPr>
      <w:rFonts w:ascii="Calibri" w:hAnsi="Calibri" w:eastAsia="仿宋_GB2312"/>
      <w:kern w:val="2"/>
      <w:sz w:val="32"/>
      <w:szCs w:val="32"/>
    </w:rPr>
  </w:style>
  <w:style w:type="character" w:customStyle="1" w:styleId="24">
    <w:name w:val="批注主题 Char"/>
    <w:basedOn w:val="23"/>
    <w:link w:val="9"/>
    <w:autoRedefine/>
    <w:semiHidden/>
    <w:qFormat/>
    <w:uiPriority w:val="99"/>
    <w:rPr>
      <w:rFonts w:ascii="Calibri" w:hAnsi="Calibri" w:eastAsia="仿宋_GB2312"/>
      <w:b/>
      <w:bCs/>
      <w:kern w:val="2"/>
      <w:sz w:val="32"/>
      <w:szCs w:val="32"/>
    </w:rPr>
  </w:style>
  <w:style w:type="paragraph" w:customStyle="1" w:styleId="25">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3993</Words>
  <Characters>4118</Characters>
  <Lines>30</Lines>
  <Paragraphs>8</Paragraphs>
  <TotalTime>10</TotalTime>
  <ScaleCrop>false</ScaleCrop>
  <LinksUpToDate>false</LinksUpToDate>
  <CharactersWithSpaces>4119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雪峰</cp:lastModifiedBy>
  <cp:lastPrinted>2024-09-06T02:30:00Z</cp:lastPrinted>
  <dcterms:modified xsi:type="dcterms:W3CDTF">2024-09-18T06:49:48Z</dcterms:modified>
  <dc:title>广东省海砂开采海域使用权及采矿权网上挂牌出让竞买须知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7C6D16B00B9D46509F212111D5CB6CD4_13</vt:lpwstr>
  </property>
</Properties>
</file>