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77DCF">
      <w:pPr>
        <w:spacing w:line="360" w:lineRule="auto"/>
        <w:jc w:val="center"/>
        <w:rPr>
          <w:rFonts w:ascii="黑体" w:hAnsi="黑体" w:eastAsia="黑体"/>
          <w:b/>
          <w:color w:val="000000"/>
          <w:sz w:val="36"/>
          <w:highlight w:val="none"/>
        </w:rPr>
      </w:pPr>
      <w:r>
        <w:rPr>
          <w:rFonts w:hint="eastAsia" w:ascii="黑体" w:hAnsi="黑体" w:eastAsia="黑体"/>
          <w:b/>
          <w:color w:val="000000"/>
          <w:sz w:val="36"/>
          <w:highlight w:val="none"/>
          <w:lang w:val="en-US" w:eastAsia="zh-CN"/>
        </w:rPr>
        <w:t>白云区云英实验学校综合改造工程</w:t>
      </w:r>
      <w:r>
        <w:rPr>
          <w:rFonts w:hint="eastAsia" w:ascii="黑体" w:hAnsi="黑体" w:eastAsia="黑体"/>
          <w:b/>
          <w:color w:val="000000"/>
          <w:sz w:val="36"/>
          <w:highlight w:val="none"/>
        </w:rPr>
        <w:t>勘察设计任务书</w:t>
      </w:r>
    </w:p>
    <w:p w14:paraId="360119CD">
      <w:pPr>
        <w:spacing w:line="560" w:lineRule="exact"/>
        <w:jc w:val="left"/>
        <w:rPr>
          <w:rFonts w:cs="Cambria" w:asciiTheme="minorEastAsia" w:hAnsiTheme="minorEastAsia"/>
          <w:b/>
          <w:sz w:val="28"/>
          <w:szCs w:val="28"/>
          <w:highlight w:val="none"/>
        </w:rPr>
      </w:pPr>
      <w:r>
        <w:rPr>
          <w:rFonts w:hint="eastAsia" w:cs="Cambria" w:asciiTheme="minorEastAsia" w:hAnsiTheme="minorEastAsia"/>
          <w:b/>
          <w:sz w:val="28"/>
          <w:szCs w:val="28"/>
          <w:highlight w:val="none"/>
        </w:rPr>
        <w:t>一、项目概况</w:t>
      </w:r>
    </w:p>
    <w:p w14:paraId="051BB97B">
      <w:pPr>
        <w:spacing w:line="560" w:lineRule="exact"/>
        <w:ind w:firstLine="480" w:firstLineChars="200"/>
        <w:jc w:val="left"/>
        <w:rPr>
          <w:rFonts w:hint="eastAsia" w:cs="Cambria" w:asciiTheme="minorEastAsia" w:hAnsiTheme="minorEastAsia"/>
          <w:sz w:val="24"/>
          <w:highlight w:val="none"/>
        </w:rPr>
      </w:pPr>
      <w:r>
        <w:rPr>
          <w:rFonts w:hint="eastAsia" w:cs="Cambria" w:asciiTheme="minorEastAsia" w:hAnsiTheme="minorEastAsia"/>
          <w:sz w:val="24"/>
          <w:highlight w:val="none"/>
          <w:lang w:val="en-US" w:eastAsia="zh-CN"/>
        </w:rPr>
        <w:t>本项目建设内容包括：（一）新建工程：新建综合楼</w:t>
      </w:r>
      <w:r>
        <w:rPr>
          <w:rFonts w:hint="default" w:cs="Cambria" w:asciiTheme="minorEastAsia" w:hAnsiTheme="minorEastAsia"/>
          <w:sz w:val="24"/>
          <w:highlight w:val="none"/>
          <w:lang w:val="en-US" w:eastAsia="zh-CN"/>
        </w:rPr>
        <w:t>1</w:t>
      </w:r>
      <w:r>
        <w:rPr>
          <w:rFonts w:hint="eastAsia" w:cs="Cambria" w:asciiTheme="minorEastAsia" w:hAnsiTheme="minorEastAsia"/>
          <w:sz w:val="24"/>
          <w:highlight w:val="none"/>
          <w:lang w:val="en-US" w:eastAsia="zh-CN"/>
        </w:rPr>
        <w:t>栋，共</w:t>
      </w:r>
      <w:r>
        <w:rPr>
          <w:rFonts w:hint="default" w:cs="Cambria" w:asciiTheme="minorEastAsia" w:hAnsiTheme="minorEastAsia"/>
          <w:sz w:val="24"/>
          <w:highlight w:val="none"/>
          <w:lang w:val="en-US" w:eastAsia="zh-CN"/>
        </w:rPr>
        <w:t>6</w:t>
      </w:r>
      <w:r>
        <w:rPr>
          <w:rFonts w:hint="eastAsia" w:cs="Cambria" w:asciiTheme="minorEastAsia" w:hAnsiTheme="minorEastAsia"/>
          <w:sz w:val="24"/>
          <w:highlight w:val="none"/>
          <w:lang w:val="en-US" w:eastAsia="zh-CN"/>
        </w:rPr>
        <w:t>层，建筑高度为</w:t>
      </w:r>
      <w:r>
        <w:rPr>
          <w:rFonts w:hint="default" w:cs="Cambria" w:asciiTheme="minorEastAsia" w:hAnsiTheme="minorEastAsia"/>
          <w:sz w:val="24"/>
          <w:highlight w:val="none"/>
          <w:lang w:val="en-US" w:eastAsia="zh-CN"/>
        </w:rPr>
        <w:t>23.25</w:t>
      </w:r>
      <w:r>
        <w:rPr>
          <w:rFonts w:hint="eastAsia" w:cs="Cambria" w:asciiTheme="minorEastAsia" w:hAnsiTheme="minorEastAsia"/>
          <w:sz w:val="24"/>
          <w:highlight w:val="none"/>
          <w:lang w:val="en-US" w:eastAsia="zh-CN"/>
        </w:rPr>
        <w:t>米，建筑面积为</w:t>
      </w:r>
      <w:r>
        <w:rPr>
          <w:rFonts w:hint="default" w:cs="Cambria" w:asciiTheme="minorEastAsia" w:hAnsiTheme="minorEastAsia"/>
          <w:sz w:val="24"/>
          <w:highlight w:val="none"/>
          <w:lang w:val="en-US" w:eastAsia="zh-CN"/>
        </w:rPr>
        <w:t>3948.54</w:t>
      </w:r>
      <w:r>
        <w:rPr>
          <w:rFonts w:hint="eastAsia" w:cs="Cambria" w:asciiTheme="minorEastAsia" w:hAnsiTheme="minorEastAsia"/>
          <w:sz w:val="24"/>
          <w:highlight w:val="none"/>
          <w:lang w:val="en-US" w:eastAsia="zh-CN"/>
        </w:rPr>
        <w:t>平方米；其他新建内容包括新建景观花坛、校园游廊、跑道场地和路灯等。（二）改造工程：初中部（含教学楼、行政楼、综合楼、运动馆、宿舍楼、食堂）外立面改造，面积约</w:t>
      </w:r>
      <w:r>
        <w:rPr>
          <w:rFonts w:hint="default" w:cs="Cambria" w:asciiTheme="minorEastAsia" w:hAnsiTheme="minorEastAsia"/>
          <w:sz w:val="24"/>
          <w:highlight w:val="none"/>
          <w:lang w:val="en-US" w:eastAsia="zh-CN"/>
        </w:rPr>
        <w:t>12636</w:t>
      </w:r>
      <w:r>
        <w:rPr>
          <w:rFonts w:hint="eastAsia" w:cs="Cambria" w:asciiTheme="minorEastAsia" w:hAnsiTheme="minorEastAsia"/>
          <w:sz w:val="24"/>
          <w:highlight w:val="none"/>
          <w:lang w:val="en-US" w:eastAsia="zh-CN"/>
        </w:rPr>
        <w:t>平方米；小学部局部外立面改造，面积约</w:t>
      </w:r>
      <w:r>
        <w:rPr>
          <w:rFonts w:hint="default" w:cs="Cambria" w:asciiTheme="minorEastAsia" w:hAnsiTheme="minorEastAsia"/>
          <w:sz w:val="24"/>
          <w:highlight w:val="none"/>
          <w:lang w:val="en-US" w:eastAsia="zh-CN"/>
        </w:rPr>
        <w:t>42</w:t>
      </w:r>
      <w:r>
        <w:rPr>
          <w:rFonts w:hint="eastAsia" w:cs="Cambria" w:asciiTheme="minorEastAsia" w:hAnsiTheme="minorEastAsia"/>
          <w:sz w:val="24"/>
          <w:highlight w:val="none"/>
          <w:lang w:val="en-US" w:eastAsia="zh-CN"/>
        </w:rPr>
        <w:t>平方米；午休楼雨棚和风雨操场雨棚改造，面积约</w:t>
      </w:r>
      <w:r>
        <w:rPr>
          <w:rFonts w:hint="default" w:cs="Cambria" w:asciiTheme="minorEastAsia" w:hAnsiTheme="minorEastAsia"/>
          <w:sz w:val="24"/>
          <w:highlight w:val="none"/>
          <w:lang w:val="en-US" w:eastAsia="zh-CN"/>
        </w:rPr>
        <w:t>555</w:t>
      </w:r>
      <w:r>
        <w:rPr>
          <w:rFonts w:hint="eastAsia" w:cs="Cambria" w:asciiTheme="minorEastAsia" w:hAnsiTheme="minorEastAsia"/>
          <w:sz w:val="24"/>
          <w:highlight w:val="none"/>
          <w:lang w:val="en-US" w:eastAsia="zh-CN"/>
        </w:rPr>
        <w:t>平方米；食堂铁棚改造，面积约</w:t>
      </w:r>
      <w:r>
        <w:rPr>
          <w:rFonts w:hint="default" w:cs="Cambria" w:asciiTheme="minorEastAsia" w:hAnsiTheme="minorEastAsia"/>
          <w:sz w:val="24"/>
          <w:highlight w:val="none"/>
          <w:lang w:val="en-US" w:eastAsia="zh-CN"/>
        </w:rPr>
        <w:t>360</w:t>
      </w:r>
      <w:r>
        <w:rPr>
          <w:rFonts w:hint="eastAsia" w:cs="Cambria" w:asciiTheme="minorEastAsia" w:hAnsiTheme="minorEastAsia"/>
          <w:sz w:val="24"/>
          <w:highlight w:val="none"/>
          <w:lang w:val="en-US" w:eastAsia="zh-CN"/>
        </w:rPr>
        <w:t>平方米；教学区室内改造，面积约</w:t>
      </w:r>
      <w:r>
        <w:rPr>
          <w:rFonts w:hint="default" w:cs="Cambria" w:asciiTheme="minorEastAsia" w:hAnsiTheme="minorEastAsia"/>
          <w:sz w:val="24"/>
          <w:highlight w:val="none"/>
          <w:lang w:val="en-US" w:eastAsia="zh-CN"/>
        </w:rPr>
        <w:t>6852</w:t>
      </w:r>
      <w:r>
        <w:rPr>
          <w:rFonts w:hint="eastAsia" w:cs="Cambria" w:asciiTheme="minorEastAsia" w:hAnsiTheme="minorEastAsia"/>
          <w:sz w:val="24"/>
          <w:highlight w:val="none"/>
          <w:lang w:val="en-US" w:eastAsia="zh-CN"/>
        </w:rPr>
        <w:t>平方米；屋面整治，面积约</w:t>
      </w:r>
      <w:r>
        <w:rPr>
          <w:rFonts w:hint="default" w:cs="Cambria" w:asciiTheme="minorEastAsia" w:hAnsiTheme="minorEastAsia"/>
          <w:sz w:val="24"/>
          <w:highlight w:val="none"/>
          <w:lang w:val="en-US" w:eastAsia="zh-CN"/>
        </w:rPr>
        <w:t>2836</w:t>
      </w:r>
      <w:r>
        <w:rPr>
          <w:rFonts w:hint="eastAsia" w:cs="Cambria" w:asciiTheme="minorEastAsia" w:hAnsiTheme="minorEastAsia"/>
          <w:sz w:val="24"/>
          <w:highlight w:val="none"/>
          <w:lang w:val="en-US" w:eastAsia="zh-CN"/>
        </w:rPr>
        <w:t>平方米；门窗更换，面积约</w:t>
      </w:r>
      <w:r>
        <w:rPr>
          <w:rFonts w:hint="default" w:cs="Cambria" w:asciiTheme="minorEastAsia" w:hAnsiTheme="minorEastAsia"/>
          <w:sz w:val="24"/>
          <w:highlight w:val="none"/>
          <w:lang w:val="en-US" w:eastAsia="zh-CN"/>
        </w:rPr>
        <w:t>1458</w:t>
      </w:r>
      <w:r>
        <w:rPr>
          <w:rFonts w:hint="eastAsia" w:cs="Cambria" w:asciiTheme="minorEastAsia" w:hAnsiTheme="minorEastAsia"/>
          <w:sz w:val="24"/>
          <w:highlight w:val="none"/>
          <w:lang w:val="en-US" w:eastAsia="zh-CN"/>
        </w:rPr>
        <w:t>平方米；学校围墙改造，长约</w:t>
      </w:r>
      <w:r>
        <w:rPr>
          <w:rFonts w:hint="default" w:cs="Cambria" w:asciiTheme="minorEastAsia" w:hAnsiTheme="minorEastAsia"/>
          <w:sz w:val="24"/>
          <w:highlight w:val="none"/>
          <w:lang w:val="en-US" w:eastAsia="zh-CN"/>
        </w:rPr>
        <w:t>114</w:t>
      </w:r>
      <w:r>
        <w:rPr>
          <w:rFonts w:hint="eastAsia" w:cs="Cambria" w:asciiTheme="minorEastAsia" w:hAnsiTheme="minorEastAsia"/>
          <w:sz w:val="24"/>
          <w:highlight w:val="none"/>
          <w:lang w:val="en-US" w:eastAsia="zh-CN"/>
        </w:rPr>
        <w:t>米；初中部校门立面改造，面积约</w:t>
      </w:r>
      <w:r>
        <w:rPr>
          <w:rFonts w:hint="default" w:cs="Cambria" w:asciiTheme="minorEastAsia" w:hAnsiTheme="minorEastAsia"/>
          <w:sz w:val="24"/>
          <w:highlight w:val="none"/>
          <w:lang w:val="en-US" w:eastAsia="zh-CN"/>
        </w:rPr>
        <w:t>415</w:t>
      </w:r>
      <w:r>
        <w:rPr>
          <w:rFonts w:hint="eastAsia" w:cs="Cambria" w:asciiTheme="minorEastAsia" w:hAnsiTheme="minorEastAsia"/>
          <w:sz w:val="24"/>
          <w:highlight w:val="none"/>
          <w:lang w:val="en-US" w:eastAsia="zh-CN"/>
        </w:rPr>
        <w:t>平方米；小学部校门改造，建筑面积约</w:t>
      </w:r>
      <w:r>
        <w:rPr>
          <w:rFonts w:hint="default" w:cs="Cambria" w:asciiTheme="minorEastAsia" w:hAnsiTheme="minorEastAsia"/>
          <w:sz w:val="24"/>
          <w:highlight w:val="none"/>
          <w:lang w:val="en-US" w:eastAsia="zh-CN"/>
        </w:rPr>
        <w:t>112</w:t>
      </w:r>
      <w:r>
        <w:rPr>
          <w:rFonts w:hint="eastAsia" w:cs="Cambria" w:asciiTheme="minorEastAsia" w:hAnsiTheme="minorEastAsia"/>
          <w:sz w:val="24"/>
          <w:highlight w:val="none"/>
          <w:lang w:val="en-US" w:eastAsia="zh-CN"/>
        </w:rPr>
        <w:t>平方米；消防水管改造，长约</w:t>
      </w:r>
      <w:r>
        <w:rPr>
          <w:rFonts w:hint="default" w:cs="Cambria" w:asciiTheme="minorEastAsia" w:hAnsiTheme="minorEastAsia"/>
          <w:sz w:val="24"/>
          <w:highlight w:val="none"/>
          <w:lang w:val="en-US" w:eastAsia="zh-CN"/>
        </w:rPr>
        <w:t>200</w:t>
      </w:r>
      <w:r>
        <w:rPr>
          <w:rFonts w:hint="eastAsia" w:cs="Cambria" w:asciiTheme="minorEastAsia" w:hAnsiTheme="minorEastAsia"/>
          <w:sz w:val="24"/>
          <w:highlight w:val="none"/>
          <w:lang w:val="en-US" w:eastAsia="zh-CN"/>
        </w:rPr>
        <w:t>米；广场改造，面积约</w:t>
      </w:r>
      <w:r>
        <w:rPr>
          <w:rFonts w:hint="default" w:cs="Cambria" w:asciiTheme="minorEastAsia" w:hAnsiTheme="minorEastAsia"/>
          <w:sz w:val="24"/>
          <w:highlight w:val="none"/>
          <w:lang w:val="en-US" w:eastAsia="zh-CN"/>
        </w:rPr>
        <w:t>323</w:t>
      </w:r>
      <w:r>
        <w:rPr>
          <w:rFonts w:hint="eastAsia" w:cs="Cambria" w:asciiTheme="minorEastAsia" w:hAnsiTheme="minorEastAsia"/>
          <w:sz w:val="24"/>
          <w:highlight w:val="none"/>
          <w:lang w:val="en-US" w:eastAsia="zh-CN"/>
        </w:rPr>
        <w:t>平方米；其他改造内容包括仓储间改造、老旧管道更换和初中部教学区教学楼、门楼、行政楼的结构加固等提高综合防灾能力的校舍安全工程。（三）拆除工程：拆除原初中部美术楼，建筑面积约</w:t>
      </w:r>
      <w:r>
        <w:rPr>
          <w:rFonts w:hint="default" w:cs="Cambria" w:asciiTheme="minorEastAsia" w:hAnsiTheme="minorEastAsia"/>
          <w:sz w:val="24"/>
          <w:highlight w:val="none"/>
          <w:lang w:val="en-US" w:eastAsia="zh-CN"/>
        </w:rPr>
        <w:t>1102</w:t>
      </w:r>
      <w:r>
        <w:rPr>
          <w:rFonts w:hint="eastAsia" w:cs="Cambria" w:asciiTheme="minorEastAsia" w:hAnsiTheme="minorEastAsia"/>
          <w:sz w:val="24"/>
          <w:highlight w:val="none"/>
          <w:lang w:val="en-US" w:eastAsia="zh-CN"/>
        </w:rPr>
        <w:t>平方米；拆除围墙，长约</w:t>
      </w:r>
      <w:r>
        <w:rPr>
          <w:rFonts w:hint="default" w:cs="Cambria" w:asciiTheme="minorEastAsia" w:hAnsiTheme="minorEastAsia"/>
          <w:sz w:val="24"/>
          <w:highlight w:val="none"/>
          <w:lang w:val="en-US" w:eastAsia="zh-CN"/>
        </w:rPr>
        <w:t>90</w:t>
      </w:r>
      <w:r>
        <w:rPr>
          <w:rFonts w:hint="eastAsia" w:cs="Cambria" w:asciiTheme="minorEastAsia" w:hAnsiTheme="minorEastAsia"/>
          <w:sz w:val="24"/>
          <w:highlight w:val="none"/>
          <w:lang w:val="en-US" w:eastAsia="zh-CN"/>
        </w:rPr>
        <w:t>米。（最大建筑高度24米，最大单跨度10.55米，最大单体建筑面积3948.54平方米，新建的地基基础等级乙级。）</w:t>
      </w:r>
    </w:p>
    <w:p w14:paraId="44A8A6FF">
      <w:pPr>
        <w:spacing w:line="560" w:lineRule="exact"/>
        <w:jc w:val="left"/>
        <w:rPr>
          <w:rFonts w:cs="Cambria" w:asciiTheme="minorEastAsia" w:hAnsiTheme="minorEastAsia"/>
          <w:b/>
          <w:sz w:val="28"/>
          <w:szCs w:val="28"/>
          <w:highlight w:val="none"/>
        </w:rPr>
      </w:pPr>
      <w:r>
        <w:rPr>
          <w:rFonts w:hint="eastAsia" w:cs="Cambria" w:asciiTheme="minorEastAsia" w:hAnsiTheme="minorEastAsia"/>
          <w:b/>
          <w:sz w:val="28"/>
          <w:szCs w:val="28"/>
          <w:highlight w:val="none"/>
        </w:rPr>
        <w:t>二、勘察要求</w:t>
      </w:r>
      <w:bookmarkStart w:id="0" w:name="_GoBack"/>
      <w:bookmarkEnd w:id="0"/>
    </w:p>
    <w:p w14:paraId="67439245">
      <w:pPr>
        <w:spacing w:line="560" w:lineRule="exact"/>
        <w:ind w:firstLine="482" w:firstLineChars="200"/>
        <w:jc w:val="left"/>
        <w:rPr>
          <w:rFonts w:cs="Cambria" w:asciiTheme="minorEastAsia" w:hAnsiTheme="minorEastAsia"/>
          <w:b/>
          <w:sz w:val="24"/>
          <w:highlight w:val="none"/>
        </w:rPr>
      </w:pPr>
      <w:r>
        <w:rPr>
          <w:rFonts w:hint="eastAsia" w:cs="Cambria" w:asciiTheme="minorEastAsia" w:hAnsiTheme="minorEastAsia"/>
          <w:b/>
          <w:sz w:val="24"/>
          <w:highlight w:val="none"/>
        </w:rPr>
        <w:t>（一）勘察内容</w:t>
      </w:r>
    </w:p>
    <w:p w14:paraId="094235BA">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本项目的勘察工作，包括但不限于以下内容（具体以签订的合同为准）：岩土工程勘察，范围如下：1、</w:t>
      </w:r>
      <w:r>
        <w:rPr>
          <w:rFonts w:hint="eastAsia" w:cs="Cambria" w:asciiTheme="minorEastAsia" w:hAnsiTheme="minorEastAsia"/>
          <w:sz w:val="24"/>
          <w:highlight w:val="none"/>
          <w:lang w:val="en-US" w:eastAsia="zh-CN"/>
        </w:rPr>
        <w:t>新建综合楼、钢结构连廊</w:t>
      </w:r>
      <w:r>
        <w:rPr>
          <w:rFonts w:hint="eastAsia" w:cs="Cambria" w:asciiTheme="minorEastAsia" w:hAnsiTheme="minorEastAsia"/>
          <w:sz w:val="24"/>
          <w:highlight w:val="none"/>
        </w:rPr>
        <w:t>范围</w:t>
      </w:r>
      <w:r>
        <w:rPr>
          <w:rFonts w:hint="eastAsia" w:cs="Cambria" w:asciiTheme="minorEastAsia" w:hAnsiTheme="minorEastAsia"/>
          <w:sz w:val="24"/>
          <w:highlight w:val="none"/>
          <w:lang w:eastAsia="zh-CN"/>
        </w:rPr>
        <w:t>；</w:t>
      </w:r>
      <w:r>
        <w:rPr>
          <w:rFonts w:hint="eastAsia" w:cs="Cambria" w:asciiTheme="minorEastAsia" w:hAnsiTheme="minorEastAsia"/>
          <w:sz w:val="24"/>
          <w:highlight w:val="none"/>
        </w:rPr>
        <w:t>2、</w:t>
      </w:r>
      <w:r>
        <w:rPr>
          <w:rFonts w:hint="eastAsia" w:cs="Cambria" w:asciiTheme="minorEastAsia" w:hAnsiTheme="minorEastAsia"/>
          <w:sz w:val="24"/>
          <w:highlight w:val="none"/>
          <w:lang w:val="en-US" w:eastAsia="zh-CN"/>
        </w:rPr>
        <w:t>新建电梯井范围</w:t>
      </w:r>
      <w:r>
        <w:rPr>
          <w:rFonts w:hint="eastAsia" w:cs="Cambria" w:asciiTheme="minorEastAsia" w:hAnsiTheme="minorEastAsia"/>
          <w:sz w:val="24"/>
          <w:highlight w:val="none"/>
          <w:lang w:eastAsia="zh-CN"/>
        </w:rPr>
        <w:t>。</w:t>
      </w:r>
      <w:r>
        <w:rPr>
          <w:rFonts w:hint="eastAsia" w:cs="Cambria" w:asciiTheme="minorEastAsia" w:hAnsiTheme="minorEastAsia"/>
          <w:sz w:val="24"/>
          <w:highlight w:val="none"/>
        </w:rPr>
        <w:t>对改造范围内建筑物进行立面测绘、工程测量、地面开挖区域的地下管线物探。</w:t>
      </w:r>
    </w:p>
    <w:p w14:paraId="362C6AB3">
      <w:pPr>
        <w:spacing w:line="560" w:lineRule="exact"/>
        <w:ind w:firstLine="482" w:firstLineChars="200"/>
        <w:jc w:val="left"/>
        <w:rPr>
          <w:rFonts w:cs="Cambria" w:asciiTheme="minorEastAsia" w:hAnsiTheme="minorEastAsia"/>
          <w:b/>
          <w:sz w:val="24"/>
          <w:highlight w:val="none"/>
        </w:rPr>
      </w:pPr>
      <w:r>
        <w:rPr>
          <w:rFonts w:hint="eastAsia" w:cs="Cambria" w:asciiTheme="minorEastAsia" w:hAnsiTheme="minorEastAsia"/>
          <w:b/>
          <w:sz w:val="24"/>
          <w:highlight w:val="none"/>
        </w:rPr>
        <w:t>（二）勘察依据</w:t>
      </w:r>
    </w:p>
    <w:p w14:paraId="7E2CFC8F">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《工程勘察通用规范》</w:t>
      </w:r>
    </w:p>
    <w:p w14:paraId="0C0B09A7">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《岩土工程勘察规范》（GB50021-2001）（2009年版）</w:t>
      </w:r>
    </w:p>
    <w:p w14:paraId="4D0153F6">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《高层建筑岩土工程勘察标准》（</w:t>
      </w:r>
      <w:r>
        <w:rPr>
          <w:rFonts w:cs="Cambria" w:asciiTheme="minorEastAsia" w:hAnsiTheme="minorEastAsia"/>
          <w:sz w:val="24"/>
          <w:highlight w:val="none"/>
        </w:rPr>
        <w:t>JGT/T72-2017</w:t>
      </w:r>
      <w:r>
        <w:rPr>
          <w:rFonts w:hint="eastAsia" w:cs="Cambria" w:asciiTheme="minorEastAsia" w:hAnsiTheme="minorEastAsia"/>
          <w:sz w:val="24"/>
          <w:highlight w:val="none"/>
        </w:rPr>
        <w:t>）</w:t>
      </w:r>
    </w:p>
    <w:p w14:paraId="4AE4B999">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《建筑桩基技术规范》（JGJ94-2008）</w:t>
      </w:r>
    </w:p>
    <w:p w14:paraId="0F3E7E20">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《建筑抗震设计规范》（GB50011-2010）(2016年版）</w:t>
      </w:r>
    </w:p>
    <w:p w14:paraId="32372254">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《建筑工程地质勘探与取样技术规程》（JGJ/T87-2012）</w:t>
      </w:r>
    </w:p>
    <w:p w14:paraId="097EBE68">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《静压预制混凝土桩基础技术规程》（DBJ/T15-94-2013)</w:t>
      </w:r>
    </w:p>
    <w:p w14:paraId="404F36A6">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《建筑工程抗震设防分类标准》（GB50223-2008)</w:t>
      </w:r>
    </w:p>
    <w:p w14:paraId="7C09BDC8">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《民用建筑工程室内环境污染控制规范》（GB50325-2010)2013年版</w:t>
      </w:r>
    </w:p>
    <w:p w14:paraId="70C8AD89">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《建筑基坑支护技术规范》（JGJ120-2012)</w:t>
      </w:r>
    </w:p>
    <w:p w14:paraId="12CD92A2">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《建筑基坑支护工程技术规程》（DBJ/T15-20-2016)</w:t>
      </w:r>
    </w:p>
    <w:p w14:paraId="3FE3C5E7">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《建筑地基处理技术规范》（JGJ79-2012，DBT15-38-2019)</w:t>
      </w:r>
    </w:p>
    <w:p w14:paraId="1FFD8DAB">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《建筑工程地质勘探与取样技术规程》（JGJ/T87-2012)</w:t>
      </w:r>
    </w:p>
    <w:p w14:paraId="42CED40D">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《建筑地基基础设计规范》(GB50007-2011)；</w:t>
      </w:r>
    </w:p>
    <w:p w14:paraId="11EE2569">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《土的工程分类标准》(GB/T50145-2007)；</w:t>
      </w:r>
    </w:p>
    <w:p w14:paraId="61013963">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《土工试验方法标准》(GB/T50123-2019)；</w:t>
      </w:r>
    </w:p>
    <w:p w14:paraId="3BA7816E">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《工程岩体试验方法标准》(GB/T50266-2013)；</w:t>
      </w:r>
    </w:p>
    <w:p w14:paraId="6D639A45">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《岩土工程勘察安全标准》(GB50585-2019)；</w:t>
      </w:r>
    </w:p>
    <w:p w14:paraId="2EB2FF47">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《建筑基坑工程技术规程》（DBJ/T15-20-2016）</w:t>
      </w:r>
    </w:p>
    <w:p w14:paraId="02860235">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《建筑工程抗浮设计规程》（DBJ/T15-125-2017）；</w:t>
      </w:r>
    </w:p>
    <w:p w14:paraId="621B8D53">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《岩溶地区建筑地基基础技术规范》（DBJ/T15-136-2018）；</w:t>
      </w:r>
    </w:p>
    <w:p w14:paraId="313289A7">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《建筑地基处理技术规范》（DBJ/T15-38-2019）；</w:t>
      </w:r>
    </w:p>
    <w:p w14:paraId="10783603">
      <w:pPr>
        <w:spacing w:line="560" w:lineRule="exact"/>
        <w:ind w:firstLine="482" w:firstLineChars="200"/>
        <w:jc w:val="left"/>
        <w:rPr>
          <w:rFonts w:cs="Cambria" w:asciiTheme="minorEastAsia" w:hAnsiTheme="minorEastAsia"/>
          <w:b/>
          <w:sz w:val="24"/>
          <w:highlight w:val="none"/>
        </w:rPr>
      </w:pPr>
      <w:r>
        <w:rPr>
          <w:rFonts w:hint="eastAsia" w:cs="Cambria" w:asciiTheme="minorEastAsia" w:hAnsiTheme="minorEastAsia"/>
          <w:b/>
          <w:sz w:val="24"/>
          <w:highlight w:val="none"/>
        </w:rPr>
        <w:t>（三）勘察要求</w:t>
      </w:r>
    </w:p>
    <w:p w14:paraId="271C6B12">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1</w:t>
      </w:r>
      <w:r>
        <w:rPr>
          <w:rFonts w:cs="Cambria" w:asciiTheme="minorEastAsia" w:hAnsiTheme="minorEastAsia"/>
          <w:sz w:val="24"/>
          <w:highlight w:val="none"/>
        </w:rPr>
        <w:t>.</w:t>
      </w:r>
      <w:r>
        <w:rPr>
          <w:rFonts w:hint="eastAsia" w:cs="Cambria" w:asciiTheme="minorEastAsia" w:hAnsiTheme="minorEastAsia"/>
          <w:sz w:val="24"/>
          <w:highlight w:val="none"/>
        </w:rPr>
        <w:t>查明不良地质作用的类型、成因、分布范围、发展趋势和危害程度，提出整治方案的建议；</w:t>
      </w:r>
    </w:p>
    <w:p w14:paraId="33FB4987">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2</w:t>
      </w:r>
      <w:r>
        <w:rPr>
          <w:rFonts w:cs="Cambria" w:asciiTheme="minorEastAsia" w:hAnsiTheme="minorEastAsia"/>
          <w:sz w:val="24"/>
          <w:highlight w:val="none"/>
        </w:rPr>
        <w:t>.</w:t>
      </w:r>
      <w:r>
        <w:rPr>
          <w:rFonts w:hint="eastAsia" w:cs="Cambria" w:asciiTheme="minorEastAsia" w:hAnsiTheme="minorEastAsia"/>
          <w:sz w:val="24"/>
          <w:highlight w:val="none"/>
        </w:rPr>
        <w:t>查明新增挡土墙护坡下的岩土层的类型、深度、分布、工程特性，分析和评价挡土墙及护坡的稳定性、均匀性和承载力；</w:t>
      </w:r>
    </w:p>
    <w:p w14:paraId="5D19481B">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3</w:t>
      </w:r>
      <w:r>
        <w:rPr>
          <w:rFonts w:cs="Cambria" w:asciiTheme="minorEastAsia" w:hAnsiTheme="minorEastAsia"/>
          <w:sz w:val="24"/>
          <w:highlight w:val="none"/>
        </w:rPr>
        <w:t>.</w:t>
      </w:r>
      <w:r>
        <w:rPr>
          <w:rFonts w:hint="eastAsia" w:cs="Cambria" w:asciiTheme="minorEastAsia" w:hAnsiTheme="minorEastAsia"/>
          <w:sz w:val="24"/>
          <w:highlight w:val="none"/>
        </w:rPr>
        <w:t>查明埋藏的河道、沟浜、墓穴、防空洞、孤石等对工程不利的埋藏物；</w:t>
      </w:r>
    </w:p>
    <w:p w14:paraId="30CEDB21">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4</w:t>
      </w:r>
      <w:r>
        <w:rPr>
          <w:rFonts w:cs="Cambria" w:asciiTheme="minorEastAsia" w:hAnsiTheme="minorEastAsia"/>
          <w:sz w:val="24"/>
          <w:highlight w:val="none"/>
        </w:rPr>
        <w:t>.</w:t>
      </w:r>
      <w:r>
        <w:rPr>
          <w:rFonts w:hint="eastAsia" w:cs="Cambria" w:asciiTheme="minorEastAsia" w:hAnsiTheme="minorEastAsia"/>
          <w:sz w:val="24"/>
          <w:highlight w:val="none"/>
        </w:rPr>
        <w:t>查明地下水的埋藏条件，提供地下水位及其变化幅度，提供设计需要的抗浮设防水位；</w:t>
      </w:r>
    </w:p>
    <w:p w14:paraId="46E4FBFD">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5</w:t>
      </w:r>
      <w:r>
        <w:rPr>
          <w:rFonts w:cs="Cambria" w:asciiTheme="minorEastAsia" w:hAnsiTheme="minorEastAsia"/>
          <w:sz w:val="24"/>
          <w:highlight w:val="none"/>
        </w:rPr>
        <w:t>.</w:t>
      </w:r>
      <w:r>
        <w:rPr>
          <w:rFonts w:hint="eastAsia" w:cs="Cambria" w:asciiTheme="minorEastAsia" w:hAnsiTheme="minorEastAsia"/>
          <w:sz w:val="24"/>
          <w:highlight w:val="none"/>
        </w:rPr>
        <w:t>判定水和土对建筑材料的腐蚀性。</w:t>
      </w:r>
    </w:p>
    <w:p w14:paraId="0F2F741C">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6</w:t>
      </w:r>
      <w:r>
        <w:rPr>
          <w:rFonts w:cs="Cambria" w:asciiTheme="minorEastAsia" w:hAnsiTheme="minorEastAsia"/>
          <w:sz w:val="24"/>
          <w:highlight w:val="none"/>
        </w:rPr>
        <w:t>.</w:t>
      </w:r>
      <w:r>
        <w:rPr>
          <w:rFonts w:hint="eastAsia" w:cs="Cambria" w:asciiTheme="minorEastAsia" w:hAnsiTheme="minorEastAsia"/>
          <w:sz w:val="24"/>
          <w:highlight w:val="none"/>
        </w:rPr>
        <w:t>设计人员按照总平面图和有关规范的要求布置钻孔；</w:t>
      </w:r>
    </w:p>
    <w:p w14:paraId="1863A3B3">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7</w:t>
      </w:r>
      <w:r>
        <w:rPr>
          <w:rFonts w:cs="Cambria" w:asciiTheme="minorEastAsia" w:hAnsiTheme="minorEastAsia"/>
          <w:sz w:val="24"/>
          <w:highlight w:val="none"/>
        </w:rPr>
        <w:t>.</w:t>
      </w:r>
      <w:r>
        <w:rPr>
          <w:rFonts w:hint="eastAsia" w:cs="Cambria" w:asciiTheme="minorEastAsia" w:hAnsiTheme="minorEastAsia"/>
          <w:sz w:val="24"/>
          <w:highlight w:val="none"/>
        </w:rPr>
        <w:t>技术钻孔要求提供岩石和土的物理力学性质，测出地下水标高；采取土试样和进行原位测试的勘探孔数量不少于勘探孔总数的1/2。</w:t>
      </w:r>
    </w:p>
    <w:p w14:paraId="2B3C1F94">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8</w:t>
      </w:r>
      <w:r>
        <w:rPr>
          <w:rFonts w:cs="Cambria" w:asciiTheme="minorEastAsia" w:hAnsiTheme="minorEastAsia"/>
          <w:sz w:val="24"/>
          <w:highlight w:val="none"/>
        </w:rPr>
        <w:t>.</w:t>
      </w:r>
      <w:r>
        <w:rPr>
          <w:rFonts w:hint="eastAsia" w:cs="Cambria" w:asciiTheme="minorEastAsia" w:hAnsiTheme="minorEastAsia"/>
          <w:sz w:val="24"/>
          <w:highlight w:val="none"/>
        </w:rPr>
        <w:t>钻孔深度要求：终孔原则(现场第一个孔钻终孔前需及时反馈钻孔信息并让设计院确定方可终孔)。并参照《岩土工程勘察规范》（GB50021-2001）（2009年版）及《建筑桩基技术规范》（JGJ94-2008）确定。遇夹层必须穿过，遇有软土层、透水砂层及地震液化层时应予以钻穿透后进入持力层。</w:t>
      </w:r>
    </w:p>
    <w:p w14:paraId="71E83C08">
      <w:pPr>
        <w:spacing w:line="560" w:lineRule="exact"/>
        <w:ind w:firstLine="480" w:firstLineChars="200"/>
        <w:jc w:val="left"/>
        <w:rPr>
          <w:rFonts w:ascii="宋体"/>
          <w:sz w:val="24"/>
          <w:highlight w:val="none"/>
        </w:rPr>
      </w:pPr>
      <w:r>
        <w:rPr>
          <w:rFonts w:hint="eastAsia" w:cs="Cambria" w:asciiTheme="minorEastAsia" w:hAnsiTheme="minorEastAsia"/>
          <w:sz w:val="24"/>
          <w:highlight w:val="none"/>
        </w:rPr>
        <w:t>钻孔位置除注明外一般不得偏离3m，情况特殊时可适当放宽，钻孔时应避开现状管线等障碍物，需要根据现场实际操作情况可适当调整</w:t>
      </w:r>
      <w:r>
        <w:rPr>
          <w:rFonts w:hint="eastAsia" w:ascii="宋体"/>
          <w:sz w:val="24"/>
          <w:highlight w:val="none"/>
        </w:rPr>
        <w:t>位置。</w:t>
      </w:r>
    </w:p>
    <w:p w14:paraId="06777AD9">
      <w:pPr>
        <w:spacing w:line="560" w:lineRule="exact"/>
        <w:ind w:firstLine="482" w:firstLineChars="200"/>
        <w:jc w:val="left"/>
        <w:rPr>
          <w:rFonts w:cs="Cambria" w:asciiTheme="minorEastAsia" w:hAnsiTheme="minorEastAsia"/>
          <w:b/>
          <w:sz w:val="24"/>
          <w:highlight w:val="none"/>
        </w:rPr>
      </w:pPr>
      <w:r>
        <w:rPr>
          <w:rFonts w:hint="eastAsia" w:cs="Cambria" w:asciiTheme="minorEastAsia" w:hAnsiTheme="minorEastAsia"/>
          <w:b/>
          <w:sz w:val="24"/>
          <w:highlight w:val="none"/>
        </w:rPr>
        <w:t>（四）地质勘察报告</w:t>
      </w:r>
    </w:p>
    <w:p w14:paraId="1A956D8E">
      <w:pPr>
        <w:spacing w:line="560" w:lineRule="exact"/>
        <w:ind w:firstLine="508" w:firstLineChars="200"/>
        <w:jc w:val="left"/>
        <w:rPr>
          <w:rFonts w:cs="Cambria" w:asciiTheme="minorEastAsia" w:hAnsiTheme="minorEastAsia"/>
          <w:sz w:val="24"/>
          <w:highlight w:val="none"/>
        </w:rPr>
      </w:pPr>
      <w:r>
        <w:rPr>
          <w:rFonts w:hint="eastAsia" w:ascii="宋体"/>
          <w:spacing w:val="7"/>
          <w:sz w:val="24"/>
          <w:highlight w:val="none"/>
        </w:rPr>
        <w:t>1</w:t>
      </w:r>
      <w:r>
        <w:rPr>
          <w:rFonts w:ascii="宋体"/>
          <w:spacing w:val="7"/>
          <w:sz w:val="24"/>
          <w:highlight w:val="none"/>
        </w:rPr>
        <w:t>.</w:t>
      </w:r>
      <w:r>
        <w:rPr>
          <w:rFonts w:hint="eastAsia" w:ascii="宋体"/>
          <w:spacing w:val="7"/>
          <w:sz w:val="24"/>
          <w:highlight w:val="none"/>
        </w:rPr>
        <w:t>在勘察报</w:t>
      </w:r>
      <w:r>
        <w:rPr>
          <w:rFonts w:hint="eastAsia" w:cs="Cambria" w:asciiTheme="minorEastAsia" w:hAnsiTheme="minorEastAsia"/>
          <w:sz w:val="24"/>
          <w:highlight w:val="none"/>
        </w:rPr>
        <w:t>告中，应提供岩土参数的平均值、标准差、变异系数、数值范围和数据的数量；为承载能力极限状态计算，应提供岩土参数标准值。当用分项系数表达式计算时，应提供岩土参数的设计值。</w:t>
      </w:r>
    </w:p>
    <w:p w14:paraId="24C0CC78">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2</w:t>
      </w:r>
      <w:r>
        <w:rPr>
          <w:rFonts w:cs="Cambria" w:asciiTheme="minorEastAsia" w:hAnsiTheme="minorEastAsia"/>
          <w:sz w:val="24"/>
          <w:highlight w:val="none"/>
        </w:rPr>
        <w:t>.</w:t>
      </w:r>
      <w:r>
        <w:rPr>
          <w:rFonts w:hint="eastAsia" w:cs="Cambria" w:asciiTheme="minorEastAsia" w:hAnsiTheme="minorEastAsia"/>
          <w:sz w:val="24"/>
          <w:highlight w:val="none"/>
        </w:rPr>
        <w:t>勘察报告书的内容</w:t>
      </w:r>
    </w:p>
    <w:p w14:paraId="207A7ACE">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（1）文本部分</w:t>
      </w:r>
    </w:p>
    <w:p w14:paraId="42910D2E">
      <w:pPr>
        <w:spacing w:line="560" w:lineRule="exact"/>
        <w:ind w:firstLine="480" w:firstLineChars="200"/>
        <w:jc w:val="left"/>
        <w:rPr>
          <w:rFonts w:cs="Cambria" w:asciiTheme="minorEastAsia" w:hAnsiTheme="minorEastAsia"/>
          <w:sz w:val="24"/>
          <w:highlight w:val="none"/>
        </w:rPr>
      </w:pPr>
      <w:r>
        <w:rPr>
          <w:rFonts w:cs="Cambria" w:asciiTheme="minorEastAsia" w:hAnsiTheme="minorEastAsia"/>
          <w:sz w:val="24"/>
          <w:highlight w:val="none"/>
        </w:rPr>
        <w:t>a.</w:t>
      </w:r>
      <w:r>
        <w:rPr>
          <w:rFonts w:hint="eastAsia" w:cs="Cambria" w:asciiTheme="minorEastAsia" w:hAnsiTheme="minorEastAsia"/>
          <w:sz w:val="24"/>
          <w:highlight w:val="none"/>
        </w:rPr>
        <w:t>勘察目的和任务要求；</w:t>
      </w:r>
    </w:p>
    <w:p w14:paraId="083A79B1">
      <w:pPr>
        <w:spacing w:line="560" w:lineRule="exact"/>
        <w:ind w:firstLine="480" w:firstLineChars="200"/>
        <w:jc w:val="left"/>
        <w:rPr>
          <w:rFonts w:cs="Cambria" w:asciiTheme="minorEastAsia" w:hAnsiTheme="minorEastAsia"/>
          <w:sz w:val="24"/>
          <w:highlight w:val="none"/>
        </w:rPr>
      </w:pPr>
      <w:r>
        <w:rPr>
          <w:rFonts w:cs="Cambria" w:asciiTheme="minorEastAsia" w:hAnsiTheme="minorEastAsia"/>
          <w:sz w:val="24"/>
          <w:highlight w:val="none"/>
        </w:rPr>
        <w:t>b.</w:t>
      </w:r>
      <w:r>
        <w:rPr>
          <w:rFonts w:hint="eastAsia" w:cs="Cambria" w:asciiTheme="minorEastAsia" w:hAnsiTheme="minorEastAsia"/>
          <w:sz w:val="24"/>
          <w:highlight w:val="none"/>
        </w:rPr>
        <w:t>拟建学校门楼地质基本特性；</w:t>
      </w:r>
    </w:p>
    <w:p w14:paraId="605FB346">
      <w:pPr>
        <w:spacing w:line="560" w:lineRule="exact"/>
        <w:ind w:firstLine="480" w:firstLineChars="200"/>
        <w:jc w:val="left"/>
        <w:rPr>
          <w:rFonts w:cs="Cambria" w:asciiTheme="minorEastAsia" w:hAnsiTheme="minorEastAsia"/>
          <w:sz w:val="24"/>
          <w:highlight w:val="none"/>
        </w:rPr>
      </w:pPr>
      <w:r>
        <w:rPr>
          <w:rFonts w:cs="Cambria" w:asciiTheme="minorEastAsia" w:hAnsiTheme="minorEastAsia"/>
          <w:sz w:val="24"/>
          <w:highlight w:val="none"/>
        </w:rPr>
        <w:t>c.</w:t>
      </w:r>
      <w:r>
        <w:rPr>
          <w:rFonts w:hint="eastAsia" w:cs="Cambria" w:asciiTheme="minorEastAsia" w:hAnsiTheme="minorEastAsia"/>
          <w:sz w:val="24"/>
          <w:highlight w:val="none"/>
        </w:rPr>
        <w:t>勘察方法和工作布置说明；</w:t>
      </w:r>
    </w:p>
    <w:p w14:paraId="4E6902DF">
      <w:pPr>
        <w:spacing w:line="560" w:lineRule="exact"/>
        <w:ind w:firstLine="480" w:firstLineChars="200"/>
        <w:jc w:val="left"/>
        <w:rPr>
          <w:rFonts w:cs="Cambria" w:asciiTheme="minorEastAsia" w:hAnsiTheme="minorEastAsia"/>
          <w:sz w:val="24"/>
          <w:highlight w:val="none"/>
        </w:rPr>
      </w:pPr>
      <w:r>
        <w:rPr>
          <w:rFonts w:cs="Cambria" w:asciiTheme="minorEastAsia" w:hAnsiTheme="minorEastAsia"/>
          <w:sz w:val="24"/>
          <w:highlight w:val="none"/>
        </w:rPr>
        <w:t>d.</w:t>
      </w:r>
      <w:r>
        <w:rPr>
          <w:rFonts w:hint="eastAsia" w:cs="Cambria" w:asciiTheme="minorEastAsia" w:hAnsiTheme="minorEastAsia"/>
          <w:sz w:val="24"/>
          <w:highlight w:val="none"/>
        </w:rPr>
        <w:t>场地地形、地质(地层、地质构造)、地貌、岩土性质、地下水及不良地质现象的阐述和评价；</w:t>
      </w:r>
    </w:p>
    <w:p w14:paraId="10118898">
      <w:pPr>
        <w:spacing w:line="560" w:lineRule="exact"/>
        <w:ind w:firstLine="480" w:firstLineChars="200"/>
        <w:jc w:val="left"/>
        <w:rPr>
          <w:rFonts w:cs="Cambria" w:asciiTheme="minorEastAsia" w:hAnsiTheme="minorEastAsia"/>
          <w:sz w:val="24"/>
          <w:highlight w:val="none"/>
        </w:rPr>
      </w:pPr>
      <w:r>
        <w:rPr>
          <w:rFonts w:cs="Cambria" w:asciiTheme="minorEastAsia" w:hAnsiTheme="minorEastAsia"/>
          <w:sz w:val="24"/>
          <w:highlight w:val="none"/>
        </w:rPr>
        <w:t>e.</w:t>
      </w:r>
      <w:r>
        <w:rPr>
          <w:rFonts w:hint="eastAsia" w:cs="Cambria" w:asciiTheme="minorEastAsia" w:hAnsiTheme="minorEastAsia"/>
          <w:sz w:val="24"/>
          <w:highlight w:val="none"/>
        </w:rPr>
        <w:t>地基稳定性评价；</w:t>
      </w:r>
    </w:p>
    <w:p w14:paraId="20B24509">
      <w:pPr>
        <w:spacing w:line="560" w:lineRule="exact"/>
        <w:ind w:firstLine="480" w:firstLineChars="200"/>
        <w:jc w:val="left"/>
        <w:rPr>
          <w:rFonts w:cs="Cambria" w:asciiTheme="minorEastAsia" w:hAnsiTheme="minorEastAsia"/>
          <w:sz w:val="24"/>
          <w:highlight w:val="none"/>
        </w:rPr>
      </w:pPr>
      <w:r>
        <w:rPr>
          <w:rFonts w:cs="Cambria" w:asciiTheme="minorEastAsia" w:hAnsiTheme="minorEastAsia"/>
          <w:sz w:val="24"/>
          <w:highlight w:val="none"/>
        </w:rPr>
        <w:t>f.</w:t>
      </w:r>
      <w:r>
        <w:rPr>
          <w:rFonts w:hint="eastAsia" w:cs="Cambria" w:asciiTheme="minorEastAsia" w:hAnsiTheme="minorEastAsia"/>
          <w:sz w:val="24"/>
          <w:highlight w:val="none"/>
        </w:rPr>
        <w:t>岩土参数的分析及选用；</w:t>
      </w:r>
    </w:p>
    <w:p w14:paraId="50D85FCB">
      <w:pPr>
        <w:spacing w:line="560" w:lineRule="exact"/>
        <w:ind w:firstLine="480" w:firstLineChars="200"/>
        <w:jc w:val="left"/>
        <w:rPr>
          <w:rFonts w:cs="Cambria" w:asciiTheme="minorEastAsia" w:hAnsiTheme="minorEastAsia"/>
          <w:sz w:val="24"/>
          <w:highlight w:val="none"/>
        </w:rPr>
      </w:pPr>
      <w:r>
        <w:rPr>
          <w:rFonts w:cs="Cambria" w:asciiTheme="minorEastAsia" w:hAnsiTheme="minorEastAsia"/>
          <w:sz w:val="24"/>
          <w:highlight w:val="none"/>
        </w:rPr>
        <w:t>h.</w:t>
      </w:r>
      <w:r>
        <w:rPr>
          <w:rFonts w:hint="eastAsia" w:cs="Cambria" w:asciiTheme="minorEastAsia" w:hAnsiTheme="minorEastAsia"/>
          <w:sz w:val="24"/>
          <w:highlight w:val="none"/>
        </w:rPr>
        <w:t>工程施工及使用期间可能发生的岩土工程问题的预测及监控、防治措施的建议；</w:t>
      </w:r>
    </w:p>
    <w:p w14:paraId="4FD6FA05">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j.有关地基与基础设计及施工措施的建议。</w:t>
      </w:r>
    </w:p>
    <w:p w14:paraId="3EDA7FC3">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（2）图表部分：</w:t>
      </w:r>
    </w:p>
    <w:p w14:paraId="12D7198E">
      <w:pPr>
        <w:spacing w:line="560" w:lineRule="exact"/>
        <w:ind w:firstLine="480" w:firstLineChars="200"/>
        <w:jc w:val="left"/>
        <w:rPr>
          <w:rFonts w:cs="Cambria" w:asciiTheme="minorEastAsia" w:hAnsiTheme="minorEastAsia"/>
          <w:sz w:val="24"/>
          <w:highlight w:val="none"/>
        </w:rPr>
      </w:pPr>
      <w:r>
        <w:rPr>
          <w:rFonts w:cs="Cambria" w:asciiTheme="minorEastAsia" w:hAnsiTheme="minorEastAsia"/>
          <w:sz w:val="24"/>
          <w:highlight w:val="none"/>
        </w:rPr>
        <w:t>a.</w:t>
      </w:r>
      <w:r>
        <w:rPr>
          <w:rFonts w:hint="eastAsia" w:cs="Cambria" w:asciiTheme="minorEastAsia" w:hAnsiTheme="minorEastAsia"/>
          <w:sz w:val="24"/>
          <w:highlight w:val="none"/>
        </w:rPr>
        <w:t>勘探点平面布置图；</w:t>
      </w:r>
    </w:p>
    <w:p w14:paraId="1DC5CD1F">
      <w:pPr>
        <w:spacing w:line="560" w:lineRule="exact"/>
        <w:ind w:firstLine="480" w:firstLineChars="200"/>
        <w:jc w:val="left"/>
        <w:rPr>
          <w:rFonts w:cs="Cambria" w:asciiTheme="minorEastAsia" w:hAnsiTheme="minorEastAsia"/>
          <w:sz w:val="24"/>
          <w:highlight w:val="none"/>
        </w:rPr>
      </w:pPr>
      <w:r>
        <w:rPr>
          <w:rFonts w:cs="Cambria" w:asciiTheme="minorEastAsia" w:hAnsiTheme="minorEastAsia"/>
          <w:sz w:val="24"/>
          <w:highlight w:val="none"/>
        </w:rPr>
        <w:t>b.</w:t>
      </w:r>
      <w:r>
        <w:rPr>
          <w:rFonts w:hint="eastAsia" w:cs="Cambria" w:asciiTheme="minorEastAsia" w:hAnsiTheme="minorEastAsia"/>
          <w:sz w:val="24"/>
          <w:highlight w:val="none"/>
        </w:rPr>
        <w:t>工程地质柱状图；</w:t>
      </w:r>
    </w:p>
    <w:p w14:paraId="0F4977EB">
      <w:pPr>
        <w:spacing w:line="560" w:lineRule="exact"/>
        <w:ind w:firstLine="480" w:firstLineChars="200"/>
        <w:jc w:val="left"/>
        <w:rPr>
          <w:rFonts w:cs="Cambria" w:asciiTheme="minorEastAsia" w:hAnsiTheme="minorEastAsia"/>
          <w:sz w:val="24"/>
          <w:highlight w:val="none"/>
        </w:rPr>
      </w:pPr>
      <w:r>
        <w:rPr>
          <w:rFonts w:cs="Cambria" w:asciiTheme="minorEastAsia" w:hAnsiTheme="minorEastAsia"/>
          <w:sz w:val="24"/>
          <w:highlight w:val="none"/>
        </w:rPr>
        <w:t>c.</w:t>
      </w:r>
      <w:r>
        <w:rPr>
          <w:rFonts w:hint="eastAsia" w:cs="Cambria" w:asciiTheme="minorEastAsia" w:hAnsiTheme="minorEastAsia"/>
          <w:sz w:val="24"/>
          <w:highlight w:val="none"/>
        </w:rPr>
        <w:t>工程地质剖面图；</w:t>
      </w:r>
    </w:p>
    <w:p w14:paraId="46C5177D">
      <w:pPr>
        <w:spacing w:line="560" w:lineRule="exact"/>
        <w:ind w:firstLine="480" w:firstLineChars="200"/>
        <w:jc w:val="left"/>
        <w:rPr>
          <w:rFonts w:cs="Cambria" w:asciiTheme="minorEastAsia" w:hAnsiTheme="minorEastAsia"/>
          <w:sz w:val="24"/>
          <w:highlight w:val="none"/>
        </w:rPr>
      </w:pPr>
      <w:r>
        <w:rPr>
          <w:rFonts w:cs="Cambria" w:asciiTheme="minorEastAsia" w:hAnsiTheme="minorEastAsia"/>
          <w:sz w:val="24"/>
          <w:highlight w:val="none"/>
        </w:rPr>
        <w:t>d.</w:t>
      </w:r>
      <w:r>
        <w:rPr>
          <w:rFonts w:hint="eastAsia" w:cs="Cambria" w:asciiTheme="minorEastAsia" w:hAnsiTheme="minorEastAsia"/>
          <w:sz w:val="24"/>
          <w:highlight w:val="none"/>
        </w:rPr>
        <w:t>原位测试成果图表；</w:t>
      </w:r>
    </w:p>
    <w:p w14:paraId="026F77CC">
      <w:pPr>
        <w:spacing w:line="560" w:lineRule="exact"/>
        <w:ind w:firstLine="480" w:firstLineChars="200"/>
        <w:jc w:val="left"/>
        <w:rPr>
          <w:rFonts w:cs="Cambria" w:asciiTheme="minorEastAsia" w:hAnsiTheme="minorEastAsia"/>
          <w:sz w:val="24"/>
          <w:highlight w:val="none"/>
        </w:rPr>
      </w:pPr>
      <w:r>
        <w:rPr>
          <w:rFonts w:cs="Cambria" w:asciiTheme="minorEastAsia" w:hAnsiTheme="minorEastAsia"/>
          <w:sz w:val="24"/>
          <w:highlight w:val="none"/>
        </w:rPr>
        <w:t>e.</w:t>
      </w:r>
      <w:r>
        <w:rPr>
          <w:rFonts w:hint="eastAsia" w:cs="Cambria" w:asciiTheme="minorEastAsia" w:hAnsiTheme="minorEastAsia"/>
          <w:sz w:val="24"/>
          <w:highlight w:val="none"/>
        </w:rPr>
        <w:t>室内试验成果图表；</w:t>
      </w:r>
    </w:p>
    <w:p w14:paraId="71FA7497">
      <w:pPr>
        <w:spacing w:line="560" w:lineRule="exact"/>
        <w:ind w:firstLine="480" w:firstLineChars="200"/>
        <w:jc w:val="left"/>
        <w:rPr>
          <w:rFonts w:cs="Cambria" w:asciiTheme="minorEastAsia" w:hAnsiTheme="minorEastAsia"/>
          <w:sz w:val="24"/>
          <w:highlight w:val="none"/>
        </w:rPr>
      </w:pPr>
      <w:r>
        <w:rPr>
          <w:rFonts w:cs="Cambria" w:asciiTheme="minorEastAsia" w:hAnsiTheme="minorEastAsia"/>
          <w:sz w:val="24"/>
          <w:highlight w:val="none"/>
        </w:rPr>
        <w:t>f.</w:t>
      </w:r>
      <w:r>
        <w:rPr>
          <w:rFonts w:hint="eastAsia" w:cs="Cambria" w:asciiTheme="minorEastAsia" w:hAnsiTheme="minorEastAsia"/>
          <w:sz w:val="24"/>
          <w:highlight w:val="none"/>
        </w:rPr>
        <w:t>岩土工程计算简图及计算成果图表；</w:t>
      </w:r>
    </w:p>
    <w:p w14:paraId="7A478886">
      <w:pPr>
        <w:spacing w:line="560" w:lineRule="exact"/>
        <w:ind w:firstLine="480" w:firstLineChars="200"/>
        <w:jc w:val="left"/>
        <w:rPr>
          <w:rFonts w:cs="Cambria" w:asciiTheme="minorEastAsia" w:hAnsiTheme="minorEastAsia"/>
          <w:sz w:val="24"/>
          <w:highlight w:val="none"/>
        </w:rPr>
      </w:pPr>
      <w:r>
        <w:rPr>
          <w:rFonts w:cs="Cambria" w:asciiTheme="minorEastAsia" w:hAnsiTheme="minorEastAsia"/>
          <w:sz w:val="24"/>
          <w:highlight w:val="none"/>
        </w:rPr>
        <w:t>h.</w:t>
      </w:r>
      <w:r>
        <w:rPr>
          <w:rFonts w:hint="eastAsia" w:cs="Cambria" w:asciiTheme="minorEastAsia" w:hAnsiTheme="minorEastAsia"/>
          <w:sz w:val="24"/>
          <w:highlight w:val="none"/>
        </w:rPr>
        <w:t>特殊性岩土分布图、综合工程地质图，或工程地质分区(段)图、地下水等水位线图、素描及照片等。</w:t>
      </w:r>
    </w:p>
    <w:p w14:paraId="5C343008">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如遇特殊情况，请通知建设单位及设计人共同商定。</w:t>
      </w:r>
    </w:p>
    <w:p w14:paraId="4DEDE4C4">
      <w:pPr>
        <w:spacing w:line="560" w:lineRule="exact"/>
        <w:ind w:firstLine="480" w:firstLineChars="200"/>
        <w:jc w:val="left"/>
        <w:rPr>
          <w:rFonts w:cs="Cambria" w:asciiTheme="minorEastAsia" w:hAnsiTheme="minorEastAsia"/>
          <w:sz w:val="24"/>
          <w:highlight w:val="none"/>
        </w:rPr>
      </w:pPr>
      <w:r>
        <w:rPr>
          <w:rFonts w:hint="eastAsia" w:cs="Cambria" w:asciiTheme="minorEastAsia" w:hAnsiTheme="minorEastAsia"/>
          <w:sz w:val="24"/>
          <w:highlight w:val="none"/>
        </w:rPr>
        <w:t>其他未注明事项参照规范相关要求执行。</w:t>
      </w:r>
    </w:p>
    <w:p w14:paraId="70A1775D">
      <w:pPr>
        <w:spacing w:line="560" w:lineRule="exact"/>
        <w:ind w:firstLine="482" w:firstLineChars="200"/>
        <w:jc w:val="left"/>
        <w:rPr>
          <w:rFonts w:cs="Cambria" w:asciiTheme="minorEastAsia" w:hAnsiTheme="minorEastAsia"/>
          <w:b/>
          <w:sz w:val="24"/>
          <w:highlight w:val="none"/>
        </w:rPr>
      </w:pPr>
      <w:r>
        <w:rPr>
          <w:rFonts w:hint="eastAsia" w:cs="Cambria" w:asciiTheme="minorEastAsia" w:hAnsiTheme="minorEastAsia"/>
          <w:b/>
          <w:sz w:val="24"/>
          <w:highlight w:val="none"/>
        </w:rPr>
        <w:t>（五）</w:t>
      </w:r>
      <w:r>
        <w:rPr>
          <w:rFonts w:hint="eastAsia" w:cs="Cambria" w:asciiTheme="minorEastAsia" w:hAnsiTheme="minorEastAsia"/>
          <w:b/>
          <w:sz w:val="24"/>
          <w:highlight w:val="none"/>
          <w:lang w:val="en-US" w:eastAsia="zh-CN"/>
        </w:rPr>
        <w:t>工程测量及</w:t>
      </w:r>
      <w:r>
        <w:rPr>
          <w:rFonts w:hint="eastAsia" w:cs="Cambria" w:asciiTheme="minorEastAsia" w:hAnsiTheme="minorEastAsia"/>
          <w:b/>
          <w:sz w:val="24"/>
          <w:highlight w:val="none"/>
        </w:rPr>
        <w:t>物探作业要求</w:t>
      </w:r>
    </w:p>
    <w:p w14:paraId="2D9A55B0">
      <w:pPr>
        <w:spacing w:line="360" w:lineRule="auto"/>
        <w:ind w:firstLine="482" w:firstLineChars="200"/>
        <w:rPr>
          <w:b/>
          <w:color w:val="000000"/>
          <w:sz w:val="24"/>
          <w:highlight w:val="none"/>
        </w:rPr>
      </w:pPr>
      <w:r>
        <w:rPr>
          <w:rFonts w:hint="eastAsia"/>
          <w:b/>
          <w:color w:val="000000"/>
          <w:sz w:val="24"/>
          <w:highlight w:val="none"/>
        </w:rPr>
        <w:t>1．作业依据</w:t>
      </w:r>
    </w:p>
    <w:p w14:paraId="70EC09DB">
      <w:pPr>
        <w:spacing w:line="360" w:lineRule="auto"/>
        <w:ind w:firstLine="480" w:firstLineChars="200"/>
        <w:rPr>
          <w:color w:val="000000"/>
          <w:sz w:val="24"/>
          <w:highlight w:val="none"/>
        </w:rPr>
      </w:pPr>
      <w:r>
        <w:rPr>
          <w:rFonts w:hint="eastAsia"/>
          <w:color w:val="000000"/>
          <w:sz w:val="24"/>
          <w:highlight w:val="none"/>
        </w:rPr>
        <w:t>（1）《工程测量规范》（GB50026-2007）；</w:t>
      </w:r>
    </w:p>
    <w:p w14:paraId="78FE78EB">
      <w:pPr>
        <w:spacing w:line="360" w:lineRule="auto"/>
        <w:ind w:firstLine="480" w:firstLineChars="200"/>
        <w:rPr>
          <w:color w:val="000000"/>
          <w:sz w:val="24"/>
          <w:highlight w:val="none"/>
        </w:rPr>
      </w:pPr>
      <w:r>
        <w:rPr>
          <w:rFonts w:hint="eastAsia"/>
          <w:color w:val="000000"/>
          <w:sz w:val="24"/>
          <w:highlight w:val="none"/>
        </w:rPr>
        <w:t>（2）《城市测量规范》（CJJ/T8-2011）；</w:t>
      </w:r>
    </w:p>
    <w:p w14:paraId="27A89BD1">
      <w:pPr>
        <w:spacing w:line="360" w:lineRule="auto"/>
        <w:ind w:firstLine="480" w:firstLineChars="200"/>
        <w:rPr>
          <w:color w:val="000000"/>
          <w:sz w:val="24"/>
          <w:highlight w:val="none"/>
        </w:rPr>
      </w:pPr>
      <w:r>
        <w:rPr>
          <w:rFonts w:hint="eastAsia"/>
          <w:color w:val="000000"/>
          <w:sz w:val="24"/>
          <w:highlight w:val="none"/>
        </w:rPr>
        <w:t>（3）《1：500、1：1000、1：2000地形图图式》（GB/T20257.1-2007）；</w:t>
      </w:r>
    </w:p>
    <w:p w14:paraId="7A49FE1A">
      <w:pPr>
        <w:spacing w:line="360" w:lineRule="auto"/>
        <w:ind w:firstLine="480" w:firstLineChars="200"/>
        <w:rPr>
          <w:rFonts w:hint="eastAsia" w:eastAsiaTheme="minorEastAsia"/>
          <w:color w:val="000000"/>
          <w:sz w:val="24"/>
          <w:highlight w:val="none"/>
          <w:lang w:eastAsia="zh-CN"/>
        </w:rPr>
      </w:pPr>
      <w:r>
        <w:rPr>
          <w:rFonts w:hint="eastAsia"/>
          <w:color w:val="000000"/>
          <w:sz w:val="24"/>
          <w:highlight w:val="none"/>
        </w:rPr>
        <w:t>（4）《城市地下管线探测规程》（CJJ61-2003）；</w:t>
      </w:r>
    </w:p>
    <w:p w14:paraId="439ECB11">
      <w:pPr>
        <w:spacing w:line="360" w:lineRule="auto"/>
        <w:ind w:firstLine="480" w:firstLineChars="200"/>
        <w:rPr>
          <w:rFonts w:hint="eastAsia"/>
          <w:color w:val="000000"/>
          <w:sz w:val="24"/>
          <w:highlight w:val="none"/>
        </w:rPr>
      </w:pPr>
      <w:r>
        <w:rPr>
          <w:rFonts w:hint="eastAsia"/>
          <w:color w:val="000000"/>
          <w:sz w:val="24"/>
          <w:highlight w:val="none"/>
        </w:rPr>
        <w:t>（5）《测绘成果质量检查与验收》（GB/T24356-2009）；</w:t>
      </w:r>
    </w:p>
    <w:p w14:paraId="1605C254">
      <w:pPr>
        <w:spacing w:line="360" w:lineRule="auto"/>
        <w:ind w:firstLine="480" w:firstLineChars="200"/>
        <w:rPr>
          <w:color w:val="000000"/>
          <w:sz w:val="24"/>
          <w:highlight w:val="none"/>
        </w:rPr>
      </w:pPr>
      <w:r>
        <w:rPr>
          <w:rFonts w:hint="eastAsia"/>
          <w:color w:val="000000"/>
          <w:sz w:val="24"/>
          <w:highlight w:val="none"/>
        </w:rPr>
        <w:t>（</w:t>
      </w:r>
      <w:r>
        <w:rPr>
          <w:color w:val="000000"/>
          <w:sz w:val="24"/>
          <w:highlight w:val="none"/>
        </w:rPr>
        <w:t>6</w:t>
      </w:r>
      <w:r>
        <w:rPr>
          <w:rFonts w:hint="eastAsia"/>
          <w:color w:val="000000"/>
          <w:sz w:val="24"/>
          <w:highlight w:val="none"/>
        </w:rPr>
        <w:t>）业主、设计方提供的技术要求；</w:t>
      </w:r>
    </w:p>
    <w:p w14:paraId="0B7C9135">
      <w:pPr>
        <w:spacing w:line="360" w:lineRule="auto"/>
        <w:ind w:firstLine="480" w:firstLineChars="200"/>
        <w:rPr>
          <w:color w:val="000000"/>
          <w:sz w:val="24"/>
          <w:highlight w:val="none"/>
        </w:rPr>
      </w:pPr>
      <w:r>
        <w:rPr>
          <w:rFonts w:hint="eastAsia"/>
          <w:color w:val="000000"/>
          <w:sz w:val="24"/>
          <w:highlight w:val="none"/>
        </w:rPr>
        <w:t>（</w:t>
      </w:r>
      <w:r>
        <w:rPr>
          <w:color w:val="000000"/>
          <w:sz w:val="24"/>
          <w:highlight w:val="none"/>
        </w:rPr>
        <w:t>7</w:t>
      </w:r>
      <w:r>
        <w:rPr>
          <w:rFonts w:hint="eastAsia"/>
          <w:color w:val="000000"/>
          <w:sz w:val="24"/>
          <w:highlight w:val="none"/>
        </w:rPr>
        <w:t>）坐标系统、高程系统和基本等高距：</w:t>
      </w:r>
    </w:p>
    <w:p w14:paraId="63DDBB3E">
      <w:pPr>
        <w:spacing w:line="360" w:lineRule="auto"/>
        <w:ind w:firstLine="960" w:firstLineChars="400"/>
        <w:rPr>
          <w:color w:val="000000"/>
          <w:sz w:val="24"/>
          <w:highlight w:val="none"/>
        </w:rPr>
      </w:pPr>
      <w:r>
        <w:rPr>
          <w:rFonts w:hint="eastAsia"/>
          <w:color w:val="000000"/>
          <w:sz w:val="24"/>
          <w:highlight w:val="none"/>
        </w:rPr>
        <w:t>①坐标系统：采用广州坐标系；</w:t>
      </w:r>
    </w:p>
    <w:p w14:paraId="0D779370">
      <w:pPr>
        <w:spacing w:line="360" w:lineRule="auto"/>
        <w:ind w:firstLine="960" w:firstLineChars="400"/>
        <w:rPr>
          <w:color w:val="000000"/>
          <w:sz w:val="24"/>
          <w:highlight w:val="none"/>
        </w:rPr>
      </w:pPr>
      <w:r>
        <w:rPr>
          <w:rFonts w:hint="eastAsia"/>
          <w:color w:val="000000"/>
          <w:sz w:val="24"/>
          <w:highlight w:val="none"/>
        </w:rPr>
        <w:t>②高程系统：采用广州高程系；</w:t>
      </w:r>
    </w:p>
    <w:p w14:paraId="0C364920">
      <w:pPr>
        <w:spacing w:line="360" w:lineRule="auto"/>
        <w:ind w:firstLine="960" w:firstLineChars="400"/>
        <w:rPr>
          <w:color w:val="000000"/>
          <w:sz w:val="24"/>
          <w:highlight w:val="none"/>
        </w:rPr>
      </w:pPr>
      <w:r>
        <w:rPr>
          <w:rFonts w:hint="eastAsia"/>
          <w:color w:val="000000"/>
          <w:sz w:val="24"/>
          <w:highlight w:val="none"/>
        </w:rPr>
        <w:t>③基本等高距：基本等高距为0.5米。</w:t>
      </w:r>
    </w:p>
    <w:p w14:paraId="12884319">
      <w:pPr>
        <w:spacing w:line="360" w:lineRule="auto"/>
        <w:ind w:firstLine="482" w:firstLineChars="200"/>
        <w:rPr>
          <w:b/>
          <w:color w:val="000000"/>
          <w:sz w:val="24"/>
          <w:highlight w:val="none"/>
        </w:rPr>
      </w:pPr>
      <w:r>
        <w:rPr>
          <w:rFonts w:hint="eastAsia"/>
          <w:b/>
          <w:color w:val="000000"/>
          <w:sz w:val="24"/>
          <w:highlight w:val="none"/>
        </w:rPr>
        <w:t>2．勘察测量单位提供</w:t>
      </w:r>
    </w:p>
    <w:p w14:paraId="15429311">
      <w:pPr>
        <w:spacing w:line="360" w:lineRule="auto"/>
        <w:ind w:firstLine="480" w:firstLineChars="200"/>
        <w:rPr>
          <w:color w:val="000000"/>
          <w:sz w:val="24"/>
          <w:highlight w:val="none"/>
        </w:rPr>
      </w:pPr>
      <w:r>
        <w:rPr>
          <w:rFonts w:hint="eastAsia"/>
          <w:color w:val="000000"/>
          <w:sz w:val="24"/>
          <w:highlight w:val="none"/>
        </w:rPr>
        <w:t>1）地形测量等级为乙级。提供本工程地形图方面的资料，供测区设计、底图等使用。</w:t>
      </w:r>
    </w:p>
    <w:p w14:paraId="01366AB3">
      <w:pPr>
        <w:spacing w:line="360" w:lineRule="auto"/>
        <w:ind w:firstLine="480" w:firstLineChars="200"/>
        <w:rPr>
          <w:color w:val="000000"/>
          <w:sz w:val="24"/>
          <w:highlight w:val="none"/>
        </w:rPr>
      </w:pPr>
      <w:r>
        <w:rPr>
          <w:rFonts w:hint="eastAsia"/>
          <w:color w:val="000000"/>
          <w:sz w:val="24"/>
          <w:highlight w:val="none"/>
        </w:rPr>
        <w:t>2）提供测区附近三个一级等级点，成果属广州市坐标系和高程系，作为本项目测量控制的起算点。</w:t>
      </w:r>
    </w:p>
    <w:p w14:paraId="7F9B58F3">
      <w:pPr>
        <w:spacing w:line="360" w:lineRule="auto"/>
        <w:ind w:firstLine="482" w:firstLineChars="200"/>
        <w:rPr>
          <w:b/>
          <w:color w:val="000000"/>
          <w:sz w:val="24"/>
          <w:highlight w:val="none"/>
        </w:rPr>
      </w:pPr>
      <w:r>
        <w:rPr>
          <w:rFonts w:hint="eastAsia"/>
          <w:b/>
          <w:color w:val="000000"/>
          <w:sz w:val="24"/>
          <w:highlight w:val="none"/>
        </w:rPr>
        <w:t>3．使用人员及设备情况</w:t>
      </w:r>
    </w:p>
    <w:p w14:paraId="0C79A528">
      <w:pPr>
        <w:spacing w:line="360" w:lineRule="auto"/>
        <w:ind w:firstLine="480" w:firstLineChars="200"/>
        <w:rPr>
          <w:color w:val="000000"/>
          <w:sz w:val="24"/>
          <w:highlight w:val="none"/>
        </w:rPr>
      </w:pPr>
      <w:r>
        <w:rPr>
          <w:rFonts w:hint="eastAsia"/>
          <w:color w:val="000000"/>
          <w:sz w:val="24"/>
          <w:highlight w:val="none"/>
        </w:rPr>
        <w:t>（1）项目负责1名，作业组5个，其中技术员5名，测工5名；</w:t>
      </w:r>
    </w:p>
    <w:p w14:paraId="378E3DC0">
      <w:pPr>
        <w:spacing w:line="360" w:lineRule="auto"/>
        <w:ind w:firstLine="480" w:firstLineChars="200"/>
        <w:rPr>
          <w:color w:val="000000"/>
          <w:sz w:val="24"/>
          <w:highlight w:val="none"/>
        </w:rPr>
      </w:pPr>
      <w:r>
        <w:rPr>
          <w:rFonts w:hint="eastAsia"/>
          <w:color w:val="000000"/>
          <w:sz w:val="24"/>
          <w:highlight w:val="none"/>
        </w:rPr>
        <w:t>（2）使用瑞士TS06plus-2r500全站仪2台套，雷迪RD8000管线探测仪3台套，笔记本电脑3台，所使用仪器均在检定有效期内。</w:t>
      </w:r>
    </w:p>
    <w:p w14:paraId="3A672B01">
      <w:pPr>
        <w:spacing w:line="360" w:lineRule="auto"/>
        <w:ind w:firstLine="482" w:firstLineChars="200"/>
        <w:rPr>
          <w:b/>
          <w:color w:val="000000"/>
          <w:sz w:val="24"/>
          <w:highlight w:val="none"/>
        </w:rPr>
      </w:pPr>
      <w:r>
        <w:rPr>
          <w:rFonts w:hint="eastAsia"/>
          <w:b/>
          <w:color w:val="000000"/>
          <w:sz w:val="24"/>
          <w:highlight w:val="none"/>
        </w:rPr>
        <w:t>4．地下管线探测</w:t>
      </w:r>
    </w:p>
    <w:p w14:paraId="3B99F66A">
      <w:pPr>
        <w:spacing w:line="360" w:lineRule="auto"/>
        <w:ind w:firstLine="480" w:firstLineChars="200"/>
        <w:rPr>
          <w:rFonts w:hint="eastAsia"/>
          <w:color w:val="000000"/>
          <w:sz w:val="24"/>
          <w:highlight w:val="none"/>
        </w:rPr>
      </w:pPr>
      <w:r>
        <w:rPr>
          <w:rFonts w:hint="eastAsia"/>
          <w:color w:val="000000"/>
          <w:sz w:val="24"/>
          <w:highlight w:val="none"/>
        </w:rPr>
        <w:t>根据广州市城乡建设委员会《关于加强地下工程施工前地下管线探测工作的通知》（穗建质[2013]845号），对本项目用地红线范围进行物探，探测工作包括查明探测范围内各专业管线走向、位置和标高等，作为设计和施工的基础数据。探测单位应当根据《城市地下管线探测技术规程》(CJJ61-2003)和探测合同开展工作，确保工作质量，出具的探测报告需加盖CMA章。</w:t>
      </w:r>
    </w:p>
    <w:p w14:paraId="621AE68E">
      <w:pPr>
        <w:spacing w:line="360" w:lineRule="auto"/>
        <w:ind w:firstLine="480" w:firstLineChars="200"/>
        <w:rPr>
          <w:color w:val="000000"/>
          <w:sz w:val="24"/>
          <w:highlight w:val="none"/>
        </w:rPr>
      </w:pPr>
      <w:r>
        <w:rPr>
          <w:rFonts w:hint="eastAsia"/>
          <w:color w:val="000000"/>
          <w:sz w:val="24"/>
          <w:highlight w:val="none"/>
        </w:rPr>
        <w:t>（1）管线探查</w:t>
      </w:r>
    </w:p>
    <w:p w14:paraId="7279B683">
      <w:pPr>
        <w:spacing w:line="360" w:lineRule="auto"/>
        <w:ind w:firstLine="480" w:firstLineChars="200"/>
        <w:rPr>
          <w:color w:val="000000"/>
          <w:sz w:val="24"/>
          <w:highlight w:val="none"/>
        </w:rPr>
      </w:pPr>
      <w:r>
        <w:rPr>
          <w:rFonts w:hint="eastAsia"/>
          <w:color w:val="000000"/>
          <w:sz w:val="24"/>
          <w:highlight w:val="none"/>
        </w:rPr>
        <w:t>1）对测区范围内的地下管线（给水管径≥100mm、排水方沟≥400mm×400mm，管径≥300mm、电力电压＞380V、电信、煤气、工业管道和铁路、民航、部队等其它单位专用管线）的平面位置、高程、埋深、走向、性质、材质、条数、规格、埋设时间和权属单位等，实地调查时采用钢卷尺直接量测，至少两次读数，读至厘米，并作好详细记录，填写明显管线点调查表，调查时如果其密度符合《技术规程》布点要求时，中间又无转弯分支等，直接连接各明显点，以正确反映出管线空间位置。在明显点密度分布不足要求时，采用物探方法补加若干隐蔽点；在没有或只有少数明显管线点时，定位方法主要按《技术规程》中要求的物探方法进行。</w:t>
      </w:r>
    </w:p>
    <w:p w14:paraId="40DD13AB">
      <w:pPr>
        <w:spacing w:line="360" w:lineRule="auto"/>
        <w:ind w:firstLine="480" w:firstLineChars="200"/>
        <w:rPr>
          <w:color w:val="000000"/>
          <w:sz w:val="24"/>
          <w:highlight w:val="none"/>
        </w:rPr>
      </w:pPr>
      <w:r>
        <w:rPr>
          <w:rFonts w:hint="eastAsia"/>
          <w:color w:val="000000"/>
          <w:sz w:val="24"/>
          <w:highlight w:val="none"/>
        </w:rPr>
        <w:t>2）金属管线的仪器探查</w:t>
      </w:r>
    </w:p>
    <w:p w14:paraId="3768B3C9">
      <w:pPr>
        <w:spacing w:line="360" w:lineRule="auto"/>
        <w:ind w:firstLine="480" w:firstLineChars="200"/>
        <w:rPr>
          <w:color w:val="000000"/>
          <w:sz w:val="24"/>
          <w:highlight w:val="none"/>
        </w:rPr>
      </w:pPr>
      <w:r>
        <w:rPr>
          <w:rFonts w:hint="eastAsia"/>
          <w:color w:val="000000"/>
          <w:sz w:val="24"/>
          <w:highlight w:val="none"/>
        </w:rPr>
        <w:t>在需定位管道没有或只有少数明显点，或明显点密度分布不能满足要求时，采用物探方法补测隐蔽点，各类金属管线与其覆盖、周边埋填介质有明显的物性差异，根据这一特征，利用地下管线探测仪对金属管线进行探查。</w:t>
      </w:r>
    </w:p>
    <w:p w14:paraId="1603B3F5">
      <w:pPr>
        <w:spacing w:line="360" w:lineRule="auto"/>
        <w:ind w:firstLine="480" w:firstLineChars="200"/>
        <w:rPr>
          <w:color w:val="000000"/>
          <w:sz w:val="24"/>
          <w:highlight w:val="none"/>
        </w:rPr>
      </w:pPr>
      <w:r>
        <w:rPr>
          <w:rFonts w:hint="eastAsia"/>
          <w:color w:val="000000"/>
          <w:sz w:val="24"/>
          <w:highlight w:val="none"/>
        </w:rPr>
        <w:t>3）管线点编号及标注</w:t>
      </w:r>
    </w:p>
    <w:p w14:paraId="5649DE04">
      <w:pPr>
        <w:spacing w:line="360" w:lineRule="auto"/>
        <w:ind w:firstLine="480" w:firstLineChars="200"/>
        <w:rPr>
          <w:color w:val="000000"/>
          <w:sz w:val="24"/>
          <w:highlight w:val="none"/>
        </w:rPr>
      </w:pPr>
      <w:r>
        <w:rPr>
          <w:rFonts w:hint="eastAsia"/>
          <w:color w:val="000000"/>
          <w:sz w:val="24"/>
          <w:highlight w:val="none"/>
        </w:rPr>
        <w:t>①隐蔽管线点的标注。隐蔽管线点平面位置确定后，用钢钉打在其中心点上，用红油漆画圆，标注符号“⊕”，按管线类型代码编号(如给水：J1、J2……，排水：P1、P2……，电力：L1、L1……,煤气：M1、M2……,电信：D1、D2……)，实地标注点号，并尽可能标注拴距。在实地标注的同时将点号及类型、性质关系填入手簿，并在实地确定管线走向及连接关系，进而形成探查草图。</w:t>
      </w:r>
    </w:p>
    <w:p w14:paraId="5F82FAB3">
      <w:pPr>
        <w:spacing w:line="360" w:lineRule="auto"/>
        <w:ind w:firstLine="480" w:firstLineChars="200"/>
        <w:rPr>
          <w:color w:val="000000"/>
          <w:sz w:val="24"/>
          <w:highlight w:val="none"/>
        </w:rPr>
      </w:pPr>
      <w:r>
        <w:rPr>
          <w:rFonts w:hint="eastAsia"/>
          <w:color w:val="000000"/>
          <w:sz w:val="24"/>
          <w:highlight w:val="none"/>
        </w:rPr>
        <w:t>②明显管线点的标注。明显管线点标注在管线点的中心部位，其他标注内容同隐蔽点。</w:t>
      </w:r>
    </w:p>
    <w:p w14:paraId="0B84F2F2">
      <w:pPr>
        <w:spacing w:line="360" w:lineRule="auto"/>
        <w:ind w:firstLine="480" w:firstLineChars="200"/>
        <w:rPr>
          <w:color w:val="000000"/>
          <w:sz w:val="24"/>
          <w:highlight w:val="none"/>
        </w:rPr>
      </w:pPr>
      <w:r>
        <w:rPr>
          <w:rFonts w:hint="eastAsia"/>
          <w:color w:val="000000"/>
          <w:sz w:val="24"/>
          <w:highlight w:val="none"/>
        </w:rPr>
        <w:t>（2）管线点测量</w:t>
      </w:r>
    </w:p>
    <w:p w14:paraId="44CC9B70">
      <w:pPr>
        <w:spacing w:line="360" w:lineRule="auto"/>
        <w:ind w:firstLine="480" w:firstLineChars="200"/>
        <w:rPr>
          <w:color w:val="000000"/>
          <w:sz w:val="24"/>
          <w:highlight w:val="none"/>
        </w:rPr>
      </w:pPr>
      <w:r>
        <w:rPr>
          <w:rFonts w:hint="eastAsia"/>
          <w:color w:val="000000"/>
          <w:sz w:val="24"/>
          <w:highlight w:val="none"/>
        </w:rPr>
        <w:t>根据等级控制点作为测量起算点，故本次测量工作直接用全站仪采集坐标数据。以全解析的方式测得各管线点的三维坐标。测量精度严格按《广州市地下管线普查技术规程》执行。</w:t>
      </w:r>
    </w:p>
    <w:p w14:paraId="34854267">
      <w:pPr>
        <w:spacing w:line="360" w:lineRule="auto"/>
        <w:ind w:firstLine="480" w:firstLineChars="200"/>
        <w:rPr>
          <w:color w:val="000000"/>
          <w:sz w:val="24"/>
          <w:highlight w:val="none"/>
        </w:rPr>
      </w:pPr>
      <w:r>
        <w:rPr>
          <w:rFonts w:hint="eastAsia"/>
          <w:color w:val="000000"/>
          <w:sz w:val="24"/>
          <w:highlight w:val="none"/>
        </w:rPr>
        <w:t>（3）管线成图</w:t>
      </w:r>
    </w:p>
    <w:p w14:paraId="6947C3E8">
      <w:pPr>
        <w:spacing w:line="360" w:lineRule="auto"/>
        <w:ind w:firstLine="480" w:firstLineChars="200"/>
        <w:rPr>
          <w:color w:val="000000"/>
          <w:sz w:val="24"/>
          <w:highlight w:val="none"/>
        </w:rPr>
      </w:pPr>
      <w:r>
        <w:rPr>
          <w:rFonts w:hint="eastAsia"/>
          <w:color w:val="000000"/>
          <w:sz w:val="24"/>
          <w:highlight w:val="none"/>
        </w:rPr>
        <w:t>1）由于综合管线图上标注内容较多，各种管线采用不同颜色注记，便于区分。给水管线用蓝色表示，字符代码为J；排水、雨水和污水管线用褐色表示，字符代码为P、Y和W；煤气管线用品红色表示，字符代码为Ｍ；电力管线用红色表示，字符代码为L；路灯管线用黄色表示字符代码为S；电信管线用绿色表示，字符代码为D；公安交通管线用青色表示，字符代码为X；工业管线用黑色表示，字符代码为G。</w:t>
      </w:r>
    </w:p>
    <w:p w14:paraId="3CA842EE">
      <w:pPr>
        <w:spacing w:line="360" w:lineRule="auto"/>
        <w:ind w:firstLine="480" w:firstLineChars="200"/>
        <w:rPr>
          <w:color w:val="000000"/>
          <w:sz w:val="24"/>
          <w:highlight w:val="none"/>
        </w:rPr>
      </w:pPr>
      <w:r>
        <w:rPr>
          <w:rFonts w:hint="eastAsia"/>
          <w:color w:val="000000"/>
          <w:sz w:val="24"/>
          <w:highlight w:val="none"/>
        </w:rPr>
        <w:t>2）利用已建立的管线数据库，管网管理系统可直接生成管线图和输出成果表，并与带状地形图进行合并、叠加，形成综合管线图。</w:t>
      </w:r>
    </w:p>
    <w:p w14:paraId="387ED53D">
      <w:pPr>
        <w:spacing w:line="360" w:lineRule="auto"/>
        <w:ind w:firstLine="480" w:firstLineChars="200"/>
        <w:rPr>
          <w:color w:val="000000"/>
          <w:sz w:val="24"/>
          <w:highlight w:val="none"/>
        </w:rPr>
      </w:pPr>
      <w:r>
        <w:rPr>
          <w:rFonts w:hint="eastAsia"/>
          <w:color w:val="000000"/>
          <w:sz w:val="24"/>
          <w:highlight w:val="none"/>
        </w:rPr>
        <w:t>3）地下管线点成果表中提供了各类管线点的属性参数及三维坐标，除了电力缆沟因为盖板贴近地表和排水因为自流而采用沟底和管底埋深，其余的均为管顶埋深。特征栏中的三通、四通等各有三行或四行属性数据，为各方向的埋深、管径等，并附有制表说明。</w:t>
      </w:r>
    </w:p>
    <w:p w14:paraId="7EBC97EC">
      <w:pPr>
        <w:spacing w:line="360" w:lineRule="auto"/>
        <w:ind w:firstLine="482" w:firstLineChars="200"/>
        <w:rPr>
          <w:b/>
          <w:color w:val="000000"/>
          <w:sz w:val="24"/>
          <w:highlight w:val="none"/>
        </w:rPr>
      </w:pPr>
      <w:r>
        <w:rPr>
          <w:rFonts w:hint="eastAsia"/>
          <w:b/>
          <w:color w:val="000000"/>
          <w:sz w:val="24"/>
          <w:highlight w:val="none"/>
        </w:rPr>
        <w:t>5．质量控制措施</w:t>
      </w:r>
    </w:p>
    <w:p w14:paraId="0829A099">
      <w:pPr>
        <w:spacing w:line="360" w:lineRule="auto"/>
        <w:ind w:firstLine="480" w:firstLineChars="200"/>
        <w:rPr>
          <w:color w:val="000000"/>
          <w:sz w:val="24"/>
          <w:highlight w:val="none"/>
        </w:rPr>
      </w:pPr>
      <w:r>
        <w:rPr>
          <w:rFonts w:hint="eastAsia"/>
          <w:color w:val="000000"/>
          <w:sz w:val="24"/>
          <w:highlight w:val="none"/>
        </w:rPr>
        <w:t>质量检查、验收按《城市测量规范》和《数字测绘产品检查验收规定和质量评定》等规范执行，并严格按照我单位ISO质量体系的要求开展各项工作。配备足够的技术力量和设备，设置项目部，并有专职的项目负责、检查员、验收员，层层把关，上道工序未检查合格不得进行下道工序作业。各项工作严格执行以下规定：</w:t>
      </w:r>
    </w:p>
    <w:p w14:paraId="3AA219C4">
      <w:pPr>
        <w:spacing w:line="360" w:lineRule="auto"/>
        <w:ind w:firstLine="480" w:firstLineChars="200"/>
        <w:rPr>
          <w:color w:val="000000"/>
          <w:sz w:val="24"/>
          <w:highlight w:val="none"/>
        </w:rPr>
      </w:pPr>
      <w:r>
        <w:rPr>
          <w:rFonts w:hint="eastAsia"/>
          <w:color w:val="000000"/>
          <w:sz w:val="24"/>
          <w:highlight w:val="none"/>
        </w:rPr>
        <w:t>（1）工作开展前，作业人员必须经过培训，学习作业规范和技术设计书，熟悉测区的情况，了解当地的环境、人文和风俗。</w:t>
      </w:r>
    </w:p>
    <w:p w14:paraId="30BF4560">
      <w:pPr>
        <w:spacing w:line="360" w:lineRule="auto"/>
        <w:ind w:firstLine="480" w:firstLineChars="200"/>
        <w:rPr>
          <w:color w:val="000000"/>
          <w:sz w:val="24"/>
          <w:highlight w:val="none"/>
        </w:rPr>
      </w:pPr>
      <w:r>
        <w:rPr>
          <w:rFonts w:hint="eastAsia"/>
          <w:color w:val="000000"/>
          <w:sz w:val="24"/>
          <w:highlight w:val="none"/>
        </w:rPr>
        <w:t>（2）项目负责须对下面作业人员进行技术、安全交底。</w:t>
      </w:r>
    </w:p>
    <w:p w14:paraId="0C0B4BA5">
      <w:pPr>
        <w:spacing w:line="360" w:lineRule="auto"/>
        <w:ind w:firstLine="480" w:firstLineChars="200"/>
        <w:rPr>
          <w:color w:val="000000"/>
          <w:sz w:val="24"/>
          <w:highlight w:val="none"/>
        </w:rPr>
      </w:pPr>
      <w:r>
        <w:rPr>
          <w:rFonts w:hint="eastAsia"/>
          <w:color w:val="000000"/>
          <w:sz w:val="24"/>
          <w:highlight w:val="none"/>
        </w:rPr>
        <w:t>（3）作业前须对仪器设备进行检查校正。</w:t>
      </w:r>
    </w:p>
    <w:p w14:paraId="5E9E9B2E">
      <w:pPr>
        <w:spacing w:line="360" w:lineRule="auto"/>
        <w:ind w:firstLine="480" w:firstLineChars="200"/>
        <w:rPr>
          <w:color w:val="000000"/>
          <w:sz w:val="24"/>
          <w:highlight w:val="none"/>
        </w:rPr>
      </w:pPr>
      <w:r>
        <w:rPr>
          <w:rFonts w:hint="eastAsia"/>
          <w:color w:val="000000"/>
          <w:sz w:val="24"/>
          <w:highlight w:val="none"/>
        </w:rPr>
        <w:t>（4）各等级控制测量记录手簿，计算成果经小组200%和检查员100%检查，无误后才上机计算。</w:t>
      </w:r>
    </w:p>
    <w:p w14:paraId="5F9850D1">
      <w:pPr>
        <w:spacing w:line="360" w:lineRule="auto"/>
        <w:ind w:firstLine="480" w:firstLineChars="200"/>
        <w:rPr>
          <w:color w:val="000000"/>
          <w:sz w:val="24"/>
          <w:highlight w:val="none"/>
        </w:rPr>
      </w:pPr>
      <w:r>
        <w:rPr>
          <w:rFonts w:hint="eastAsia"/>
          <w:color w:val="000000"/>
          <w:sz w:val="24"/>
          <w:highlight w:val="none"/>
        </w:rPr>
        <w:t>（5）地形图图面内业100%检查，外业100%巡视，30%设站检查。</w:t>
      </w:r>
    </w:p>
    <w:p w14:paraId="2552B56B">
      <w:pPr>
        <w:spacing w:line="360" w:lineRule="auto"/>
        <w:ind w:firstLine="480" w:firstLineChars="200"/>
        <w:rPr>
          <w:color w:val="000000"/>
          <w:sz w:val="24"/>
          <w:highlight w:val="none"/>
        </w:rPr>
      </w:pPr>
      <w:r>
        <w:rPr>
          <w:rFonts w:hint="eastAsia"/>
          <w:color w:val="000000"/>
          <w:sz w:val="24"/>
          <w:highlight w:val="none"/>
        </w:rPr>
        <w:t>（6）最终产品必须经验收、审核后才能交付使用。</w:t>
      </w:r>
    </w:p>
    <w:p w14:paraId="0CDF5992">
      <w:pPr>
        <w:spacing w:line="560" w:lineRule="exact"/>
        <w:jc w:val="left"/>
        <w:rPr>
          <w:rFonts w:cs="Cambria" w:asciiTheme="minorEastAsia" w:hAnsiTheme="minorEastAsia"/>
          <w:b/>
          <w:sz w:val="28"/>
          <w:szCs w:val="28"/>
          <w:highlight w:val="none"/>
        </w:rPr>
      </w:pPr>
      <w:r>
        <w:rPr>
          <w:rFonts w:hint="eastAsia" w:cs="Cambria" w:asciiTheme="minorEastAsia" w:hAnsiTheme="minorEastAsia"/>
          <w:b/>
          <w:sz w:val="28"/>
          <w:szCs w:val="28"/>
          <w:highlight w:val="none"/>
          <w:lang w:val="en-US" w:eastAsia="zh-CN"/>
        </w:rPr>
        <w:t>三</w:t>
      </w:r>
      <w:r>
        <w:rPr>
          <w:rFonts w:hint="eastAsia" w:cs="Cambria" w:asciiTheme="minorEastAsia" w:hAnsiTheme="minorEastAsia"/>
          <w:b/>
          <w:sz w:val="28"/>
          <w:szCs w:val="28"/>
          <w:highlight w:val="none"/>
        </w:rPr>
        <w:t>、设计任务</w:t>
      </w:r>
    </w:p>
    <w:p w14:paraId="4FE9B769">
      <w:pPr>
        <w:spacing w:line="460" w:lineRule="exact"/>
        <w:ind w:firstLine="482" w:firstLineChars="200"/>
        <w:rPr>
          <w:rFonts w:asciiTheme="minorEastAsia" w:hAnsiTheme="minorEastAsia"/>
          <w:b/>
          <w:sz w:val="24"/>
          <w:szCs w:val="24"/>
          <w:highlight w:val="none"/>
        </w:rPr>
      </w:pPr>
      <w:r>
        <w:rPr>
          <w:rFonts w:hint="eastAsia" w:asciiTheme="minorEastAsia" w:hAnsiTheme="minorEastAsia"/>
          <w:b/>
          <w:sz w:val="24"/>
          <w:szCs w:val="24"/>
          <w:highlight w:val="none"/>
        </w:rPr>
        <w:t>(一)、设计依据</w:t>
      </w:r>
    </w:p>
    <w:p w14:paraId="07F1732A">
      <w:pPr>
        <w:spacing w:line="460" w:lineRule="exact"/>
        <w:ind w:firstLine="480" w:firstLineChars="200"/>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rPr>
        <w:t>1.工程设计主要规范和标准</w:t>
      </w:r>
    </w:p>
    <w:p w14:paraId="6C68AD0B">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《建筑设计防火规范》GB50016-2014（2018年版）</w:t>
      </w:r>
    </w:p>
    <w:p w14:paraId="31A64CE5">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《建筑内部装修设计防火规范》GB50222-2017</w:t>
      </w:r>
    </w:p>
    <w:p w14:paraId="688CD15B">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《公共建筑节能设计标准》GB50189-2015</w:t>
      </w:r>
    </w:p>
    <w:p w14:paraId="3E675A6B">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《民用建筑工程室内环境污染控制标准》GB50325-2020</w:t>
      </w:r>
    </w:p>
    <w:p w14:paraId="6F74DC54">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《建筑装饰装修工程质量验收标准》GB50210-2018</w:t>
      </w:r>
    </w:p>
    <w:p w14:paraId="3F98E9F0">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《建筑用墙面涂料中有害物质限量》GB18582-2020</w:t>
      </w:r>
    </w:p>
    <w:p w14:paraId="37D40C15">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《绿色建筑评价标准》GB/T50378-2019</w:t>
      </w:r>
    </w:p>
    <w:p w14:paraId="3B038B0E">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《室内空气质量标准》GB/T18883</w:t>
      </w:r>
    </w:p>
    <w:p w14:paraId="69655000">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广东省《建筑防水工程技术规程》DBJ15-19-2020</w:t>
      </w:r>
    </w:p>
    <w:p w14:paraId="69BC6286">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《铝合金门窗工程技术规范》JGJ214-2010</w:t>
      </w:r>
    </w:p>
    <w:p w14:paraId="2BFE815B">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《建筑室内防水工程技术规程》CECS196-2006</w:t>
      </w:r>
    </w:p>
    <w:p w14:paraId="426E3C79">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《屋面工程技术规范》GB50345-2012</w:t>
      </w:r>
    </w:p>
    <w:p w14:paraId="0EF32D75">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《广州市基础教育装备建设指南（初中分册）》（2018年11月）；</w:t>
      </w:r>
    </w:p>
    <w:p w14:paraId="1618ACF6">
      <w:pPr>
        <w:spacing w:line="460" w:lineRule="exact"/>
        <w:ind w:firstLine="480" w:firstLineChars="200"/>
        <w:rPr>
          <w:rFonts w:hint="eastAsia" w:asciiTheme="minorEastAsia" w:hAnsiTheme="minorEastAsia"/>
          <w:sz w:val="24"/>
          <w:szCs w:val="24"/>
          <w:highlight w:val="none"/>
        </w:rPr>
      </w:pPr>
      <w:r>
        <w:rPr>
          <w:rFonts w:hint="eastAsia" w:asciiTheme="minorEastAsia" w:hAnsiTheme="minorEastAsia"/>
          <w:sz w:val="24"/>
          <w:szCs w:val="24"/>
          <w:highlight w:val="none"/>
        </w:rPr>
        <w:t>《广州市基础教育装备建设指南（高中分册）》（2018年11月）；</w:t>
      </w:r>
    </w:p>
    <w:p w14:paraId="05B682F2">
      <w:pPr>
        <w:spacing w:line="460" w:lineRule="exact"/>
        <w:ind w:firstLine="480" w:firstLineChars="200"/>
        <w:rPr>
          <w:rFonts w:hint="eastAsia" w:asciiTheme="minorEastAsia" w:hAnsiTheme="minorEastAsia"/>
          <w:sz w:val="24"/>
          <w:szCs w:val="24"/>
          <w:highlight w:val="none"/>
        </w:rPr>
      </w:pPr>
      <w:r>
        <w:rPr>
          <w:rFonts w:hint="eastAsia" w:asciiTheme="minorEastAsia" w:hAnsiTheme="minorEastAsia"/>
          <w:sz w:val="24"/>
          <w:szCs w:val="24"/>
          <w:highlight w:val="none"/>
        </w:rPr>
        <w:t>《广东省义务教育现代化学校建设指引（试行）》（2014年6月）；</w:t>
      </w:r>
    </w:p>
    <w:p w14:paraId="3EC42E8F">
      <w:pPr>
        <w:spacing w:line="460" w:lineRule="exact"/>
        <w:ind w:firstLine="480" w:firstLineChars="200"/>
        <w:rPr>
          <w:rFonts w:hint="eastAsia" w:asciiTheme="minorEastAsia" w:hAnsiTheme="minorEastAsia"/>
          <w:sz w:val="24"/>
          <w:szCs w:val="24"/>
          <w:highlight w:val="none"/>
        </w:rPr>
      </w:pPr>
      <w:r>
        <w:rPr>
          <w:rFonts w:hint="eastAsia" w:asciiTheme="minorEastAsia" w:hAnsiTheme="minorEastAsia"/>
          <w:sz w:val="24"/>
          <w:szCs w:val="24"/>
          <w:highlight w:val="none"/>
        </w:rPr>
        <w:t>《城市普通中小学校校舍建设标准》（建标[2002]102号）；</w:t>
      </w:r>
    </w:p>
    <w:p w14:paraId="775C3F3B">
      <w:pPr>
        <w:spacing w:line="460" w:lineRule="exact"/>
        <w:ind w:firstLine="480" w:firstLineChars="200"/>
        <w:rPr>
          <w:rFonts w:hint="eastAsia" w:asciiTheme="minorEastAsia" w:hAnsiTheme="minorEastAsia"/>
          <w:sz w:val="24"/>
          <w:szCs w:val="24"/>
          <w:highlight w:val="none"/>
        </w:rPr>
      </w:pPr>
      <w:r>
        <w:rPr>
          <w:rFonts w:hint="eastAsia" w:asciiTheme="minorEastAsia" w:hAnsiTheme="minorEastAsia"/>
          <w:sz w:val="24"/>
          <w:szCs w:val="24"/>
          <w:highlight w:val="none"/>
        </w:rPr>
        <w:t>《普通中小学校建设标准（2015年）》（征求意见稿）；</w:t>
      </w:r>
    </w:p>
    <w:p w14:paraId="7925749F">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《中小学校设计规范（GB50099-2011）》；</w:t>
      </w:r>
    </w:p>
    <w:p w14:paraId="6F9ACDBB">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《广州市基础教育装备建设指南》；</w:t>
      </w:r>
    </w:p>
    <w:p w14:paraId="3BEEAE53">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《托儿所、幼儿园建筑设计规范（JGJ39-2016）》；</w:t>
      </w:r>
    </w:p>
    <w:p w14:paraId="68FDD80C">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《广州市普通中小学校建设标准指引》；</w:t>
      </w:r>
    </w:p>
    <w:p w14:paraId="09D8BABF">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《广东省普通高中督导评估指标体系》；</w:t>
      </w:r>
    </w:p>
    <w:p w14:paraId="3B2641E7">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《广东省中小学信息化基本标准（试行）》。</w:t>
      </w:r>
    </w:p>
    <w:p w14:paraId="5229A2D8">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《混凝土结构设计规范》GB50010-2010(2015年版)；</w:t>
      </w:r>
    </w:p>
    <w:p w14:paraId="3A47E997">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《钢结构设计标准》GB50017-2017；</w:t>
      </w:r>
    </w:p>
    <w:p w14:paraId="6A570593">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《建筑工程抗震设防分类标准》GB50223-2015；</w:t>
      </w:r>
    </w:p>
    <w:p w14:paraId="60C16710">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《混凝土结构耐久性设计规范》GB/T50476-2019；</w:t>
      </w:r>
    </w:p>
    <w:p w14:paraId="74035A1E">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《建筑抗震加固技术规程》JGJ116-2017；</w:t>
      </w:r>
    </w:p>
    <w:p w14:paraId="5CB0422C">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《工程结构加固材料安全性鉴定技术规程》GB50728-2011；</w:t>
      </w:r>
    </w:p>
    <w:p w14:paraId="50A63892">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《既有建筑鉴定与加固通用规范》GB55021-2021；</w:t>
      </w:r>
    </w:p>
    <w:p w14:paraId="35470EE1">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《房屋结构可靠性抗震检测鉴定报告》仲恒鉴字{2022}0411；</w:t>
      </w:r>
    </w:p>
    <w:p w14:paraId="507A3DE3">
      <w:pPr>
        <w:spacing w:line="46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2</w:t>
      </w:r>
      <w:r>
        <w:rPr>
          <w:rFonts w:hint="eastAsia" w:asciiTheme="minorEastAsia" w:hAnsiTheme="minorEastAsia"/>
          <w:sz w:val="24"/>
          <w:szCs w:val="24"/>
          <w:highlight w:val="none"/>
        </w:rPr>
        <w:t>.本设计任务书、报装容量、招标文件的相关附录资料及设计合同。</w:t>
      </w:r>
    </w:p>
    <w:p w14:paraId="42B41365">
      <w:pPr>
        <w:spacing w:line="46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3</w:t>
      </w:r>
      <w:r>
        <w:rPr>
          <w:rFonts w:hint="eastAsia" w:asciiTheme="minorEastAsia" w:hAnsiTheme="minorEastAsia"/>
          <w:sz w:val="24"/>
          <w:szCs w:val="24"/>
          <w:highlight w:val="none"/>
        </w:rPr>
        <w:t>.业主对各阶段设计图纸的评审意见。</w:t>
      </w:r>
    </w:p>
    <w:p w14:paraId="384B58A0">
      <w:pPr>
        <w:spacing w:line="46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4</w:t>
      </w:r>
      <w:r>
        <w:rPr>
          <w:rFonts w:hint="eastAsia" w:asciiTheme="minorEastAsia" w:hAnsiTheme="minorEastAsia"/>
          <w:sz w:val="24"/>
          <w:szCs w:val="24"/>
          <w:highlight w:val="none"/>
        </w:rPr>
        <w:t>.按照国家、行业以及现行的标准、规程、规范、技术条例进行设计，运用标准设计成果，严格掌握设计标准，控制工程造价。</w:t>
      </w:r>
    </w:p>
    <w:p w14:paraId="2E9B6E0C">
      <w:pPr>
        <w:spacing w:line="46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5</w:t>
      </w:r>
      <w:r>
        <w:rPr>
          <w:rFonts w:hint="eastAsia" w:asciiTheme="minorEastAsia" w:hAnsiTheme="minorEastAsia"/>
          <w:sz w:val="24"/>
          <w:szCs w:val="24"/>
          <w:highlight w:val="none"/>
        </w:rPr>
        <w:t>.严格执行国家现行的强制性条文，且应为其最新版本。</w:t>
      </w:r>
    </w:p>
    <w:p w14:paraId="26303559">
      <w:pPr>
        <w:spacing w:line="460" w:lineRule="exact"/>
        <w:ind w:firstLine="482" w:firstLineChars="200"/>
        <w:rPr>
          <w:rFonts w:asciiTheme="minorEastAsia" w:hAnsiTheme="minorEastAsia"/>
          <w:b/>
          <w:sz w:val="24"/>
          <w:szCs w:val="24"/>
          <w:highlight w:val="none"/>
        </w:rPr>
      </w:pPr>
      <w:r>
        <w:rPr>
          <w:rFonts w:hint="eastAsia" w:asciiTheme="minorEastAsia" w:hAnsiTheme="minorEastAsia"/>
          <w:b/>
          <w:sz w:val="24"/>
          <w:szCs w:val="24"/>
          <w:highlight w:val="none"/>
        </w:rPr>
        <w:t>(二)、设计范围</w:t>
      </w:r>
    </w:p>
    <w:p w14:paraId="3BBCD689">
      <w:pPr>
        <w:spacing w:line="460" w:lineRule="exact"/>
        <w:ind w:firstLine="512" w:firstLineChars="200"/>
        <w:rPr>
          <w:rFonts w:asciiTheme="minorEastAsia" w:hAnsiTheme="minorEastAsia"/>
          <w:spacing w:val="8"/>
          <w:sz w:val="24"/>
          <w:szCs w:val="24"/>
          <w:highlight w:val="none"/>
        </w:rPr>
      </w:pPr>
      <w:r>
        <w:rPr>
          <w:rFonts w:hint="eastAsia" w:asciiTheme="minorEastAsia" w:hAnsiTheme="minorEastAsia"/>
          <w:spacing w:val="8"/>
          <w:sz w:val="24"/>
          <w:szCs w:val="24"/>
          <w:highlight w:val="none"/>
        </w:rPr>
        <w:t>完成</w:t>
      </w:r>
      <w:r>
        <w:rPr>
          <w:rFonts w:hint="eastAsia" w:asciiTheme="minorEastAsia" w:hAnsiTheme="minorEastAsia"/>
          <w:spacing w:val="8"/>
          <w:sz w:val="24"/>
          <w:szCs w:val="24"/>
          <w:highlight w:val="none"/>
          <w:lang w:val="en-US" w:eastAsia="zh-CN"/>
        </w:rPr>
        <w:t>白云区云英实验学校综合改造工程</w:t>
      </w:r>
      <w:r>
        <w:rPr>
          <w:rFonts w:hint="eastAsia" w:asciiTheme="minorEastAsia" w:hAnsiTheme="minorEastAsia"/>
          <w:spacing w:val="8"/>
          <w:sz w:val="24"/>
          <w:szCs w:val="24"/>
          <w:highlight w:val="none"/>
        </w:rPr>
        <w:t>的设计，含方案图阶段、初步设计阶段、概算书及施工图阶段。方案阶段需经招标人确定；初步设计需组织专家评审；通过施工图审查、概算评审。设计方案应体现以人为本、品质提升及使用安全的原则，要求合理、科学地考虑平面布局与动线，充分考虑师生使用方便，适用、实用的设计原则。</w:t>
      </w:r>
    </w:p>
    <w:p w14:paraId="26148036">
      <w:pPr>
        <w:spacing w:line="460" w:lineRule="exact"/>
        <w:ind w:firstLine="482" w:firstLineChars="200"/>
        <w:rPr>
          <w:rFonts w:asciiTheme="minorEastAsia" w:hAnsiTheme="minorEastAsia"/>
          <w:b/>
          <w:sz w:val="24"/>
          <w:szCs w:val="24"/>
          <w:highlight w:val="none"/>
        </w:rPr>
      </w:pPr>
      <w:r>
        <w:rPr>
          <w:rFonts w:hint="eastAsia" w:asciiTheme="minorEastAsia" w:hAnsiTheme="minorEastAsia"/>
          <w:b/>
          <w:sz w:val="24"/>
          <w:szCs w:val="24"/>
          <w:highlight w:val="none"/>
        </w:rPr>
        <w:t>(三)、设计内容包括但不限于以下部分：(面积仅作为参考，暂时不作为施工面积)</w:t>
      </w:r>
    </w:p>
    <w:p w14:paraId="505F3E9D">
      <w:pPr>
        <w:spacing w:line="460" w:lineRule="exact"/>
        <w:ind w:firstLine="512" w:firstLineChars="200"/>
        <w:rPr>
          <w:rFonts w:hint="eastAsia" w:asciiTheme="minorEastAsia" w:hAnsiTheme="minorEastAsia"/>
          <w:spacing w:val="8"/>
          <w:sz w:val="24"/>
          <w:szCs w:val="24"/>
          <w:highlight w:val="none"/>
        </w:rPr>
      </w:pPr>
      <w:r>
        <w:rPr>
          <w:rFonts w:hint="eastAsia" w:asciiTheme="minorEastAsia" w:hAnsiTheme="minorEastAsia"/>
          <w:spacing w:val="8"/>
          <w:sz w:val="24"/>
          <w:szCs w:val="24"/>
          <w:highlight w:val="none"/>
        </w:rPr>
        <w:t>（1）拆除原1102平方米初中美术楼后，新建3948.54平方米六层综合楼，高度23.25米。其中首层架空，二层新增3个场室，三至六层每层新增4个场室</w:t>
      </w:r>
      <w:r>
        <w:rPr>
          <w:rFonts w:hint="eastAsia" w:asciiTheme="minorEastAsia" w:hAnsiTheme="minorEastAsia"/>
          <w:spacing w:val="8"/>
          <w:sz w:val="24"/>
          <w:szCs w:val="24"/>
          <w:highlight w:val="none"/>
          <w:lang w:eastAsia="zh-CN"/>
        </w:rPr>
        <w:t>、</w:t>
      </w:r>
      <w:r>
        <w:rPr>
          <w:rFonts w:hint="eastAsia" w:asciiTheme="minorEastAsia" w:hAnsiTheme="minorEastAsia"/>
          <w:spacing w:val="8"/>
          <w:sz w:val="24"/>
          <w:szCs w:val="24"/>
          <w:highlight w:val="none"/>
          <w:lang w:val="en-US" w:eastAsia="zh-CN"/>
        </w:rPr>
        <w:t>1个办公室</w:t>
      </w:r>
      <w:r>
        <w:rPr>
          <w:rFonts w:hint="eastAsia" w:asciiTheme="minorEastAsia" w:hAnsiTheme="minorEastAsia"/>
          <w:spacing w:val="8"/>
          <w:sz w:val="24"/>
          <w:szCs w:val="24"/>
          <w:highlight w:val="none"/>
        </w:rPr>
        <w:t>。新建综合楼内有一台电梯、一处楼梯。总计新增：场室19间</w:t>
      </w:r>
      <w:r>
        <w:rPr>
          <w:rFonts w:hint="eastAsia" w:asciiTheme="minorEastAsia" w:hAnsiTheme="minorEastAsia"/>
          <w:spacing w:val="8"/>
          <w:sz w:val="24"/>
          <w:szCs w:val="24"/>
          <w:highlight w:val="none"/>
          <w:lang w:eastAsia="zh-CN"/>
        </w:rPr>
        <w:t>、</w:t>
      </w:r>
      <w:r>
        <w:rPr>
          <w:rFonts w:hint="eastAsia" w:asciiTheme="minorEastAsia" w:hAnsiTheme="minorEastAsia"/>
          <w:spacing w:val="8"/>
          <w:sz w:val="24"/>
          <w:szCs w:val="24"/>
          <w:highlight w:val="none"/>
          <w:lang w:val="en-US" w:eastAsia="zh-CN"/>
        </w:rPr>
        <w:t>办公室4间</w:t>
      </w:r>
      <w:r>
        <w:rPr>
          <w:rFonts w:hint="eastAsia" w:asciiTheme="minorEastAsia" w:hAnsiTheme="minorEastAsia"/>
          <w:spacing w:val="8"/>
          <w:sz w:val="24"/>
          <w:szCs w:val="24"/>
          <w:highlight w:val="none"/>
        </w:rPr>
        <w:t>。</w:t>
      </w:r>
    </w:p>
    <w:p w14:paraId="0B98349B">
      <w:pPr>
        <w:spacing w:line="460" w:lineRule="exact"/>
        <w:ind w:firstLine="512" w:firstLineChars="200"/>
        <w:rPr>
          <w:rFonts w:hint="eastAsia" w:asciiTheme="minorEastAsia" w:hAnsiTheme="minorEastAsia"/>
          <w:spacing w:val="8"/>
          <w:sz w:val="24"/>
          <w:szCs w:val="24"/>
          <w:highlight w:val="none"/>
        </w:rPr>
      </w:pPr>
      <w:r>
        <w:rPr>
          <w:rFonts w:hint="eastAsia" w:asciiTheme="minorEastAsia" w:hAnsiTheme="minorEastAsia"/>
          <w:spacing w:val="8"/>
          <w:sz w:val="24"/>
          <w:szCs w:val="24"/>
          <w:highlight w:val="none"/>
        </w:rPr>
        <w:t>主要工程内容包括：拆除工程、土建工程、装修工程、外立面工程、电气工程、火灾自动报警工程、电梯、弱电智能化系统、消防工程、给排水工程、通风空调工程、抗震支架</w:t>
      </w:r>
      <w:r>
        <w:rPr>
          <w:rFonts w:hint="eastAsia" w:asciiTheme="minorEastAsia" w:hAnsiTheme="minorEastAsia"/>
          <w:spacing w:val="8"/>
          <w:sz w:val="24"/>
          <w:szCs w:val="24"/>
          <w:highlight w:val="none"/>
          <w:lang w:eastAsia="zh-CN"/>
        </w:rPr>
        <w:t>工</w:t>
      </w:r>
      <w:r>
        <w:rPr>
          <w:rFonts w:hint="eastAsia" w:asciiTheme="minorEastAsia" w:hAnsiTheme="minorEastAsia"/>
          <w:spacing w:val="8"/>
          <w:sz w:val="24"/>
          <w:szCs w:val="24"/>
          <w:highlight w:val="none"/>
          <w:lang w:val="en-US" w:eastAsia="zh-CN"/>
        </w:rPr>
        <w:t>程、</w:t>
      </w:r>
      <w:r>
        <w:rPr>
          <w:rFonts w:hint="eastAsia" w:asciiTheme="minorEastAsia" w:hAnsiTheme="minorEastAsia"/>
          <w:spacing w:val="8"/>
          <w:sz w:val="24"/>
          <w:szCs w:val="24"/>
          <w:highlight w:val="none"/>
        </w:rPr>
        <w:t>标识工程、标识工程等。</w:t>
      </w:r>
    </w:p>
    <w:p w14:paraId="3BA74EE1">
      <w:pPr>
        <w:spacing w:line="460" w:lineRule="exact"/>
        <w:ind w:firstLine="512" w:firstLineChars="200"/>
        <w:rPr>
          <w:rFonts w:hint="eastAsia" w:asciiTheme="minorEastAsia" w:hAnsiTheme="minorEastAsia"/>
          <w:spacing w:val="8"/>
          <w:sz w:val="24"/>
          <w:szCs w:val="24"/>
          <w:highlight w:val="none"/>
        </w:rPr>
      </w:pPr>
      <w:r>
        <w:rPr>
          <w:rFonts w:hint="eastAsia" w:asciiTheme="minorEastAsia" w:hAnsiTheme="minorEastAsia"/>
          <w:spacing w:val="8"/>
          <w:sz w:val="24"/>
          <w:szCs w:val="24"/>
          <w:highlight w:val="none"/>
        </w:rPr>
        <w:t>（2）对校园初中部教学区与宿舍区（含食堂）立面整体改造，涉及</w:t>
      </w:r>
      <w:r>
        <w:rPr>
          <w:rFonts w:hint="eastAsia" w:asciiTheme="minorEastAsia" w:hAnsiTheme="minorEastAsia"/>
          <w:spacing w:val="8"/>
          <w:sz w:val="24"/>
          <w:szCs w:val="24"/>
          <w:highlight w:val="none"/>
          <w:lang w:val="en-US" w:eastAsia="zh-CN"/>
        </w:rPr>
        <w:t>立面</w:t>
      </w:r>
      <w:r>
        <w:rPr>
          <w:rFonts w:hint="eastAsia" w:asciiTheme="minorEastAsia" w:hAnsiTheme="minorEastAsia"/>
          <w:spacing w:val="8"/>
          <w:sz w:val="24"/>
          <w:szCs w:val="24"/>
          <w:highlight w:val="none"/>
        </w:rPr>
        <w:t>面积</w:t>
      </w:r>
      <w:r>
        <w:rPr>
          <w:rFonts w:hint="eastAsia" w:asciiTheme="minorEastAsia" w:hAnsiTheme="minorEastAsia"/>
          <w:spacing w:val="8"/>
          <w:sz w:val="24"/>
          <w:szCs w:val="24"/>
          <w:highlight w:val="none"/>
          <w:lang w:val="en-US" w:eastAsia="zh-CN"/>
        </w:rPr>
        <w:t>约12635.84</w:t>
      </w:r>
      <w:r>
        <w:rPr>
          <w:rFonts w:hint="eastAsia" w:asciiTheme="minorEastAsia" w:hAnsiTheme="minorEastAsia"/>
          <w:spacing w:val="8"/>
          <w:sz w:val="24"/>
          <w:szCs w:val="24"/>
          <w:highlight w:val="none"/>
        </w:rPr>
        <w:t>㎡</w:t>
      </w:r>
      <w:r>
        <w:rPr>
          <w:rFonts w:hint="eastAsia" w:asciiTheme="minorEastAsia" w:hAnsiTheme="minorEastAsia"/>
          <w:spacing w:val="8"/>
          <w:sz w:val="24"/>
          <w:szCs w:val="24"/>
          <w:highlight w:val="none"/>
          <w:lang w:eastAsia="zh-CN"/>
        </w:rPr>
        <w:t>（</w:t>
      </w:r>
      <w:r>
        <w:rPr>
          <w:rFonts w:hint="eastAsia" w:asciiTheme="minorEastAsia" w:hAnsiTheme="minorEastAsia"/>
          <w:spacing w:val="8"/>
          <w:sz w:val="24"/>
          <w:szCs w:val="24"/>
          <w:highlight w:val="none"/>
          <w:lang w:val="en-US" w:eastAsia="zh-CN"/>
        </w:rPr>
        <w:t>以真石漆覆盖面积及食堂门窗总面积计量，下同</w:t>
      </w:r>
      <w:r>
        <w:rPr>
          <w:rFonts w:hint="eastAsia" w:asciiTheme="minorEastAsia" w:hAnsiTheme="minorEastAsia"/>
          <w:spacing w:val="8"/>
          <w:sz w:val="24"/>
          <w:szCs w:val="24"/>
          <w:highlight w:val="none"/>
          <w:lang w:eastAsia="zh-CN"/>
        </w:rPr>
        <w:t>）</w:t>
      </w:r>
      <w:r>
        <w:rPr>
          <w:rFonts w:hint="eastAsia" w:asciiTheme="minorEastAsia" w:hAnsiTheme="minorEastAsia"/>
          <w:spacing w:val="8"/>
          <w:sz w:val="24"/>
          <w:szCs w:val="24"/>
          <w:highlight w:val="none"/>
        </w:rPr>
        <w:t>；对小学部局部墙面进行补刷真石漆，涉及</w:t>
      </w:r>
      <w:r>
        <w:rPr>
          <w:rFonts w:hint="eastAsia" w:asciiTheme="minorEastAsia" w:hAnsiTheme="minorEastAsia"/>
          <w:spacing w:val="8"/>
          <w:sz w:val="24"/>
          <w:szCs w:val="24"/>
          <w:highlight w:val="none"/>
          <w:lang w:val="en-US" w:eastAsia="zh-CN"/>
        </w:rPr>
        <w:t>立面</w:t>
      </w:r>
      <w:r>
        <w:rPr>
          <w:rFonts w:hint="eastAsia" w:asciiTheme="minorEastAsia" w:hAnsiTheme="minorEastAsia"/>
          <w:spacing w:val="8"/>
          <w:sz w:val="24"/>
          <w:szCs w:val="24"/>
          <w:highlight w:val="none"/>
        </w:rPr>
        <w:t>面积</w:t>
      </w:r>
      <w:r>
        <w:rPr>
          <w:rFonts w:hint="eastAsia" w:asciiTheme="minorEastAsia" w:hAnsiTheme="minorEastAsia"/>
          <w:spacing w:val="8"/>
          <w:sz w:val="24"/>
          <w:szCs w:val="24"/>
          <w:highlight w:val="none"/>
          <w:lang w:val="en-US" w:eastAsia="zh-CN"/>
        </w:rPr>
        <w:t>约42</w:t>
      </w:r>
      <w:r>
        <w:rPr>
          <w:rFonts w:hint="eastAsia" w:asciiTheme="minorEastAsia" w:hAnsiTheme="minorEastAsia"/>
          <w:spacing w:val="8"/>
          <w:sz w:val="24"/>
          <w:szCs w:val="24"/>
          <w:highlight w:val="none"/>
        </w:rPr>
        <w:t>㎡。主要工程内容包括：拆除</w:t>
      </w:r>
      <w:r>
        <w:rPr>
          <w:rFonts w:hint="eastAsia" w:asciiTheme="minorEastAsia" w:hAnsiTheme="minorEastAsia"/>
          <w:spacing w:val="8"/>
          <w:sz w:val="24"/>
          <w:szCs w:val="24"/>
          <w:highlight w:val="none"/>
          <w:lang w:eastAsia="zh-CN"/>
        </w:rPr>
        <w:t>（</w:t>
      </w:r>
      <w:r>
        <w:rPr>
          <w:rFonts w:hint="eastAsia" w:asciiTheme="minorEastAsia" w:hAnsiTheme="minorEastAsia"/>
          <w:spacing w:val="8"/>
          <w:sz w:val="24"/>
          <w:szCs w:val="24"/>
          <w:highlight w:val="none"/>
          <w:lang w:val="en-US" w:eastAsia="zh-CN"/>
        </w:rPr>
        <w:t>栏杆</w:t>
      </w:r>
      <w:r>
        <w:rPr>
          <w:rFonts w:hint="eastAsia" w:asciiTheme="minorEastAsia" w:hAnsiTheme="minorEastAsia"/>
          <w:spacing w:val="8"/>
          <w:sz w:val="24"/>
          <w:szCs w:val="24"/>
          <w:highlight w:val="none"/>
          <w:lang w:eastAsia="zh-CN"/>
        </w:rPr>
        <w:t>）</w:t>
      </w:r>
      <w:r>
        <w:rPr>
          <w:rFonts w:hint="eastAsia" w:asciiTheme="minorEastAsia" w:hAnsiTheme="minorEastAsia"/>
          <w:spacing w:val="8"/>
          <w:sz w:val="24"/>
          <w:szCs w:val="24"/>
          <w:highlight w:val="none"/>
        </w:rPr>
        <w:t>工程、外立面工程等。</w:t>
      </w:r>
    </w:p>
    <w:p w14:paraId="46B70F9F">
      <w:pPr>
        <w:spacing w:line="460" w:lineRule="exact"/>
        <w:ind w:firstLine="512" w:firstLineChars="200"/>
        <w:rPr>
          <w:rFonts w:hint="eastAsia" w:asciiTheme="minorEastAsia" w:hAnsiTheme="minorEastAsia"/>
          <w:spacing w:val="8"/>
          <w:sz w:val="24"/>
          <w:szCs w:val="24"/>
          <w:highlight w:val="none"/>
        </w:rPr>
      </w:pPr>
      <w:r>
        <w:rPr>
          <w:rFonts w:hint="eastAsia" w:asciiTheme="minorEastAsia" w:hAnsiTheme="minorEastAsia"/>
          <w:spacing w:val="8"/>
          <w:sz w:val="24"/>
          <w:szCs w:val="24"/>
          <w:highlight w:val="none"/>
        </w:rPr>
        <w:t>（3）对小学部风雨操场上的蓝色塑胶雨棚进行替换，涉及面积</w:t>
      </w:r>
      <w:r>
        <w:rPr>
          <w:rFonts w:hint="eastAsia" w:asciiTheme="minorEastAsia" w:hAnsiTheme="minorEastAsia"/>
          <w:spacing w:val="8"/>
          <w:sz w:val="24"/>
          <w:szCs w:val="24"/>
          <w:highlight w:val="none"/>
          <w:lang w:val="en-US" w:eastAsia="zh-CN"/>
        </w:rPr>
        <w:t>520</w:t>
      </w:r>
      <w:r>
        <w:rPr>
          <w:rFonts w:hint="eastAsia" w:asciiTheme="minorEastAsia" w:hAnsiTheme="minorEastAsia"/>
          <w:spacing w:val="8"/>
          <w:sz w:val="24"/>
          <w:szCs w:val="24"/>
          <w:highlight w:val="none"/>
        </w:rPr>
        <w:t>平方米；对小学部</w:t>
      </w:r>
      <w:r>
        <w:rPr>
          <w:rFonts w:hint="eastAsia" w:asciiTheme="minorEastAsia" w:hAnsiTheme="minorEastAsia"/>
          <w:spacing w:val="8"/>
          <w:sz w:val="24"/>
          <w:szCs w:val="24"/>
          <w:highlight w:val="none"/>
          <w:lang w:val="en-US" w:eastAsia="zh-CN"/>
        </w:rPr>
        <w:t>午休楼</w:t>
      </w:r>
      <w:r>
        <w:rPr>
          <w:rFonts w:hint="eastAsia" w:asciiTheme="minorEastAsia" w:hAnsiTheme="minorEastAsia"/>
          <w:spacing w:val="8"/>
          <w:sz w:val="24"/>
          <w:szCs w:val="24"/>
          <w:highlight w:val="none"/>
        </w:rPr>
        <w:t>上的蓝色塑胶雨棚进行替换，涉及面积</w:t>
      </w:r>
      <w:r>
        <w:rPr>
          <w:rFonts w:hint="eastAsia" w:asciiTheme="minorEastAsia" w:hAnsiTheme="minorEastAsia"/>
          <w:spacing w:val="8"/>
          <w:sz w:val="24"/>
          <w:szCs w:val="24"/>
          <w:highlight w:val="none"/>
          <w:lang w:val="en-US" w:eastAsia="zh-CN"/>
        </w:rPr>
        <w:t>35</w:t>
      </w:r>
      <w:r>
        <w:rPr>
          <w:rFonts w:hint="eastAsia" w:asciiTheme="minorEastAsia" w:hAnsiTheme="minorEastAsia"/>
          <w:spacing w:val="8"/>
          <w:sz w:val="24"/>
          <w:szCs w:val="24"/>
          <w:highlight w:val="none"/>
        </w:rPr>
        <w:t>平方米；对食堂上的铁棚进行替换，涉及面积360平方米；主要工程内容包括：拆除工程、土建工程等。</w:t>
      </w:r>
    </w:p>
    <w:p w14:paraId="2C2D1858">
      <w:pPr>
        <w:spacing w:line="460" w:lineRule="exact"/>
        <w:ind w:firstLine="512" w:firstLineChars="200"/>
        <w:rPr>
          <w:rFonts w:hint="eastAsia" w:asciiTheme="minorEastAsia" w:hAnsiTheme="minorEastAsia"/>
          <w:spacing w:val="8"/>
          <w:sz w:val="24"/>
          <w:szCs w:val="24"/>
          <w:highlight w:val="none"/>
        </w:rPr>
      </w:pPr>
      <w:r>
        <w:rPr>
          <w:rFonts w:hint="eastAsia" w:asciiTheme="minorEastAsia" w:hAnsiTheme="minorEastAsia"/>
          <w:spacing w:val="8"/>
          <w:sz w:val="24"/>
          <w:szCs w:val="24"/>
          <w:highlight w:val="none"/>
        </w:rPr>
        <w:t>（4）对校园初中部教学区、小学部教学区部分室内进行翻新改造，建筑面积为</w:t>
      </w:r>
      <w:r>
        <w:rPr>
          <w:rFonts w:hint="eastAsia" w:asciiTheme="minorEastAsia" w:hAnsiTheme="minorEastAsia"/>
          <w:spacing w:val="8"/>
          <w:sz w:val="24"/>
          <w:szCs w:val="24"/>
          <w:highlight w:val="none"/>
          <w:lang w:val="en-US" w:eastAsia="zh-CN"/>
        </w:rPr>
        <w:t>6852.1</w:t>
      </w:r>
      <w:r>
        <w:rPr>
          <w:rFonts w:hint="eastAsia" w:asciiTheme="minorEastAsia" w:hAnsiTheme="minorEastAsia"/>
          <w:spacing w:val="8"/>
          <w:sz w:val="24"/>
          <w:szCs w:val="24"/>
          <w:highlight w:val="none"/>
        </w:rPr>
        <w:t>平方米，主要工程内容包括：拆除工程、装修工程、内部改造工程、弱电智能化系统、通风空调工程等。</w:t>
      </w:r>
    </w:p>
    <w:p w14:paraId="2B39D2A2">
      <w:pPr>
        <w:spacing w:line="460" w:lineRule="exact"/>
        <w:ind w:firstLine="512" w:firstLineChars="200"/>
        <w:rPr>
          <w:rFonts w:hint="eastAsia" w:asciiTheme="minorEastAsia" w:hAnsiTheme="minorEastAsia"/>
          <w:spacing w:val="8"/>
          <w:sz w:val="24"/>
          <w:szCs w:val="24"/>
          <w:highlight w:val="none"/>
        </w:rPr>
      </w:pPr>
      <w:r>
        <w:rPr>
          <w:rFonts w:hint="eastAsia" w:asciiTheme="minorEastAsia" w:hAnsiTheme="minorEastAsia"/>
          <w:spacing w:val="8"/>
          <w:sz w:val="24"/>
          <w:szCs w:val="24"/>
          <w:highlight w:val="none"/>
        </w:rPr>
        <w:t>（5）对初中部教学区、宿舍运动馆区进行屋面整治，面积为2836平方米，主要工程内容包括：部分屋顶空间活动整治工程、屋顶防水整治工程、屋顶补漏工程等。</w:t>
      </w:r>
    </w:p>
    <w:p w14:paraId="138B332E">
      <w:pPr>
        <w:spacing w:line="460" w:lineRule="exact"/>
        <w:ind w:firstLine="512" w:firstLineChars="200"/>
        <w:rPr>
          <w:rFonts w:hint="eastAsia" w:asciiTheme="minorEastAsia" w:hAnsiTheme="minorEastAsia"/>
          <w:spacing w:val="8"/>
          <w:sz w:val="24"/>
          <w:szCs w:val="24"/>
          <w:highlight w:val="none"/>
        </w:rPr>
      </w:pPr>
      <w:r>
        <w:rPr>
          <w:rFonts w:hint="eastAsia" w:asciiTheme="minorEastAsia" w:hAnsiTheme="minorEastAsia"/>
          <w:spacing w:val="8"/>
          <w:sz w:val="24"/>
          <w:szCs w:val="24"/>
          <w:highlight w:val="none"/>
        </w:rPr>
        <w:t>（6）对初中部教学区门窗更换。初中部教学区门窗面积1457.85平方米</w:t>
      </w:r>
      <w:r>
        <w:rPr>
          <w:rFonts w:hint="eastAsia" w:asciiTheme="minorEastAsia" w:hAnsiTheme="minorEastAsia"/>
          <w:spacing w:val="8"/>
          <w:sz w:val="24"/>
          <w:szCs w:val="24"/>
          <w:highlight w:val="none"/>
          <w:lang w:eastAsia="zh-CN"/>
        </w:rPr>
        <w:t>，</w:t>
      </w:r>
      <w:r>
        <w:rPr>
          <w:rFonts w:hint="eastAsia" w:asciiTheme="minorEastAsia" w:hAnsiTheme="minorEastAsia"/>
          <w:spacing w:val="8"/>
          <w:sz w:val="24"/>
          <w:szCs w:val="24"/>
          <w:highlight w:val="none"/>
        </w:rPr>
        <w:t>主要工程内容包括：拆除工程、门窗替换工程等。</w:t>
      </w:r>
    </w:p>
    <w:p w14:paraId="0956744A">
      <w:pPr>
        <w:spacing w:line="460" w:lineRule="exact"/>
        <w:ind w:firstLine="512" w:firstLineChars="200"/>
        <w:rPr>
          <w:rFonts w:hint="eastAsia" w:asciiTheme="minorEastAsia" w:hAnsiTheme="minorEastAsia"/>
          <w:spacing w:val="8"/>
          <w:sz w:val="24"/>
          <w:szCs w:val="24"/>
          <w:highlight w:val="none"/>
        </w:rPr>
      </w:pPr>
      <w:r>
        <w:rPr>
          <w:rFonts w:hint="eastAsia" w:asciiTheme="minorEastAsia" w:hAnsiTheme="minorEastAsia"/>
          <w:spacing w:val="8"/>
          <w:sz w:val="24"/>
          <w:szCs w:val="24"/>
          <w:highlight w:val="none"/>
        </w:rPr>
        <w:t>（7）学校外围墙改造工程，长度约114米，主要工程内容包括：拆除工程、围墙建设工程等。</w:t>
      </w:r>
    </w:p>
    <w:p w14:paraId="4E8160D5">
      <w:pPr>
        <w:spacing w:line="460" w:lineRule="exact"/>
        <w:ind w:firstLine="512" w:firstLineChars="200"/>
        <w:rPr>
          <w:rFonts w:hint="eastAsia" w:asciiTheme="minorEastAsia" w:hAnsiTheme="minorEastAsia"/>
          <w:spacing w:val="8"/>
          <w:sz w:val="24"/>
          <w:szCs w:val="24"/>
          <w:highlight w:val="none"/>
        </w:rPr>
      </w:pPr>
      <w:r>
        <w:rPr>
          <w:rFonts w:hint="eastAsia" w:asciiTheme="minorEastAsia" w:hAnsiTheme="minorEastAsia"/>
          <w:spacing w:val="8"/>
          <w:sz w:val="24"/>
          <w:szCs w:val="24"/>
          <w:highlight w:val="none"/>
        </w:rPr>
        <w:t>（8）初中、小学校门口改造工程，初中校门</w:t>
      </w:r>
      <w:r>
        <w:rPr>
          <w:rFonts w:hint="eastAsia" w:asciiTheme="minorEastAsia" w:hAnsiTheme="minorEastAsia"/>
          <w:spacing w:val="8"/>
          <w:sz w:val="24"/>
          <w:szCs w:val="24"/>
          <w:highlight w:val="none"/>
          <w:lang w:val="en-US" w:eastAsia="zh-CN"/>
        </w:rPr>
        <w:t>立面</w:t>
      </w:r>
      <w:r>
        <w:rPr>
          <w:rFonts w:hint="eastAsia" w:asciiTheme="minorEastAsia" w:hAnsiTheme="minorEastAsia"/>
          <w:spacing w:val="8"/>
          <w:sz w:val="24"/>
          <w:szCs w:val="24"/>
          <w:highlight w:val="none"/>
        </w:rPr>
        <w:t>面积</w:t>
      </w:r>
      <w:r>
        <w:rPr>
          <w:rFonts w:hint="eastAsia" w:asciiTheme="minorEastAsia" w:hAnsiTheme="minorEastAsia"/>
          <w:spacing w:val="8"/>
          <w:sz w:val="24"/>
          <w:szCs w:val="24"/>
          <w:highlight w:val="none"/>
          <w:lang w:val="en-US" w:eastAsia="zh-CN"/>
        </w:rPr>
        <w:t>约415.14</w:t>
      </w:r>
      <w:r>
        <w:rPr>
          <w:rFonts w:hint="eastAsia" w:asciiTheme="minorEastAsia" w:hAnsiTheme="minorEastAsia"/>
          <w:spacing w:val="8"/>
          <w:sz w:val="24"/>
          <w:szCs w:val="24"/>
          <w:highlight w:val="none"/>
        </w:rPr>
        <w:t>平方米；小学校门进行</w:t>
      </w:r>
      <w:r>
        <w:rPr>
          <w:rFonts w:hint="eastAsia" w:asciiTheme="minorEastAsia" w:hAnsiTheme="minorEastAsia"/>
          <w:spacing w:val="8"/>
          <w:sz w:val="24"/>
          <w:szCs w:val="24"/>
          <w:highlight w:val="none"/>
          <w:lang w:val="en-US" w:eastAsia="zh-CN"/>
        </w:rPr>
        <w:t>立面翻新改造</w:t>
      </w:r>
      <w:r>
        <w:rPr>
          <w:rFonts w:hint="eastAsia" w:asciiTheme="minorEastAsia" w:hAnsiTheme="minorEastAsia"/>
          <w:spacing w:val="8"/>
          <w:sz w:val="24"/>
          <w:szCs w:val="24"/>
          <w:highlight w:val="none"/>
        </w:rPr>
        <w:t>并</w:t>
      </w:r>
      <w:r>
        <w:rPr>
          <w:rFonts w:hint="eastAsia" w:asciiTheme="minorEastAsia" w:hAnsiTheme="minorEastAsia"/>
          <w:spacing w:val="8"/>
          <w:sz w:val="24"/>
          <w:szCs w:val="24"/>
          <w:highlight w:val="none"/>
          <w:lang w:val="en-US" w:eastAsia="zh-CN"/>
        </w:rPr>
        <w:t>建设局部镂空廊架</w:t>
      </w:r>
      <w:r>
        <w:rPr>
          <w:rFonts w:hint="eastAsia" w:asciiTheme="minorEastAsia" w:hAnsiTheme="minorEastAsia"/>
          <w:spacing w:val="8"/>
          <w:sz w:val="24"/>
          <w:szCs w:val="24"/>
          <w:highlight w:val="none"/>
        </w:rPr>
        <w:t>，</w:t>
      </w:r>
      <w:r>
        <w:rPr>
          <w:rFonts w:hint="eastAsia" w:asciiTheme="minorEastAsia" w:hAnsiTheme="minorEastAsia"/>
          <w:spacing w:val="8"/>
          <w:sz w:val="24"/>
          <w:szCs w:val="24"/>
          <w:highlight w:val="none"/>
          <w:lang w:val="en-US" w:eastAsia="zh-CN"/>
        </w:rPr>
        <w:t>建筑面积</w:t>
      </w:r>
      <w:r>
        <w:rPr>
          <w:rFonts w:hint="eastAsia" w:asciiTheme="minorEastAsia" w:hAnsiTheme="minorEastAsia"/>
          <w:spacing w:val="8"/>
          <w:sz w:val="24"/>
          <w:szCs w:val="24"/>
          <w:highlight w:val="none"/>
        </w:rPr>
        <w:t>约</w:t>
      </w:r>
      <w:r>
        <w:rPr>
          <w:rFonts w:hint="eastAsia" w:asciiTheme="minorEastAsia" w:hAnsiTheme="minorEastAsia"/>
          <w:spacing w:val="8"/>
          <w:sz w:val="24"/>
          <w:szCs w:val="24"/>
          <w:highlight w:val="none"/>
          <w:lang w:val="en-US" w:eastAsia="zh-CN"/>
        </w:rPr>
        <w:t>112</w:t>
      </w:r>
      <w:r>
        <w:rPr>
          <w:rFonts w:hint="eastAsia" w:asciiTheme="minorEastAsia" w:hAnsiTheme="minorEastAsia"/>
          <w:spacing w:val="8"/>
          <w:sz w:val="24"/>
          <w:szCs w:val="24"/>
          <w:highlight w:val="none"/>
        </w:rPr>
        <w:t>平方米。主要工程内容包括：拆除工程、土建工程、外立面工程等。</w:t>
      </w:r>
    </w:p>
    <w:p w14:paraId="0547EA4D">
      <w:pPr>
        <w:spacing w:line="460" w:lineRule="exact"/>
        <w:ind w:firstLine="512" w:firstLineChars="200"/>
        <w:rPr>
          <w:rFonts w:hint="eastAsia" w:asciiTheme="minorEastAsia" w:hAnsiTheme="minorEastAsia"/>
          <w:spacing w:val="8"/>
          <w:sz w:val="24"/>
          <w:szCs w:val="24"/>
          <w:highlight w:val="none"/>
        </w:rPr>
      </w:pPr>
      <w:r>
        <w:rPr>
          <w:rFonts w:hint="eastAsia" w:asciiTheme="minorEastAsia" w:hAnsiTheme="minorEastAsia"/>
          <w:spacing w:val="8"/>
          <w:sz w:val="24"/>
          <w:szCs w:val="24"/>
          <w:highlight w:val="none"/>
        </w:rPr>
        <w:t>（9）中学部消防整改工程，其中含中学部室内室外消防水管更新改造工程，将消防水泵出水管至综合楼、宿舍楼埋地敷设管线重新更换，解决地下锈蚀漏水问题，长度约200米，以及更换消防泵工程，消防供水泵两台（一用一备），一稳压泵。</w:t>
      </w:r>
    </w:p>
    <w:p w14:paraId="4E6EADEE">
      <w:pPr>
        <w:spacing w:line="460" w:lineRule="exact"/>
        <w:ind w:firstLine="512" w:firstLineChars="200"/>
        <w:rPr>
          <w:rFonts w:hint="eastAsia" w:asciiTheme="minorEastAsia" w:hAnsiTheme="minorEastAsia"/>
          <w:spacing w:val="8"/>
          <w:sz w:val="24"/>
          <w:szCs w:val="24"/>
          <w:highlight w:val="none"/>
        </w:rPr>
      </w:pPr>
      <w:r>
        <w:rPr>
          <w:rFonts w:hint="eastAsia" w:asciiTheme="minorEastAsia" w:hAnsiTheme="minorEastAsia"/>
          <w:spacing w:val="8"/>
          <w:sz w:val="24"/>
          <w:szCs w:val="24"/>
          <w:highlight w:val="none"/>
        </w:rPr>
        <w:t>（10）初中部教学区</w:t>
      </w:r>
      <w:r>
        <w:rPr>
          <w:rFonts w:hint="eastAsia" w:asciiTheme="minorEastAsia" w:hAnsiTheme="minorEastAsia"/>
          <w:spacing w:val="8"/>
          <w:sz w:val="24"/>
          <w:szCs w:val="24"/>
          <w:highlight w:val="none"/>
          <w:lang w:eastAsia="zh-CN"/>
        </w:rPr>
        <w:t>、</w:t>
      </w:r>
      <w:r>
        <w:rPr>
          <w:rFonts w:hint="eastAsia" w:asciiTheme="minorEastAsia" w:hAnsiTheme="minorEastAsia"/>
          <w:spacing w:val="8"/>
          <w:sz w:val="24"/>
          <w:szCs w:val="24"/>
          <w:highlight w:val="none"/>
          <w:lang w:val="en-US" w:eastAsia="zh-CN"/>
        </w:rPr>
        <w:t>宿舍区因结构鉴定等级是Ⅳ级</w:t>
      </w:r>
      <w:r>
        <w:rPr>
          <w:rFonts w:hint="eastAsia" w:asciiTheme="minorEastAsia" w:hAnsiTheme="minorEastAsia"/>
          <w:spacing w:val="8"/>
          <w:sz w:val="24"/>
          <w:szCs w:val="24"/>
          <w:highlight w:val="none"/>
        </w:rPr>
        <w:t>，不能满足结构承载力和抗震的要求，需进行结构加固工程</w:t>
      </w:r>
      <w:r>
        <w:rPr>
          <w:rFonts w:hint="eastAsia" w:asciiTheme="minorEastAsia" w:hAnsiTheme="minorEastAsia"/>
          <w:spacing w:val="8"/>
          <w:sz w:val="24"/>
          <w:szCs w:val="24"/>
          <w:highlight w:val="none"/>
          <w:lang w:eastAsia="zh-CN"/>
        </w:rPr>
        <w:t>，</w:t>
      </w:r>
      <w:r>
        <w:rPr>
          <w:rFonts w:hint="eastAsia" w:asciiTheme="minorEastAsia" w:hAnsiTheme="minorEastAsia"/>
          <w:spacing w:val="8"/>
          <w:sz w:val="24"/>
          <w:szCs w:val="24"/>
          <w:highlight w:val="none"/>
          <w:lang w:val="en-US" w:eastAsia="zh-CN"/>
        </w:rPr>
        <w:t>加固面积共12494.82平方米</w:t>
      </w:r>
      <w:r>
        <w:rPr>
          <w:rFonts w:hint="eastAsia" w:asciiTheme="minorEastAsia" w:hAnsiTheme="minorEastAsia"/>
          <w:spacing w:val="8"/>
          <w:sz w:val="24"/>
          <w:szCs w:val="24"/>
          <w:highlight w:val="none"/>
        </w:rPr>
        <w:t>。</w:t>
      </w:r>
    </w:p>
    <w:p w14:paraId="717674D9">
      <w:pPr>
        <w:spacing w:line="460" w:lineRule="exact"/>
        <w:ind w:firstLine="512" w:firstLineChars="200"/>
        <w:rPr>
          <w:rFonts w:hint="eastAsia" w:asciiTheme="minorEastAsia" w:hAnsiTheme="minorEastAsia"/>
          <w:spacing w:val="8"/>
          <w:sz w:val="24"/>
          <w:szCs w:val="24"/>
          <w:highlight w:val="none"/>
        </w:rPr>
      </w:pPr>
      <w:r>
        <w:rPr>
          <w:rFonts w:hint="eastAsia" w:asciiTheme="minorEastAsia" w:hAnsiTheme="minorEastAsia"/>
          <w:spacing w:val="8"/>
          <w:sz w:val="24"/>
          <w:szCs w:val="24"/>
          <w:highlight w:val="none"/>
        </w:rPr>
        <w:t>（11）替换广场破损的地砖，初中面积237.5平方米，小学广场85平方米；增加景观花坛，面积163平方米。</w:t>
      </w:r>
    </w:p>
    <w:p w14:paraId="4B09B422">
      <w:pPr>
        <w:spacing w:line="460" w:lineRule="exact"/>
        <w:ind w:firstLine="512" w:firstLineChars="200"/>
        <w:rPr>
          <w:rFonts w:hint="eastAsia" w:asciiTheme="minorEastAsia" w:hAnsiTheme="minorEastAsia"/>
          <w:spacing w:val="8"/>
          <w:sz w:val="24"/>
          <w:szCs w:val="24"/>
          <w:highlight w:val="none"/>
        </w:rPr>
      </w:pPr>
      <w:r>
        <w:rPr>
          <w:rFonts w:hint="eastAsia" w:asciiTheme="minorEastAsia" w:hAnsiTheme="minorEastAsia"/>
          <w:spacing w:val="8"/>
          <w:sz w:val="24"/>
          <w:szCs w:val="24"/>
          <w:highlight w:val="none"/>
        </w:rPr>
        <w:t>（12）</w:t>
      </w:r>
      <w:r>
        <w:rPr>
          <w:rFonts w:hint="eastAsia" w:asciiTheme="minorEastAsia" w:hAnsiTheme="minorEastAsia"/>
          <w:spacing w:val="8"/>
          <w:sz w:val="24"/>
          <w:szCs w:val="24"/>
          <w:highlight w:val="none"/>
          <w:lang w:val="en-US" w:eastAsia="zh-CN"/>
        </w:rPr>
        <w:t>拆除</w:t>
      </w:r>
      <w:r>
        <w:rPr>
          <w:rFonts w:hint="eastAsia" w:asciiTheme="minorEastAsia" w:hAnsiTheme="minorEastAsia"/>
          <w:spacing w:val="8"/>
          <w:sz w:val="24"/>
          <w:szCs w:val="24"/>
          <w:highlight w:val="none"/>
        </w:rPr>
        <w:t>学校初中部与小学部之间的围墙升级</w:t>
      </w:r>
      <w:r>
        <w:rPr>
          <w:rFonts w:hint="eastAsia" w:asciiTheme="minorEastAsia" w:hAnsiTheme="minorEastAsia"/>
          <w:spacing w:val="8"/>
          <w:sz w:val="24"/>
          <w:szCs w:val="24"/>
          <w:highlight w:val="none"/>
          <w:lang w:val="en-US" w:eastAsia="zh-CN"/>
        </w:rPr>
        <w:t>并</w:t>
      </w:r>
      <w:r>
        <w:rPr>
          <w:rFonts w:hint="eastAsia" w:asciiTheme="minorEastAsia" w:hAnsiTheme="minorEastAsia"/>
          <w:spacing w:val="8"/>
          <w:sz w:val="24"/>
          <w:szCs w:val="24"/>
          <w:highlight w:val="none"/>
        </w:rPr>
        <w:t>改造为校园游廊，原围墙长度约90米，新建校园游廊</w:t>
      </w:r>
      <w:r>
        <w:rPr>
          <w:rFonts w:hint="eastAsia" w:asciiTheme="minorEastAsia" w:hAnsiTheme="minorEastAsia"/>
          <w:spacing w:val="8"/>
          <w:sz w:val="24"/>
          <w:szCs w:val="24"/>
          <w:highlight w:val="none"/>
          <w:lang w:val="en-US" w:eastAsia="zh-CN"/>
        </w:rPr>
        <w:t>约</w:t>
      </w:r>
      <w:r>
        <w:rPr>
          <w:rFonts w:hint="eastAsia" w:asciiTheme="minorEastAsia" w:hAnsiTheme="minorEastAsia"/>
          <w:spacing w:val="8"/>
          <w:sz w:val="24"/>
          <w:szCs w:val="24"/>
          <w:highlight w:val="none"/>
        </w:rPr>
        <w:t>长50米，宽2米；露天的泵房、化粪池围蔽，建筑面积约</w:t>
      </w:r>
      <w:r>
        <w:rPr>
          <w:rFonts w:hint="eastAsia" w:asciiTheme="minorEastAsia" w:hAnsiTheme="minorEastAsia"/>
          <w:spacing w:val="8"/>
          <w:sz w:val="24"/>
          <w:szCs w:val="24"/>
          <w:highlight w:val="none"/>
          <w:lang w:val="en-US" w:eastAsia="zh-CN"/>
        </w:rPr>
        <w:t>42</w:t>
      </w:r>
      <w:r>
        <w:rPr>
          <w:rFonts w:hint="eastAsia" w:asciiTheme="minorEastAsia" w:hAnsiTheme="minorEastAsia"/>
          <w:spacing w:val="8"/>
          <w:sz w:val="24"/>
          <w:szCs w:val="24"/>
          <w:highlight w:val="none"/>
        </w:rPr>
        <w:t>平方米</w:t>
      </w:r>
      <w:r>
        <w:rPr>
          <w:rFonts w:hint="eastAsia" w:asciiTheme="minorEastAsia" w:hAnsiTheme="minorEastAsia"/>
          <w:spacing w:val="8"/>
          <w:sz w:val="24"/>
          <w:szCs w:val="24"/>
          <w:highlight w:val="none"/>
          <w:lang w:eastAsia="zh-CN"/>
        </w:rPr>
        <w:t>；</w:t>
      </w:r>
      <w:r>
        <w:rPr>
          <w:rFonts w:hint="eastAsia" w:asciiTheme="minorEastAsia" w:hAnsiTheme="minorEastAsia"/>
          <w:spacing w:val="8"/>
          <w:sz w:val="24"/>
          <w:szCs w:val="24"/>
          <w:highlight w:val="none"/>
          <w:lang w:val="en-US" w:eastAsia="zh-CN"/>
        </w:rPr>
        <w:t>小学门岗旁仓储间改造，建筑面积约45</w:t>
      </w:r>
      <w:r>
        <w:rPr>
          <w:rFonts w:hint="eastAsia" w:asciiTheme="minorEastAsia" w:hAnsiTheme="minorEastAsia"/>
          <w:spacing w:val="8"/>
          <w:sz w:val="24"/>
          <w:szCs w:val="24"/>
          <w:highlight w:val="none"/>
        </w:rPr>
        <w:t>平方米。主要工程内容包括：拆除工程、校园游廊土建工程、装饰工程、围蔽工程等。</w:t>
      </w:r>
    </w:p>
    <w:p w14:paraId="4725F882">
      <w:pPr>
        <w:spacing w:line="460" w:lineRule="exact"/>
        <w:ind w:firstLine="512" w:firstLineChars="200"/>
        <w:rPr>
          <w:rFonts w:hint="eastAsia" w:asciiTheme="minorEastAsia" w:hAnsiTheme="minorEastAsia"/>
          <w:spacing w:val="8"/>
          <w:sz w:val="24"/>
          <w:szCs w:val="24"/>
          <w:highlight w:val="none"/>
        </w:rPr>
      </w:pPr>
      <w:r>
        <w:rPr>
          <w:rFonts w:hint="eastAsia" w:asciiTheme="minorEastAsia" w:hAnsiTheme="minorEastAsia"/>
          <w:spacing w:val="8"/>
          <w:sz w:val="24"/>
          <w:szCs w:val="24"/>
          <w:highlight w:val="none"/>
        </w:rPr>
        <w:t>（13）新建综合楼首层设置运动跑道场地，面积为</w:t>
      </w:r>
      <w:r>
        <w:rPr>
          <w:rFonts w:hint="eastAsia" w:asciiTheme="minorEastAsia" w:hAnsiTheme="minorEastAsia"/>
          <w:spacing w:val="8"/>
          <w:sz w:val="24"/>
          <w:szCs w:val="24"/>
          <w:highlight w:val="none"/>
          <w:lang w:val="en-US" w:eastAsia="zh-CN"/>
        </w:rPr>
        <w:t>180</w:t>
      </w:r>
      <w:r>
        <w:rPr>
          <w:rFonts w:hint="eastAsia" w:asciiTheme="minorEastAsia" w:hAnsiTheme="minorEastAsia"/>
          <w:spacing w:val="8"/>
          <w:sz w:val="24"/>
          <w:szCs w:val="24"/>
          <w:highlight w:val="none"/>
        </w:rPr>
        <w:t>平方米，主要工程内容包括：拆除工程、运动场设置工程等。</w:t>
      </w:r>
    </w:p>
    <w:p w14:paraId="1FAC5B15">
      <w:pPr>
        <w:spacing w:line="460" w:lineRule="exact"/>
        <w:ind w:firstLine="512" w:firstLineChars="200"/>
        <w:rPr>
          <w:rFonts w:hint="eastAsia" w:asciiTheme="minorEastAsia" w:hAnsiTheme="minorEastAsia"/>
          <w:spacing w:val="8"/>
          <w:sz w:val="24"/>
          <w:szCs w:val="24"/>
          <w:highlight w:val="none"/>
        </w:rPr>
      </w:pPr>
      <w:r>
        <w:rPr>
          <w:rFonts w:hint="eastAsia" w:asciiTheme="minorEastAsia" w:hAnsiTheme="minorEastAsia"/>
          <w:spacing w:val="8"/>
          <w:sz w:val="24"/>
          <w:szCs w:val="24"/>
          <w:highlight w:val="none"/>
        </w:rPr>
        <w:t>（14）对校园老旧的管道进行更换，初中管道约</w:t>
      </w:r>
      <w:r>
        <w:rPr>
          <w:rFonts w:hint="eastAsia" w:asciiTheme="minorEastAsia" w:hAnsiTheme="minorEastAsia"/>
          <w:spacing w:val="8"/>
          <w:sz w:val="24"/>
          <w:szCs w:val="24"/>
          <w:highlight w:val="none"/>
          <w:lang w:val="en-US" w:eastAsia="zh-CN"/>
        </w:rPr>
        <w:t>151.2</w:t>
      </w:r>
      <w:r>
        <w:rPr>
          <w:rFonts w:hint="eastAsia" w:asciiTheme="minorEastAsia" w:hAnsiTheme="minorEastAsia"/>
          <w:spacing w:val="8"/>
          <w:sz w:val="24"/>
          <w:szCs w:val="24"/>
          <w:highlight w:val="none"/>
        </w:rPr>
        <w:t>米，小学管道约</w:t>
      </w:r>
      <w:r>
        <w:rPr>
          <w:rFonts w:hint="eastAsia" w:asciiTheme="minorEastAsia" w:hAnsiTheme="minorEastAsia"/>
          <w:spacing w:val="8"/>
          <w:sz w:val="24"/>
          <w:szCs w:val="24"/>
          <w:highlight w:val="none"/>
          <w:lang w:val="en-US" w:eastAsia="zh-CN"/>
        </w:rPr>
        <w:t>60</w:t>
      </w:r>
      <w:r>
        <w:rPr>
          <w:rFonts w:hint="eastAsia" w:asciiTheme="minorEastAsia" w:hAnsiTheme="minorEastAsia"/>
          <w:spacing w:val="8"/>
          <w:sz w:val="24"/>
          <w:szCs w:val="24"/>
          <w:highlight w:val="none"/>
        </w:rPr>
        <w:t>米。</w:t>
      </w:r>
    </w:p>
    <w:p w14:paraId="06038D8A">
      <w:pPr>
        <w:spacing w:line="460" w:lineRule="exact"/>
        <w:ind w:firstLine="512" w:firstLineChars="200"/>
        <w:rPr>
          <w:rFonts w:hint="eastAsia" w:asciiTheme="minorEastAsia" w:hAnsiTheme="minorEastAsia"/>
          <w:spacing w:val="8"/>
          <w:sz w:val="24"/>
          <w:szCs w:val="24"/>
          <w:highlight w:val="none"/>
        </w:rPr>
      </w:pPr>
      <w:r>
        <w:rPr>
          <w:rFonts w:hint="eastAsia" w:asciiTheme="minorEastAsia" w:hAnsiTheme="minorEastAsia"/>
          <w:spacing w:val="8"/>
          <w:sz w:val="24"/>
          <w:szCs w:val="24"/>
          <w:highlight w:val="none"/>
        </w:rPr>
        <w:t>（15）新加及替换校园路灯共39个，其中改造立柱路灯16个，新立立柱路灯1个，改造挂墙吊顶路灯22个。</w:t>
      </w:r>
    </w:p>
    <w:p w14:paraId="729B6D73">
      <w:pPr>
        <w:spacing w:line="460" w:lineRule="exact"/>
        <w:ind w:firstLine="512" w:firstLineChars="200"/>
        <w:rPr>
          <w:rFonts w:hint="eastAsia" w:asciiTheme="minorEastAsia" w:hAnsiTheme="minorEastAsia"/>
          <w:spacing w:val="8"/>
          <w:sz w:val="24"/>
          <w:szCs w:val="24"/>
          <w:highlight w:val="none"/>
        </w:rPr>
      </w:pPr>
      <w:r>
        <w:rPr>
          <w:rFonts w:hint="eastAsia" w:asciiTheme="minorEastAsia" w:hAnsiTheme="minorEastAsia"/>
          <w:spacing w:val="8"/>
          <w:sz w:val="24"/>
          <w:szCs w:val="24"/>
          <w:highlight w:val="none"/>
        </w:rPr>
        <w:t>（1</w:t>
      </w:r>
      <w:r>
        <w:rPr>
          <w:rFonts w:hint="eastAsia" w:asciiTheme="minorEastAsia" w:hAnsiTheme="minorEastAsia"/>
          <w:spacing w:val="8"/>
          <w:sz w:val="24"/>
          <w:szCs w:val="24"/>
          <w:highlight w:val="none"/>
          <w:lang w:val="en-US" w:eastAsia="zh-CN"/>
        </w:rPr>
        <w:t>6</w:t>
      </w:r>
      <w:r>
        <w:rPr>
          <w:rFonts w:hint="eastAsia" w:asciiTheme="minorEastAsia" w:hAnsiTheme="minorEastAsia"/>
          <w:spacing w:val="8"/>
          <w:sz w:val="24"/>
          <w:szCs w:val="24"/>
          <w:highlight w:val="none"/>
        </w:rPr>
        <w:t>）新建建筑场地中涉及的</w:t>
      </w:r>
      <w:r>
        <w:rPr>
          <w:rFonts w:hint="eastAsia" w:asciiTheme="minorEastAsia" w:hAnsiTheme="minorEastAsia"/>
          <w:spacing w:val="8"/>
          <w:sz w:val="24"/>
          <w:szCs w:val="24"/>
          <w:highlight w:val="none"/>
          <w:lang w:eastAsia="zh-CN"/>
        </w:rPr>
        <w:t>四棵</w:t>
      </w:r>
      <w:r>
        <w:rPr>
          <w:rFonts w:hint="eastAsia" w:asciiTheme="minorEastAsia" w:hAnsiTheme="minorEastAsia"/>
          <w:spacing w:val="8"/>
          <w:sz w:val="24"/>
          <w:szCs w:val="24"/>
          <w:highlight w:val="none"/>
        </w:rPr>
        <w:t>大树迁移工程。</w:t>
      </w:r>
    </w:p>
    <w:p w14:paraId="53B5AEE9">
      <w:pPr>
        <w:spacing w:line="460" w:lineRule="exact"/>
        <w:ind w:firstLine="512" w:firstLineChars="200"/>
        <w:rPr>
          <w:rFonts w:hint="eastAsia" w:asciiTheme="minorEastAsia" w:hAnsiTheme="minorEastAsia"/>
          <w:spacing w:val="8"/>
          <w:sz w:val="24"/>
          <w:szCs w:val="24"/>
          <w:highlight w:val="none"/>
        </w:rPr>
      </w:pPr>
      <w:r>
        <w:rPr>
          <w:rFonts w:hint="eastAsia" w:asciiTheme="minorEastAsia" w:hAnsiTheme="minorEastAsia"/>
          <w:spacing w:val="8"/>
          <w:sz w:val="24"/>
          <w:szCs w:val="24"/>
          <w:highlight w:val="none"/>
        </w:rPr>
        <w:t>（1</w:t>
      </w:r>
      <w:r>
        <w:rPr>
          <w:rFonts w:hint="eastAsia" w:asciiTheme="minorEastAsia" w:hAnsiTheme="minorEastAsia"/>
          <w:spacing w:val="8"/>
          <w:sz w:val="24"/>
          <w:szCs w:val="24"/>
          <w:highlight w:val="none"/>
          <w:lang w:val="en-US" w:eastAsia="zh-CN"/>
        </w:rPr>
        <w:t>7</w:t>
      </w:r>
      <w:r>
        <w:rPr>
          <w:rFonts w:hint="eastAsia" w:asciiTheme="minorEastAsia" w:hAnsiTheme="minorEastAsia"/>
          <w:spacing w:val="8"/>
          <w:sz w:val="24"/>
          <w:szCs w:val="24"/>
          <w:highlight w:val="none"/>
        </w:rPr>
        <w:t>）</w:t>
      </w:r>
      <w:r>
        <w:rPr>
          <w:rFonts w:hint="eastAsia" w:asciiTheme="minorEastAsia" w:hAnsiTheme="minorEastAsia"/>
          <w:spacing w:val="8"/>
          <w:sz w:val="24"/>
          <w:szCs w:val="24"/>
          <w:highlight w:val="none"/>
          <w:lang w:val="en-US" w:eastAsia="zh-CN"/>
        </w:rPr>
        <w:t>新建综合楼屋顶设置太阳能光伏板100</w:t>
      </w:r>
      <w:r>
        <w:rPr>
          <w:rFonts w:hint="eastAsia" w:asciiTheme="minorEastAsia" w:hAnsiTheme="minorEastAsia"/>
          <w:spacing w:val="8"/>
          <w:sz w:val="24"/>
          <w:szCs w:val="24"/>
          <w:highlight w:val="none"/>
        </w:rPr>
        <w:t>平方米。</w:t>
      </w:r>
    </w:p>
    <w:p w14:paraId="0910B02B">
      <w:pPr>
        <w:spacing w:line="460" w:lineRule="exact"/>
        <w:ind w:firstLine="512" w:firstLineChars="200"/>
        <w:rPr>
          <w:rFonts w:hint="eastAsia" w:asciiTheme="minorEastAsia" w:hAnsiTheme="minorEastAsia"/>
          <w:spacing w:val="8"/>
          <w:sz w:val="24"/>
          <w:szCs w:val="24"/>
          <w:highlight w:val="none"/>
        </w:rPr>
      </w:pPr>
      <w:r>
        <w:rPr>
          <w:rFonts w:hint="eastAsia" w:asciiTheme="minorEastAsia" w:hAnsiTheme="minorEastAsia"/>
          <w:spacing w:val="8"/>
          <w:sz w:val="24"/>
          <w:szCs w:val="24"/>
          <w:highlight w:val="none"/>
        </w:rPr>
        <w:t>（1</w:t>
      </w:r>
      <w:r>
        <w:rPr>
          <w:rFonts w:hint="eastAsia" w:asciiTheme="minorEastAsia" w:hAnsiTheme="minorEastAsia"/>
          <w:spacing w:val="8"/>
          <w:sz w:val="24"/>
          <w:szCs w:val="24"/>
          <w:highlight w:val="none"/>
          <w:lang w:val="en-US" w:eastAsia="zh-CN"/>
        </w:rPr>
        <w:t>8</w:t>
      </w:r>
      <w:r>
        <w:rPr>
          <w:rFonts w:hint="eastAsia" w:asciiTheme="minorEastAsia" w:hAnsiTheme="minorEastAsia"/>
          <w:spacing w:val="8"/>
          <w:sz w:val="24"/>
          <w:szCs w:val="24"/>
          <w:highlight w:val="none"/>
        </w:rPr>
        <w:t>）</w:t>
      </w:r>
      <w:r>
        <w:rPr>
          <w:rFonts w:hint="eastAsia" w:asciiTheme="minorEastAsia" w:hAnsiTheme="minorEastAsia"/>
          <w:spacing w:val="8"/>
          <w:sz w:val="24"/>
          <w:szCs w:val="24"/>
          <w:highlight w:val="none"/>
          <w:lang w:val="en-US" w:eastAsia="zh-CN"/>
        </w:rPr>
        <w:t>施工期间围蔽工程约298米</w:t>
      </w:r>
      <w:r>
        <w:rPr>
          <w:rFonts w:hint="eastAsia" w:asciiTheme="minorEastAsia" w:hAnsiTheme="minorEastAsia"/>
          <w:spacing w:val="8"/>
          <w:sz w:val="24"/>
          <w:szCs w:val="24"/>
          <w:highlight w:val="none"/>
        </w:rPr>
        <w:t>。</w:t>
      </w:r>
    </w:p>
    <w:p w14:paraId="2643A927">
      <w:pPr>
        <w:spacing w:line="460" w:lineRule="exact"/>
        <w:ind w:firstLine="512" w:firstLineChars="200"/>
        <w:rPr>
          <w:rFonts w:hint="default" w:asciiTheme="minorEastAsia" w:hAnsiTheme="minorEastAsia"/>
          <w:spacing w:val="8"/>
          <w:sz w:val="24"/>
          <w:szCs w:val="24"/>
          <w:highlight w:val="none"/>
          <w:lang w:val="en-US" w:eastAsia="zh-CN"/>
        </w:rPr>
      </w:pPr>
      <w:r>
        <w:rPr>
          <w:rFonts w:hint="eastAsia" w:asciiTheme="minorEastAsia" w:hAnsiTheme="minorEastAsia"/>
          <w:spacing w:val="8"/>
          <w:sz w:val="24"/>
          <w:szCs w:val="24"/>
          <w:highlight w:val="none"/>
        </w:rPr>
        <w:t>（1</w:t>
      </w:r>
      <w:r>
        <w:rPr>
          <w:rFonts w:hint="eastAsia" w:asciiTheme="minorEastAsia" w:hAnsiTheme="minorEastAsia"/>
          <w:spacing w:val="8"/>
          <w:sz w:val="24"/>
          <w:szCs w:val="24"/>
          <w:highlight w:val="none"/>
          <w:lang w:val="en-US" w:eastAsia="zh-CN"/>
        </w:rPr>
        <w:t>9</w:t>
      </w:r>
      <w:r>
        <w:rPr>
          <w:rFonts w:hint="eastAsia" w:asciiTheme="minorEastAsia" w:hAnsiTheme="minorEastAsia"/>
          <w:spacing w:val="8"/>
          <w:sz w:val="24"/>
          <w:szCs w:val="24"/>
          <w:highlight w:val="none"/>
        </w:rPr>
        <w:t>）</w:t>
      </w:r>
      <w:r>
        <w:rPr>
          <w:rFonts w:hint="eastAsia" w:asciiTheme="minorEastAsia" w:hAnsiTheme="minorEastAsia"/>
          <w:spacing w:val="8"/>
          <w:sz w:val="24"/>
          <w:szCs w:val="24"/>
          <w:highlight w:val="none"/>
          <w:lang w:val="en-US" w:eastAsia="zh-CN"/>
        </w:rPr>
        <w:t>项目新城建建设，主要工程为：智慧工地工程、生态环境检测工程、智慧消防工程、超低能耗建筑建设工程等。</w:t>
      </w:r>
    </w:p>
    <w:p w14:paraId="670C1FE1">
      <w:pPr>
        <w:spacing w:line="460" w:lineRule="exact"/>
        <w:ind w:firstLine="512" w:firstLineChars="200"/>
        <w:rPr>
          <w:rFonts w:asciiTheme="minorEastAsia" w:hAnsiTheme="minorEastAsia"/>
          <w:spacing w:val="8"/>
          <w:sz w:val="24"/>
          <w:szCs w:val="24"/>
          <w:highlight w:val="none"/>
        </w:rPr>
      </w:pPr>
      <w:r>
        <w:rPr>
          <w:rFonts w:hint="eastAsia" w:asciiTheme="minorEastAsia" w:hAnsiTheme="minorEastAsia"/>
          <w:spacing w:val="8"/>
          <w:sz w:val="24"/>
          <w:szCs w:val="24"/>
          <w:highlight w:val="none"/>
        </w:rPr>
        <w:t>注：具体功能及规模以建设单位最终确认文件为准。</w:t>
      </w:r>
    </w:p>
    <w:p w14:paraId="2B0554FF">
      <w:pPr>
        <w:spacing w:line="500" w:lineRule="exact"/>
        <w:ind w:firstLine="482" w:firstLineChars="200"/>
        <w:rPr>
          <w:rFonts w:cs="宋体" w:asciiTheme="minorEastAsia" w:hAnsiTheme="minorEastAsia"/>
          <w:b/>
          <w:sz w:val="24"/>
          <w:szCs w:val="24"/>
          <w:highlight w:val="none"/>
          <w:lang w:val="zh-CN"/>
        </w:rPr>
      </w:pPr>
      <w:r>
        <w:rPr>
          <w:rFonts w:hint="eastAsia" w:cs="宋体" w:asciiTheme="minorEastAsia" w:hAnsiTheme="minorEastAsia"/>
          <w:b/>
          <w:sz w:val="24"/>
          <w:szCs w:val="24"/>
          <w:highlight w:val="none"/>
          <w:lang w:val="zh-CN"/>
        </w:rPr>
        <w:t>(四)、设计成果及要求</w:t>
      </w:r>
    </w:p>
    <w:p w14:paraId="54A84D2D">
      <w:pPr>
        <w:spacing w:line="500" w:lineRule="exact"/>
        <w:ind w:firstLine="482" w:firstLineChars="200"/>
        <w:rPr>
          <w:rFonts w:cs="宋体" w:asciiTheme="minorEastAsia" w:hAnsiTheme="minorEastAsia"/>
          <w:b/>
          <w:sz w:val="24"/>
          <w:szCs w:val="24"/>
          <w:highlight w:val="none"/>
          <w:lang w:val="zh-CN"/>
        </w:rPr>
      </w:pPr>
      <w:r>
        <w:rPr>
          <w:rFonts w:hint="eastAsia" w:asciiTheme="minorEastAsia" w:hAnsiTheme="minorEastAsia"/>
          <w:b/>
          <w:sz w:val="24"/>
          <w:szCs w:val="24"/>
          <w:highlight w:val="none"/>
        </w:rPr>
        <w:t>1.成果内容</w:t>
      </w:r>
    </w:p>
    <w:p w14:paraId="3D8E1DDB">
      <w:pPr>
        <w:autoSpaceDE w:val="0"/>
        <w:autoSpaceDN w:val="0"/>
        <w:adjustRightInd w:val="0"/>
        <w:spacing w:line="500" w:lineRule="exact"/>
        <w:ind w:firstLine="480" w:firstLineChars="200"/>
        <w:jc w:val="left"/>
        <w:rPr>
          <w:rFonts w:asciiTheme="minorEastAsia" w:hAnsiTheme="minorEastAsia"/>
          <w:sz w:val="24"/>
          <w:szCs w:val="24"/>
          <w:highlight w:val="none"/>
        </w:rPr>
      </w:pPr>
      <w:r>
        <w:rPr>
          <w:rFonts w:asciiTheme="minorEastAsia" w:hAnsiTheme="minorEastAsia"/>
          <w:sz w:val="24"/>
          <w:szCs w:val="24"/>
          <w:highlight w:val="none"/>
        </w:rPr>
        <w:t>(1)</w:t>
      </w:r>
      <w:r>
        <w:rPr>
          <w:rFonts w:hint="eastAsia" w:asciiTheme="minorEastAsia" w:hAnsiTheme="minorEastAsia"/>
          <w:sz w:val="24"/>
          <w:szCs w:val="24"/>
          <w:highlight w:val="none"/>
        </w:rPr>
        <w:t>方案阶段：根据招标人确定的方案，出具设计说明、方案设计图及概算书；</w:t>
      </w:r>
    </w:p>
    <w:p w14:paraId="7F544933">
      <w:pPr>
        <w:autoSpaceDE w:val="0"/>
        <w:autoSpaceDN w:val="0"/>
        <w:adjustRightInd w:val="0"/>
        <w:spacing w:line="500" w:lineRule="exact"/>
        <w:ind w:firstLine="480" w:firstLineChars="200"/>
        <w:jc w:val="left"/>
        <w:rPr>
          <w:rFonts w:asciiTheme="minorEastAsia" w:hAnsiTheme="minorEastAsia"/>
          <w:sz w:val="24"/>
          <w:szCs w:val="24"/>
          <w:highlight w:val="none"/>
        </w:rPr>
      </w:pPr>
      <w:r>
        <w:rPr>
          <w:rFonts w:asciiTheme="minorEastAsia" w:hAnsiTheme="minorEastAsia"/>
          <w:sz w:val="24"/>
          <w:szCs w:val="24"/>
          <w:highlight w:val="none"/>
        </w:rPr>
        <w:t>(</w:t>
      </w:r>
      <w:r>
        <w:rPr>
          <w:rFonts w:hint="eastAsia" w:asciiTheme="minorEastAsia" w:hAnsiTheme="minorEastAsia"/>
          <w:sz w:val="24"/>
          <w:szCs w:val="24"/>
          <w:highlight w:val="none"/>
        </w:rPr>
        <w:t>2</w:t>
      </w:r>
      <w:r>
        <w:rPr>
          <w:rFonts w:asciiTheme="minorEastAsia" w:hAnsiTheme="minorEastAsia"/>
          <w:sz w:val="24"/>
          <w:szCs w:val="24"/>
          <w:highlight w:val="none"/>
        </w:rPr>
        <w:t>)</w:t>
      </w:r>
      <w:r>
        <w:rPr>
          <w:rFonts w:hint="eastAsia" w:asciiTheme="minorEastAsia" w:hAnsiTheme="minorEastAsia"/>
          <w:sz w:val="24"/>
          <w:szCs w:val="24"/>
          <w:highlight w:val="none"/>
        </w:rPr>
        <w:t>初步设计阶段根据方案设计图出具初步改造设计图纸，并组织专家评审；</w:t>
      </w:r>
    </w:p>
    <w:p w14:paraId="4124E2F0">
      <w:pPr>
        <w:autoSpaceDE w:val="0"/>
        <w:autoSpaceDN w:val="0"/>
        <w:adjustRightInd w:val="0"/>
        <w:spacing w:line="500" w:lineRule="exact"/>
        <w:ind w:firstLine="480" w:firstLineChars="200"/>
        <w:jc w:val="left"/>
        <w:rPr>
          <w:rFonts w:asciiTheme="minorEastAsia" w:hAnsiTheme="minorEastAsia"/>
          <w:sz w:val="24"/>
          <w:szCs w:val="24"/>
          <w:highlight w:val="none"/>
        </w:rPr>
      </w:pPr>
      <w:r>
        <w:rPr>
          <w:rFonts w:asciiTheme="minorEastAsia" w:hAnsiTheme="minorEastAsia"/>
          <w:sz w:val="24"/>
          <w:szCs w:val="24"/>
          <w:highlight w:val="none"/>
        </w:rPr>
        <w:t>(</w:t>
      </w:r>
      <w:r>
        <w:rPr>
          <w:rFonts w:hint="eastAsia" w:asciiTheme="minorEastAsia" w:hAnsiTheme="minorEastAsia"/>
          <w:sz w:val="24"/>
          <w:szCs w:val="24"/>
          <w:highlight w:val="none"/>
        </w:rPr>
        <w:t>3</w:t>
      </w:r>
      <w:r>
        <w:rPr>
          <w:rFonts w:asciiTheme="minorEastAsia" w:hAnsiTheme="minorEastAsia"/>
          <w:sz w:val="24"/>
          <w:szCs w:val="24"/>
          <w:highlight w:val="none"/>
        </w:rPr>
        <w:t>)</w:t>
      </w:r>
      <w:r>
        <w:rPr>
          <w:rFonts w:hint="eastAsia" w:asciiTheme="minorEastAsia" w:hAnsiTheme="minorEastAsia"/>
          <w:sz w:val="24"/>
          <w:szCs w:val="24"/>
          <w:highlight w:val="none"/>
        </w:rPr>
        <w:t>施工图阶段：按初步设计图纸及专家评审意见深化设计图纸，出具施工图，并通过施工图审查单位审查和概算审查；</w:t>
      </w:r>
    </w:p>
    <w:p w14:paraId="2577AB49">
      <w:pPr>
        <w:spacing w:line="460" w:lineRule="exact"/>
        <w:ind w:firstLine="482" w:firstLineChars="200"/>
        <w:rPr>
          <w:rFonts w:asciiTheme="minorEastAsia" w:hAnsiTheme="minorEastAsia"/>
          <w:b/>
          <w:sz w:val="24"/>
          <w:szCs w:val="24"/>
          <w:highlight w:val="none"/>
        </w:rPr>
      </w:pPr>
      <w:r>
        <w:rPr>
          <w:rFonts w:hint="eastAsia" w:asciiTheme="minorEastAsia" w:hAnsiTheme="minorEastAsia"/>
          <w:b/>
          <w:sz w:val="24"/>
          <w:szCs w:val="24"/>
          <w:highlight w:val="none"/>
        </w:rPr>
        <w:t>2.成果清单</w:t>
      </w:r>
    </w:p>
    <w:p w14:paraId="14DF9C9B">
      <w:pPr>
        <w:spacing w:line="46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设计单位按以下要求向业主提交纸质文件，并提供电子版文件。</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252"/>
        <w:gridCol w:w="2131"/>
        <w:gridCol w:w="2131"/>
      </w:tblGrid>
      <w:tr w14:paraId="67ED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shd w:val="clear" w:color="auto" w:fill="auto"/>
          </w:tcPr>
          <w:p w14:paraId="5DF6FFBE">
            <w:pPr>
              <w:autoSpaceDE w:val="0"/>
              <w:autoSpaceDN w:val="0"/>
              <w:spacing w:line="4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序号</w:t>
            </w:r>
          </w:p>
        </w:tc>
        <w:tc>
          <w:tcPr>
            <w:tcW w:w="3252" w:type="dxa"/>
            <w:shd w:val="clear" w:color="auto" w:fill="auto"/>
          </w:tcPr>
          <w:p w14:paraId="12F45127">
            <w:pPr>
              <w:autoSpaceDE w:val="0"/>
              <w:autoSpaceDN w:val="0"/>
              <w:spacing w:line="4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成果及文件名称</w:t>
            </w:r>
          </w:p>
        </w:tc>
        <w:tc>
          <w:tcPr>
            <w:tcW w:w="2131" w:type="dxa"/>
            <w:shd w:val="clear" w:color="auto" w:fill="auto"/>
          </w:tcPr>
          <w:p w14:paraId="1F0609D2">
            <w:pPr>
              <w:autoSpaceDE w:val="0"/>
              <w:autoSpaceDN w:val="0"/>
              <w:spacing w:line="4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份数</w:t>
            </w:r>
          </w:p>
        </w:tc>
        <w:tc>
          <w:tcPr>
            <w:tcW w:w="2131" w:type="dxa"/>
            <w:shd w:val="clear" w:color="auto" w:fill="auto"/>
          </w:tcPr>
          <w:p w14:paraId="12D3CDBD">
            <w:pPr>
              <w:autoSpaceDE w:val="0"/>
              <w:autoSpaceDN w:val="0"/>
              <w:spacing w:line="4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备注</w:t>
            </w:r>
          </w:p>
        </w:tc>
      </w:tr>
      <w:tr w14:paraId="6145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shd w:val="clear" w:color="auto" w:fill="auto"/>
            <w:vAlign w:val="center"/>
          </w:tcPr>
          <w:p w14:paraId="3DA4941F">
            <w:pPr>
              <w:autoSpaceDE w:val="0"/>
              <w:autoSpaceDN w:val="0"/>
              <w:spacing w:line="4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1</w:t>
            </w:r>
          </w:p>
        </w:tc>
        <w:tc>
          <w:tcPr>
            <w:tcW w:w="3252" w:type="dxa"/>
            <w:shd w:val="clear" w:color="auto" w:fill="auto"/>
            <w:vAlign w:val="center"/>
          </w:tcPr>
          <w:p w14:paraId="09760950">
            <w:pPr>
              <w:autoSpaceDE w:val="0"/>
              <w:autoSpaceDN w:val="0"/>
              <w:spacing w:line="4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方案图</w:t>
            </w:r>
          </w:p>
        </w:tc>
        <w:tc>
          <w:tcPr>
            <w:tcW w:w="2131" w:type="dxa"/>
            <w:shd w:val="clear" w:color="auto" w:fill="auto"/>
            <w:vAlign w:val="center"/>
          </w:tcPr>
          <w:p w14:paraId="09B65C9F">
            <w:pPr>
              <w:autoSpaceDE w:val="0"/>
              <w:autoSpaceDN w:val="0"/>
              <w:spacing w:line="4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按合同约定</w:t>
            </w:r>
          </w:p>
        </w:tc>
        <w:tc>
          <w:tcPr>
            <w:tcW w:w="2131" w:type="dxa"/>
            <w:shd w:val="clear" w:color="auto" w:fill="auto"/>
            <w:vAlign w:val="center"/>
          </w:tcPr>
          <w:p w14:paraId="1F553EDC">
            <w:pPr>
              <w:autoSpaceDE w:val="0"/>
              <w:autoSpaceDN w:val="0"/>
              <w:spacing w:line="4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电子版资料一份</w:t>
            </w:r>
          </w:p>
        </w:tc>
      </w:tr>
      <w:tr w14:paraId="4039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shd w:val="clear" w:color="auto" w:fill="auto"/>
            <w:vAlign w:val="center"/>
          </w:tcPr>
          <w:p w14:paraId="61912C81">
            <w:pPr>
              <w:autoSpaceDE w:val="0"/>
              <w:autoSpaceDN w:val="0"/>
              <w:spacing w:line="4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2</w:t>
            </w:r>
          </w:p>
        </w:tc>
        <w:tc>
          <w:tcPr>
            <w:tcW w:w="3252" w:type="dxa"/>
            <w:shd w:val="clear" w:color="auto" w:fill="auto"/>
            <w:vAlign w:val="center"/>
          </w:tcPr>
          <w:p w14:paraId="370CA03F">
            <w:pPr>
              <w:autoSpaceDE w:val="0"/>
              <w:autoSpaceDN w:val="0"/>
              <w:spacing w:line="4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概算书</w:t>
            </w:r>
          </w:p>
        </w:tc>
        <w:tc>
          <w:tcPr>
            <w:tcW w:w="2131" w:type="dxa"/>
            <w:shd w:val="clear" w:color="auto" w:fill="auto"/>
            <w:vAlign w:val="center"/>
          </w:tcPr>
          <w:p w14:paraId="38D6C1A3">
            <w:pPr>
              <w:autoSpaceDE w:val="0"/>
              <w:autoSpaceDN w:val="0"/>
              <w:spacing w:line="4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按合同约定</w:t>
            </w:r>
          </w:p>
        </w:tc>
        <w:tc>
          <w:tcPr>
            <w:tcW w:w="2131" w:type="dxa"/>
            <w:shd w:val="clear" w:color="auto" w:fill="auto"/>
            <w:vAlign w:val="center"/>
          </w:tcPr>
          <w:p w14:paraId="4CB4B2F4">
            <w:pPr>
              <w:autoSpaceDE w:val="0"/>
              <w:autoSpaceDN w:val="0"/>
              <w:spacing w:line="4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电子版资料一份</w:t>
            </w:r>
          </w:p>
        </w:tc>
      </w:tr>
      <w:tr w14:paraId="5529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shd w:val="clear" w:color="auto" w:fill="auto"/>
            <w:vAlign w:val="center"/>
          </w:tcPr>
          <w:p w14:paraId="493D78A7">
            <w:pPr>
              <w:autoSpaceDE w:val="0"/>
              <w:autoSpaceDN w:val="0"/>
              <w:spacing w:line="4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3</w:t>
            </w:r>
          </w:p>
        </w:tc>
        <w:tc>
          <w:tcPr>
            <w:tcW w:w="3252" w:type="dxa"/>
            <w:shd w:val="clear" w:color="auto" w:fill="auto"/>
            <w:vAlign w:val="center"/>
          </w:tcPr>
          <w:p w14:paraId="0899F19F">
            <w:pPr>
              <w:autoSpaceDE w:val="0"/>
              <w:autoSpaceDN w:val="0"/>
              <w:spacing w:line="4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初步设计方案图</w:t>
            </w:r>
          </w:p>
        </w:tc>
        <w:tc>
          <w:tcPr>
            <w:tcW w:w="2131" w:type="dxa"/>
            <w:shd w:val="clear" w:color="auto" w:fill="auto"/>
            <w:vAlign w:val="center"/>
          </w:tcPr>
          <w:p w14:paraId="25338450">
            <w:pPr>
              <w:autoSpaceDE w:val="0"/>
              <w:autoSpaceDN w:val="0"/>
              <w:spacing w:line="4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按合同约定</w:t>
            </w:r>
          </w:p>
        </w:tc>
        <w:tc>
          <w:tcPr>
            <w:tcW w:w="2131" w:type="dxa"/>
            <w:shd w:val="clear" w:color="auto" w:fill="auto"/>
            <w:vAlign w:val="center"/>
          </w:tcPr>
          <w:p w14:paraId="0A272ABF">
            <w:pPr>
              <w:autoSpaceDE w:val="0"/>
              <w:autoSpaceDN w:val="0"/>
              <w:spacing w:line="4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电子版资料一份</w:t>
            </w:r>
          </w:p>
        </w:tc>
      </w:tr>
      <w:tr w14:paraId="385D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shd w:val="clear" w:color="auto" w:fill="auto"/>
            <w:vAlign w:val="center"/>
          </w:tcPr>
          <w:p w14:paraId="0428580F">
            <w:pPr>
              <w:autoSpaceDE w:val="0"/>
              <w:autoSpaceDN w:val="0"/>
              <w:spacing w:line="4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4</w:t>
            </w:r>
          </w:p>
        </w:tc>
        <w:tc>
          <w:tcPr>
            <w:tcW w:w="3252" w:type="dxa"/>
            <w:shd w:val="clear" w:color="auto" w:fill="auto"/>
            <w:vAlign w:val="center"/>
          </w:tcPr>
          <w:p w14:paraId="38927D14">
            <w:pPr>
              <w:autoSpaceDE w:val="0"/>
              <w:autoSpaceDN w:val="0"/>
              <w:spacing w:line="4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施工图</w:t>
            </w:r>
          </w:p>
        </w:tc>
        <w:tc>
          <w:tcPr>
            <w:tcW w:w="2131" w:type="dxa"/>
            <w:shd w:val="clear" w:color="auto" w:fill="auto"/>
            <w:vAlign w:val="center"/>
          </w:tcPr>
          <w:p w14:paraId="58B982AC">
            <w:pPr>
              <w:autoSpaceDE w:val="0"/>
              <w:autoSpaceDN w:val="0"/>
              <w:spacing w:line="4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按合同约定</w:t>
            </w:r>
          </w:p>
        </w:tc>
        <w:tc>
          <w:tcPr>
            <w:tcW w:w="2131" w:type="dxa"/>
            <w:shd w:val="clear" w:color="auto" w:fill="auto"/>
            <w:vAlign w:val="center"/>
          </w:tcPr>
          <w:p w14:paraId="28C2E08C">
            <w:pPr>
              <w:autoSpaceDE w:val="0"/>
              <w:autoSpaceDN w:val="0"/>
              <w:spacing w:line="4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电子版资料一份</w:t>
            </w:r>
          </w:p>
        </w:tc>
      </w:tr>
      <w:tr w14:paraId="3888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shd w:val="clear" w:color="auto" w:fill="auto"/>
            <w:vAlign w:val="center"/>
          </w:tcPr>
          <w:p w14:paraId="7F854A0C">
            <w:pPr>
              <w:autoSpaceDE w:val="0"/>
              <w:autoSpaceDN w:val="0"/>
              <w:spacing w:line="4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5</w:t>
            </w:r>
          </w:p>
        </w:tc>
        <w:tc>
          <w:tcPr>
            <w:tcW w:w="3252" w:type="dxa"/>
            <w:shd w:val="clear" w:color="auto" w:fill="auto"/>
            <w:vAlign w:val="center"/>
          </w:tcPr>
          <w:p w14:paraId="4ABC9736">
            <w:pPr>
              <w:autoSpaceDE w:val="0"/>
              <w:autoSpaceDN w:val="0"/>
              <w:spacing w:line="4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竣工图</w:t>
            </w:r>
          </w:p>
        </w:tc>
        <w:tc>
          <w:tcPr>
            <w:tcW w:w="2131" w:type="dxa"/>
            <w:shd w:val="clear" w:color="auto" w:fill="auto"/>
            <w:vAlign w:val="center"/>
          </w:tcPr>
          <w:p w14:paraId="1C86BD39">
            <w:pPr>
              <w:autoSpaceDE w:val="0"/>
              <w:autoSpaceDN w:val="0"/>
              <w:spacing w:line="4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按合同约定</w:t>
            </w:r>
          </w:p>
        </w:tc>
        <w:tc>
          <w:tcPr>
            <w:tcW w:w="2131" w:type="dxa"/>
            <w:shd w:val="clear" w:color="auto" w:fill="auto"/>
            <w:vAlign w:val="center"/>
          </w:tcPr>
          <w:p w14:paraId="67FD4AA6">
            <w:pPr>
              <w:autoSpaceDE w:val="0"/>
              <w:autoSpaceDN w:val="0"/>
              <w:spacing w:line="46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电子版资料一份</w:t>
            </w:r>
          </w:p>
        </w:tc>
      </w:tr>
    </w:tbl>
    <w:p w14:paraId="41B05167">
      <w:pPr>
        <w:snapToGrid w:val="0"/>
        <w:spacing w:line="50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注：施工</w:t>
      </w:r>
      <w:r>
        <w:rPr>
          <w:rFonts w:asciiTheme="minorEastAsia" w:hAnsiTheme="minorEastAsia"/>
          <w:sz w:val="24"/>
          <w:szCs w:val="24"/>
          <w:highlight w:val="none"/>
        </w:rPr>
        <w:t>图除包括图纸、说明书、材料清册等纸质文件外，还包括全套图纸的</w:t>
      </w:r>
      <w:r>
        <w:rPr>
          <w:rFonts w:hint="eastAsia" w:asciiTheme="minorEastAsia" w:hAnsiTheme="minorEastAsia"/>
          <w:sz w:val="24"/>
          <w:szCs w:val="24"/>
          <w:highlight w:val="none"/>
        </w:rPr>
        <w:t>CAD图</w:t>
      </w:r>
      <w:r>
        <w:rPr>
          <w:rFonts w:asciiTheme="minorEastAsia" w:hAnsiTheme="minorEastAsia"/>
          <w:sz w:val="24"/>
          <w:szCs w:val="24"/>
          <w:highlight w:val="none"/>
        </w:rPr>
        <w:t>光盘</w:t>
      </w:r>
      <w:r>
        <w:rPr>
          <w:rFonts w:hint="eastAsia" w:asciiTheme="minorEastAsia" w:hAnsiTheme="minorEastAsia"/>
          <w:sz w:val="24"/>
          <w:szCs w:val="24"/>
          <w:highlight w:val="none"/>
        </w:rPr>
        <w:t>。</w:t>
      </w:r>
    </w:p>
    <w:p w14:paraId="73F339B7">
      <w:pPr>
        <w:snapToGrid w:val="0"/>
        <w:spacing w:line="50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设计单位提供</w:t>
      </w:r>
      <w:r>
        <w:rPr>
          <w:rFonts w:hint="eastAsia" w:asciiTheme="minorEastAsia" w:hAnsiTheme="minorEastAsia"/>
          <w:sz w:val="24"/>
          <w:szCs w:val="24"/>
          <w:highlight w:val="none"/>
        </w:rPr>
        <w:t>方案图</w:t>
      </w:r>
      <w:r>
        <w:rPr>
          <w:rFonts w:asciiTheme="minorEastAsia" w:hAnsiTheme="minorEastAsia"/>
          <w:sz w:val="24"/>
          <w:szCs w:val="24"/>
          <w:highlight w:val="none"/>
        </w:rPr>
        <w:t>、</w:t>
      </w:r>
      <w:r>
        <w:rPr>
          <w:rFonts w:hint="eastAsia" w:asciiTheme="minorEastAsia" w:hAnsiTheme="minorEastAsia"/>
          <w:sz w:val="24"/>
          <w:szCs w:val="24"/>
          <w:highlight w:val="none"/>
        </w:rPr>
        <w:t>概算书、初步设计图、</w:t>
      </w:r>
      <w:r>
        <w:rPr>
          <w:rFonts w:asciiTheme="minorEastAsia" w:hAnsiTheme="minorEastAsia"/>
          <w:sz w:val="24"/>
          <w:szCs w:val="24"/>
          <w:highlight w:val="none"/>
        </w:rPr>
        <w:t>施工</w:t>
      </w:r>
      <w:r>
        <w:rPr>
          <w:rFonts w:hint="eastAsia" w:asciiTheme="minorEastAsia" w:hAnsiTheme="minorEastAsia"/>
          <w:sz w:val="24"/>
          <w:szCs w:val="24"/>
          <w:highlight w:val="none"/>
        </w:rPr>
        <w:t>图</w:t>
      </w:r>
      <w:r>
        <w:rPr>
          <w:rFonts w:asciiTheme="minorEastAsia" w:hAnsiTheme="minorEastAsia"/>
          <w:sz w:val="24"/>
          <w:szCs w:val="24"/>
          <w:highlight w:val="none"/>
        </w:rPr>
        <w:t>、各阶段工程量分析及设计总结的电子文档，时间为各阶段工作结束后</w:t>
      </w:r>
      <w:r>
        <w:rPr>
          <w:rFonts w:hint="eastAsia" w:asciiTheme="minorEastAsia" w:hAnsiTheme="minorEastAsia"/>
          <w:sz w:val="24"/>
          <w:szCs w:val="24"/>
          <w:highlight w:val="none"/>
        </w:rPr>
        <w:t>两</w:t>
      </w:r>
      <w:r>
        <w:rPr>
          <w:rFonts w:asciiTheme="minorEastAsia" w:hAnsiTheme="minorEastAsia"/>
          <w:sz w:val="24"/>
          <w:szCs w:val="24"/>
          <w:highlight w:val="none"/>
        </w:rPr>
        <w:t>周内。</w:t>
      </w:r>
    </w:p>
    <w:p w14:paraId="7637D2A3">
      <w:pPr>
        <w:spacing w:line="460" w:lineRule="exact"/>
        <w:ind w:firstLine="482" w:firstLineChars="200"/>
        <w:rPr>
          <w:rFonts w:asciiTheme="minorEastAsia" w:hAnsiTheme="minorEastAsia"/>
          <w:b/>
          <w:sz w:val="24"/>
          <w:szCs w:val="24"/>
          <w:highlight w:val="none"/>
        </w:rPr>
      </w:pPr>
      <w:r>
        <w:rPr>
          <w:rFonts w:hint="eastAsia" w:asciiTheme="minorEastAsia" w:hAnsiTheme="minorEastAsia"/>
          <w:b/>
          <w:sz w:val="24"/>
          <w:szCs w:val="24"/>
          <w:highlight w:val="none"/>
        </w:rPr>
        <w:t>3.设计进度周期</w:t>
      </w:r>
    </w:p>
    <w:p w14:paraId="3CEC8B8D">
      <w:pPr>
        <w:spacing w:line="360" w:lineRule="auto"/>
        <w:ind w:firstLine="480" w:firstLineChars="200"/>
        <w:rPr>
          <w:rFonts w:ascii="宋体" w:hAnsi="宋体" w:cs="宋体"/>
          <w:sz w:val="24"/>
          <w:szCs w:val="24"/>
          <w:highlight w:val="none"/>
          <w:lang w:val="zh-CN"/>
        </w:rPr>
      </w:pPr>
      <w:r>
        <w:rPr>
          <w:rFonts w:ascii="宋体" w:hAnsi="宋体" w:cs="宋体"/>
          <w:sz w:val="24"/>
          <w:szCs w:val="24"/>
          <w:highlight w:val="none"/>
        </w:rPr>
        <w:t>(</w:t>
      </w:r>
      <w:r>
        <w:rPr>
          <w:rFonts w:hint="eastAsia" w:ascii="宋体" w:hAnsi="宋体" w:cs="宋体"/>
          <w:sz w:val="24"/>
          <w:szCs w:val="24"/>
          <w:highlight w:val="none"/>
        </w:rPr>
        <w:t>1)</w:t>
      </w:r>
      <w:r>
        <w:rPr>
          <w:rFonts w:hint="eastAsia" w:ascii="宋体" w:hAnsi="宋体" w:cs="宋体"/>
          <w:sz w:val="24"/>
          <w:szCs w:val="24"/>
          <w:highlight w:val="none"/>
          <w:lang w:val="zh-CN"/>
        </w:rPr>
        <w:t>项目启动后</w:t>
      </w:r>
      <w:r>
        <w:rPr>
          <w:rFonts w:ascii="宋体" w:hAnsi="宋体" w:cs="宋体"/>
          <w:sz w:val="24"/>
          <w:szCs w:val="24"/>
          <w:highlight w:val="none"/>
        </w:rPr>
        <w:t>30个日历天完成初步设计文件</w:t>
      </w:r>
      <w:r>
        <w:rPr>
          <w:rFonts w:hint="eastAsia" w:ascii="宋体" w:hAnsi="宋体" w:cs="宋体"/>
          <w:sz w:val="24"/>
          <w:szCs w:val="24"/>
          <w:highlight w:val="none"/>
        </w:rPr>
        <w:t>及概算书</w:t>
      </w:r>
      <w:r>
        <w:rPr>
          <w:rFonts w:ascii="宋体" w:hAnsi="宋体" w:cs="宋体"/>
          <w:sz w:val="24"/>
          <w:szCs w:val="24"/>
          <w:highlight w:val="none"/>
        </w:rPr>
        <w:t>，并在10个日历天组织专家评审，并按专家意见修改初步设计文件</w:t>
      </w:r>
      <w:r>
        <w:rPr>
          <w:rFonts w:hint="eastAsia" w:ascii="宋体" w:hAnsi="宋体" w:cs="宋体"/>
          <w:sz w:val="24"/>
          <w:szCs w:val="24"/>
          <w:highlight w:val="none"/>
          <w:lang w:val="zh-CN"/>
        </w:rPr>
        <w:t>。</w:t>
      </w:r>
    </w:p>
    <w:p w14:paraId="2135E295">
      <w:pPr>
        <w:spacing w:line="360" w:lineRule="auto"/>
        <w:ind w:firstLine="480" w:firstLineChars="200"/>
        <w:rPr>
          <w:rFonts w:ascii="宋体" w:hAnsi="宋体" w:cs="宋体"/>
          <w:sz w:val="24"/>
          <w:szCs w:val="24"/>
          <w:highlight w:val="none"/>
          <w:lang w:val="zh-CN"/>
        </w:rPr>
      </w:pPr>
      <w:r>
        <w:rPr>
          <w:rFonts w:ascii="宋体" w:hAnsi="宋体" w:cs="宋体"/>
          <w:sz w:val="24"/>
          <w:szCs w:val="24"/>
          <w:highlight w:val="none"/>
          <w:lang w:val="zh-CN"/>
        </w:rPr>
        <w:t>(</w:t>
      </w:r>
      <w:r>
        <w:rPr>
          <w:rFonts w:ascii="宋体" w:hAnsi="宋体" w:cs="宋体"/>
          <w:sz w:val="24"/>
          <w:szCs w:val="24"/>
          <w:highlight w:val="none"/>
        </w:rPr>
        <w:t>2</w:t>
      </w:r>
      <w:r>
        <w:rPr>
          <w:rFonts w:ascii="宋体" w:hAnsi="宋体" w:cs="宋体"/>
          <w:sz w:val="24"/>
          <w:szCs w:val="24"/>
          <w:highlight w:val="none"/>
          <w:lang w:val="zh-CN"/>
        </w:rPr>
        <w:t>)</w:t>
      </w:r>
      <w:r>
        <w:rPr>
          <w:rFonts w:hint="eastAsia" w:ascii="宋体" w:hAnsi="宋体" w:cs="宋体"/>
          <w:sz w:val="24"/>
          <w:szCs w:val="24"/>
          <w:highlight w:val="none"/>
          <w:lang w:val="zh-CN"/>
        </w:rPr>
        <w:t>初步设计文件完成后，</w:t>
      </w:r>
      <w:r>
        <w:rPr>
          <w:rFonts w:hint="eastAsia" w:ascii="宋体" w:hAnsi="宋体" w:cs="宋体"/>
          <w:sz w:val="24"/>
          <w:szCs w:val="24"/>
          <w:highlight w:val="none"/>
        </w:rPr>
        <w:t>3</w:t>
      </w:r>
      <w:r>
        <w:rPr>
          <w:rFonts w:hint="eastAsia" w:ascii="宋体" w:hAnsi="宋体" w:cs="宋体"/>
          <w:sz w:val="24"/>
          <w:szCs w:val="24"/>
          <w:highlight w:val="none"/>
          <w:lang w:val="zh-CN"/>
        </w:rPr>
        <w:t>0个日历天完成施工送审图，15个日历天通过施工图审查单位批复。</w:t>
      </w:r>
    </w:p>
    <w:p w14:paraId="2A14E96C">
      <w:pPr>
        <w:spacing w:line="360" w:lineRule="auto"/>
        <w:ind w:firstLine="480" w:firstLineChars="200"/>
        <w:rPr>
          <w:rFonts w:ascii="宋体" w:hAnsi="宋体" w:cs="宋体"/>
          <w:sz w:val="24"/>
          <w:szCs w:val="24"/>
          <w:highlight w:val="none"/>
          <w:lang w:val="zh-CN"/>
        </w:rPr>
      </w:pPr>
      <w:r>
        <w:rPr>
          <w:rFonts w:ascii="宋体" w:hAnsi="宋体" w:cs="宋体"/>
          <w:sz w:val="24"/>
          <w:szCs w:val="24"/>
          <w:highlight w:val="none"/>
          <w:lang w:val="zh-CN"/>
        </w:rPr>
        <w:t>(</w:t>
      </w:r>
      <w:r>
        <w:rPr>
          <w:rFonts w:ascii="宋体" w:hAnsi="宋体" w:cs="宋体"/>
          <w:sz w:val="24"/>
          <w:szCs w:val="24"/>
          <w:highlight w:val="none"/>
        </w:rPr>
        <w:t>3</w:t>
      </w:r>
      <w:r>
        <w:rPr>
          <w:rFonts w:ascii="宋体" w:hAnsi="宋体" w:cs="宋体"/>
          <w:sz w:val="24"/>
          <w:szCs w:val="24"/>
          <w:highlight w:val="none"/>
          <w:lang w:val="zh-CN"/>
        </w:rPr>
        <w:t>)</w:t>
      </w:r>
      <w:r>
        <w:rPr>
          <w:rFonts w:hint="eastAsia" w:ascii="宋体" w:hAnsi="宋体" w:cs="宋体"/>
          <w:sz w:val="24"/>
          <w:szCs w:val="24"/>
          <w:highlight w:val="none"/>
          <w:lang w:val="zh-CN"/>
        </w:rPr>
        <w:t>施工图审查单位通过审查后5个日历天完成施工图设计文件。</w:t>
      </w:r>
    </w:p>
    <w:p w14:paraId="3A28123B">
      <w:pPr>
        <w:spacing w:line="360" w:lineRule="auto"/>
        <w:ind w:firstLine="480" w:firstLineChars="200"/>
        <w:rPr>
          <w:rFonts w:ascii="宋体" w:hAnsi="宋体" w:cs="宋体"/>
          <w:sz w:val="24"/>
          <w:szCs w:val="24"/>
          <w:highlight w:val="none"/>
        </w:rPr>
      </w:pPr>
      <w:r>
        <w:rPr>
          <w:rFonts w:ascii="宋体" w:hAnsi="宋体" w:cs="宋体"/>
          <w:sz w:val="24"/>
          <w:szCs w:val="24"/>
          <w:highlight w:val="none"/>
          <w:lang w:val="zh-CN"/>
        </w:rPr>
        <w:t>(</w:t>
      </w:r>
      <w:r>
        <w:rPr>
          <w:rFonts w:hint="eastAsia" w:ascii="宋体" w:hAnsi="宋体" w:cs="宋体"/>
          <w:sz w:val="24"/>
          <w:szCs w:val="24"/>
          <w:highlight w:val="none"/>
          <w:lang w:val="en-US" w:eastAsia="zh-CN"/>
        </w:rPr>
        <w:t>4</w:t>
      </w:r>
      <w:r>
        <w:rPr>
          <w:rFonts w:ascii="宋体" w:hAnsi="宋体" w:cs="宋体"/>
          <w:sz w:val="24"/>
          <w:szCs w:val="24"/>
          <w:highlight w:val="none"/>
          <w:lang w:val="zh-CN"/>
        </w:rPr>
        <w:t>)</w:t>
      </w:r>
      <w:r>
        <w:rPr>
          <w:rFonts w:hint="eastAsia" w:ascii="宋体" w:hAnsi="宋体" w:cs="宋体"/>
          <w:sz w:val="24"/>
          <w:szCs w:val="24"/>
          <w:highlight w:val="none"/>
          <w:lang w:val="zh-CN"/>
        </w:rPr>
        <w:t>负责</w:t>
      </w:r>
      <w:r>
        <w:rPr>
          <w:rFonts w:hint="eastAsia" w:ascii="宋体" w:hAnsi="宋体" w:cs="宋体"/>
          <w:sz w:val="24"/>
          <w:szCs w:val="24"/>
          <w:highlight w:val="none"/>
        </w:rPr>
        <w:t>竣工图编制。</w:t>
      </w:r>
    </w:p>
    <w:p w14:paraId="1193F0A6">
      <w:pPr>
        <w:pStyle w:val="19"/>
        <w:spacing w:line="520" w:lineRule="exact"/>
        <w:ind w:left="275" w:leftChars="131" w:firstLine="480"/>
        <w:rPr>
          <w:rFonts w:hint="eastAsia" w:ascii="宋体" w:hAnsi="宋体"/>
          <w:sz w:val="24"/>
          <w:szCs w:val="24"/>
          <w:highlight w:val="none"/>
        </w:rPr>
      </w:pPr>
      <w:r>
        <w:rPr>
          <w:rFonts w:hint="eastAsia" w:ascii="宋体" w:hAnsi="宋体"/>
          <w:sz w:val="24"/>
          <w:szCs w:val="24"/>
          <w:highlight w:val="none"/>
        </w:rPr>
        <w:t>注：原则上设计单位报价及总设计周期应配合业主需求的建议设计周期。如特殊原因时间有所调整，以业主确认的最终时间为准。</w:t>
      </w:r>
    </w:p>
    <w:p w14:paraId="4CFCE149">
      <w:pPr>
        <w:pStyle w:val="19"/>
        <w:spacing w:line="520" w:lineRule="exact"/>
        <w:ind w:left="275" w:leftChars="131" w:firstLine="480"/>
        <w:rPr>
          <w:rFonts w:hint="eastAsia" w:ascii="宋体" w:hAnsi="宋体"/>
          <w:b/>
          <w:bCs/>
          <w:sz w:val="24"/>
          <w:szCs w:val="24"/>
          <w:highlight w:val="none"/>
        </w:rPr>
      </w:pPr>
      <w:r>
        <w:rPr>
          <w:rFonts w:hint="eastAsia" w:ascii="宋体" w:hAnsi="宋体"/>
          <w:b/>
          <w:bCs/>
          <w:sz w:val="24"/>
          <w:szCs w:val="24"/>
          <w:highlight w:val="none"/>
        </w:rPr>
        <w:t>(五)施工阶段及验收配合工作</w:t>
      </w:r>
    </w:p>
    <w:p w14:paraId="29D8C6F3">
      <w:pPr>
        <w:pStyle w:val="19"/>
        <w:spacing w:line="520" w:lineRule="exact"/>
        <w:ind w:left="275" w:leftChars="131" w:firstLine="480"/>
        <w:rPr>
          <w:rFonts w:ascii="宋体" w:hAnsi="宋体"/>
          <w:sz w:val="24"/>
          <w:szCs w:val="24"/>
          <w:highlight w:val="none"/>
        </w:rPr>
      </w:pPr>
      <w:r>
        <w:rPr>
          <w:rFonts w:hint="eastAsia" w:ascii="宋体" w:hAnsi="宋体"/>
          <w:sz w:val="24"/>
          <w:szCs w:val="24"/>
          <w:highlight w:val="none"/>
        </w:rPr>
        <w:t>1.配合开展前期报建报批、方案审查、专业报建、设计图纸评审、概预算评审、施工图审查及备案（含节能、人防）、消防审查，以及从开工至项目竣工验收的现场服务、配合完成工程验收和竣工图等；包括配合申请临时用水、临时用电，以及配合永久外水、永久外电的设计报批</w:t>
      </w:r>
      <w:r>
        <w:rPr>
          <w:rFonts w:hint="eastAsia" w:ascii="宋体" w:hAnsi="宋体"/>
          <w:sz w:val="24"/>
          <w:szCs w:val="24"/>
          <w:highlight w:val="none"/>
          <w:lang w:eastAsia="zh-CN"/>
        </w:rPr>
        <w:t>，</w:t>
      </w:r>
      <w:r>
        <w:rPr>
          <w:rFonts w:hint="eastAsia" w:ascii="宋体" w:hAnsi="宋体"/>
          <w:sz w:val="24"/>
          <w:szCs w:val="24"/>
          <w:highlight w:val="none"/>
          <w:lang w:val="en-US" w:eastAsia="zh-CN"/>
        </w:rPr>
        <w:t>并需满足验收所需的要求</w:t>
      </w:r>
      <w:r>
        <w:rPr>
          <w:rFonts w:hint="eastAsia" w:ascii="宋体" w:hAnsi="宋体"/>
          <w:sz w:val="24"/>
          <w:szCs w:val="24"/>
          <w:highlight w:val="none"/>
        </w:rPr>
        <w:t>；在项目报建阶段满足建设单位报批各种手续的要求，分阶段提供所需的设计文件；</w:t>
      </w:r>
    </w:p>
    <w:p w14:paraId="184BC0EC">
      <w:pPr>
        <w:pStyle w:val="19"/>
        <w:spacing w:line="520" w:lineRule="exact"/>
        <w:ind w:left="275" w:leftChars="131" w:firstLine="48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.海绵城市建设要求：满足规划设计条件和当地水务主管部门要求；</w:t>
      </w:r>
    </w:p>
    <w:p w14:paraId="20317976">
      <w:pPr>
        <w:pStyle w:val="19"/>
        <w:spacing w:line="520" w:lineRule="exact"/>
        <w:ind w:left="275" w:leftChars="131" w:firstLine="480"/>
        <w:rPr>
          <w:rFonts w:ascii="宋体" w:hAnsi="宋体"/>
          <w:sz w:val="24"/>
          <w:szCs w:val="24"/>
          <w:highlight w:val="none"/>
        </w:rPr>
      </w:pPr>
      <w:r>
        <w:rPr>
          <w:rFonts w:hint="eastAsia" w:ascii="宋体" w:hAnsi="宋体"/>
          <w:sz w:val="24"/>
          <w:szCs w:val="24"/>
          <w:highlight w:val="none"/>
          <w:lang w:val="en-US" w:eastAsia="zh-CN"/>
        </w:rPr>
        <w:t>3</w:t>
      </w:r>
      <w:r>
        <w:rPr>
          <w:rFonts w:ascii="宋体" w:hAnsi="宋体"/>
          <w:sz w:val="24"/>
          <w:szCs w:val="24"/>
          <w:highlight w:val="none"/>
        </w:rPr>
        <w:t>.</w:t>
      </w:r>
      <w:r>
        <w:rPr>
          <w:rFonts w:hint="eastAsia" w:ascii="宋体" w:hAnsi="宋体"/>
          <w:sz w:val="24"/>
          <w:szCs w:val="24"/>
          <w:highlight w:val="none"/>
        </w:rPr>
        <w:t>配合完成报建；</w:t>
      </w:r>
    </w:p>
    <w:p w14:paraId="73F509EE">
      <w:pPr>
        <w:pStyle w:val="19"/>
        <w:spacing w:line="520" w:lineRule="exact"/>
        <w:ind w:left="275" w:leftChars="131" w:firstLine="480"/>
        <w:rPr>
          <w:rFonts w:ascii="宋体" w:hAnsi="宋体"/>
          <w:sz w:val="24"/>
          <w:szCs w:val="24"/>
          <w:highlight w:val="none"/>
        </w:rPr>
      </w:pPr>
      <w:r>
        <w:rPr>
          <w:rFonts w:hint="eastAsia" w:ascii="宋体" w:hAnsi="宋体"/>
          <w:sz w:val="24"/>
          <w:szCs w:val="24"/>
          <w:highlight w:val="none"/>
          <w:lang w:val="en-US" w:eastAsia="zh-CN"/>
        </w:rPr>
        <w:t>4</w:t>
      </w:r>
      <w:r>
        <w:rPr>
          <w:rFonts w:ascii="宋体" w:hAnsi="宋体"/>
          <w:sz w:val="24"/>
          <w:szCs w:val="24"/>
          <w:highlight w:val="none"/>
        </w:rPr>
        <w:t>.</w:t>
      </w:r>
      <w:r>
        <w:rPr>
          <w:rFonts w:hint="eastAsia" w:ascii="宋体" w:hAnsi="宋体"/>
          <w:sz w:val="24"/>
          <w:szCs w:val="24"/>
          <w:highlight w:val="none"/>
        </w:rPr>
        <w:t>负责设计文件的技术交底并参与图纸会审；</w:t>
      </w:r>
    </w:p>
    <w:p w14:paraId="00499033">
      <w:pPr>
        <w:pStyle w:val="19"/>
        <w:spacing w:line="520" w:lineRule="exact"/>
        <w:ind w:left="275" w:leftChars="131" w:firstLine="480"/>
        <w:rPr>
          <w:rFonts w:hint="eastAsia" w:ascii="宋体" w:hAnsi="宋体" w:eastAsiaTheme="minorEastAsia"/>
          <w:sz w:val="24"/>
          <w:szCs w:val="24"/>
          <w:highlight w:val="none"/>
          <w:lang w:eastAsia="zh-CN"/>
        </w:rPr>
      </w:pPr>
      <w:r>
        <w:rPr>
          <w:rFonts w:hint="eastAsia" w:ascii="宋体" w:hAnsi="宋体"/>
          <w:sz w:val="24"/>
          <w:szCs w:val="24"/>
          <w:highlight w:val="none"/>
          <w:lang w:val="en-US" w:eastAsia="zh-CN"/>
        </w:rPr>
        <w:t>5</w:t>
      </w:r>
      <w:r>
        <w:rPr>
          <w:rFonts w:ascii="宋体" w:hAnsi="宋体"/>
          <w:sz w:val="24"/>
          <w:szCs w:val="24"/>
          <w:highlight w:val="none"/>
        </w:rPr>
        <w:t>.</w:t>
      </w:r>
      <w:r>
        <w:rPr>
          <w:rFonts w:hint="eastAsia" w:ascii="宋体" w:hAnsi="宋体"/>
          <w:sz w:val="24"/>
          <w:szCs w:val="24"/>
          <w:highlight w:val="none"/>
        </w:rPr>
        <w:t>解决在项目实施过程中与高/低压变配电所相关的技术问题；</w:t>
      </w:r>
    </w:p>
    <w:p w14:paraId="750CD169">
      <w:pPr>
        <w:pStyle w:val="19"/>
        <w:spacing w:line="520" w:lineRule="exact"/>
        <w:ind w:left="275" w:leftChars="131" w:firstLine="480"/>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.配合业主进行安装巡视及验收，并在必要时指导承包商进行调试、</w:t>
      </w:r>
      <w:r>
        <w:rPr>
          <w:rFonts w:ascii="宋体" w:hAnsi="宋体"/>
          <w:sz w:val="24"/>
          <w:szCs w:val="24"/>
          <w:highlight w:val="none"/>
        </w:rPr>
        <w:t>提交工程验收报告</w:t>
      </w:r>
      <w:r>
        <w:rPr>
          <w:rFonts w:hint="eastAsia" w:ascii="宋体" w:hAnsi="宋体"/>
          <w:sz w:val="24"/>
          <w:szCs w:val="24"/>
          <w:highlight w:val="none"/>
        </w:rPr>
        <w:t>及调试报告（含竣工图审核）；</w:t>
      </w:r>
    </w:p>
    <w:p w14:paraId="53F148C1">
      <w:pPr>
        <w:pStyle w:val="19"/>
        <w:spacing w:line="520" w:lineRule="exact"/>
        <w:ind w:left="275" w:leftChars="131" w:firstLine="480"/>
        <w:rPr>
          <w:rFonts w:hint="eastAsia"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.必要时安排相关设</w:t>
      </w:r>
      <w:r>
        <w:rPr>
          <w:rFonts w:hint="eastAsia" w:ascii="宋体" w:hAnsi="宋体"/>
          <w:sz w:val="24"/>
          <w:highlight w:val="none"/>
        </w:rPr>
        <w:t>计人员提供驻场服务，驻场服务的周期由发包人书面启</w:t>
      </w:r>
      <w:r>
        <w:rPr>
          <w:rFonts w:hint="eastAsia" w:ascii="宋体" w:hAnsi="宋体"/>
          <w:sz w:val="24"/>
          <w:szCs w:val="24"/>
          <w:highlight w:val="none"/>
        </w:rPr>
        <w:t>动时约定为准。</w:t>
      </w:r>
    </w:p>
    <w:p w14:paraId="629E2A18">
      <w:pPr>
        <w:pStyle w:val="19"/>
        <w:spacing w:line="520" w:lineRule="exact"/>
        <w:ind w:left="275" w:leftChars="131" w:firstLine="480"/>
        <w:rPr>
          <w:rFonts w:hint="eastAsia" w:ascii="宋体" w:hAnsi="宋体"/>
          <w:b/>
          <w:bCs/>
          <w:sz w:val="24"/>
          <w:szCs w:val="24"/>
          <w:highlight w:val="none"/>
        </w:rPr>
      </w:pPr>
      <w:r>
        <w:rPr>
          <w:rFonts w:hint="eastAsia" w:ascii="宋体" w:hAnsi="宋体"/>
          <w:b/>
          <w:bCs/>
          <w:sz w:val="24"/>
          <w:szCs w:val="24"/>
          <w:highlight w:val="none"/>
        </w:rPr>
        <w:t>（六）限额设计专篇</w:t>
      </w:r>
    </w:p>
    <w:p w14:paraId="692F49AC">
      <w:pPr>
        <w:pStyle w:val="19"/>
        <w:spacing w:line="520" w:lineRule="exact"/>
        <w:ind w:left="275" w:leftChars="131" w:firstLine="480"/>
        <w:rPr>
          <w:rFonts w:ascii="宋体" w:hAnsi="宋体"/>
          <w:sz w:val="24"/>
          <w:highlight w:val="none"/>
        </w:rPr>
      </w:pPr>
      <w:r>
        <w:rPr>
          <w:rFonts w:hint="eastAsia" w:ascii="宋体" w:hAnsi="宋体"/>
          <w:sz w:val="24"/>
          <w:szCs w:val="24"/>
          <w:highlight w:val="none"/>
        </w:rPr>
        <w:t>1、本工程项目投资必须按照建设单位及相关行政</w:t>
      </w:r>
      <w:r>
        <w:rPr>
          <w:rFonts w:hint="eastAsia" w:ascii="宋体" w:hAnsi="宋体"/>
          <w:sz w:val="24"/>
          <w:highlight w:val="none"/>
        </w:rPr>
        <w:t>主管部门要求的投资限额要求严格控制。建设单位据此制定投资分解目标，实行限额设计。在保证设计质量的前提下，设计单位应按投资限额进行设计，严格控制施工图设计的变更，确保工程概、预算不突破限额目标。</w:t>
      </w:r>
    </w:p>
    <w:p w14:paraId="69D22DF2">
      <w:pPr>
        <w:pStyle w:val="19"/>
        <w:spacing w:line="520" w:lineRule="exact"/>
        <w:ind w:left="275" w:leftChars="131" w:firstLine="480"/>
        <w:rPr>
          <w:rFonts w:ascii="宋体" w:hAnsi="宋体"/>
          <w:sz w:val="24"/>
          <w:highlight w:val="none"/>
        </w:rPr>
      </w:pPr>
      <w:r>
        <w:rPr>
          <w:rFonts w:hint="eastAsia" w:ascii="宋体" w:hAnsi="宋体"/>
          <w:sz w:val="24"/>
          <w:highlight w:val="none"/>
        </w:rPr>
        <w:t>2、设计单位应遵循功能适用、标准合理、经济合理的原则开展设计，在投资限额目标的基础上结合项目设计内容进一步分解投资，明确投资控制主要目标，在编制设计概、预算时逐步细化落实。</w:t>
      </w:r>
    </w:p>
    <w:p w14:paraId="076ED364">
      <w:pPr>
        <w:pStyle w:val="19"/>
        <w:spacing w:line="520" w:lineRule="exact"/>
        <w:ind w:left="275" w:leftChars="131" w:firstLine="480"/>
        <w:rPr>
          <w:rFonts w:ascii="宋体" w:hAnsi="宋体"/>
          <w:sz w:val="24"/>
          <w:highlight w:val="none"/>
        </w:rPr>
      </w:pPr>
      <w:r>
        <w:rPr>
          <w:rFonts w:hint="eastAsia" w:ascii="宋体" w:hAnsi="宋体"/>
          <w:sz w:val="24"/>
          <w:highlight w:val="none"/>
        </w:rPr>
        <w:t>3、设计单位应在设计进展过程中及阶段设计完成时，及时对已经完成的图纸内容进行估价，并与限额设计指标进行比较，使设计满足限额设计指标的要求。</w:t>
      </w:r>
    </w:p>
    <w:p w14:paraId="0BDDC210">
      <w:pPr>
        <w:pStyle w:val="19"/>
        <w:spacing w:line="520" w:lineRule="exact"/>
        <w:ind w:left="275" w:leftChars="131" w:firstLine="480"/>
        <w:rPr>
          <w:rFonts w:ascii="宋体" w:hAnsi="宋体"/>
          <w:sz w:val="24"/>
          <w:highlight w:val="none"/>
        </w:rPr>
      </w:pPr>
      <w:r>
        <w:rPr>
          <w:rFonts w:hint="eastAsia" w:ascii="宋体" w:hAnsi="宋体"/>
          <w:sz w:val="24"/>
          <w:highlight w:val="none"/>
        </w:rPr>
        <w:t>4、设计预算超过限额，应配合建设单位要求无偿重新调整或修改设计直至满足限额要求，并接受建设单位处罚。</w:t>
      </w:r>
    </w:p>
    <w:p w14:paraId="28DE94D5">
      <w:pPr>
        <w:spacing w:line="360" w:lineRule="auto"/>
        <w:ind w:left="105" w:leftChars="50" w:firstLine="480" w:firstLineChars="200"/>
        <w:rPr>
          <w:rFonts w:ascii="宋体" w:hAnsi="宋体"/>
          <w:sz w:val="24"/>
          <w:szCs w:val="24"/>
          <w:highlight w:val="none"/>
        </w:rPr>
      </w:pPr>
    </w:p>
    <w:p w14:paraId="1963190D">
      <w:pPr>
        <w:tabs>
          <w:tab w:val="left" w:pos="540"/>
        </w:tabs>
        <w:snapToGrid w:val="0"/>
        <w:spacing w:line="500" w:lineRule="exact"/>
        <w:rPr>
          <w:rFonts w:ascii="华文宋体" w:hAnsi="华文宋体" w:eastAsia="华文宋体" w:cs="华文宋体"/>
          <w:sz w:val="24"/>
          <w:highlight w:val="none"/>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MGNlMDY5YTJhNWFlYTMyMGMzMzFhNmVkMDdiOTkifQ=="/>
  </w:docVars>
  <w:rsids>
    <w:rsidRoot w:val="00C70E9C"/>
    <w:rsid w:val="00017DBA"/>
    <w:rsid w:val="000215CC"/>
    <w:rsid w:val="000F0665"/>
    <w:rsid w:val="000F14A8"/>
    <w:rsid w:val="00121F5E"/>
    <w:rsid w:val="00154CD2"/>
    <w:rsid w:val="001D03F3"/>
    <w:rsid w:val="002017B8"/>
    <w:rsid w:val="002145E7"/>
    <w:rsid w:val="00243423"/>
    <w:rsid w:val="00275751"/>
    <w:rsid w:val="002D0A19"/>
    <w:rsid w:val="00316339"/>
    <w:rsid w:val="004B2CE4"/>
    <w:rsid w:val="004D6D81"/>
    <w:rsid w:val="00517B0D"/>
    <w:rsid w:val="00546840"/>
    <w:rsid w:val="0055379C"/>
    <w:rsid w:val="00583158"/>
    <w:rsid w:val="0059174B"/>
    <w:rsid w:val="005F3060"/>
    <w:rsid w:val="00632EB9"/>
    <w:rsid w:val="00700498"/>
    <w:rsid w:val="007034CA"/>
    <w:rsid w:val="007A7A75"/>
    <w:rsid w:val="007C11FA"/>
    <w:rsid w:val="007E77E5"/>
    <w:rsid w:val="007F3CCA"/>
    <w:rsid w:val="00826F8C"/>
    <w:rsid w:val="00872371"/>
    <w:rsid w:val="008D4AB0"/>
    <w:rsid w:val="00935936"/>
    <w:rsid w:val="0096064E"/>
    <w:rsid w:val="009B2A7A"/>
    <w:rsid w:val="009F1F02"/>
    <w:rsid w:val="00AD732A"/>
    <w:rsid w:val="00AE2FEB"/>
    <w:rsid w:val="00B06E94"/>
    <w:rsid w:val="00B14A37"/>
    <w:rsid w:val="00BD490F"/>
    <w:rsid w:val="00C11CC0"/>
    <w:rsid w:val="00C70E9C"/>
    <w:rsid w:val="00CE6487"/>
    <w:rsid w:val="00D03781"/>
    <w:rsid w:val="00D32BD2"/>
    <w:rsid w:val="00D5304B"/>
    <w:rsid w:val="00D545BD"/>
    <w:rsid w:val="00E80689"/>
    <w:rsid w:val="00EE015B"/>
    <w:rsid w:val="00F47AE5"/>
    <w:rsid w:val="00FA51B6"/>
    <w:rsid w:val="013A4146"/>
    <w:rsid w:val="02CA6CDB"/>
    <w:rsid w:val="02D91DBA"/>
    <w:rsid w:val="047563BF"/>
    <w:rsid w:val="04C55F3D"/>
    <w:rsid w:val="0634305D"/>
    <w:rsid w:val="064B223C"/>
    <w:rsid w:val="07120865"/>
    <w:rsid w:val="07E64C3E"/>
    <w:rsid w:val="0A4D72DA"/>
    <w:rsid w:val="0BA2004B"/>
    <w:rsid w:val="0D2C62DE"/>
    <w:rsid w:val="0D3172B1"/>
    <w:rsid w:val="0D9D4D39"/>
    <w:rsid w:val="0FE53DF7"/>
    <w:rsid w:val="11204517"/>
    <w:rsid w:val="128679E9"/>
    <w:rsid w:val="12BB5397"/>
    <w:rsid w:val="13225964"/>
    <w:rsid w:val="13495CEF"/>
    <w:rsid w:val="14574C35"/>
    <w:rsid w:val="14E66C05"/>
    <w:rsid w:val="178D1819"/>
    <w:rsid w:val="1B15036D"/>
    <w:rsid w:val="1BDE1AA5"/>
    <w:rsid w:val="1D50145C"/>
    <w:rsid w:val="1DD045B0"/>
    <w:rsid w:val="1E256308"/>
    <w:rsid w:val="209E4F02"/>
    <w:rsid w:val="20DC7CCA"/>
    <w:rsid w:val="25A641D2"/>
    <w:rsid w:val="267465B1"/>
    <w:rsid w:val="28385B2E"/>
    <w:rsid w:val="2CE46D9B"/>
    <w:rsid w:val="2DD87F59"/>
    <w:rsid w:val="2F9C409B"/>
    <w:rsid w:val="3423448E"/>
    <w:rsid w:val="37F73DA7"/>
    <w:rsid w:val="3B3F2C29"/>
    <w:rsid w:val="3B42586A"/>
    <w:rsid w:val="3BB4150E"/>
    <w:rsid w:val="3C9179DB"/>
    <w:rsid w:val="3DBE4B34"/>
    <w:rsid w:val="3E56107B"/>
    <w:rsid w:val="3F4E1030"/>
    <w:rsid w:val="3FF7445C"/>
    <w:rsid w:val="423A6D1A"/>
    <w:rsid w:val="42CE6661"/>
    <w:rsid w:val="440A399A"/>
    <w:rsid w:val="47C73869"/>
    <w:rsid w:val="47D7688E"/>
    <w:rsid w:val="47EA26D1"/>
    <w:rsid w:val="48750C55"/>
    <w:rsid w:val="49CC2B5E"/>
    <w:rsid w:val="4A282BAC"/>
    <w:rsid w:val="4A6970C1"/>
    <w:rsid w:val="4B51270B"/>
    <w:rsid w:val="4D5A1A78"/>
    <w:rsid w:val="4D6A0C67"/>
    <w:rsid w:val="50CC5292"/>
    <w:rsid w:val="5393233F"/>
    <w:rsid w:val="54B41BB8"/>
    <w:rsid w:val="56157F62"/>
    <w:rsid w:val="58C77702"/>
    <w:rsid w:val="598A738C"/>
    <w:rsid w:val="5BD238F2"/>
    <w:rsid w:val="60B6140E"/>
    <w:rsid w:val="61A72F69"/>
    <w:rsid w:val="64CD49D5"/>
    <w:rsid w:val="651F1A58"/>
    <w:rsid w:val="66FA40AA"/>
    <w:rsid w:val="67C76693"/>
    <w:rsid w:val="68333DC0"/>
    <w:rsid w:val="6E343EE8"/>
    <w:rsid w:val="6EA21ABB"/>
    <w:rsid w:val="6EB74327"/>
    <w:rsid w:val="701C3D44"/>
    <w:rsid w:val="73A776D4"/>
    <w:rsid w:val="742346DD"/>
    <w:rsid w:val="768C287B"/>
    <w:rsid w:val="773C74D2"/>
    <w:rsid w:val="795A422D"/>
    <w:rsid w:val="7B7339E4"/>
    <w:rsid w:val="7D345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4"/>
    <w:basedOn w:val="1"/>
    <w:next w:val="1"/>
    <w:autoRedefine/>
    <w:qFormat/>
    <w:uiPriority w:val="0"/>
    <w:pPr>
      <w:keepNext/>
      <w:keepLines/>
      <w:adjustRightInd w:val="0"/>
      <w:snapToGrid w:val="0"/>
      <w:outlineLvl w:val="3"/>
    </w:pPr>
    <w:rPr>
      <w:rFonts w:ascii="Arial" w:hAnsi="Arial"/>
      <w:bCs/>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3"/>
    <w:autoRedefine/>
    <w:qFormat/>
    <w:uiPriority w:val="99"/>
    <w:rPr>
      <w:rFonts w:ascii="宋体" w:hAnsi="Courier New" w:eastAsia="宋体"/>
      <w:kern w:val="0"/>
      <w:szCs w:val="20"/>
    </w:rPr>
  </w:style>
  <w:style w:type="paragraph" w:styleId="4">
    <w:name w:val="Normal Indent"/>
    <w:basedOn w:val="1"/>
    <w:next w:val="1"/>
    <w:unhideWhenUsed/>
    <w:qFormat/>
    <w:uiPriority w:val="0"/>
    <w:pPr>
      <w:ind w:firstLine="420" w:firstLineChars="200"/>
    </w:pPr>
  </w:style>
  <w:style w:type="paragraph" w:styleId="5">
    <w:name w:val="Balloon Text"/>
    <w:basedOn w:val="1"/>
    <w:link w:val="18"/>
    <w:autoRedefine/>
    <w:semiHidden/>
    <w:unhideWhenUsed/>
    <w:qFormat/>
    <w:uiPriority w:val="99"/>
    <w:rPr>
      <w:sz w:val="18"/>
      <w:szCs w:val="18"/>
    </w:rPr>
  </w:style>
  <w:style w:type="paragraph" w:styleId="6">
    <w:name w:val="footer"/>
    <w:basedOn w:val="1"/>
    <w:link w:val="15"/>
    <w:autoRedefine/>
    <w:unhideWhenUsed/>
    <w:qFormat/>
    <w:uiPriority w:val="99"/>
    <w:pPr>
      <w:tabs>
        <w:tab w:val="center" w:pos="4153"/>
        <w:tab w:val="right" w:pos="8306"/>
      </w:tabs>
      <w:snapToGrid w:val="0"/>
      <w:jc w:val="left"/>
    </w:pPr>
    <w:rPr>
      <w:kern w:val="2"/>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kern w:val="2"/>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Courier New"/>
      <w:sz w:val="24"/>
      <w:szCs w:val="24"/>
    </w:rPr>
  </w:style>
  <w:style w:type="table" w:styleId="10">
    <w:name w:val="Table Grid"/>
    <w:basedOn w:val="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Normal Indent1"/>
    <w:basedOn w:val="1"/>
    <w:autoRedefine/>
    <w:qFormat/>
    <w:uiPriority w:val="0"/>
    <w:pPr>
      <w:ind w:firstLine="420" w:firstLineChars="200"/>
    </w:pPr>
  </w:style>
  <w:style w:type="paragraph" w:customStyle="1" w:styleId="13">
    <w:name w:val="表格"/>
    <w:basedOn w:val="1"/>
    <w:next w:val="1"/>
    <w:autoRedefine/>
    <w:qFormat/>
    <w:uiPriority w:val="0"/>
    <w:pPr>
      <w:jc w:val="center"/>
    </w:pPr>
    <w:rPr>
      <w:sz w:val="24"/>
    </w:rPr>
  </w:style>
  <w:style w:type="character" w:customStyle="1" w:styleId="14">
    <w:name w:val="页眉 字符"/>
    <w:basedOn w:val="11"/>
    <w:link w:val="7"/>
    <w:autoRedefine/>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lm1"/>
    <w:autoRedefine/>
    <w:qFormat/>
    <w:uiPriority w:val="0"/>
    <w:rPr>
      <w:color w:val="000000"/>
      <w:sz w:val="20"/>
      <w:szCs w:val="20"/>
      <w:u w:val="none"/>
    </w:rPr>
  </w:style>
  <w:style w:type="character" w:customStyle="1" w:styleId="17">
    <w:name w:val="txt1"/>
    <w:autoRedefine/>
    <w:qFormat/>
    <w:uiPriority w:val="0"/>
    <w:rPr>
      <w:color w:val="000000"/>
      <w:sz w:val="18"/>
      <w:szCs w:val="18"/>
      <w:u w:val="none"/>
    </w:rPr>
  </w:style>
  <w:style w:type="character" w:customStyle="1" w:styleId="18">
    <w:name w:val="批注框文本 字符"/>
    <w:basedOn w:val="11"/>
    <w:link w:val="5"/>
    <w:autoRedefine/>
    <w:semiHidden/>
    <w:qFormat/>
    <w:uiPriority w:val="99"/>
    <w:rPr>
      <w:kern w:val="0"/>
      <w:sz w:val="18"/>
      <w:szCs w:val="18"/>
    </w:rPr>
  </w:style>
  <w:style w:type="paragraph" w:styleId="19">
    <w:name w:val="List Paragraph"/>
    <w:basedOn w:val="1"/>
    <w:autoRedefine/>
    <w:qFormat/>
    <w:uiPriority w:val="34"/>
    <w:pPr>
      <w:ind w:firstLine="420" w:firstLineChars="200"/>
    </w:pPr>
  </w:style>
  <w:style w:type="paragraph" w:customStyle="1" w:styleId="20">
    <w:name w:val="p0"/>
    <w:basedOn w:val="1"/>
    <w:autoRedefine/>
    <w:qFormat/>
    <w:uiPriority w:val="0"/>
    <w:pPr>
      <w:widowControl/>
    </w:pPr>
    <w:rPr>
      <w:rFonts w:cs="宋体"/>
      <w:szCs w:val="21"/>
    </w:rPr>
  </w:style>
  <w:style w:type="paragraph" w:customStyle="1" w:styleId="21">
    <w:name w:val="样式 宋体 小四 行距: 1.5 倍行距"/>
    <w:basedOn w:val="1"/>
    <w:autoRedefine/>
    <w:qFormat/>
    <w:uiPriority w:val="0"/>
    <w:pPr>
      <w:ind w:firstLine="480"/>
    </w:pPr>
    <w:rPr>
      <w:rFonts w:ascii="宋体" w:hAnsi="宋体"/>
      <w:kern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AA8DC-010D-43F6-8617-C7F9DF2BB23C}">
  <ds:schemaRefs/>
</ds:datastoreItem>
</file>

<file path=docProps/app.xml><?xml version="1.0" encoding="utf-8"?>
<Properties xmlns="http://schemas.openxmlformats.org/officeDocument/2006/extended-properties" xmlns:vt="http://schemas.openxmlformats.org/officeDocument/2006/docPropsVTypes">
  <Template>Normal.dotm</Template>
  <Company>CSWADI</Company>
  <Pages>13</Pages>
  <Words>7267</Words>
  <Characters>8198</Characters>
  <Lines>54</Lines>
  <Paragraphs>15</Paragraphs>
  <TotalTime>0</TotalTime>
  <ScaleCrop>false</ScaleCrop>
  <LinksUpToDate>false</LinksUpToDate>
  <CharactersWithSpaces>8271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2023-07-20T01:21:00Z</dcterms:created>
  <dc:creator>ting</dc:creator>
  <cp:lastModifiedBy>姚</cp:lastModifiedBy>
  <dcterms:modified xsi:type="dcterms:W3CDTF">2024-09-12T06:09:37Z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53168FFA523447579B7BC1BF394E6304_13</vt:lpwstr>
  </property>
</Properties>
</file>