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8E9CBE">
      <w:pPr>
        <w:wordWrap/>
        <w:topLinePunct w:val="0"/>
        <w:spacing w:after="120"/>
        <w:ind w:firstLine="0" w:firstLineChars="0"/>
        <w:rPr>
          <w:rFonts w:ascii="仿宋" w:hAnsi="仿宋" w:eastAsia="仿宋" w:cs="仿宋"/>
          <w:sz w:val="32"/>
          <w:szCs w:val="32"/>
        </w:rPr>
      </w:pPr>
      <w:r>
        <w:rPr>
          <w:rFonts w:hint="eastAsia" w:ascii="仿宋" w:hAnsi="仿宋" w:eastAsia="仿宋" w:cs="仿宋"/>
          <w:sz w:val="32"/>
          <w:szCs w:val="32"/>
        </w:rPr>
        <w:t>GF-2020-0216</w:t>
      </w:r>
    </w:p>
    <w:p w14:paraId="478F7177">
      <w:pPr>
        <w:wordWrap/>
        <w:topLinePunct w:val="0"/>
        <w:spacing w:after="120"/>
      </w:pPr>
    </w:p>
    <w:p w14:paraId="0B9733E9">
      <w:pPr>
        <w:wordWrap/>
        <w:topLinePunct w:val="0"/>
        <w:spacing w:after="120"/>
      </w:pPr>
    </w:p>
    <w:p w14:paraId="6880C060">
      <w:pPr>
        <w:wordWrap/>
        <w:topLinePunct w:val="0"/>
        <w:spacing w:after="120"/>
      </w:pPr>
    </w:p>
    <w:p w14:paraId="41B8E2B1">
      <w:pPr>
        <w:wordWrap/>
        <w:topLinePunct w:val="0"/>
        <w:spacing w:after="120"/>
      </w:pPr>
    </w:p>
    <w:p w14:paraId="569910DB">
      <w:pPr>
        <w:wordWrap/>
        <w:topLinePunct w:val="0"/>
        <w:spacing w:after="120"/>
      </w:pPr>
    </w:p>
    <w:p w14:paraId="35A8C71A">
      <w:pPr>
        <w:spacing w:after="120"/>
        <w:ind w:firstLine="0" w:firstLineChars="0"/>
        <w:rPr>
          <w:rFonts w:ascii="仿宋" w:hAnsi="仿宋" w:eastAsia="仿宋" w:cs="仿宋"/>
          <w:bCs/>
          <w:kern w:val="2"/>
          <w:sz w:val="52"/>
          <w:szCs w:val="52"/>
          <w:lang w:val="zh-CN"/>
        </w:rPr>
      </w:pPr>
      <w:r>
        <w:rPr>
          <w:rFonts w:hint="eastAsia" w:ascii="仿宋" w:hAnsi="仿宋" w:eastAsia="仿宋" w:cs="仿宋"/>
          <w:bCs/>
          <w:kern w:val="2"/>
          <w:sz w:val="72"/>
          <w:szCs w:val="72"/>
          <w:lang w:val="zh-CN"/>
        </w:rPr>
        <w:t>建设项目工程总承包合同</w:t>
      </w:r>
    </w:p>
    <w:p w14:paraId="637785F6">
      <w:pPr>
        <w:spacing w:after="120"/>
        <w:ind w:firstLine="2600" w:firstLineChars="500"/>
        <w:rPr>
          <w:rFonts w:ascii="仿宋" w:hAnsi="仿宋" w:eastAsia="仿宋" w:cs="仿宋"/>
          <w:bCs/>
          <w:kern w:val="2"/>
          <w:sz w:val="52"/>
          <w:szCs w:val="52"/>
          <w:lang w:val="zh-CN"/>
        </w:rPr>
      </w:pPr>
      <w:r>
        <w:rPr>
          <w:rFonts w:hint="eastAsia" w:ascii="仿宋" w:hAnsi="仿宋" w:eastAsia="仿宋" w:cs="仿宋"/>
          <w:bCs/>
          <w:kern w:val="2"/>
          <w:sz w:val="52"/>
          <w:szCs w:val="52"/>
          <w:lang w:val="zh-CN"/>
        </w:rPr>
        <w:t>（示范文本）</w:t>
      </w:r>
    </w:p>
    <w:p w14:paraId="1B48A3A0">
      <w:pPr>
        <w:spacing w:after="120"/>
      </w:pPr>
    </w:p>
    <w:p w14:paraId="0CF296EB">
      <w:pPr>
        <w:spacing w:after="120"/>
      </w:pPr>
    </w:p>
    <w:p w14:paraId="0E938B86">
      <w:pPr>
        <w:spacing w:after="120"/>
      </w:pPr>
    </w:p>
    <w:p w14:paraId="6E08AC83">
      <w:pPr>
        <w:spacing w:after="120"/>
      </w:pPr>
    </w:p>
    <w:p w14:paraId="32642FB3">
      <w:pPr>
        <w:spacing w:after="120"/>
      </w:pPr>
    </w:p>
    <w:p w14:paraId="2750E103">
      <w:pPr>
        <w:pStyle w:val="124"/>
        <w:framePr w:wrap="around"/>
        <w:spacing w:after="120"/>
        <w:rPr>
          <w:rFonts w:ascii="华文中宋" w:hAnsi="华文中宋" w:eastAsia="华文中宋"/>
          <w:sz w:val="40"/>
          <w:szCs w:val="40"/>
        </w:rPr>
      </w:pPr>
    </w:p>
    <w:p w14:paraId="53CE3BAF">
      <w:pPr>
        <w:spacing w:after="120"/>
      </w:pPr>
    </w:p>
    <w:p w14:paraId="51341C42">
      <w:pPr>
        <w:pStyle w:val="26"/>
        <w:spacing w:after="120"/>
      </w:pPr>
    </w:p>
    <w:p w14:paraId="2D9F346D">
      <w:pPr>
        <w:pStyle w:val="124"/>
        <w:framePr w:wrap="around"/>
        <w:spacing w:after="120"/>
        <w:rPr>
          <w:rFonts w:hAnsi="宋体"/>
          <w:sz w:val="32"/>
          <w:szCs w:val="32"/>
        </w:rPr>
      </w:pPr>
    </w:p>
    <w:p w14:paraId="11BF5BED">
      <w:pPr>
        <w:wordWrap/>
        <w:topLinePunct w:val="0"/>
        <w:spacing w:after="120"/>
        <w:ind w:right="934" w:rightChars="389" w:firstLine="0" w:firstLineChars="0"/>
        <w:jc w:val="distribute"/>
        <w:rPr>
          <w:rFonts w:ascii="仿宋" w:hAnsi="仿宋" w:eastAsia="仿宋" w:cs="仿宋"/>
          <w:b/>
          <w:bCs/>
          <w:sz w:val="32"/>
          <w:szCs w:val="32"/>
        </w:rPr>
      </w:pPr>
      <w:r>
        <w:rPr>
          <w:rFonts w:hint="eastAsia" w:ascii="仿宋" w:hAnsi="仿宋" w:eastAsia="仿宋" w:cs="仿宋"/>
          <w:b/>
          <w:bCs/>
          <w:sz w:val="32"/>
          <w:szCs w:val="32"/>
        </w:rPr>
        <w:t xml:space="preserve">         中华人民共和国住房和城乡建设部</w:t>
      </w:r>
    </w:p>
    <w:p w14:paraId="6DA1EBBC">
      <w:pPr>
        <w:wordWrap/>
        <w:topLinePunct w:val="0"/>
        <w:spacing w:after="120"/>
        <w:ind w:right="1925" w:rightChars="802" w:firstLine="0" w:firstLineChars="0"/>
        <w:jc w:val="distribute"/>
        <w:rPr>
          <w:rFonts w:ascii="仿宋" w:hAnsi="仿宋" w:eastAsia="仿宋" w:cs="仿宋"/>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20" w:footer="998" w:gutter="0"/>
          <w:pgNumType w:start="1"/>
          <w:cols w:space="720" w:num="1"/>
          <w:titlePg/>
          <w:docGrid w:linePitch="326" w:charSpace="0"/>
        </w:sectPr>
      </w:pPr>
      <w:r>
        <w:rPr>
          <w:rFonts w:hint="eastAsia" w:ascii="仿宋" w:hAnsi="仿宋" w:eastAsia="仿宋" w:cs="仿宋"/>
          <w:b/>
          <w:sz w:val="32"/>
          <w:szCs w:val="28"/>
        </w:rPr>
        <w:t xml:space="preserve">                国家</w:t>
      </w:r>
      <w:r>
        <w:rPr>
          <w:rFonts w:hint="eastAsia" w:ascii="仿宋" w:hAnsi="仿宋" w:eastAsia="仿宋" w:cs="仿宋"/>
          <w:b/>
          <w:bCs/>
          <w:sz w:val="32"/>
          <w:szCs w:val="32"/>
        </w:rPr>
        <w:t>市场监</w:t>
      </w:r>
      <w:r>
        <w:rPr>
          <w:rFonts w:hint="eastAsia" w:ascii="仿宋" w:hAnsi="仿宋" w:eastAsia="仿宋" w:cs="仿宋"/>
          <w:b/>
          <w:sz w:val="32"/>
          <w:szCs w:val="28"/>
        </w:rPr>
        <w:t>督</w:t>
      </w:r>
      <w:r>
        <w:rPr>
          <w:rFonts w:hint="eastAsia" w:ascii="仿宋" w:hAnsi="仿宋" w:eastAsia="仿宋" w:cs="仿宋"/>
          <w:b/>
          <w:bCs/>
          <w:sz w:val="32"/>
          <w:szCs w:val="32"/>
        </w:rPr>
        <w:t>管理总</w:t>
      </w:r>
      <w:bookmarkStart w:id="1282" w:name="_GoBack"/>
      <w:bookmarkEnd w:id="1282"/>
      <w:r>
        <w:rPr>
          <w:rFonts w:hint="eastAsia" w:ascii="仿宋" w:hAnsi="仿宋" w:eastAsia="仿宋" w:cs="仿宋"/>
          <w:b/>
          <w:bCs/>
          <w:sz w:val="32"/>
          <w:szCs w:val="32"/>
        </w:rPr>
        <w:t>局</w:t>
      </w:r>
    </w:p>
    <w:p w14:paraId="60BEDDD1">
      <w:pPr>
        <w:wordWrap/>
        <w:topLinePunct w:val="0"/>
        <w:spacing w:after="120"/>
        <w:ind w:firstLine="0" w:firstLineChars="0"/>
        <w:rPr>
          <w:rFonts w:ascii="仿宋_GB2312" w:eastAsia="仿宋_GB2312"/>
          <w:sz w:val="28"/>
          <w:szCs w:val="28"/>
        </w:rPr>
      </w:pPr>
      <w:r>
        <w:rPr>
          <w:rFonts w:hint="eastAsia" w:ascii="仿宋_GB2312" w:eastAsia="仿宋_GB2312"/>
          <w:sz w:val="28"/>
          <w:szCs w:val="28"/>
        </w:rPr>
        <w:t xml:space="preserve">    为指导建设项目工程总承包合同当事人的签约行为，维护合同当事人的合法权益，依据《中华人民共和国民法典》、《中华人民共和国建筑法》、《中华人民共和国招标投标法》以及相关法律、法规，住房和城乡建设部、市场监管总局对《建设项目工程总承包合同示范文本（试行）》（</w:t>
      </w:r>
      <w:r>
        <w:rPr>
          <w:rFonts w:ascii="仿宋_GB2312" w:eastAsia="仿宋_GB2312"/>
          <w:sz w:val="28"/>
          <w:szCs w:val="28"/>
        </w:rPr>
        <w:t>GF-2011-0216）进行了修订，制定了《建设项目工程总承包合同（示范文本）》（GF-2020-0216）（以下简称《示范文本》）。现就有关问题说明如下：</w:t>
      </w:r>
    </w:p>
    <w:p w14:paraId="6A8A480B">
      <w:pPr>
        <w:pStyle w:val="126"/>
        <w:spacing w:after="120"/>
        <w:ind w:left="0" w:firstLine="560" w:firstLineChars="200"/>
        <w:rPr>
          <w:rFonts w:ascii="仿宋_GB2312" w:eastAsia="仿宋_GB2312"/>
          <w:kern w:val="0"/>
          <w:sz w:val="28"/>
          <w:szCs w:val="28"/>
        </w:rPr>
      </w:pPr>
      <w:bookmarkStart w:id="0" w:name="_Toc521079598"/>
      <w:r>
        <w:rPr>
          <w:rFonts w:hint="eastAsia" w:ascii="仿宋_GB2312" w:eastAsia="仿宋_GB2312"/>
          <w:kern w:val="0"/>
          <w:sz w:val="28"/>
          <w:szCs w:val="28"/>
        </w:rPr>
        <w:t>一、《示范文本》的组成</w:t>
      </w:r>
      <w:bookmarkEnd w:id="0"/>
    </w:p>
    <w:p w14:paraId="290F04C9">
      <w:pPr>
        <w:wordWrap/>
        <w:topLinePunct w:val="0"/>
        <w:spacing w:after="120"/>
        <w:ind w:firstLine="560"/>
        <w:rPr>
          <w:rFonts w:ascii="仿宋_GB2312" w:eastAsia="仿宋_GB2312"/>
          <w:sz w:val="28"/>
          <w:szCs w:val="28"/>
        </w:rPr>
      </w:pPr>
      <w:r>
        <w:rPr>
          <w:rFonts w:hint="eastAsia" w:ascii="仿宋_GB2312" w:eastAsia="仿宋_GB2312"/>
          <w:sz w:val="28"/>
          <w:szCs w:val="28"/>
        </w:rPr>
        <w:t>《示范文本》由合同协议书、通用合同条件和专用合同条件三部分组成。</w:t>
      </w:r>
    </w:p>
    <w:p w14:paraId="0AEA4486">
      <w:pPr>
        <w:wordWrap/>
        <w:topLinePunct w:val="0"/>
        <w:spacing w:after="120"/>
        <w:ind w:firstLine="560"/>
        <w:rPr>
          <w:rFonts w:ascii="仿宋_GB2312" w:eastAsia="仿宋_GB2312"/>
          <w:sz w:val="28"/>
          <w:szCs w:val="28"/>
        </w:rPr>
      </w:pPr>
      <w:bookmarkStart w:id="1" w:name="_Toc521079599"/>
      <w:r>
        <w:rPr>
          <w:rFonts w:hint="eastAsia" w:ascii="仿宋_GB2312" w:eastAsia="仿宋_GB2312"/>
          <w:sz w:val="28"/>
          <w:szCs w:val="28"/>
        </w:rPr>
        <w:t>（一）合同协议书</w:t>
      </w:r>
      <w:bookmarkEnd w:id="1"/>
    </w:p>
    <w:p w14:paraId="1E2D96EE">
      <w:pPr>
        <w:wordWrap/>
        <w:topLinePunct w:val="0"/>
        <w:spacing w:after="120"/>
        <w:ind w:firstLine="560"/>
        <w:rPr>
          <w:rFonts w:ascii="仿宋_GB2312" w:eastAsia="仿宋_GB2312"/>
          <w:sz w:val="28"/>
          <w:szCs w:val="28"/>
        </w:rPr>
      </w:pPr>
      <w:r>
        <w:rPr>
          <w:rFonts w:hint="eastAsia" w:ascii="仿宋_GB2312" w:eastAsia="仿宋_GB2312"/>
          <w:sz w:val="28"/>
          <w:szCs w:val="28"/>
        </w:rPr>
        <w:t>《示范文本》合同协议书共计</w:t>
      </w:r>
      <w:r>
        <w:rPr>
          <w:rFonts w:ascii="仿宋_GB2312" w:eastAsia="仿宋_GB2312"/>
          <w:sz w:val="28"/>
          <w:szCs w:val="28"/>
        </w:rPr>
        <w:t>11</w:t>
      </w:r>
      <w:r>
        <w:rPr>
          <w:rFonts w:hint="eastAsia" w:ascii="仿宋_GB2312" w:eastAsia="仿宋_GB2312"/>
          <w:sz w:val="28"/>
          <w:szCs w:val="28"/>
        </w:rPr>
        <w:t>条，主要包括：工程概况、合同工期、质量标准、签约合同价与合同价格形式、工程总承包项目经理、合同文件构成、承诺、订立时间、订立地点、合同生效和合同份数，集中约定了合同当事人基本的合同权利义务。</w:t>
      </w:r>
    </w:p>
    <w:p w14:paraId="70C087AA">
      <w:pPr>
        <w:wordWrap/>
        <w:topLinePunct w:val="0"/>
        <w:spacing w:after="120"/>
        <w:ind w:firstLine="560"/>
        <w:rPr>
          <w:rFonts w:ascii="仿宋_GB2312" w:eastAsia="仿宋_GB2312"/>
          <w:sz w:val="28"/>
          <w:szCs w:val="28"/>
        </w:rPr>
      </w:pPr>
      <w:bookmarkStart w:id="2" w:name="_Toc521079600"/>
      <w:r>
        <w:rPr>
          <w:rFonts w:hint="eastAsia" w:ascii="仿宋_GB2312" w:eastAsia="仿宋_GB2312"/>
          <w:sz w:val="28"/>
          <w:szCs w:val="28"/>
        </w:rPr>
        <w:t>（二）通用合同条件</w:t>
      </w:r>
      <w:bookmarkEnd w:id="2"/>
    </w:p>
    <w:p w14:paraId="3D9DF4C9">
      <w:pPr>
        <w:wordWrap/>
        <w:topLinePunct w:val="0"/>
        <w:spacing w:after="120"/>
        <w:ind w:firstLine="560"/>
        <w:rPr>
          <w:rFonts w:ascii="仿宋_GB2312" w:eastAsia="仿宋_GB2312"/>
          <w:sz w:val="28"/>
          <w:szCs w:val="28"/>
        </w:rPr>
      </w:pPr>
      <w:r>
        <w:rPr>
          <w:rFonts w:hint="eastAsia" w:ascii="仿宋_GB2312" w:eastAsia="仿宋_GB2312"/>
          <w:sz w:val="28"/>
          <w:szCs w:val="28"/>
        </w:rPr>
        <w:t>通用合同条件是合同当事人根据《中华人民共和国民法典》、《中华人民共和国建筑法》等法律法规的规定，就工程总承包项目的实施及相关事项，对合同当事人的权利义务作出的原则性约定。通用合同条件共计</w:t>
      </w:r>
      <w:r>
        <w:rPr>
          <w:rFonts w:ascii="仿宋_GB2312" w:eastAsia="仿宋_GB2312"/>
          <w:sz w:val="28"/>
          <w:szCs w:val="28"/>
        </w:rPr>
        <w:t>20条，具体条款分别为：</w:t>
      </w:r>
      <w:bookmarkStart w:id="3" w:name="_Hlk54448922"/>
      <w:r>
        <w:rPr>
          <w:rFonts w:hint="eastAsia" w:ascii="仿宋_GB2312" w:eastAsia="仿宋_GB2312"/>
          <w:sz w:val="28"/>
          <w:szCs w:val="28"/>
        </w:rPr>
        <w:t>第</w:t>
      </w:r>
      <w:r>
        <w:rPr>
          <w:rFonts w:ascii="仿宋_GB2312" w:eastAsia="仿宋_GB2312"/>
          <w:sz w:val="28"/>
          <w:szCs w:val="28"/>
        </w:rPr>
        <w:t>1条 一般约定，第2条 发包人，第3条 发包人的管理，第4条 承包人，第5条 设计，第6条 材料、工程设备，第7条 施工，第8条 工期和进度，第9条 竣工试验，第10条 验收和工程接收，第11条 缺陷责任与保修，第12条 竣工后试验，第13条 变更与调整，第14条 合同价格与支付，第15条 违约，第16条 合同解除，第17条 不可抗力，第18条 保险，第19条 索赔，第20条 争议解决</w:t>
      </w:r>
      <w:r>
        <w:rPr>
          <w:rFonts w:hint="eastAsia" w:ascii="仿宋_GB2312" w:eastAsia="仿宋_GB2312"/>
          <w:sz w:val="28"/>
          <w:szCs w:val="28"/>
        </w:rPr>
        <w:t>。</w:t>
      </w:r>
      <w:bookmarkEnd w:id="3"/>
      <w:r>
        <w:rPr>
          <w:rFonts w:hint="eastAsia" w:ascii="仿宋_GB2312" w:eastAsia="仿宋_GB2312"/>
          <w:sz w:val="28"/>
          <w:szCs w:val="28"/>
        </w:rPr>
        <w:t>前述条款安排既考虑了现行法律法规对工程总承包活动的有关要求，也考虑了工程总承包项目管理的实际需要。</w:t>
      </w:r>
    </w:p>
    <w:p w14:paraId="41FD1315">
      <w:pPr>
        <w:wordWrap/>
        <w:topLinePunct w:val="0"/>
        <w:spacing w:after="120"/>
        <w:ind w:firstLine="560"/>
        <w:rPr>
          <w:rFonts w:ascii="仿宋_GB2312" w:eastAsia="仿宋_GB2312"/>
          <w:sz w:val="28"/>
          <w:szCs w:val="28"/>
        </w:rPr>
      </w:pPr>
      <w:bookmarkStart w:id="4" w:name="_Toc521079601"/>
      <w:r>
        <w:rPr>
          <w:rFonts w:hint="eastAsia" w:ascii="仿宋_GB2312" w:eastAsia="仿宋_GB2312"/>
          <w:sz w:val="28"/>
          <w:szCs w:val="28"/>
        </w:rPr>
        <w:t>（三）专用合同条件</w:t>
      </w:r>
      <w:bookmarkEnd w:id="4"/>
    </w:p>
    <w:p w14:paraId="463DBA91">
      <w:pPr>
        <w:wordWrap/>
        <w:topLinePunct w:val="0"/>
        <w:spacing w:after="120"/>
        <w:ind w:firstLine="560"/>
        <w:rPr>
          <w:rFonts w:ascii="仿宋_GB2312" w:eastAsia="仿宋_GB2312"/>
          <w:sz w:val="28"/>
          <w:szCs w:val="28"/>
        </w:rPr>
      </w:pPr>
      <w:r>
        <w:rPr>
          <w:rFonts w:hint="eastAsia" w:ascii="仿宋_GB2312" w:eastAsia="仿宋_GB2312"/>
          <w:sz w:val="28"/>
          <w:szCs w:val="28"/>
        </w:rPr>
        <w:t>专用合同条件是合同当事人根据不同建设项目的特点及具体情况，通过双方的谈判、协商对通用合同条件原则性约定细化、完善、补充、修改或另行约定的合同条件。在编写专用合同条件时，应注意以下事项：</w:t>
      </w:r>
    </w:p>
    <w:p w14:paraId="5A7CE464">
      <w:pPr>
        <w:wordWrap/>
        <w:topLinePunct w:val="0"/>
        <w:spacing w:after="120"/>
        <w:ind w:firstLine="560"/>
        <w:rPr>
          <w:rFonts w:ascii="仿宋_GB2312" w:eastAsia="仿宋_GB2312"/>
          <w:sz w:val="28"/>
          <w:szCs w:val="28"/>
        </w:rPr>
      </w:pPr>
      <w:r>
        <w:rPr>
          <w:rFonts w:ascii="仿宋_GB2312" w:eastAsia="仿宋_GB2312"/>
          <w:sz w:val="28"/>
          <w:szCs w:val="28"/>
        </w:rPr>
        <w:t>1.专用合同条件的编号应与相应的通用合同条件的编号一致；</w:t>
      </w:r>
    </w:p>
    <w:p w14:paraId="2D461084">
      <w:pPr>
        <w:wordWrap/>
        <w:topLinePunct w:val="0"/>
        <w:spacing w:after="120"/>
        <w:ind w:firstLine="560"/>
        <w:rPr>
          <w:rFonts w:ascii="仿宋_GB2312" w:eastAsia="仿宋_GB2312"/>
          <w:sz w:val="28"/>
          <w:szCs w:val="28"/>
        </w:rPr>
      </w:pPr>
      <w:r>
        <w:rPr>
          <w:rFonts w:ascii="仿宋_GB2312" w:eastAsia="仿宋_GB2312"/>
          <w:sz w:val="28"/>
          <w:szCs w:val="28"/>
        </w:rPr>
        <w:t>2.在专用合同条件中有横道线的地方，合同当事人可针对相应的通用合同条件进行细化、完善、补充、修改或另行约定；如无细化、完善、补充、修改或另行约定，则填写“无”或划“/”；</w:t>
      </w:r>
    </w:p>
    <w:p w14:paraId="403A4A52">
      <w:pPr>
        <w:wordWrap/>
        <w:topLinePunct w:val="0"/>
        <w:spacing w:after="120"/>
        <w:ind w:firstLine="560"/>
        <w:rPr>
          <w:rFonts w:ascii="仿宋_GB2312" w:eastAsia="仿宋_GB2312"/>
          <w:sz w:val="28"/>
          <w:szCs w:val="28"/>
        </w:rPr>
      </w:pPr>
      <w:r>
        <w:rPr>
          <w:rFonts w:ascii="仿宋_GB2312" w:eastAsia="仿宋_GB2312"/>
          <w:sz w:val="28"/>
          <w:szCs w:val="28"/>
        </w:rPr>
        <w:t>3.对于在专用合同条件中未列出的通用合同条件中的条款，合同当事人根据建设项目的具体情况认为需要进行细化、完善、补充、修改或另行约定的，可在专用合同条件中，以同一条款号增加相关条款的内容。</w:t>
      </w:r>
    </w:p>
    <w:p w14:paraId="29A2299D">
      <w:pPr>
        <w:wordWrap/>
        <w:topLinePunct w:val="0"/>
        <w:spacing w:after="120"/>
        <w:ind w:firstLine="560"/>
        <w:rPr>
          <w:rFonts w:ascii="仿宋_GB2312" w:eastAsia="仿宋_GB2312"/>
          <w:sz w:val="28"/>
          <w:szCs w:val="28"/>
        </w:rPr>
      </w:pPr>
      <w:bookmarkStart w:id="5" w:name="_Toc521079602"/>
      <w:r>
        <w:rPr>
          <w:rFonts w:hint="eastAsia" w:ascii="仿宋_GB2312" w:eastAsia="仿宋_GB2312"/>
          <w:sz w:val="28"/>
          <w:szCs w:val="28"/>
        </w:rPr>
        <w:t>二、《示范文本》的适用范围</w:t>
      </w:r>
      <w:bookmarkEnd w:id="5"/>
    </w:p>
    <w:p w14:paraId="7893348B">
      <w:pPr>
        <w:wordWrap/>
        <w:topLinePunct w:val="0"/>
        <w:spacing w:after="120"/>
        <w:ind w:firstLine="560"/>
        <w:rPr>
          <w:rFonts w:ascii="仿宋_GB2312" w:eastAsia="仿宋_GB2312"/>
          <w:sz w:val="28"/>
          <w:szCs w:val="28"/>
        </w:rPr>
      </w:pPr>
      <w:r>
        <w:rPr>
          <w:rFonts w:hint="eastAsia" w:ascii="仿宋_GB2312" w:eastAsia="仿宋_GB2312"/>
          <w:sz w:val="28"/>
          <w:szCs w:val="28"/>
        </w:rPr>
        <w:t>《示范文本》适用于房屋建筑和市政基础设施项目工程总承包承发包活动。</w:t>
      </w:r>
    </w:p>
    <w:p w14:paraId="7910EE51">
      <w:pPr>
        <w:wordWrap/>
        <w:topLinePunct w:val="0"/>
        <w:spacing w:after="120"/>
        <w:ind w:firstLine="560"/>
        <w:rPr>
          <w:rFonts w:ascii="仿宋_GB2312" w:eastAsia="仿宋_GB2312"/>
          <w:sz w:val="28"/>
          <w:szCs w:val="28"/>
        </w:rPr>
      </w:pPr>
      <w:r>
        <w:rPr>
          <w:rFonts w:hint="eastAsia" w:ascii="仿宋_GB2312" w:eastAsia="仿宋_GB2312"/>
          <w:sz w:val="28"/>
          <w:szCs w:val="28"/>
        </w:rPr>
        <w:t>三、《示范文本》的性质</w:t>
      </w:r>
    </w:p>
    <w:p w14:paraId="6B9F55E1">
      <w:pPr>
        <w:wordWrap/>
        <w:topLinePunct w:val="0"/>
        <w:spacing w:after="120"/>
        <w:ind w:firstLine="560"/>
        <w:rPr>
          <w:rFonts w:ascii="仿宋_GB2312" w:eastAsia="仿宋_GB2312"/>
          <w:sz w:val="30"/>
          <w:szCs w:val="30"/>
        </w:rPr>
        <w:sectPr>
          <w:footerReference r:id="rId12" w:type="first"/>
          <w:footerReference r:id="rId11" w:type="default"/>
          <w:pgSz w:w="11906" w:h="16838"/>
          <w:pgMar w:top="1440" w:right="1800" w:bottom="1440" w:left="1800" w:header="720" w:footer="998" w:gutter="0"/>
          <w:pgNumType w:start="1"/>
          <w:cols w:space="720" w:num="1"/>
          <w:titlePg/>
          <w:docGrid w:linePitch="326" w:charSpace="0"/>
        </w:sectPr>
      </w:pPr>
      <w:r>
        <w:rPr>
          <w:rFonts w:hint="eastAsia" w:ascii="仿宋_GB2312" w:eastAsia="仿宋_GB2312"/>
          <w:sz w:val="28"/>
          <w:szCs w:val="28"/>
        </w:rPr>
        <w:t>《示范文本》为推荐使用的非强制性使用文本。合同当事人可结合建设工程具体情况，参照《示范文本》订立合同，并按照法律法规和合同约定承担相应的法律责任及合同权利义</w:t>
      </w:r>
    </w:p>
    <w:p w14:paraId="6F7BFFA9">
      <w:pPr>
        <w:pStyle w:val="98"/>
        <w:spacing w:after="120"/>
        <w:ind w:firstLine="881"/>
        <w:jc w:val="center"/>
        <w:rPr>
          <w:rFonts w:ascii="华文中宋" w:hAnsi="华文中宋" w:eastAsia="华文中宋"/>
          <w:bCs/>
          <w:kern w:val="44"/>
          <w:sz w:val="44"/>
          <w:szCs w:val="44"/>
          <w:lang w:val="zh-CN"/>
        </w:rPr>
      </w:pPr>
      <w:bookmarkStart w:id="6" w:name="_Toc521267369"/>
    </w:p>
    <w:p w14:paraId="0DFFFFC9">
      <w:pPr>
        <w:pStyle w:val="98"/>
        <w:spacing w:after="120"/>
        <w:ind w:firstLine="881"/>
        <w:jc w:val="center"/>
        <w:rPr>
          <w:rFonts w:ascii="华文中宋" w:hAnsi="华文中宋" w:eastAsia="华文中宋"/>
          <w:bCs/>
          <w:kern w:val="44"/>
          <w:sz w:val="44"/>
          <w:szCs w:val="44"/>
          <w:lang w:val="zh-CN"/>
        </w:rPr>
      </w:pPr>
    </w:p>
    <w:p w14:paraId="4A14DE35">
      <w:pPr>
        <w:pStyle w:val="98"/>
        <w:spacing w:after="120"/>
        <w:ind w:firstLine="881"/>
        <w:jc w:val="center"/>
        <w:rPr>
          <w:rFonts w:ascii="华文中宋" w:hAnsi="华文中宋" w:eastAsia="华文中宋"/>
          <w:bCs/>
          <w:kern w:val="44"/>
          <w:sz w:val="44"/>
          <w:szCs w:val="44"/>
          <w:lang w:val="zh-CN"/>
        </w:rPr>
      </w:pPr>
    </w:p>
    <w:p w14:paraId="1C911F68">
      <w:pPr>
        <w:pStyle w:val="98"/>
        <w:spacing w:after="120"/>
        <w:ind w:firstLine="881"/>
        <w:jc w:val="center"/>
        <w:rPr>
          <w:rFonts w:ascii="华文中宋" w:hAnsi="华文中宋" w:eastAsia="华文中宋"/>
          <w:bCs/>
          <w:kern w:val="44"/>
          <w:sz w:val="44"/>
          <w:szCs w:val="44"/>
          <w:lang w:val="zh-CN"/>
        </w:rPr>
      </w:pPr>
    </w:p>
    <w:p w14:paraId="268294BE">
      <w:pPr>
        <w:pStyle w:val="98"/>
        <w:spacing w:after="120"/>
        <w:ind w:firstLine="881"/>
        <w:jc w:val="center"/>
        <w:rPr>
          <w:rFonts w:ascii="华文中宋" w:hAnsi="华文中宋" w:eastAsia="华文中宋"/>
          <w:bCs/>
          <w:kern w:val="44"/>
          <w:sz w:val="44"/>
          <w:szCs w:val="44"/>
          <w:lang w:val="zh-CN"/>
        </w:rPr>
      </w:pPr>
    </w:p>
    <w:p w14:paraId="35B5E545">
      <w:pPr>
        <w:pStyle w:val="98"/>
        <w:spacing w:after="120"/>
        <w:ind w:firstLine="881"/>
        <w:jc w:val="center"/>
        <w:rPr>
          <w:rFonts w:ascii="华文中宋" w:hAnsi="华文中宋" w:eastAsia="华文中宋"/>
          <w:bCs/>
          <w:kern w:val="44"/>
          <w:sz w:val="44"/>
          <w:szCs w:val="44"/>
          <w:lang w:val="zh-CN"/>
        </w:rPr>
      </w:pPr>
    </w:p>
    <w:p w14:paraId="16F1CFA6">
      <w:pPr>
        <w:pStyle w:val="98"/>
        <w:spacing w:after="120"/>
        <w:ind w:firstLine="881"/>
        <w:jc w:val="center"/>
        <w:rPr>
          <w:rFonts w:ascii="华文中宋" w:hAnsi="华文中宋" w:eastAsia="华文中宋"/>
          <w:bCs/>
          <w:kern w:val="44"/>
          <w:sz w:val="44"/>
          <w:szCs w:val="44"/>
          <w:lang w:val="zh-CN"/>
        </w:rPr>
      </w:pPr>
    </w:p>
    <w:p w14:paraId="1D24A431">
      <w:pPr>
        <w:pStyle w:val="98"/>
        <w:spacing w:after="120"/>
        <w:ind w:firstLine="881"/>
        <w:jc w:val="center"/>
        <w:rPr>
          <w:rFonts w:ascii="华文中宋" w:hAnsi="华文中宋" w:eastAsia="华文中宋"/>
          <w:bCs/>
          <w:kern w:val="44"/>
          <w:sz w:val="44"/>
          <w:szCs w:val="44"/>
          <w:lang w:val="zh-CN"/>
        </w:rPr>
      </w:pPr>
    </w:p>
    <w:p w14:paraId="2B656AE2">
      <w:pPr>
        <w:pStyle w:val="98"/>
        <w:spacing w:after="120"/>
        <w:ind w:firstLine="881"/>
        <w:jc w:val="center"/>
        <w:rPr>
          <w:rFonts w:ascii="华文中宋" w:hAnsi="华文中宋" w:eastAsia="华文中宋"/>
          <w:bCs/>
          <w:kern w:val="44"/>
          <w:sz w:val="44"/>
          <w:szCs w:val="44"/>
          <w:lang w:val="zh-CN"/>
        </w:rPr>
      </w:pPr>
    </w:p>
    <w:p w14:paraId="51BFA08D">
      <w:pPr>
        <w:pStyle w:val="98"/>
        <w:spacing w:after="120"/>
        <w:ind w:firstLine="881"/>
        <w:jc w:val="center"/>
        <w:rPr>
          <w:rFonts w:ascii="华文中宋" w:hAnsi="华文中宋" w:eastAsia="华文中宋"/>
          <w:bCs/>
          <w:kern w:val="44"/>
          <w:sz w:val="44"/>
          <w:szCs w:val="44"/>
          <w:lang w:val="zh-CN"/>
        </w:rPr>
      </w:pPr>
    </w:p>
    <w:p w14:paraId="5F40DBC0">
      <w:pPr>
        <w:pStyle w:val="98"/>
        <w:spacing w:after="120"/>
        <w:ind w:firstLine="881"/>
        <w:jc w:val="center"/>
        <w:rPr>
          <w:rFonts w:ascii="华文中宋" w:hAnsi="华文中宋" w:eastAsia="华文中宋"/>
          <w:bCs/>
          <w:kern w:val="44"/>
          <w:sz w:val="44"/>
          <w:szCs w:val="44"/>
          <w:lang w:val="zh-CN"/>
        </w:rPr>
      </w:pPr>
    </w:p>
    <w:p w14:paraId="71F159BD">
      <w:pPr>
        <w:pStyle w:val="98"/>
        <w:spacing w:after="120"/>
        <w:ind w:firstLine="881"/>
        <w:jc w:val="center"/>
        <w:rPr>
          <w:rFonts w:ascii="华文中宋" w:hAnsi="华文中宋" w:eastAsia="华文中宋"/>
          <w:b w:val="0"/>
          <w:bCs/>
          <w:kern w:val="44"/>
          <w:sz w:val="44"/>
          <w:szCs w:val="44"/>
          <w:lang w:val="zh-CN"/>
        </w:rPr>
      </w:pPr>
      <w:r>
        <w:rPr>
          <w:rFonts w:hint="eastAsia" w:ascii="华文中宋" w:hAnsi="华文中宋" w:eastAsia="华文中宋"/>
          <w:bCs/>
          <w:kern w:val="44"/>
          <w:sz w:val="44"/>
          <w:szCs w:val="44"/>
          <w:lang w:val="zh-CN"/>
        </w:rPr>
        <w:t>目   录</w:t>
      </w:r>
      <w:bookmarkEnd w:id="6"/>
    </w:p>
    <w:p w14:paraId="5CA74124">
      <w:pPr>
        <w:tabs>
          <w:tab w:val="right" w:leader="dot" w:pos="8306"/>
        </w:tabs>
        <w:spacing w:after="120"/>
        <w:ind w:firstLine="0" w:firstLineChars="0"/>
        <w:rPr>
          <w:rFonts w:ascii="仿宋" w:hAnsi="仿宋" w:eastAsia="仿宋" w:cs="仿宋"/>
          <w:szCs w:val="24"/>
        </w:rPr>
      </w:pPr>
      <w:r>
        <w:rPr>
          <w:rFonts w:hint="eastAsia" w:ascii="仿宋" w:hAnsi="仿宋" w:eastAsia="仿宋" w:cs="仿宋"/>
          <w:szCs w:val="24"/>
        </w:rPr>
        <w:fldChar w:fldCharType="begin"/>
      </w:r>
      <w:r>
        <w:rPr>
          <w:rFonts w:hint="eastAsia" w:ascii="仿宋" w:hAnsi="仿宋" w:eastAsia="仿宋" w:cs="仿宋"/>
          <w:szCs w:val="24"/>
        </w:rPr>
        <w:instrText xml:space="preserve">TOC \o "1-2" \h \u </w:instrText>
      </w:r>
      <w:r>
        <w:rPr>
          <w:rFonts w:hint="eastAsia" w:ascii="仿宋" w:hAnsi="仿宋" w:eastAsia="仿宋" w:cs="仿宋"/>
          <w:szCs w:val="24"/>
        </w:rPr>
        <w:fldChar w:fldCharType="separate"/>
      </w:r>
      <w:r>
        <w:fldChar w:fldCharType="begin"/>
      </w:r>
      <w:r>
        <w:instrText xml:space="preserve"> HYPERLINK \l "_Toc29021" </w:instrText>
      </w:r>
      <w:r>
        <w:fldChar w:fldCharType="separate"/>
      </w:r>
      <w:r>
        <w:rPr>
          <w:rFonts w:hint="eastAsia" w:ascii="仿宋" w:hAnsi="仿宋" w:eastAsia="仿宋" w:cs="仿宋"/>
          <w:szCs w:val="24"/>
        </w:rPr>
        <w:t>第一部分 合同协议书</w:t>
      </w:r>
      <w:r>
        <w:rPr>
          <w:rFonts w:hint="eastAsia" w:ascii="仿宋" w:hAnsi="仿宋" w:eastAsia="仿宋" w:cs="仿宋"/>
          <w:szCs w:val="24"/>
        </w:rPr>
        <w:tab/>
      </w:r>
      <w:r>
        <w:rPr>
          <w:rFonts w:hint="eastAsia" w:ascii="仿宋" w:hAnsi="仿宋" w:eastAsia="仿宋" w:cs="仿宋"/>
          <w:szCs w:val="24"/>
        </w:rPr>
        <w:fldChar w:fldCharType="begin"/>
      </w:r>
      <w:r>
        <w:rPr>
          <w:rFonts w:hint="eastAsia" w:ascii="仿宋" w:hAnsi="仿宋" w:eastAsia="仿宋" w:cs="仿宋"/>
          <w:szCs w:val="24"/>
        </w:rPr>
        <w:instrText xml:space="preserve"> PAGEREF _Toc29021 </w:instrText>
      </w:r>
      <w:r>
        <w:rPr>
          <w:rFonts w:hint="eastAsia" w:ascii="仿宋" w:hAnsi="仿宋" w:eastAsia="仿宋" w:cs="仿宋"/>
          <w:szCs w:val="24"/>
        </w:rPr>
        <w:fldChar w:fldCharType="separate"/>
      </w:r>
      <w:r>
        <w:rPr>
          <w:rFonts w:hint="eastAsia" w:ascii="仿宋" w:hAnsi="仿宋" w:eastAsia="仿宋" w:cs="仿宋"/>
          <w:szCs w:val="24"/>
        </w:rPr>
        <w:t>1</w:t>
      </w:r>
      <w:r>
        <w:rPr>
          <w:rFonts w:hint="eastAsia" w:ascii="仿宋" w:hAnsi="仿宋" w:eastAsia="仿宋" w:cs="仿宋"/>
          <w:szCs w:val="24"/>
        </w:rPr>
        <w:fldChar w:fldCharType="end"/>
      </w:r>
      <w:r>
        <w:rPr>
          <w:rFonts w:hint="eastAsia" w:ascii="仿宋" w:hAnsi="仿宋" w:eastAsia="仿宋" w:cs="仿宋"/>
          <w:szCs w:val="24"/>
        </w:rPr>
        <w:fldChar w:fldCharType="end"/>
      </w:r>
    </w:p>
    <w:p w14:paraId="11FE84A0">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"_Toc7252" </w:instrText>
      </w:r>
      <w:r>
        <w:fldChar w:fldCharType="separate"/>
      </w:r>
      <w:r>
        <w:rPr>
          <w:rFonts w:hint="eastAsia" w:ascii="仿宋" w:hAnsi="仿宋" w:eastAsia="仿宋" w:cs="仿宋"/>
          <w:bCs/>
        </w:rPr>
        <w:t>一、工程概况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_Toc7252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3F7DBB24">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"_Toc4339" </w:instrText>
      </w:r>
      <w:r>
        <w:fldChar w:fldCharType="separate"/>
      </w:r>
      <w:r>
        <w:rPr>
          <w:rFonts w:hint="eastAsia" w:ascii="仿宋" w:hAnsi="仿宋" w:eastAsia="仿宋" w:cs="仿宋"/>
          <w:bCs/>
        </w:rPr>
        <w:t>二、合同工期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_Toc4339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14:paraId="426FEB60">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"_Toc7164" </w:instrText>
      </w:r>
      <w:r>
        <w:fldChar w:fldCharType="separate"/>
      </w:r>
      <w:r>
        <w:rPr>
          <w:rFonts w:hint="eastAsia" w:ascii="仿宋" w:hAnsi="仿宋" w:eastAsia="仿宋" w:cs="仿宋"/>
          <w:bCs/>
        </w:rPr>
        <w:t>三、质量标准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_Toc7164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rPr>
        <w:fldChar w:fldCharType="end"/>
      </w:r>
    </w:p>
    <w:p w14:paraId="1D6E870D">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"_Toc9186" </w:instrText>
      </w:r>
      <w:r>
        <w:fldChar w:fldCharType="separate"/>
      </w:r>
      <w:r>
        <w:rPr>
          <w:rFonts w:hint="eastAsia" w:ascii="仿宋" w:hAnsi="仿宋" w:eastAsia="仿宋" w:cs="仿宋"/>
          <w:bCs/>
        </w:rPr>
        <w:t>四、签约合同价与合同价格形式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_Toc9186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rPr>
        <w:fldChar w:fldCharType="end"/>
      </w:r>
    </w:p>
    <w:p w14:paraId="0C1D7CD2">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"_Toc9759" </w:instrText>
      </w:r>
      <w:r>
        <w:fldChar w:fldCharType="separate"/>
      </w:r>
      <w:r>
        <w:rPr>
          <w:rFonts w:hint="eastAsia" w:ascii="仿宋" w:hAnsi="仿宋" w:eastAsia="仿宋" w:cs="仿宋"/>
          <w:bCs/>
        </w:rPr>
        <w:t>五、工程总承包项目经理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_Toc9759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rPr>
        <w:fldChar w:fldCharType="end"/>
      </w:r>
    </w:p>
    <w:p w14:paraId="32D7BFAF">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"_Toc21195" </w:instrText>
      </w:r>
      <w:r>
        <w:fldChar w:fldCharType="separate"/>
      </w:r>
      <w:r>
        <w:rPr>
          <w:rFonts w:hint="eastAsia" w:ascii="仿宋" w:hAnsi="仿宋" w:eastAsia="仿宋" w:cs="仿宋"/>
          <w:bCs/>
        </w:rPr>
        <w:t>六、合同文件构成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_Toc21195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rPr>
        <w:fldChar w:fldCharType="end"/>
      </w:r>
    </w:p>
    <w:p w14:paraId="76301842">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"_Toc28426" </w:instrText>
      </w:r>
      <w:r>
        <w:fldChar w:fldCharType="separate"/>
      </w:r>
      <w:r>
        <w:rPr>
          <w:rFonts w:hint="eastAsia" w:ascii="仿宋" w:hAnsi="仿宋" w:eastAsia="仿宋" w:cs="仿宋"/>
          <w:bCs/>
        </w:rPr>
        <w:t>七、承诺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_Toc28426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rPr>
        <w:fldChar w:fldCharType="end"/>
      </w:r>
    </w:p>
    <w:p w14:paraId="3C5E5FEE">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"_Toc15925" </w:instrText>
      </w:r>
      <w:r>
        <w:fldChar w:fldCharType="separate"/>
      </w:r>
      <w:r>
        <w:rPr>
          <w:rFonts w:hint="eastAsia" w:ascii="仿宋" w:hAnsi="仿宋" w:eastAsia="仿宋" w:cs="仿宋"/>
          <w:bCs/>
        </w:rPr>
        <w:t>八、订立时间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_Toc15925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rPr>
        <w:fldChar w:fldCharType="end"/>
      </w:r>
    </w:p>
    <w:p w14:paraId="261C057D">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"_Toc1264" </w:instrText>
      </w:r>
      <w:r>
        <w:fldChar w:fldCharType="separate"/>
      </w:r>
      <w:r>
        <w:rPr>
          <w:rFonts w:hint="eastAsia" w:ascii="仿宋" w:hAnsi="仿宋" w:eastAsia="仿宋" w:cs="仿宋"/>
          <w:bCs/>
        </w:rPr>
        <w:t>九、订立地点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_Toc1264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rPr>
        <w:fldChar w:fldCharType="end"/>
      </w:r>
    </w:p>
    <w:p w14:paraId="28BB12EB">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"_Toc31550" </w:instrText>
      </w:r>
      <w:r>
        <w:fldChar w:fldCharType="separate"/>
      </w:r>
      <w:r>
        <w:rPr>
          <w:rFonts w:hint="eastAsia" w:ascii="仿宋" w:hAnsi="仿宋" w:eastAsia="仿宋" w:cs="仿宋"/>
          <w:bCs/>
        </w:rPr>
        <w:t>十、合同生效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_Toc31550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rPr>
        <w:fldChar w:fldCharType="end"/>
      </w:r>
    </w:p>
    <w:p w14:paraId="0F146951">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"_Toc18730" </w:instrText>
      </w:r>
      <w:r>
        <w:fldChar w:fldCharType="separate"/>
      </w:r>
      <w:r>
        <w:rPr>
          <w:rFonts w:hint="eastAsia" w:ascii="仿宋" w:hAnsi="仿宋" w:eastAsia="仿宋" w:cs="仿宋"/>
          <w:bCs/>
        </w:rPr>
        <w:t>十一、合同份数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_Toc18730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rPr>
        <w:fldChar w:fldCharType="end"/>
      </w:r>
    </w:p>
    <w:p w14:paraId="74DD770E">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"_Toc20889" </w:instrText>
      </w:r>
      <w:r>
        <w:fldChar w:fldCharType="separate"/>
      </w:r>
      <w:r>
        <w:rPr>
          <w:rFonts w:hint="eastAsia" w:ascii="仿宋" w:hAnsi="仿宋" w:eastAsia="仿宋" w:cs="仿宋"/>
          <w:bCs/>
        </w:rPr>
        <w:t>十二、其他</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_Toc20889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rPr>
        <w:fldChar w:fldCharType="end"/>
      </w:r>
    </w:p>
    <w:p w14:paraId="7C846F9E">
      <w:pPr>
        <w:tabs>
          <w:tab w:val="right" w:leader="dot" w:pos="8306"/>
        </w:tabs>
        <w:spacing w:after="120"/>
        <w:ind w:firstLine="0" w:firstLineChars="0"/>
        <w:rPr>
          <w:rFonts w:ascii="仿宋" w:hAnsi="仿宋" w:eastAsia="仿宋" w:cs="仿宋"/>
          <w:szCs w:val="24"/>
        </w:rPr>
      </w:pPr>
      <w:r>
        <w:fldChar w:fldCharType="begin"/>
      </w:r>
      <w:r>
        <w:instrText xml:space="preserve"> HYPERLINK \l "_Toc20712" </w:instrText>
      </w:r>
      <w:r>
        <w:fldChar w:fldCharType="separate"/>
      </w:r>
      <w:r>
        <w:rPr>
          <w:rFonts w:hint="eastAsia" w:ascii="仿宋" w:hAnsi="仿宋" w:eastAsia="仿宋" w:cs="仿宋"/>
          <w:szCs w:val="24"/>
        </w:rPr>
        <w:t>第二部分 通用合同条件</w:t>
      </w:r>
      <w:r>
        <w:rPr>
          <w:rFonts w:hint="eastAsia" w:ascii="仿宋" w:hAnsi="仿宋" w:eastAsia="仿宋" w:cs="仿宋"/>
          <w:szCs w:val="24"/>
        </w:rPr>
        <w:tab/>
      </w:r>
      <w:r>
        <w:rPr>
          <w:rFonts w:hint="eastAsia" w:ascii="仿宋" w:hAnsi="仿宋" w:eastAsia="仿宋" w:cs="仿宋"/>
          <w:szCs w:val="24"/>
        </w:rPr>
        <w:fldChar w:fldCharType="begin"/>
      </w:r>
      <w:r>
        <w:rPr>
          <w:rFonts w:hint="eastAsia" w:ascii="仿宋" w:hAnsi="仿宋" w:eastAsia="仿宋" w:cs="仿宋"/>
          <w:szCs w:val="24"/>
        </w:rPr>
        <w:instrText xml:space="preserve"> PAGEREF _Toc20712 </w:instrText>
      </w:r>
      <w:r>
        <w:rPr>
          <w:rFonts w:hint="eastAsia" w:ascii="仿宋" w:hAnsi="仿宋" w:eastAsia="仿宋" w:cs="仿宋"/>
          <w:szCs w:val="24"/>
        </w:rPr>
        <w:fldChar w:fldCharType="separate"/>
      </w:r>
      <w:r>
        <w:rPr>
          <w:rFonts w:hint="eastAsia" w:ascii="仿宋" w:hAnsi="仿宋" w:eastAsia="仿宋" w:cs="仿宋"/>
          <w:szCs w:val="24"/>
        </w:rPr>
        <w:t>16</w:t>
      </w:r>
      <w:r>
        <w:rPr>
          <w:rFonts w:hint="eastAsia" w:ascii="仿宋" w:hAnsi="仿宋" w:eastAsia="仿宋" w:cs="仿宋"/>
          <w:szCs w:val="24"/>
        </w:rPr>
        <w:fldChar w:fldCharType="end"/>
      </w:r>
      <w:r>
        <w:rPr>
          <w:rFonts w:hint="eastAsia" w:ascii="仿宋" w:hAnsi="仿宋" w:eastAsia="仿宋" w:cs="仿宋"/>
          <w:szCs w:val="24"/>
        </w:rPr>
        <w:fldChar w:fldCharType="end"/>
      </w:r>
    </w:p>
    <w:p w14:paraId="47911C2C">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"_Toc31645" </w:instrText>
      </w:r>
      <w:r>
        <w:fldChar w:fldCharType="separate"/>
      </w:r>
      <w:r>
        <w:rPr>
          <w:rFonts w:hint="eastAsia" w:ascii="仿宋" w:hAnsi="仿宋" w:eastAsia="仿宋" w:cs="仿宋"/>
          <w:bCs/>
        </w:rPr>
        <w:t>第1条 一般约定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_Toc31645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rPr>
        <w:fldChar w:fldCharType="end"/>
      </w:r>
    </w:p>
    <w:p w14:paraId="59591761">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"_Toc27206" </w:instrText>
      </w:r>
      <w:r>
        <w:fldChar w:fldCharType="separate"/>
      </w:r>
      <w:r>
        <w:rPr>
          <w:rFonts w:hint="eastAsia" w:ascii="仿宋" w:hAnsi="仿宋" w:eastAsia="仿宋" w:cs="仿宋"/>
          <w:bCs/>
        </w:rPr>
        <w:t>第2条 发包人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_Toc27206 </w:instrText>
      </w:r>
      <w:r>
        <w:rPr>
          <w:rFonts w:hint="eastAsia" w:ascii="仿宋" w:hAnsi="仿宋" w:eastAsia="仿宋" w:cs="仿宋"/>
        </w:rPr>
        <w:fldChar w:fldCharType="separate"/>
      </w:r>
      <w:r>
        <w:rPr>
          <w:rFonts w:hint="eastAsia" w:ascii="仿宋" w:hAnsi="仿宋" w:eastAsia="仿宋" w:cs="仿宋"/>
        </w:rPr>
        <w:t>31</w:t>
      </w:r>
      <w:r>
        <w:rPr>
          <w:rFonts w:hint="eastAsia" w:ascii="仿宋" w:hAnsi="仿宋" w:eastAsia="仿宋" w:cs="仿宋"/>
        </w:rPr>
        <w:fldChar w:fldCharType="end"/>
      </w:r>
      <w:r>
        <w:rPr>
          <w:rFonts w:hint="eastAsia" w:ascii="仿宋" w:hAnsi="仿宋" w:eastAsia="仿宋" w:cs="仿宋"/>
        </w:rPr>
        <w:fldChar w:fldCharType="end"/>
      </w:r>
    </w:p>
    <w:p w14:paraId="623C7C2C">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"_Toc22497" </w:instrText>
      </w:r>
      <w:r>
        <w:fldChar w:fldCharType="separate"/>
      </w:r>
      <w:r>
        <w:rPr>
          <w:rFonts w:hint="eastAsia" w:ascii="仿宋" w:hAnsi="仿宋" w:eastAsia="仿宋" w:cs="仿宋"/>
          <w:bCs/>
        </w:rPr>
        <w:t>第3条 发包人的管理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_Toc22497 </w:instrText>
      </w:r>
      <w:r>
        <w:rPr>
          <w:rFonts w:hint="eastAsia" w:ascii="仿宋" w:hAnsi="仿宋" w:eastAsia="仿宋" w:cs="仿宋"/>
        </w:rPr>
        <w:fldChar w:fldCharType="separate"/>
      </w:r>
      <w:r>
        <w:rPr>
          <w:rFonts w:hint="eastAsia" w:ascii="仿宋" w:hAnsi="仿宋" w:eastAsia="仿宋" w:cs="仿宋"/>
        </w:rPr>
        <w:t>34</w:t>
      </w:r>
      <w:r>
        <w:rPr>
          <w:rFonts w:hint="eastAsia" w:ascii="仿宋" w:hAnsi="仿宋" w:eastAsia="仿宋" w:cs="仿宋"/>
        </w:rPr>
        <w:fldChar w:fldCharType="end"/>
      </w:r>
      <w:r>
        <w:rPr>
          <w:rFonts w:hint="eastAsia" w:ascii="仿宋" w:hAnsi="仿宋" w:eastAsia="仿宋" w:cs="仿宋"/>
        </w:rPr>
        <w:fldChar w:fldCharType="end"/>
      </w:r>
    </w:p>
    <w:p w14:paraId="16D910FE">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"_Toc4223" </w:instrText>
      </w:r>
      <w:r>
        <w:fldChar w:fldCharType="separate"/>
      </w:r>
      <w:r>
        <w:rPr>
          <w:rFonts w:hint="eastAsia" w:ascii="仿宋" w:hAnsi="仿宋" w:eastAsia="仿宋" w:cs="仿宋"/>
          <w:bCs/>
        </w:rPr>
        <w:t>第4条 承包人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_Toc4223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rPr>
        <w:fldChar w:fldCharType="end"/>
      </w:r>
    </w:p>
    <w:p w14:paraId="5E22B23B">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"_Toc6089" </w:instrText>
      </w:r>
      <w:r>
        <w:fldChar w:fldCharType="separate"/>
      </w:r>
      <w:r>
        <w:rPr>
          <w:rFonts w:hint="eastAsia" w:ascii="仿宋" w:hAnsi="仿宋" w:eastAsia="仿宋" w:cs="仿宋"/>
          <w:bCs/>
        </w:rPr>
        <w:t>第5条 设计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_Toc6089 </w:instrText>
      </w:r>
      <w:r>
        <w:rPr>
          <w:rFonts w:hint="eastAsia" w:ascii="仿宋" w:hAnsi="仿宋" w:eastAsia="仿宋" w:cs="仿宋"/>
        </w:rPr>
        <w:fldChar w:fldCharType="separate"/>
      </w:r>
      <w:r>
        <w:rPr>
          <w:rFonts w:hint="eastAsia" w:ascii="仿宋" w:hAnsi="仿宋" w:eastAsia="仿宋" w:cs="仿宋"/>
        </w:rPr>
        <w:t>50</w:t>
      </w:r>
      <w:r>
        <w:rPr>
          <w:rFonts w:hint="eastAsia" w:ascii="仿宋" w:hAnsi="仿宋" w:eastAsia="仿宋" w:cs="仿宋"/>
        </w:rPr>
        <w:fldChar w:fldCharType="end"/>
      </w:r>
      <w:r>
        <w:rPr>
          <w:rFonts w:hint="eastAsia" w:ascii="仿宋" w:hAnsi="仿宋" w:eastAsia="仿宋" w:cs="仿宋"/>
        </w:rPr>
        <w:fldChar w:fldCharType="end"/>
      </w:r>
    </w:p>
    <w:p w14:paraId="69BED9B3">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"_Toc3628" </w:instrText>
      </w:r>
      <w:r>
        <w:fldChar w:fldCharType="separate"/>
      </w:r>
      <w:r>
        <w:rPr>
          <w:rFonts w:hint="eastAsia" w:ascii="仿宋" w:hAnsi="仿宋" w:eastAsia="仿宋" w:cs="仿宋"/>
          <w:bCs/>
        </w:rPr>
        <w:t>第6条 材料、工程设备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_Toc3628 </w:instrText>
      </w:r>
      <w:r>
        <w:rPr>
          <w:rFonts w:hint="eastAsia" w:ascii="仿宋" w:hAnsi="仿宋" w:eastAsia="仿宋" w:cs="仿宋"/>
        </w:rPr>
        <w:fldChar w:fldCharType="separate"/>
      </w:r>
      <w:r>
        <w:rPr>
          <w:rFonts w:hint="eastAsia" w:ascii="仿宋" w:hAnsi="仿宋" w:eastAsia="仿宋" w:cs="仿宋"/>
        </w:rPr>
        <w:t>55</w:t>
      </w:r>
      <w:r>
        <w:rPr>
          <w:rFonts w:hint="eastAsia" w:ascii="仿宋" w:hAnsi="仿宋" w:eastAsia="仿宋" w:cs="仿宋"/>
        </w:rPr>
        <w:fldChar w:fldCharType="end"/>
      </w:r>
      <w:r>
        <w:rPr>
          <w:rFonts w:hint="eastAsia" w:ascii="仿宋" w:hAnsi="仿宋" w:eastAsia="仿宋" w:cs="仿宋"/>
        </w:rPr>
        <w:fldChar w:fldCharType="end"/>
      </w:r>
    </w:p>
    <w:p w14:paraId="23C1AD88">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"_Toc26409" </w:instrText>
      </w:r>
      <w:r>
        <w:fldChar w:fldCharType="separate"/>
      </w:r>
      <w:r>
        <w:rPr>
          <w:rFonts w:hint="eastAsia" w:ascii="仿宋" w:hAnsi="仿宋" w:eastAsia="仿宋" w:cs="仿宋"/>
          <w:bCs/>
        </w:rPr>
        <w:t>第7条 施工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_Toc26409 </w:instrText>
      </w:r>
      <w:r>
        <w:rPr>
          <w:rFonts w:hint="eastAsia" w:ascii="仿宋" w:hAnsi="仿宋" w:eastAsia="仿宋" w:cs="仿宋"/>
        </w:rPr>
        <w:fldChar w:fldCharType="separate"/>
      </w:r>
      <w:r>
        <w:rPr>
          <w:rFonts w:hint="eastAsia" w:ascii="仿宋" w:hAnsi="仿宋" w:eastAsia="仿宋" w:cs="仿宋"/>
        </w:rPr>
        <w:t>65</w:t>
      </w:r>
      <w:r>
        <w:rPr>
          <w:rFonts w:hint="eastAsia" w:ascii="仿宋" w:hAnsi="仿宋" w:eastAsia="仿宋" w:cs="仿宋"/>
        </w:rPr>
        <w:fldChar w:fldCharType="end"/>
      </w:r>
      <w:r>
        <w:rPr>
          <w:rFonts w:hint="eastAsia" w:ascii="仿宋" w:hAnsi="仿宋" w:eastAsia="仿宋" w:cs="仿宋"/>
        </w:rPr>
        <w:fldChar w:fldCharType="end"/>
      </w:r>
    </w:p>
    <w:p w14:paraId="114736F7">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"_Toc17649" </w:instrText>
      </w:r>
      <w:r>
        <w:fldChar w:fldCharType="separate"/>
      </w:r>
      <w:r>
        <w:rPr>
          <w:rFonts w:hint="eastAsia" w:ascii="仿宋" w:hAnsi="仿宋" w:eastAsia="仿宋" w:cs="仿宋"/>
          <w:bCs/>
        </w:rPr>
        <w:t>第8条 工期和进度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_Toc17649 </w:instrText>
      </w:r>
      <w:r>
        <w:rPr>
          <w:rFonts w:hint="eastAsia" w:ascii="仿宋" w:hAnsi="仿宋" w:eastAsia="仿宋" w:cs="仿宋"/>
        </w:rPr>
        <w:fldChar w:fldCharType="separate"/>
      </w:r>
      <w:r>
        <w:rPr>
          <w:rFonts w:hint="eastAsia" w:ascii="仿宋" w:hAnsi="仿宋" w:eastAsia="仿宋" w:cs="仿宋"/>
        </w:rPr>
        <w:t>77</w:t>
      </w:r>
      <w:r>
        <w:rPr>
          <w:rFonts w:hint="eastAsia" w:ascii="仿宋" w:hAnsi="仿宋" w:eastAsia="仿宋" w:cs="仿宋"/>
        </w:rPr>
        <w:fldChar w:fldCharType="end"/>
      </w:r>
      <w:r>
        <w:rPr>
          <w:rFonts w:hint="eastAsia" w:ascii="仿宋" w:hAnsi="仿宋" w:eastAsia="仿宋" w:cs="仿宋"/>
        </w:rPr>
        <w:fldChar w:fldCharType="end"/>
      </w:r>
    </w:p>
    <w:p w14:paraId="111CB154">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"_Toc22987" </w:instrText>
      </w:r>
      <w:r>
        <w:fldChar w:fldCharType="separate"/>
      </w:r>
      <w:r>
        <w:rPr>
          <w:rFonts w:hint="eastAsia" w:ascii="仿宋" w:hAnsi="仿宋" w:eastAsia="仿宋" w:cs="仿宋"/>
          <w:bCs/>
        </w:rPr>
        <w:t>第9条 竣工试验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_Toc22987 </w:instrText>
      </w:r>
      <w:r>
        <w:rPr>
          <w:rFonts w:hint="eastAsia" w:ascii="仿宋" w:hAnsi="仿宋" w:eastAsia="仿宋" w:cs="仿宋"/>
        </w:rPr>
        <w:fldChar w:fldCharType="separate"/>
      </w:r>
      <w:r>
        <w:rPr>
          <w:rFonts w:hint="eastAsia" w:ascii="仿宋" w:hAnsi="仿宋" w:eastAsia="仿宋" w:cs="仿宋"/>
        </w:rPr>
        <w:t>86</w:t>
      </w:r>
      <w:r>
        <w:rPr>
          <w:rFonts w:hint="eastAsia" w:ascii="仿宋" w:hAnsi="仿宋" w:eastAsia="仿宋" w:cs="仿宋"/>
        </w:rPr>
        <w:fldChar w:fldCharType="end"/>
      </w:r>
      <w:r>
        <w:rPr>
          <w:rFonts w:hint="eastAsia" w:ascii="仿宋" w:hAnsi="仿宋" w:eastAsia="仿宋" w:cs="仿宋"/>
        </w:rPr>
        <w:fldChar w:fldCharType="end"/>
      </w:r>
    </w:p>
    <w:p w14:paraId="10E00A04">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"_Toc5977" </w:instrText>
      </w:r>
      <w:r>
        <w:fldChar w:fldCharType="separate"/>
      </w:r>
      <w:r>
        <w:rPr>
          <w:rFonts w:hint="eastAsia" w:ascii="仿宋" w:hAnsi="仿宋" w:eastAsia="仿宋" w:cs="仿宋"/>
          <w:bCs/>
        </w:rPr>
        <w:t>第10条 验收和工程接收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_Toc5977 </w:instrText>
      </w:r>
      <w:r>
        <w:rPr>
          <w:rFonts w:hint="eastAsia" w:ascii="仿宋" w:hAnsi="仿宋" w:eastAsia="仿宋" w:cs="仿宋"/>
        </w:rPr>
        <w:fldChar w:fldCharType="separate"/>
      </w:r>
      <w:r>
        <w:rPr>
          <w:rFonts w:hint="eastAsia" w:ascii="仿宋" w:hAnsi="仿宋" w:eastAsia="仿宋" w:cs="仿宋"/>
        </w:rPr>
        <w:t>90</w:t>
      </w:r>
      <w:r>
        <w:rPr>
          <w:rFonts w:hint="eastAsia" w:ascii="仿宋" w:hAnsi="仿宋" w:eastAsia="仿宋" w:cs="仿宋"/>
        </w:rPr>
        <w:fldChar w:fldCharType="end"/>
      </w:r>
      <w:r>
        <w:rPr>
          <w:rFonts w:hint="eastAsia" w:ascii="仿宋" w:hAnsi="仿宋" w:eastAsia="仿宋" w:cs="仿宋"/>
        </w:rPr>
        <w:fldChar w:fldCharType="end"/>
      </w:r>
    </w:p>
    <w:p w14:paraId="63C2A4D1">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"_Toc5712" </w:instrText>
      </w:r>
      <w:r>
        <w:fldChar w:fldCharType="separate"/>
      </w:r>
      <w:r>
        <w:rPr>
          <w:rFonts w:hint="eastAsia" w:ascii="仿宋" w:hAnsi="仿宋" w:eastAsia="仿宋" w:cs="仿宋"/>
          <w:bCs/>
        </w:rPr>
        <w:t>第11条 缺陷责任与保修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_Toc5712 </w:instrText>
      </w:r>
      <w:r>
        <w:rPr>
          <w:rFonts w:hint="eastAsia" w:ascii="仿宋" w:hAnsi="仿宋" w:eastAsia="仿宋" w:cs="仿宋"/>
        </w:rPr>
        <w:fldChar w:fldCharType="separate"/>
      </w:r>
      <w:r>
        <w:rPr>
          <w:rFonts w:hint="eastAsia" w:ascii="仿宋" w:hAnsi="仿宋" w:eastAsia="仿宋" w:cs="仿宋"/>
        </w:rPr>
        <w:t>95</w:t>
      </w:r>
      <w:r>
        <w:rPr>
          <w:rFonts w:hint="eastAsia" w:ascii="仿宋" w:hAnsi="仿宋" w:eastAsia="仿宋" w:cs="仿宋"/>
        </w:rPr>
        <w:fldChar w:fldCharType="end"/>
      </w:r>
      <w:r>
        <w:rPr>
          <w:rFonts w:hint="eastAsia" w:ascii="仿宋" w:hAnsi="仿宋" w:eastAsia="仿宋" w:cs="仿宋"/>
        </w:rPr>
        <w:fldChar w:fldCharType="end"/>
      </w:r>
    </w:p>
    <w:p w14:paraId="2F1E31EF">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"_Toc11958" </w:instrText>
      </w:r>
      <w:r>
        <w:fldChar w:fldCharType="separate"/>
      </w:r>
      <w:r>
        <w:rPr>
          <w:rFonts w:hint="eastAsia" w:ascii="仿宋" w:hAnsi="仿宋" w:eastAsia="仿宋" w:cs="仿宋"/>
          <w:bCs/>
        </w:rPr>
        <w:t>第12条 竣工后试验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_Toc11958 </w:instrText>
      </w:r>
      <w:r>
        <w:rPr>
          <w:rFonts w:hint="eastAsia" w:ascii="仿宋" w:hAnsi="仿宋" w:eastAsia="仿宋" w:cs="仿宋"/>
        </w:rPr>
        <w:fldChar w:fldCharType="separate"/>
      </w:r>
      <w:r>
        <w:rPr>
          <w:rFonts w:hint="eastAsia" w:ascii="仿宋" w:hAnsi="仿宋" w:eastAsia="仿宋" w:cs="仿宋"/>
        </w:rPr>
        <w:t>100</w:t>
      </w:r>
      <w:r>
        <w:rPr>
          <w:rFonts w:hint="eastAsia" w:ascii="仿宋" w:hAnsi="仿宋" w:eastAsia="仿宋" w:cs="仿宋"/>
        </w:rPr>
        <w:fldChar w:fldCharType="end"/>
      </w:r>
      <w:r>
        <w:rPr>
          <w:rFonts w:hint="eastAsia" w:ascii="仿宋" w:hAnsi="仿宋" w:eastAsia="仿宋" w:cs="仿宋"/>
        </w:rPr>
        <w:fldChar w:fldCharType="end"/>
      </w:r>
    </w:p>
    <w:p w14:paraId="3A6AEFC8">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"_Toc12559" </w:instrText>
      </w:r>
      <w:r>
        <w:fldChar w:fldCharType="separate"/>
      </w:r>
      <w:r>
        <w:rPr>
          <w:rFonts w:hint="eastAsia" w:ascii="仿宋" w:hAnsi="仿宋" w:eastAsia="仿宋" w:cs="仿宋"/>
          <w:bCs/>
        </w:rPr>
        <w:t>第13条 变更与调整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_Toc12559 </w:instrText>
      </w:r>
      <w:r>
        <w:rPr>
          <w:rFonts w:hint="eastAsia" w:ascii="仿宋" w:hAnsi="仿宋" w:eastAsia="仿宋" w:cs="仿宋"/>
        </w:rPr>
        <w:fldChar w:fldCharType="separate"/>
      </w:r>
      <w:r>
        <w:rPr>
          <w:rFonts w:hint="eastAsia" w:ascii="仿宋" w:hAnsi="仿宋" w:eastAsia="仿宋" w:cs="仿宋"/>
        </w:rPr>
        <w:t>102</w:t>
      </w:r>
      <w:r>
        <w:rPr>
          <w:rFonts w:hint="eastAsia" w:ascii="仿宋" w:hAnsi="仿宋" w:eastAsia="仿宋" w:cs="仿宋"/>
        </w:rPr>
        <w:fldChar w:fldCharType="end"/>
      </w:r>
      <w:r>
        <w:rPr>
          <w:rFonts w:hint="eastAsia" w:ascii="仿宋" w:hAnsi="仿宋" w:eastAsia="仿宋" w:cs="仿宋"/>
        </w:rPr>
        <w:fldChar w:fldCharType="end"/>
      </w:r>
    </w:p>
    <w:p w14:paraId="1A26BB50">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"_Toc25873" </w:instrText>
      </w:r>
      <w:r>
        <w:fldChar w:fldCharType="separate"/>
      </w:r>
      <w:r>
        <w:rPr>
          <w:rFonts w:hint="eastAsia" w:ascii="仿宋" w:hAnsi="仿宋" w:eastAsia="仿宋" w:cs="仿宋"/>
          <w:bCs/>
        </w:rPr>
        <w:t>第14条 合同价格与支付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_Toc25873 </w:instrText>
      </w:r>
      <w:r>
        <w:rPr>
          <w:rFonts w:hint="eastAsia" w:ascii="仿宋" w:hAnsi="仿宋" w:eastAsia="仿宋" w:cs="仿宋"/>
        </w:rPr>
        <w:fldChar w:fldCharType="separate"/>
      </w:r>
      <w:r>
        <w:rPr>
          <w:rFonts w:hint="eastAsia" w:ascii="仿宋" w:hAnsi="仿宋" w:eastAsia="仿宋" w:cs="仿宋"/>
        </w:rPr>
        <w:t>111</w:t>
      </w:r>
      <w:r>
        <w:rPr>
          <w:rFonts w:hint="eastAsia" w:ascii="仿宋" w:hAnsi="仿宋" w:eastAsia="仿宋" w:cs="仿宋"/>
        </w:rPr>
        <w:fldChar w:fldCharType="end"/>
      </w:r>
      <w:r>
        <w:rPr>
          <w:rFonts w:hint="eastAsia" w:ascii="仿宋" w:hAnsi="仿宋" w:eastAsia="仿宋" w:cs="仿宋"/>
        </w:rPr>
        <w:fldChar w:fldCharType="end"/>
      </w:r>
    </w:p>
    <w:p w14:paraId="7BCC0A77">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"_Toc32469" </w:instrText>
      </w:r>
      <w:r>
        <w:fldChar w:fldCharType="separate"/>
      </w:r>
      <w:r>
        <w:rPr>
          <w:rFonts w:hint="eastAsia" w:ascii="仿宋" w:hAnsi="仿宋" w:eastAsia="仿宋" w:cs="仿宋"/>
          <w:bCs/>
        </w:rPr>
        <w:t>第15条 违约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_Toc32469 </w:instrText>
      </w:r>
      <w:r>
        <w:rPr>
          <w:rFonts w:hint="eastAsia" w:ascii="仿宋" w:hAnsi="仿宋" w:eastAsia="仿宋" w:cs="仿宋"/>
        </w:rPr>
        <w:fldChar w:fldCharType="separate"/>
      </w:r>
      <w:r>
        <w:rPr>
          <w:rFonts w:hint="eastAsia" w:ascii="仿宋" w:hAnsi="仿宋" w:eastAsia="仿宋" w:cs="仿宋"/>
        </w:rPr>
        <w:t>121</w:t>
      </w:r>
      <w:r>
        <w:rPr>
          <w:rFonts w:hint="eastAsia" w:ascii="仿宋" w:hAnsi="仿宋" w:eastAsia="仿宋" w:cs="仿宋"/>
        </w:rPr>
        <w:fldChar w:fldCharType="end"/>
      </w:r>
      <w:r>
        <w:rPr>
          <w:rFonts w:hint="eastAsia" w:ascii="仿宋" w:hAnsi="仿宋" w:eastAsia="仿宋" w:cs="仿宋"/>
        </w:rPr>
        <w:fldChar w:fldCharType="end"/>
      </w:r>
    </w:p>
    <w:p w14:paraId="50A0FD91">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"_Toc7007" </w:instrText>
      </w:r>
      <w:r>
        <w:fldChar w:fldCharType="separate"/>
      </w:r>
      <w:r>
        <w:rPr>
          <w:rFonts w:hint="eastAsia" w:ascii="仿宋" w:hAnsi="仿宋" w:eastAsia="仿宋" w:cs="仿宋"/>
          <w:bCs/>
        </w:rPr>
        <w:t>第16条 合同解除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_Toc7007 </w:instrText>
      </w:r>
      <w:r>
        <w:rPr>
          <w:rFonts w:hint="eastAsia" w:ascii="仿宋" w:hAnsi="仿宋" w:eastAsia="仿宋" w:cs="仿宋"/>
        </w:rPr>
        <w:fldChar w:fldCharType="separate"/>
      </w:r>
      <w:r>
        <w:rPr>
          <w:rFonts w:hint="eastAsia" w:ascii="仿宋" w:hAnsi="仿宋" w:eastAsia="仿宋" w:cs="仿宋"/>
        </w:rPr>
        <w:t>124</w:t>
      </w:r>
      <w:r>
        <w:rPr>
          <w:rFonts w:hint="eastAsia" w:ascii="仿宋" w:hAnsi="仿宋" w:eastAsia="仿宋" w:cs="仿宋"/>
        </w:rPr>
        <w:fldChar w:fldCharType="end"/>
      </w:r>
      <w:r>
        <w:rPr>
          <w:rFonts w:hint="eastAsia" w:ascii="仿宋" w:hAnsi="仿宋" w:eastAsia="仿宋" w:cs="仿宋"/>
        </w:rPr>
        <w:fldChar w:fldCharType="end"/>
      </w:r>
    </w:p>
    <w:p w14:paraId="10DD7874">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"_Toc9904" </w:instrText>
      </w:r>
      <w:r>
        <w:fldChar w:fldCharType="separate"/>
      </w:r>
      <w:r>
        <w:rPr>
          <w:rFonts w:hint="eastAsia" w:ascii="仿宋" w:hAnsi="仿宋" w:eastAsia="仿宋" w:cs="仿宋"/>
          <w:bCs/>
        </w:rPr>
        <w:t>第17条 不可抗力</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_Toc9904 </w:instrText>
      </w:r>
      <w:r>
        <w:rPr>
          <w:rFonts w:hint="eastAsia" w:ascii="仿宋" w:hAnsi="仿宋" w:eastAsia="仿宋" w:cs="仿宋"/>
        </w:rPr>
        <w:fldChar w:fldCharType="separate"/>
      </w:r>
      <w:r>
        <w:rPr>
          <w:rFonts w:hint="eastAsia" w:ascii="仿宋" w:hAnsi="仿宋" w:eastAsia="仿宋" w:cs="仿宋"/>
        </w:rPr>
        <w:t>131</w:t>
      </w:r>
      <w:r>
        <w:rPr>
          <w:rFonts w:hint="eastAsia" w:ascii="仿宋" w:hAnsi="仿宋" w:eastAsia="仿宋" w:cs="仿宋"/>
        </w:rPr>
        <w:fldChar w:fldCharType="end"/>
      </w:r>
      <w:r>
        <w:rPr>
          <w:rFonts w:hint="eastAsia" w:ascii="仿宋" w:hAnsi="仿宋" w:eastAsia="仿宋" w:cs="仿宋"/>
        </w:rPr>
        <w:fldChar w:fldCharType="end"/>
      </w:r>
    </w:p>
    <w:p w14:paraId="469976E1">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"_Toc18073" </w:instrText>
      </w:r>
      <w:r>
        <w:fldChar w:fldCharType="separate"/>
      </w:r>
      <w:r>
        <w:rPr>
          <w:rFonts w:hint="eastAsia" w:ascii="仿宋" w:hAnsi="仿宋" w:eastAsia="仿宋" w:cs="仿宋"/>
          <w:bCs/>
        </w:rPr>
        <w:t>第18条 保险</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_Toc18073 </w:instrText>
      </w:r>
      <w:r>
        <w:rPr>
          <w:rFonts w:hint="eastAsia" w:ascii="仿宋" w:hAnsi="仿宋" w:eastAsia="仿宋" w:cs="仿宋"/>
        </w:rPr>
        <w:fldChar w:fldCharType="separate"/>
      </w:r>
      <w:r>
        <w:rPr>
          <w:rFonts w:hint="eastAsia" w:ascii="仿宋" w:hAnsi="仿宋" w:eastAsia="仿宋" w:cs="仿宋"/>
        </w:rPr>
        <w:t>134</w:t>
      </w:r>
      <w:r>
        <w:rPr>
          <w:rFonts w:hint="eastAsia" w:ascii="仿宋" w:hAnsi="仿宋" w:eastAsia="仿宋" w:cs="仿宋"/>
        </w:rPr>
        <w:fldChar w:fldCharType="end"/>
      </w:r>
      <w:r>
        <w:rPr>
          <w:rFonts w:hint="eastAsia" w:ascii="仿宋" w:hAnsi="仿宋" w:eastAsia="仿宋" w:cs="仿宋"/>
        </w:rPr>
        <w:fldChar w:fldCharType="end"/>
      </w:r>
    </w:p>
    <w:p w14:paraId="3343A110">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"_Toc13115" </w:instrText>
      </w:r>
      <w:r>
        <w:fldChar w:fldCharType="separate"/>
      </w:r>
      <w:r>
        <w:rPr>
          <w:rFonts w:hint="eastAsia" w:ascii="仿宋" w:hAnsi="仿宋" w:eastAsia="仿宋" w:cs="仿宋"/>
          <w:bCs/>
        </w:rPr>
        <w:t>第19条 索赔</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_Toc13115 </w:instrText>
      </w:r>
      <w:r>
        <w:rPr>
          <w:rFonts w:hint="eastAsia" w:ascii="仿宋" w:hAnsi="仿宋" w:eastAsia="仿宋" w:cs="仿宋"/>
        </w:rPr>
        <w:fldChar w:fldCharType="separate"/>
      </w:r>
      <w:r>
        <w:rPr>
          <w:rFonts w:hint="eastAsia" w:ascii="仿宋" w:hAnsi="仿宋" w:eastAsia="仿宋" w:cs="仿宋"/>
        </w:rPr>
        <w:t>137</w:t>
      </w:r>
      <w:r>
        <w:rPr>
          <w:rFonts w:hint="eastAsia" w:ascii="仿宋" w:hAnsi="仿宋" w:eastAsia="仿宋" w:cs="仿宋"/>
        </w:rPr>
        <w:fldChar w:fldCharType="end"/>
      </w:r>
      <w:r>
        <w:rPr>
          <w:rFonts w:hint="eastAsia" w:ascii="仿宋" w:hAnsi="仿宋" w:eastAsia="仿宋" w:cs="仿宋"/>
        </w:rPr>
        <w:fldChar w:fldCharType="end"/>
      </w:r>
    </w:p>
    <w:p w14:paraId="33DFB159">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"_Toc4719" </w:instrText>
      </w:r>
      <w:r>
        <w:fldChar w:fldCharType="separate"/>
      </w:r>
      <w:r>
        <w:rPr>
          <w:rFonts w:hint="eastAsia" w:ascii="仿宋" w:hAnsi="仿宋" w:eastAsia="仿宋" w:cs="仿宋"/>
          <w:bCs/>
        </w:rPr>
        <w:t>第20条 争议解决</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_Toc4719 </w:instrText>
      </w:r>
      <w:r>
        <w:rPr>
          <w:rFonts w:hint="eastAsia" w:ascii="仿宋" w:hAnsi="仿宋" w:eastAsia="仿宋" w:cs="仿宋"/>
        </w:rPr>
        <w:fldChar w:fldCharType="separate"/>
      </w:r>
      <w:r>
        <w:rPr>
          <w:rFonts w:hint="eastAsia" w:ascii="仿宋" w:hAnsi="仿宋" w:eastAsia="仿宋" w:cs="仿宋"/>
        </w:rPr>
        <w:t>139</w:t>
      </w:r>
      <w:r>
        <w:rPr>
          <w:rFonts w:hint="eastAsia" w:ascii="仿宋" w:hAnsi="仿宋" w:eastAsia="仿宋" w:cs="仿宋"/>
        </w:rPr>
        <w:fldChar w:fldCharType="end"/>
      </w:r>
      <w:r>
        <w:rPr>
          <w:rFonts w:hint="eastAsia" w:ascii="仿宋" w:hAnsi="仿宋" w:eastAsia="仿宋" w:cs="仿宋"/>
        </w:rPr>
        <w:fldChar w:fldCharType="end"/>
      </w:r>
    </w:p>
    <w:p w14:paraId="6A7685CB">
      <w:pPr>
        <w:tabs>
          <w:tab w:val="right" w:leader="dot" w:pos="8306"/>
        </w:tabs>
        <w:spacing w:after="120"/>
        <w:ind w:firstLine="0" w:firstLineChars="0"/>
        <w:rPr>
          <w:rFonts w:ascii="仿宋" w:hAnsi="仿宋" w:eastAsia="仿宋" w:cs="仿宋"/>
          <w:szCs w:val="24"/>
        </w:rPr>
      </w:pPr>
      <w:r>
        <w:fldChar w:fldCharType="begin"/>
      </w:r>
      <w:r>
        <w:instrText xml:space="preserve"> HYPERLINK \l "_Toc9975" </w:instrText>
      </w:r>
      <w:r>
        <w:fldChar w:fldCharType="separate"/>
      </w:r>
      <w:r>
        <w:rPr>
          <w:rFonts w:hint="eastAsia" w:ascii="仿宋" w:hAnsi="仿宋" w:eastAsia="仿宋" w:cs="仿宋"/>
          <w:szCs w:val="24"/>
        </w:rPr>
        <w:t>第三部分 专用合同条件</w:t>
      </w:r>
      <w:r>
        <w:rPr>
          <w:rFonts w:hint="eastAsia" w:ascii="仿宋" w:hAnsi="仿宋" w:eastAsia="仿宋" w:cs="仿宋"/>
          <w:szCs w:val="24"/>
        </w:rPr>
        <w:tab/>
      </w:r>
      <w:r>
        <w:rPr>
          <w:rFonts w:hint="eastAsia" w:ascii="仿宋" w:hAnsi="仿宋" w:eastAsia="仿宋" w:cs="仿宋"/>
          <w:szCs w:val="24"/>
        </w:rPr>
        <w:fldChar w:fldCharType="begin"/>
      </w:r>
      <w:r>
        <w:rPr>
          <w:rFonts w:hint="eastAsia" w:ascii="仿宋" w:hAnsi="仿宋" w:eastAsia="仿宋" w:cs="仿宋"/>
          <w:szCs w:val="24"/>
        </w:rPr>
        <w:instrText xml:space="preserve"> PAGEREF _Toc9975 </w:instrText>
      </w:r>
      <w:r>
        <w:rPr>
          <w:rFonts w:hint="eastAsia" w:ascii="仿宋" w:hAnsi="仿宋" w:eastAsia="仿宋" w:cs="仿宋"/>
          <w:szCs w:val="24"/>
        </w:rPr>
        <w:fldChar w:fldCharType="separate"/>
      </w:r>
      <w:r>
        <w:rPr>
          <w:rFonts w:hint="eastAsia" w:ascii="仿宋" w:hAnsi="仿宋" w:eastAsia="仿宋" w:cs="仿宋"/>
          <w:szCs w:val="24"/>
        </w:rPr>
        <w:t>143</w:t>
      </w:r>
      <w:r>
        <w:rPr>
          <w:rFonts w:hint="eastAsia" w:ascii="仿宋" w:hAnsi="仿宋" w:eastAsia="仿宋" w:cs="仿宋"/>
          <w:szCs w:val="24"/>
        </w:rPr>
        <w:fldChar w:fldCharType="end"/>
      </w:r>
      <w:r>
        <w:rPr>
          <w:rFonts w:hint="eastAsia" w:ascii="仿宋" w:hAnsi="仿宋" w:eastAsia="仿宋" w:cs="仿宋"/>
          <w:szCs w:val="24"/>
        </w:rPr>
        <w:fldChar w:fldCharType="end"/>
      </w:r>
    </w:p>
    <w:p w14:paraId="7953CF0C">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"_Toc11943" </w:instrText>
      </w:r>
      <w:r>
        <w:fldChar w:fldCharType="separate"/>
      </w:r>
      <w:r>
        <w:rPr>
          <w:rFonts w:hint="eastAsia" w:ascii="仿宋" w:hAnsi="仿宋" w:eastAsia="仿宋" w:cs="仿宋"/>
          <w:bCs/>
        </w:rPr>
        <w:t>第1条 一般约定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_Toc11943 </w:instrText>
      </w:r>
      <w:r>
        <w:rPr>
          <w:rFonts w:hint="eastAsia" w:ascii="仿宋" w:hAnsi="仿宋" w:eastAsia="仿宋" w:cs="仿宋"/>
        </w:rPr>
        <w:fldChar w:fldCharType="separate"/>
      </w:r>
      <w:r>
        <w:rPr>
          <w:rFonts w:hint="eastAsia" w:ascii="仿宋" w:hAnsi="仿宋" w:eastAsia="仿宋" w:cs="仿宋"/>
        </w:rPr>
        <w:t>143</w:t>
      </w:r>
      <w:r>
        <w:rPr>
          <w:rFonts w:hint="eastAsia" w:ascii="仿宋" w:hAnsi="仿宋" w:eastAsia="仿宋" w:cs="仿宋"/>
        </w:rPr>
        <w:fldChar w:fldCharType="end"/>
      </w:r>
      <w:r>
        <w:rPr>
          <w:rFonts w:hint="eastAsia" w:ascii="仿宋" w:hAnsi="仿宋" w:eastAsia="仿宋" w:cs="仿宋"/>
        </w:rPr>
        <w:fldChar w:fldCharType="end"/>
      </w:r>
    </w:p>
    <w:p w14:paraId="04661A3E">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"_Toc29874" </w:instrText>
      </w:r>
      <w:r>
        <w:fldChar w:fldCharType="separate"/>
      </w:r>
      <w:r>
        <w:rPr>
          <w:rFonts w:hint="eastAsia" w:ascii="仿宋" w:hAnsi="仿宋" w:eastAsia="仿宋" w:cs="仿宋"/>
          <w:bCs/>
        </w:rPr>
        <w:t>第2条 发包人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_Toc29874 </w:instrText>
      </w:r>
      <w:r>
        <w:rPr>
          <w:rFonts w:hint="eastAsia" w:ascii="仿宋" w:hAnsi="仿宋" w:eastAsia="仿宋" w:cs="仿宋"/>
        </w:rPr>
        <w:fldChar w:fldCharType="separate"/>
      </w:r>
      <w:r>
        <w:rPr>
          <w:rFonts w:hint="eastAsia" w:ascii="仿宋" w:hAnsi="仿宋" w:eastAsia="仿宋" w:cs="仿宋"/>
        </w:rPr>
        <w:t>145</w:t>
      </w:r>
      <w:r>
        <w:rPr>
          <w:rFonts w:hint="eastAsia" w:ascii="仿宋" w:hAnsi="仿宋" w:eastAsia="仿宋" w:cs="仿宋"/>
        </w:rPr>
        <w:fldChar w:fldCharType="end"/>
      </w:r>
      <w:r>
        <w:rPr>
          <w:rFonts w:hint="eastAsia" w:ascii="仿宋" w:hAnsi="仿宋" w:eastAsia="仿宋" w:cs="仿宋"/>
        </w:rPr>
        <w:fldChar w:fldCharType="end"/>
      </w:r>
    </w:p>
    <w:p w14:paraId="1237724F">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"_Toc17516" </w:instrText>
      </w:r>
      <w:r>
        <w:fldChar w:fldCharType="separate"/>
      </w:r>
      <w:r>
        <w:rPr>
          <w:rFonts w:hint="eastAsia" w:ascii="仿宋" w:hAnsi="仿宋" w:eastAsia="仿宋" w:cs="仿宋"/>
          <w:bCs/>
        </w:rPr>
        <w:t>第3条 发包人的管理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_Toc17516 </w:instrText>
      </w:r>
      <w:r>
        <w:rPr>
          <w:rFonts w:hint="eastAsia" w:ascii="仿宋" w:hAnsi="仿宋" w:eastAsia="仿宋" w:cs="仿宋"/>
        </w:rPr>
        <w:fldChar w:fldCharType="separate"/>
      </w:r>
      <w:r>
        <w:rPr>
          <w:rFonts w:hint="eastAsia" w:ascii="仿宋" w:hAnsi="仿宋" w:eastAsia="仿宋" w:cs="仿宋"/>
        </w:rPr>
        <w:t>147</w:t>
      </w:r>
      <w:r>
        <w:rPr>
          <w:rFonts w:hint="eastAsia" w:ascii="仿宋" w:hAnsi="仿宋" w:eastAsia="仿宋" w:cs="仿宋"/>
        </w:rPr>
        <w:fldChar w:fldCharType="end"/>
      </w:r>
      <w:r>
        <w:rPr>
          <w:rFonts w:hint="eastAsia" w:ascii="仿宋" w:hAnsi="仿宋" w:eastAsia="仿宋" w:cs="仿宋"/>
        </w:rPr>
        <w:fldChar w:fldCharType="end"/>
      </w:r>
    </w:p>
    <w:p w14:paraId="2F1DF45E">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"_Toc15127" </w:instrText>
      </w:r>
      <w:r>
        <w:fldChar w:fldCharType="separate"/>
      </w:r>
      <w:r>
        <w:rPr>
          <w:rFonts w:hint="eastAsia" w:ascii="仿宋" w:hAnsi="仿宋" w:eastAsia="仿宋" w:cs="仿宋"/>
          <w:bCs/>
        </w:rPr>
        <w:t>第4条 承包人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_Toc15127 </w:instrText>
      </w:r>
      <w:r>
        <w:rPr>
          <w:rFonts w:hint="eastAsia" w:ascii="仿宋" w:hAnsi="仿宋" w:eastAsia="仿宋" w:cs="仿宋"/>
        </w:rPr>
        <w:fldChar w:fldCharType="separate"/>
      </w:r>
      <w:r>
        <w:rPr>
          <w:rFonts w:hint="eastAsia" w:ascii="仿宋" w:hAnsi="仿宋" w:eastAsia="仿宋" w:cs="仿宋"/>
        </w:rPr>
        <w:t>149</w:t>
      </w:r>
      <w:r>
        <w:rPr>
          <w:rFonts w:hint="eastAsia" w:ascii="仿宋" w:hAnsi="仿宋" w:eastAsia="仿宋" w:cs="仿宋"/>
        </w:rPr>
        <w:fldChar w:fldCharType="end"/>
      </w:r>
      <w:r>
        <w:rPr>
          <w:rFonts w:hint="eastAsia" w:ascii="仿宋" w:hAnsi="仿宋" w:eastAsia="仿宋" w:cs="仿宋"/>
        </w:rPr>
        <w:fldChar w:fldCharType="end"/>
      </w:r>
    </w:p>
    <w:p w14:paraId="65554E61">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"_Toc27635" </w:instrText>
      </w:r>
      <w:r>
        <w:fldChar w:fldCharType="separate"/>
      </w:r>
      <w:r>
        <w:rPr>
          <w:rFonts w:hint="eastAsia" w:ascii="仿宋" w:hAnsi="仿宋" w:eastAsia="仿宋" w:cs="仿宋"/>
          <w:bCs/>
        </w:rPr>
        <w:t>第5条 设计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_Toc27635 </w:instrText>
      </w:r>
      <w:r>
        <w:rPr>
          <w:rFonts w:hint="eastAsia" w:ascii="仿宋" w:hAnsi="仿宋" w:eastAsia="仿宋" w:cs="仿宋"/>
        </w:rPr>
        <w:fldChar w:fldCharType="separate"/>
      </w:r>
      <w:r>
        <w:rPr>
          <w:rFonts w:hint="eastAsia" w:ascii="仿宋" w:hAnsi="仿宋" w:eastAsia="仿宋" w:cs="仿宋"/>
        </w:rPr>
        <w:t>159</w:t>
      </w:r>
      <w:r>
        <w:rPr>
          <w:rFonts w:hint="eastAsia" w:ascii="仿宋" w:hAnsi="仿宋" w:eastAsia="仿宋" w:cs="仿宋"/>
        </w:rPr>
        <w:fldChar w:fldCharType="end"/>
      </w:r>
      <w:r>
        <w:rPr>
          <w:rFonts w:hint="eastAsia" w:ascii="仿宋" w:hAnsi="仿宋" w:eastAsia="仿宋" w:cs="仿宋"/>
        </w:rPr>
        <w:fldChar w:fldCharType="end"/>
      </w:r>
    </w:p>
    <w:p w14:paraId="63D40ECA">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"_Toc28726" </w:instrText>
      </w:r>
      <w:r>
        <w:fldChar w:fldCharType="separate"/>
      </w:r>
      <w:r>
        <w:rPr>
          <w:rFonts w:hint="eastAsia" w:ascii="仿宋" w:hAnsi="仿宋" w:eastAsia="仿宋" w:cs="仿宋"/>
          <w:bCs/>
        </w:rPr>
        <w:t>第6条 材料、工程设备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_Toc28726 </w:instrText>
      </w:r>
      <w:r>
        <w:rPr>
          <w:rFonts w:hint="eastAsia" w:ascii="仿宋" w:hAnsi="仿宋" w:eastAsia="仿宋" w:cs="仿宋"/>
        </w:rPr>
        <w:fldChar w:fldCharType="separate"/>
      </w:r>
      <w:r>
        <w:rPr>
          <w:rFonts w:hint="eastAsia" w:ascii="仿宋" w:hAnsi="仿宋" w:eastAsia="仿宋" w:cs="仿宋"/>
        </w:rPr>
        <w:t>159</w:t>
      </w:r>
      <w:r>
        <w:rPr>
          <w:rFonts w:hint="eastAsia" w:ascii="仿宋" w:hAnsi="仿宋" w:eastAsia="仿宋" w:cs="仿宋"/>
        </w:rPr>
        <w:fldChar w:fldCharType="end"/>
      </w:r>
      <w:r>
        <w:rPr>
          <w:rFonts w:hint="eastAsia" w:ascii="仿宋" w:hAnsi="仿宋" w:eastAsia="仿宋" w:cs="仿宋"/>
        </w:rPr>
        <w:fldChar w:fldCharType="end"/>
      </w:r>
    </w:p>
    <w:p w14:paraId="124ABA24">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"_Toc5721" </w:instrText>
      </w:r>
      <w:r>
        <w:fldChar w:fldCharType="separate"/>
      </w:r>
      <w:r>
        <w:rPr>
          <w:rFonts w:hint="eastAsia" w:ascii="仿宋" w:hAnsi="仿宋" w:eastAsia="仿宋" w:cs="仿宋"/>
        </w:rPr>
        <w:t>第7条 施工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_Toc5721 </w:instrText>
      </w:r>
      <w:r>
        <w:rPr>
          <w:rFonts w:hint="eastAsia" w:ascii="仿宋" w:hAnsi="仿宋" w:eastAsia="仿宋" w:cs="仿宋"/>
        </w:rPr>
        <w:fldChar w:fldCharType="separate"/>
      </w:r>
      <w:r>
        <w:rPr>
          <w:rFonts w:hint="eastAsia" w:ascii="仿宋" w:hAnsi="仿宋" w:eastAsia="仿宋" w:cs="仿宋"/>
        </w:rPr>
        <w:t>173</w:t>
      </w:r>
      <w:r>
        <w:rPr>
          <w:rFonts w:hint="eastAsia" w:ascii="仿宋" w:hAnsi="仿宋" w:eastAsia="仿宋" w:cs="仿宋"/>
        </w:rPr>
        <w:fldChar w:fldCharType="end"/>
      </w:r>
      <w:r>
        <w:rPr>
          <w:rFonts w:hint="eastAsia" w:ascii="仿宋" w:hAnsi="仿宋" w:eastAsia="仿宋" w:cs="仿宋"/>
        </w:rPr>
        <w:fldChar w:fldCharType="end"/>
      </w:r>
    </w:p>
    <w:p w14:paraId="00AECF15">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"_Toc25823" </w:instrText>
      </w:r>
      <w:r>
        <w:fldChar w:fldCharType="separate"/>
      </w:r>
      <w:r>
        <w:rPr>
          <w:rFonts w:hint="eastAsia" w:ascii="仿宋" w:hAnsi="仿宋" w:eastAsia="仿宋" w:cs="仿宋"/>
          <w:bCs/>
        </w:rPr>
        <w:t>第8条 工期和进度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_Toc25823 </w:instrText>
      </w:r>
      <w:r>
        <w:rPr>
          <w:rFonts w:hint="eastAsia" w:ascii="仿宋" w:hAnsi="仿宋" w:eastAsia="仿宋" w:cs="仿宋"/>
        </w:rPr>
        <w:fldChar w:fldCharType="separate"/>
      </w:r>
      <w:r>
        <w:rPr>
          <w:rFonts w:hint="eastAsia" w:ascii="仿宋" w:hAnsi="仿宋" w:eastAsia="仿宋" w:cs="仿宋"/>
        </w:rPr>
        <w:t>177</w:t>
      </w:r>
      <w:r>
        <w:rPr>
          <w:rFonts w:hint="eastAsia" w:ascii="仿宋" w:hAnsi="仿宋" w:eastAsia="仿宋" w:cs="仿宋"/>
        </w:rPr>
        <w:fldChar w:fldCharType="end"/>
      </w:r>
      <w:r>
        <w:rPr>
          <w:rFonts w:hint="eastAsia" w:ascii="仿宋" w:hAnsi="仿宋" w:eastAsia="仿宋" w:cs="仿宋"/>
        </w:rPr>
        <w:fldChar w:fldCharType="end"/>
      </w:r>
    </w:p>
    <w:p w14:paraId="06ED483C">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"_Toc26988" </w:instrText>
      </w:r>
      <w:r>
        <w:fldChar w:fldCharType="separate"/>
      </w:r>
      <w:r>
        <w:rPr>
          <w:rFonts w:hint="eastAsia" w:ascii="仿宋" w:hAnsi="仿宋" w:eastAsia="仿宋" w:cs="仿宋"/>
          <w:bCs/>
        </w:rPr>
        <w:t>第9条 竣工试验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_Toc26988 </w:instrText>
      </w:r>
      <w:r>
        <w:rPr>
          <w:rFonts w:hint="eastAsia" w:ascii="仿宋" w:hAnsi="仿宋" w:eastAsia="仿宋" w:cs="仿宋"/>
        </w:rPr>
        <w:fldChar w:fldCharType="separate"/>
      </w:r>
      <w:r>
        <w:rPr>
          <w:rFonts w:hint="eastAsia" w:ascii="仿宋" w:hAnsi="仿宋" w:eastAsia="仿宋" w:cs="仿宋"/>
        </w:rPr>
        <w:t>181</w:t>
      </w:r>
      <w:r>
        <w:rPr>
          <w:rFonts w:hint="eastAsia" w:ascii="仿宋" w:hAnsi="仿宋" w:eastAsia="仿宋" w:cs="仿宋"/>
        </w:rPr>
        <w:fldChar w:fldCharType="end"/>
      </w:r>
      <w:r>
        <w:rPr>
          <w:rFonts w:hint="eastAsia" w:ascii="仿宋" w:hAnsi="仿宋" w:eastAsia="仿宋" w:cs="仿宋"/>
        </w:rPr>
        <w:fldChar w:fldCharType="end"/>
      </w:r>
    </w:p>
    <w:p w14:paraId="65FB6A31">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"_Toc12951" </w:instrText>
      </w:r>
      <w:r>
        <w:fldChar w:fldCharType="separate"/>
      </w:r>
      <w:r>
        <w:rPr>
          <w:rFonts w:hint="eastAsia" w:ascii="仿宋" w:hAnsi="仿宋" w:eastAsia="仿宋" w:cs="仿宋"/>
          <w:bCs/>
        </w:rPr>
        <w:t>第10条 验收和工程接收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_Toc12951 </w:instrText>
      </w:r>
      <w:r>
        <w:rPr>
          <w:rFonts w:hint="eastAsia" w:ascii="仿宋" w:hAnsi="仿宋" w:eastAsia="仿宋" w:cs="仿宋"/>
        </w:rPr>
        <w:fldChar w:fldCharType="separate"/>
      </w:r>
      <w:r>
        <w:rPr>
          <w:rFonts w:hint="eastAsia" w:ascii="仿宋" w:hAnsi="仿宋" w:eastAsia="仿宋" w:cs="仿宋"/>
        </w:rPr>
        <w:t>181</w:t>
      </w:r>
      <w:r>
        <w:rPr>
          <w:rFonts w:hint="eastAsia" w:ascii="仿宋" w:hAnsi="仿宋" w:eastAsia="仿宋" w:cs="仿宋"/>
        </w:rPr>
        <w:fldChar w:fldCharType="end"/>
      </w:r>
      <w:r>
        <w:rPr>
          <w:rFonts w:hint="eastAsia" w:ascii="仿宋" w:hAnsi="仿宋" w:eastAsia="仿宋" w:cs="仿宋"/>
        </w:rPr>
        <w:fldChar w:fldCharType="end"/>
      </w:r>
    </w:p>
    <w:p w14:paraId="2F22C25A">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"_Toc7447" </w:instrText>
      </w:r>
      <w:r>
        <w:fldChar w:fldCharType="separate"/>
      </w:r>
      <w:r>
        <w:rPr>
          <w:rFonts w:hint="eastAsia" w:ascii="仿宋" w:hAnsi="仿宋" w:eastAsia="仿宋" w:cs="仿宋"/>
          <w:bCs/>
        </w:rPr>
        <w:t>第11条 缺陷责任与保修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_Toc7447 </w:instrText>
      </w:r>
      <w:r>
        <w:rPr>
          <w:rFonts w:hint="eastAsia" w:ascii="仿宋" w:hAnsi="仿宋" w:eastAsia="仿宋" w:cs="仿宋"/>
        </w:rPr>
        <w:fldChar w:fldCharType="separate"/>
      </w:r>
      <w:r>
        <w:rPr>
          <w:rFonts w:hint="eastAsia" w:ascii="仿宋" w:hAnsi="仿宋" w:eastAsia="仿宋" w:cs="仿宋"/>
        </w:rPr>
        <w:t>186</w:t>
      </w:r>
      <w:r>
        <w:rPr>
          <w:rFonts w:hint="eastAsia" w:ascii="仿宋" w:hAnsi="仿宋" w:eastAsia="仿宋" w:cs="仿宋"/>
        </w:rPr>
        <w:fldChar w:fldCharType="end"/>
      </w:r>
      <w:r>
        <w:rPr>
          <w:rFonts w:hint="eastAsia" w:ascii="仿宋" w:hAnsi="仿宋" w:eastAsia="仿宋" w:cs="仿宋"/>
        </w:rPr>
        <w:fldChar w:fldCharType="end"/>
      </w:r>
    </w:p>
    <w:p w14:paraId="55B60D4A">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"_Toc27717" </w:instrText>
      </w:r>
      <w:r>
        <w:fldChar w:fldCharType="separate"/>
      </w:r>
      <w:r>
        <w:rPr>
          <w:rFonts w:hint="eastAsia" w:ascii="仿宋" w:hAnsi="仿宋" w:eastAsia="仿宋" w:cs="仿宋"/>
          <w:bCs/>
        </w:rPr>
        <w:t>第13条 变更与调整</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_Toc27717 </w:instrText>
      </w:r>
      <w:r>
        <w:rPr>
          <w:rFonts w:hint="eastAsia" w:ascii="仿宋" w:hAnsi="仿宋" w:eastAsia="仿宋" w:cs="仿宋"/>
        </w:rPr>
        <w:fldChar w:fldCharType="separate"/>
      </w:r>
      <w:r>
        <w:rPr>
          <w:rFonts w:hint="eastAsia" w:ascii="仿宋" w:hAnsi="仿宋" w:eastAsia="仿宋" w:cs="仿宋"/>
        </w:rPr>
        <w:t>188</w:t>
      </w:r>
      <w:r>
        <w:rPr>
          <w:rFonts w:hint="eastAsia" w:ascii="仿宋" w:hAnsi="仿宋" w:eastAsia="仿宋" w:cs="仿宋"/>
        </w:rPr>
        <w:fldChar w:fldCharType="end"/>
      </w:r>
      <w:r>
        <w:rPr>
          <w:rFonts w:hint="eastAsia" w:ascii="仿宋" w:hAnsi="仿宋" w:eastAsia="仿宋" w:cs="仿宋"/>
        </w:rPr>
        <w:fldChar w:fldCharType="end"/>
      </w:r>
    </w:p>
    <w:p w14:paraId="73686E60">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"_Toc28829" </w:instrText>
      </w:r>
      <w:r>
        <w:fldChar w:fldCharType="separate"/>
      </w:r>
      <w:r>
        <w:rPr>
          <w:rFonts w:hint="eastAsia" w:ascii="仿宋" w:hAnsi="仿宋" w:eastAsia="仿宋" w:cs="仿宋"/>
          <w:bCs/>
        </w:rPr>
        <w:t>第14条 合同价格与支付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_Toc28829 </w:instrText>
      </w:r>
      <w:r>
        <w:rPr>
          <w:rFonts w:hint="eastAsia" w:ascii="仿宋" w:hAnsi="仿宋" w:eastAsia="仿宋" w:cs="仿宋"/>
        </w:rPr>
        <w:fldChar w:fldCharType="separate"/>
      </w:r>
      <w:r>
        <w:rPr>
          <w:rFonts w:hint="eastAsia" w:ascii="仿宋" w:hAnsi="仿宋" w:eastAsia="仿宋" w:cs="仿宋"/>
        </w:rPr>
        <w:t>203</w:t>
      </w:r>
      <w:r>
        <w:rPr>
          <w:rFonts w:hint="eastAsia" w:ascii="仿宋" w:hAnsi="仿宋" w:eastAsia="仿宋" w:cs="仿宋"/>
        </w:rPr>
        <w:fldChar w:fldCharType="end"/>
      </w:r>
      <w:r>
        <w:rPr>
          <w:rFonts w:hint="eastAsia" w:ascii="仿宋" w:hAnsi="仿宋" w:eastAsia="仿宋" w:cs="仿宋"/>
        </w:rPr>
        <w:fldChar w:fldCharType="end"/>
      </w:r>
    </w:p>
    <w:p w14:paraId="6FB008E7">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"_Toc29722" </w:instrText>
      </w:r>
      <w:r>
        <w:fldChar w:fldCharType="separate"/>
      </w:r>
      <w:r>
        <w:rPr>
          <w:rFonts w:hint="eastAsia" w:ascii="仿宋" w:hAnsi="仿宋" w:eastAsia="仿宋" w:cs="仿宋"/>
          <w:bCs/>
        </w:rPr>
        <w:t>第15条 违约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_Toc29722 </w:instrText>
      </w:r>
      <w:r>
        <w:rPr>
          <w:rFonts w:hint="eastAsia" w:ascii="仿宋" w:hAnsi="仿宋" w:eastAsia="仿宋" w:cs="仿宋"/>
        </w:rPr>
        <w:fldChar w:fldCharType="separate"/>
      </w:r>
      <w:r>
        <w:rPr>
          <w:rFonts w:hint="eastAsia" w:ascii="仿宋" w:hAnsi="仿宋" w:eastAsia="仿宋" w:cs="仿宋"/>
        </w:rPr>
        <w:t>231</w:t>
      </w:r>
      <w:r>
        <w:rPr>
          <w:rFonts w:hint="eastAsia" w:ascii="仿宋" w:hAnsi="仿宋" w:eastAsia="仿宋" w:cs="仿宋"/>
        </w:rPr>
        <w:fldChar w:fldCharType="end"/>
      </w:r>
      <w:r>
        <w:rPr>
          <w:rFonts w:hint="eastAsia" w:ascii="仿宋" w:hAnsi="仿宋" w:eastAsia="仿宋" w:cs="仿宋"/>
        </w:rPr>
        <w:fldChar w:fldCharType="end"/>
      </w:r>
    </w:p>
    <w:p w14:paraId="081A7985">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"_Toc17796" </w:instrText>
      </w:r>
      <w:r>
        <w:fldChar w:fldCharType="separate"/>
      </w:r>
      <w:r>
        <w:rPr>
          <w:rFonts w:hint="eastAsia" w:ascii="仿宋" w:hAnsi="仿宋" w:eastAsia="仿宋" w:cs="仿宋"/>
          <w:bCs/>
        </w:rPr>
        <w:t>第16条 合同解除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_Toc17796 </w:instrText>
      </w:r>
      <w:r>
        <w:rPr>
          <w:rFonts w:hint="eastAsia" w:ascii="仿宋" w:hAnsi="仿宋" w:eastAsia="仿宋" w:cs="仿宋"/>
        </w:rPr>
        <w:fldChar w:fldCharType="separate"/>
      </w:r>
      <w:r>
        <w:rPr>
          <w:rFonts w:ascii="仿宋" w:hAnsi="仿宋" w:eastAsia="仿宋" w:cs="仿宋"/>
        </w:rPr>
        <w:t>24</w:t>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rPr>
        <w:fldChar w:fldCharType="end"/>
      </w:r>
    </w:p>
    <w:p w14:paraId="296962FC">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"_Toc21840" </w:instrText>
      </w:r>
      <w:r>
        <w:fldChar w:fldCharType="separate"/>
      </w:r>
      <w:r>
        <w:rPr>
          <w:rFonts w:hint="eastAsia" w:ascii="仿宋" w:hAnsi="仿宋" w:eastAsia="仿宋" w:cs="仿宋"/>
          <w:bCs/>
        </w:rPr>
        <w:t>第17条 不可抗力</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_Toc21840 </w:instrText>
      </w:r>
      <w:r>
        <w:rPr>
          <w:rFonts w:hint="eastAsia" w:ascii="仿宋" w:hAnsi="仿宋" w:eastAsia="仿宋" w:cs="仿宋"/>
        </w:rPr>
        <w:fldChar w:fldCharType="separate"/>
      </w:r>
      <w:r>
        <w:rPr>
          <w:rFonts w:ascii="仿宋" w:hAnsi="仿宋" w:eastAsia="仿宋" w:cs="仿宋"/>
        </w:rPr>
        <w:t>24</w:t>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rPr>
        <w:fldChar w:fldCharType="end"/>
      </w:r>
    </w:p>
    <w:p w14:paraId="77EEDEF1">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"_Toc4802" </w:instrText>
      </w:r>
      <w:r>
        <w:fldChar w:fldCharType="separate"/>
      </w:r>
      <w:r>
        <w:rPr>
          <w:rFonts w:hint="eastAsia" w:ascii="仿宋" w:hAnsi="仿宋" w:eastAsia="仿宋" w:cs="仿宋"/>
          <w:bCs/>
        </w:rPr>
        <w:t>第18条 保险</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_Toc4802 </w:instrText>
      </w:r>
      <w:r>
        <w:rPr>
          <w:rFonts w:hint="eastAsia" w:ascii="仿宋" w:hAnsi="仿宋" w:eastAsia="仿宋" w:cs="仿宋"/>
        </w:rPr>
        <w:fldChar w:fldCharType="separate"/>
      </w:r>
      <w:r>
        <w:rPr>
          <w:rFonts w:ascii="仿宋" w:hAnsi="仿宋" w:eastAsia="仿宋" w:cs="仿宋"/>
        </w:rPr>
        <w:t>24</w:t>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14:paraId="54BCC940">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"_Toc26913" </w:instrText>
      </w:r>
      <w:r>
        <w:fldChar w:fldCharType="separate"/>
      </w:r>
      <w:r>
        <w:rPr>
          <w:rFonts w:hint="eastAsia" w:ascii="仿宋" w:hAnsi="仿宋" w:eastAsia="仿宋" w:cs="仿宋"/>
          <w:bCs/>
        </w:rPr>
        <w:t>第20条 争议解决</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_Toc26913 </w:instrText>
      </w:r>
      <w:r>
        <w:rPr>
          <w:rFonts w:hint="eastAsia" w:ascii="仿宋" w:hAnsi="仿宋" w:eastAsia="仿宋" w:cs="仿宋"/>
        </w:rPr>
        <w:fldChar w:fldCharType="separate"/>
      </w:r>
      <w:r>
        <w:rPr>
          <w:rFonts w:ascii="仿宋" w:hAnsi="仿宋" w:eastAsia="仿宋" w:cs="仿宋"/>
        </w:rPr>
        <w:t>2</w:t>
      </w:r>
      <w:r>
        <w:rPr>
          <w:rFonts w:hint="eastAsia" w:ascii="仿宋" w:hAnsi="仿宋" w:eastAsia="仿宋" w:cs="仿宋"/>
        </w:rPr>
        <w:t>49</w:t>
      </w:r>
      <w:r>
        <w:rPr>
          <w:rFonts w:hint="eastAsia" w:ascii="仿宋" w:hAnsi="仿宋" w:eastAsia="仿宋" w:cs="仿宋"/>
        </w:rPr>
        <w:fldChar w:fldCharType="end"/>
      </w:r>
      <w:r>
        <w:rPr>
          <w:rFonts w:hint="eastAsia" w:ascii="仿宋" w:hAnsi="仿宋" w:eastAsia="仿宋" w:cs="仿宋"/>
        </w:rPr>
        <w:fldChar w:fldCharType="end"/>
      </w:r>
    </w:p>
    <w:p w14:paraId="2FCEE841">
      <w:pPr>
        <w:tabs>
          <w:tab w:val="right" w:leader="dot" w:pos="8306"/>
        </w:tabs>
        <w:spacing w:after="120"/>
        <w:ind w:firstLine="0" w:firstLineChars="0"/>
        <w:rPr>
          <w:rFonts w:ascii="仿宋" w:hAnsi="仿宋" w:eastAsia="仿宋" w:cs="仿宋"/>
          <w:szCs w:val="24"/>
        </w:rPr>
      </w:pPr>
      <w:r>
        <w:fldChar w:fldCharType="begin"/>
      </w:r>
      <w:r>
        <w:instrText xml:space="preserve"> HYPERLINK \l "_Toc31315" </w:instrText>
      </w:r>
      <w:r>
        <w:fldChar w:fldCharType="separate"/>
      </w:r>
      <w:r>
        <w:rPr>
          <w:rFonts w:hint="eastAsia" w:ascii="仿宋" w:hAnsi="仿宋" w:eastAsia="仿宋" w:cs="仿宋"/>
          <w:szCs w:val="24"/>
        </w:rPr>
        <w:t>专用合同条件附件</w:t>
      </w:r>
      <w:r>
        <w:rPr>
          <w:rFonts w:hint="eastAsia" w:ascii="仿宋" w:hAnsi="仿宋" w:eastAsia="仿宋" w:cs="仿宋"/>
          <w:szCs w:val="24"/>
        </w:rPr>
        <w:tab/>
      </w:r>
      <w:r>
        <w:rPr>
          <w:rFonts w:hint="eastAsia" w:ascii="仿宋" w:hAnsi="仿宋" w:eastAsia="仿宋" w:cs="仿宋"/>
          <w:szCs w:val="24"/>
        </w:rPr>
        <w:fldChar w:fldCharType="begin"/>
      </w:r>
      <w:r>
        <w:rPr>
          <w:rFonts w:hint="eastAsia" w:ascii="仿宋" w:hAnsi="仿宋" w:eastAsia="仿宋" w:cs="仿宋"/>
          <w:szCs w:val="24"/>
        </w:rPr>
        <w:instrText xml:space="preserve"> PAGEREF _Toc31315 </w:instrText>
      </w:r>
      <w:r>
        <w:rPr>
          <w:rFonts w:hint="eastAsia" w:ascii="仿宋" w:hAnsi="仿宋" w:eastAsia="仿宋" w:cs="仿宋"/>
          <w:szCs w:val="24"/>
        </w:rPr>
        <w:fldChar w:fldCharType="separate"/>
      </w:r>
      <w:r>
        <w:rPr>
          <w:rFonts w:ascii="仿宋" w:hAnsi="仿宋" w:eastAsia="仿宋" w:cs="仿宋"/>
          <w:szCs w:val="24"/>
        </w:rPr>
        <w:t>25</w:t>
      </w:r>
      <w:r>
        <w:rPr>
          <w:rFonts w:hint="eastAsia" w:ascii="仿宋" w:hAnsi="仿宋" w:eastAsia="仿宋" w:cs="仿宋"/>
          <w:szCs w:val="24"/>
        </w:rPr>
        <w:t>1</w:t>
      </w:r>
      <w:r>
        <w:rPr>
          <w:rFonts w:hint="eastAsia" w:ascii="仿宋" w:hAnsi="仿宋" w:eastAsia="仿宋" w:cs="仿宋"/>
          <w:szCs w:val="24"/>
        </w:rPr>
        <w:fldChar w:fldCharType="end"/>
      </w:r>
      <w:r>
        <w:rPr>
          <w:rFonts w:hint="eastAsia" w:ascii="仿宋" w:hAnsi="仿宋" w:eastAsia="仿宋" w:cs="仿宋"/>
          <w:szCs w:val="24"/>
        </w:rPr>
        <w:fldChar w:fldCharType="end"/>
      </w:r>
    </w:p>
    <w:p w14:paraId="42240044">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"_Toc2172" </w:instrText>
      </w:r>
      <w:r>
        <w:fldChar w:fldCharType="separate"/>
      </w:r>
      <w:r>
        <w:rPr>
          <w:rFonts w:hint="eastAsia" w:ascii="仿宋" w:hAnsi="仿宋" w:eastAsia="仿宋" w:cs="仿宋"/>
        </w:rPr>
        <w:t>附件1 《发包人要求》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_Toc2172 </w:instrText>
      </w:r>
      <w:r>
        <w:rPr>
          <w:rFonts w:hint="eastAsia" w:ascii="仿宋" w:hAnsi="仿宋" w:eastAsia="仿宋" w:cs="仿宋"/>
        </w:rPr>
        <w:fldChar w:fldCharType="separate"/>
      </w:r>
      <w:r>
        <w:rPr>
          <w:rFonts w:ascii="仿宋" w:hAnsi="仿宋" w:eastAsia="仿宋" w:cs="仿宋"/>
        </w:rPr>
        <w:t>25</w:t>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14:paraId="10AAFDB0">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"_Toc23730" </w:instrText>
      </w:r>
      <w:r>
        <w:fldChar w:fldCharType="separate"/>
      </w:r>
      <w:r>
        <w:rPr>
          <w:rFonts w:hint="eastAsia" w:ascii="仿宋" w:hAnsi="仿宋" w:eastAsia="仿宋" w:cs="仿宋"/>
        </w:rPr>
        <w:t>附件2 发包人供应材料设备一览表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_Toc23730 </w:instrText>
      </w:r>
      <w:r>
        <w:rPr>
          <w:rFonts w:hint="eastAsia" w:ascii="仿宋" w:hAnsi="仿宋" w:eastAsia="仿宋" w:cs="仿宋"/>
        </w:rPr>
        <w:fldChar w:fldCharType="separate"/>
      </w:r>
      <w:r>
        <w:rPr>
          <w:rFonts w:ascii="仿宋" w:hAnsi="仿宋" w:eastAsia="仿宋" w:cs="仿宋"/>
        </w:rPr>
        <w:t>25</w:t>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rPr>
        <w:fldChar w:fldCharType="end"/>
      </w:r>
    </w:p>
    <w:p w14:paraId="3B01A5C4">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"_Toc22578" </w:instrText>
      </w:r>
      <w:r>
        <w:fldChar w:fldCharType="separate"/>
      </w:r>
      <w:r>
        <w:rPr>
          <w:rFonts w:hint="eastAsia" w:ascii="仿宋" w:hAnsi="仿宋" w:eastAsia="仿宋" w:cs="仿宋"/>
        </w:rPr>
        <w:t>附件3 工程质量保修书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_Toc22578 </w:instrText>
      </w:r>
      <w:r>
        <w:rPr>
          <w:rFonts w:hint="eastAsia" w:ascii="仿宋" w:hAnsi="仿宋" w:eastAsia="仿宋" w:cs="仿宋"/>
        </w:rPr>
        <w:fldChar w:fldCharType="separate"/>
      </w:r>
      <w:r>
        <w:rPr>
          <w:rFonts w:ascii="仿宋" w:hAnsi="仿宋" w:eastAsia="仿宋" w:cs="仿宋"/>
        </w:rPr>
        <w:t>2</w:t>
      </w:r>
      <w:r>
        <w:rPr>
          <w:rFonts w:hint="eastAsia" w:ascii="仿宋" w:hAnsi="仿宋" w:eastAsia="仿宋" w:cs="仿宋"/>
        </w:rPr>
        <w:t>58</w:t>
      </w:r>
      <w:r>
        <w:rPr>
          <w:rFonts w:hint="eastAsia" w:ascii="仿宋" w:hAnsi="仿宋" w:eastAsia="仿宋" w:cs="仿宋"/>
        </w:rPr>
        <w:fldChar w:fldCharType="end"/>
      </w:r>
      <w:r>
        <w:rPr>
          <w:rFonts w:hint="eastAsia" w:ascii="仿宋" w:hAnsi="仿宋" w:eastAsia="仿宋" w:cs="仿宋"/>
        </w:rPr>
        <w:fldChar w:fldCharType="end"/>
      </w:r>
    </w:p>
    <w:p w14:paraId="33BFD0D3">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"_Toc24764" </w:instrText>
      </w:r>
      <w:r>
        <w:fldChar w:fldCharType="separate"/>
      </w:r>
      <w:r>
        <w:rPr>
          <w:rFonts w:hint="eastAsia" w:ascii="仿宋" w:hAnsi="仿宋" w:eastAsia="仿宋" w:cs="仿宋"/>
        </w:rPr>
        <w:t>附件4 主要建设工程文件目录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_Toc24764 </w:instrText>
      </w:r>
      <w:r>
        <w:rPr>
          <w:rFonts w:hint="eastAsia" w:ascii="仿宋" w:hAnsi="仿宋" w:eastAsia="仿宋" w:cs="仿宋"/>
        </w:rPr>
        <w:fldChar w:fldCharType="separate"/>
      </w:r>
      <w:r>
        <w:rPr>
          <w:rFonts w:ascii="仿宋" w:hAnsi="仿宋" w:eastAsia="仿宋" w:cs="仿宋"/>
        </w:rPr>
        <w:t>26</w:t>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5BED53D0">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"_Toc27569" </w:instrText>
      </w:r>
      <w:r>
        <w:fldChar w:fldCharType="separate"/>
      </w:r>
      <w:r>
        <w:rPr>
          <w:rFonts w:hint="eastAsia" w:ascii="仿宋" w:hAnsi="仿宋" w:eastAsia="仿宋" w:cs="仿宋"/>
        </w:rPr>
        <w:t>附件5 承包人主要管理人员表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_Toc27569 </w:instrText>
      </w:r>
      <w:r>
        <w:rPr>
          <w:rFonts w:hint="eastAsia" w:ascii="仿宋" w:hAnsi="仿宋" w:eastAsia="仿宋" w:cs="仿宋"/>
        </w:rPr>
        <w:fldChar w:fldCharType="separate"/>
      </w:r>
      <w:r>
        <w:rPr>
          <w:rFonts w:ascii="仿宋" w:hAnsi="仿宋" w:eastAsia="仿宋" w:cs="仿宋"/>
        </w:rPr>
        <w:t>26</w:t>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14:paraId="3C91ED1F">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"_Toc23559" </w:instrText>
      </w:r>
      <w:r>
        <w:fldChar w:fldCharType="separate"/>
      </w:r>
      <w:r>
        <w:rPr>
          <w:rFonts w:hint="eastAsia" w:ascii="仿宋" w:hAnsi="仿宋" w:eastAsia="仿宋" w:cs="仿宋"/>
        </w:rPr>
        <w:t>附件6 价格指数权重表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_Toc23559 </w:instrText>
      </w:r>
      <w:r>
        <w:rPr>
          <w:rFonts w:hint="eastAsia" w:ascii="仿宋" w:hAnsi="仿宋" w:eastAsia="仿宋" w:cs="仿宋"/>
        </w:rPr>
        <w:fldChar w:fldCharType="separate"/>
      </w:r>
      <w:r>
        <w:rPr>
          <w:rFonts w:ascii="仿宋" w:hAnsi="仿宋" w:eastAsia="仿宋" w:cs="仿宋"/>
        </w:rPr>
        <w:t>26</w:t>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14:paraId="0A610C8B">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"_Toc6802" </w:instrText>
      </w:r>
      <w:r>
        <w:fldChar w:fldCharType="separate"/>
      </w:r>
      <w:r>
        <w:rPr>
          <w:rFonts w:hint="eastAsia" w:ascii="仿宋" w:hAnsi="仿宋" w:eastAsia="仿宋" w:cs="仿宋"/>
        </w:rPr>
        <w:t>附件7：安全生产协议书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_Toc6802 </w:instrText>
      </w:r>
      <w:r>
        <w:rPr>
          <w:rFonts w:hint="eastAsia" w:ascii="仿宋" w:hAnsi="仿宋" w:eastAsia="仿宋" w:cs="仿宋"/>
        </w:rPr>
        <w:fldChar w:fldCharType="separate"/>
      </w:r>
      <w:r>
        <w:rPr>
          <w:rFonts w:ascii="仿宋" w:hAnsi="仿宋" w:eastAsia="仿宋" w:cs="仿宋"/>
        </w:rPr>
        <w:t>26</w:t>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14:paraId="6E3BE901">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"_Toc9920" </w:instrText>
      </w:r>
      <w:r>
        <w:fldChar w:fldCharType="separate"/>
      </w:r>
      <w:r>
        <w:rPr>
          <w:rFonts w:hint="eastAsia" w:ascii="仿宋" w:hAnsi="仿宋" w:eastAsia="仿宋" w:cs="仿宋"/>
        </w:rPr>
        <w:t>附件8 廉政协议书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_Toc9920 </w:instrText>
      </w:r>
      <w:r>
        <w:rPr>
          <w:rFonts w:hint="eastAsia" w:ascii="仿宋" w:hAnsi="仿宋" w:eastAsia="仿宋" w:cs="仿宋"/>
        </w:rPr>
        <w:fldChar w:fldCharType="separate"/>
      </w:r>
      <w:r>
        <w:rPr>
          <w:rFonts w:ascii="仿宋" w:hAnsi="仿宋" w:eastAsia="仿宋" w:cs="仿宋"/>
        </w:rPr>
        <w:t>2</w:t>
      </w:r>
      <w:r>
        <w:rPr>
          <w:rFonts w:hint="eastAsia" w:ascii="仿宋" w:hAnsi="仿宋" w:eastAsia="仿宋" w:cs="仿宋"/>
        </w:rPr>
        <w:t>68</w:t>
      </w:r>
      <w:r>
        <w:rPr>
          <w:rFonts w:hint="eastAsia" w:ascii="仿宋" w:hAnsi="仿宋" w:eastAsia="仿宋" w:cs="仿宋"/>
        </w:rPr>
        <w:fldChar w:fldCharType="end"/>
      </w:r>
      <w:r>
        <w:rPr>
          <w:rFonts w:hint="eastAsia" w:ascii="仿宋" w:hAnsi="仿宋" w:eastAsia="仿宋" w:cs="仿宋"/>
        </w:rPr>
        <w:fldChar w:fldCharType="end"/>
      </w:r>
    </w:p>
    <w:p w14:paraId="38881C77">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"_Toc1910" </w:instrText>
      </w:r>
      <w:r>
        <w:fldChar w:fldCharType="separate"/>
      </w:r>
      <w:r>
        <w:rPr>
          <w:rFonts w:hint="eastAsia" w:ascii="仿宋" w:hAnsi="仿宋" w:eastAsia="仿宋" w:cs="仿宋"/>
        </w:rPr>
        <w:t>附件9 履约保函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_Toc1910 </w:instrText>
      </w:r>
      <w:r>
        <w:rPr>
          <w:rFonts w:hint="eastAsia" w:ascii="仿宋" w:hAnsi="仿宋" w:eastAsia="仿宋" w:cs="仿宋"/>
        </w:rPr>
        <w:fldChar w:fldCharType="separate"/>
      </w:r>
      <w:r>
        <w:rPr>
          <w:rFonts w:ascii="仿宋" w:hAnsi="仿宋" w:eastAsia="仿宋" w:cs="仿宋"/>
        </w:rPr>
        <w:t>27</w:t>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rPr>
        <w:fldChar w:fldCharType="end"/>
      </w:r>
    </w:p>
    <w:p w14:paraId="025496EC">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"_Toc32639" </w:instrText>
      </w:r>
      <w:r>
        <w:fldChar w:fldCharType="separate"/>
      </w:r>
      <w:r>
        <w:rPr>
          <w:rFonts w:hint="eastAsia" w:ascii="仿宋" w:hAnsi="仿宋" w:eastAsia="仿宋" w:cs="仿宋"/>
        </w:rPr>
        <w:t>附件10 设计部分合同专章</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_Toc32639 </w:instrText>
      </w:r>
      <w:r>
        <w:rPr>
          <w:rFonts w:hint="eastAsia" w:ascii="仿宋" w:hAnsi="仿宋" w:eastAsia="仿宋" w:cs="仿宋"/>
        </w:rPr>
        <w:fldChar w:fldCharType="separate"/>
      </w:r>
      <w:r>
        <w:rPr>
          <w:rFonts w:ascii="仿宋" w:hAnsi="仿宋" w:eastAsia="仿宋" w:cs="仿宋"/>
        </w:rPr>
        <w:t>27</w:t>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14:paraId="53567359">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"_Toc26513" </w:instrText>
      </w:r>
      <w:r>
        <w:fldChar w:fldCharType="separate"/>
      </w:r>
      <w:r>
        <w:rPr>
          <w:rFonts w:hint="eastAsia" w:ascii="仿宋" w:hAnsi="仿宋" w:eastAsia="仿宋" w:cs="仿宋"/>
        </w:rPr>
        <w:t>附件11 预付款保函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_Toc26513 </w:instrText>
      </w:r>
      <w:r>
        <w:rPr>
          <w:rFonts w:hint="eastAsia" w:ascii="仿宋" w:hAnsi="仿宋" w:eastAsia="仿宋" w:cs="仿宋"/>
        </w:rPr>
        <w:fldChar w:fldCharType="separate"/>
      </w:r>
      <w:r>
        <w:rPr>
          <w:rFonts w:ascii="仿宋" w:hAnsi="仿宋" w:eastAsia="仿宋" w:cs="仿宋"/>
        </w:rPr>
        <w:t>3</w:t>
      </w:r>
      <w:r>
        <w:rPr>
          <w:rFonts w:hint="eastAsia" w:ascii="仿宋" w:hAnsi="仿宋" w:eastAsia="仿宋" w:cs="仿宋"/>
        </w:rPr>
        <w:t>17</w:t>
      </w:r>
      <w:r>
        <w:rPr>
          <w:rFonts w:hint="eastAsia" w:ascii="仿宋" w:hAnsi="仿宋" w:eastAsia="仿宋" w:cs="仿宋"/>
        </w:rPr>
        <w:fldChar w:fldCharType="end"/>
      </w:r>
      <w:r>
        <w:rPr>
          <w:rFonts w:hint="eastAsia" w:ascii="仿宋" w:hAnsi="仿宋" w:eastAsia="仿宋" w:cs="仿宋"/>
        </w:rPr>
        <w:fldChar w:fldCharType="end"/>
      </w:r>
    </w:p>
    <w:p w14:paraId="7E8DCB9B">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"_Toc22038" </w:instrText>
      </w:r>
      <w:r>
        <w:fldChar w:fldCharType="separate"/>
      </w:r>
      <w:r>
        <w:rPr>
          <w:rFonts w:hint="eastAsia" w:ascii="仿宋" w:hAnsi="仿宋" w:eastAsia="仿宋" w:cs="仿宋"/>
        </w:rPr>
        <w:t>附件12 联合体工作协议书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_Toc22038 </w:instrText>
      </w:r>
      <w:r>
        <w:rPr>
          <w:rFonts w:hint="eastAsia" w:ascii="仿宋" w:hAnsi="仿宋" w:eastAsia="仿宋" w:cs="仿宋"/>
        </w:rPr>
        <w:fldChar w:fldCharType="separate"/>
      </w:r>
      <w:r>
        <w:rPr>
          <w:rFonts w:ascii="仿宋" w:hAnsi="仿宋" w:eastAsia="仿宋" w:cs="仿宋"/>
        </w:rPr>
        <w:t>3</w:t>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rPr>
        <w:fldChar w:fldCharType="end"/>
      </w:r>
    </w:p>
    <w:p w14:paraId="17EE79EA">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"_Toc21037" </w:instrText>
      </w:r>
      <w:r>
        <w:fldChar w:fldCharType="separate"/>
      </w:r>
      <w:r>
        <w:rPr>
          <w:rFonts w:hint="eastAsia" w:ascii="仿宋" w:hAnsi="仿宋" w:eastAsia="仿宋" w:cs="仿宋"/>
        </w:rPr>
        <w:t>附件13 项目部机构设置图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_Toc21037 </w:instrText>
      </w:r>
      <w:r>
        <w:rPr>
          <w:rFonts w:hint="eastAsia" w:ascii="仿宋" w:hAnsi="仿宋" w:eastAsia="仿宋" w:cs="仿宋"/>
        </w:rPr>
        <w:fldChar w:fldCharType="separate"/>
      </w:r>
      <w:r>
        <w:rPr>
          <w:rFonts w:ascii="仿宋" w:hAnsi="仿宋" w:eastAsia="仿宋" w:cs="仿宋"/>
        </w:rPr>
        <w:t>32</w:t>
      </w:r>
      <w:r>
        <w:rPr>
          <w:rFonts w:hint="eastAsia" w:ascii="仿宋" w:hAnsi="仿宋" w:eastAsia="仿宋" w:cs="仿宋"/>
        </w:rPr>
        <w:t>0</w:t>
      </w:r>
      <w:r>
        <w:rPr>
          <w:rFonts w:hint="eastAsia" w:ascii="仿宋" w:hAnsi="仿宋" w:eastAsia="仿宋" w:cs="仿宋"/>
        </w:rPr>
        <w:fldChar w:fldCharType="end"/>
      </w:r>
      <w:r>
        <w:rPr>
          <w:rFonts w:hint="eastAsia" w:ascii="仿宋" w:hAnsi="仿宋" w:eastAsia="仿宋" w:cs="仿宋"/>
        </w:rPr>
        <w:fldChar w:fldCharType="end"/>
      </w:r>
    </w:p>
    <w:p w14:paraId="7BAC751B">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"_Toc552" </w:instrText>
      </w:r>
      <w:r>
        <w:fldChar w:fldCharType="separate"/>
      </w:r>
      <w:r>
        <w:rPr>
          <w:rFonts w:hint="eastAsia" w:ascii="仿宋" w:hAnsi="仿宋" w:eastAsia="仿宋" w:cs="仿宋"/>
        </w:rPr>
        <w:t>附件14 联合体法人代表授权书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_Toc552 </w:instrText>
      </w:r>
      <w:r>
        <w:rPr>
          <w:rFonts w:hint="eastAsia" w:ascii="仿宋" w:hAnsi="仿宋" w:eastAsia="仿宋" w:cs="仿宋"/>
        </w:rPr>
        <w:fldChar w:fldCharType="separate"/>
      </w:r>
      <w:r>
        <w:rPr>
          <w:rFonts w:ascii="仿宋" w:hAnsi="仿宋" w:eastAsia="仿宋" w:cs="仿宋"/>
        </w:rPr>
        <w:t>32</w:t>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14:paraId="22646636">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"_Toc21474" </w:instrText>
      </w:r>
      <w:r>
        <w:fldChar w:fldCharType="separate"/>
      </w:r>
      <w:r>
        <w:rPr>
          <w:rFonts w:hint="eastAsia" w:ascii="仿宋" w:hAnsi="仿宋" w:eastAsia="仿宋" w:cs="仿宋"/>
        </w:rPr>
        <w:t>附件15 联合体工作实施细则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_Toc21474 </w:instrText>
      </w:r>
      <w:r>
        <w:rPr>
          <w:rFonts w:hint="eastAsia" w:ascii="仿宋" w:hAnsi="仿宋" w:eastAsia="仿宋" w:cs="仿宋"/>
        </w:rPr>
        <w:fldChar w:fldCharType="separate"/>
      </w:r>
      <w:r>
        <w:rPr>
          <w:rFonts w:ascii="仿宋" w:hAnsi="仿宋" w:eastAsia="仿宋" w:cs="仿宋"/>
        </w:rPr>
        <w:t>32</w:t>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rPr>
        <w:fldChar w:fldCharType="end"/>
      </w:r>
    </w:p>
    <w:p w14:paraId="4919A099">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"_Toc3676" </w:instrText>
      </w:r>
      <w:r>
        <w:fldChar w:fldCharType="separate"/>
      </w:r>
      <w:r>
        <w:rPr>
          <w:rFonts w:hint="eastAsia" w:ascii="仿宋" w:hAnsi="仿宋" w:eastAsia="仿宋" w:cs="仿宋"/>
        </w:rPr>
        <w:t>附件16 项目资料接受（移交）清单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_Toc3676 </w:instrText>
      </w:r>
      <w:r>
        <w:rPr>
          <w:rFonts w:hint="eastAsia" w:ascii="仿宋" w:hAnsi="仿宋" w:eastAsia="仿宋" w:cs="仿宋"/>
        </w:rPr>
        <w:fldChar w:fldCharType="separate"/>
      </w:r>
      <w:r>
        <w:rPr>
          <w:rFonts w:ascii="仿宋" w:hAnsi="仿宋" w:eastAsia="仿宋" w:cs="仿宋"/>
        </w:rPr>
        <w:t>3</w:t>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rPr>
        <w:fldChar w:fldCharType="end"/>
      </w:r>
    </w:p>
    <w:p w14:paraId="02AF49B2">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"_Toc4583" </w:instrText>
      </w:r>
      <w:r>
        <w:fldChar w:fldCharType="separate"/>
      </w:r>
      <w:r>
        <w:rPr>
          <w:rFonts w:hint="eastAsia" w:ascii="仿宋" w:hAnsi="仿宋" w:eastAsia="仿宋" w:cs="仿宋"/>
        </w:rPr>
        <w:t>附件17 施工图预算审核方案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_Toc4583 </w:instrText>
      </w:r>
      <w:r>
        <w:rPr>
          <w:rFonts w:hint="eastAsia" w:ascii="仿宋" w:hAnsi="仿宋" w:eastAsia="仿宋" w:cs="仿宋"/>
        </w:rPr>
        <w:fldChar w:fldCharType="separate"/>
      </w:r>
      <w:r>
        <w:rPr>
          <w:rFonts w:ascii="仿宋" w:hAnsi="仿宋" w:eastAsia="仿宋" w:cs="仿宋"/>
        </w:rPr>
        <w:t>33</w:t>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14:paraId="432CDAC9">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"_Toc26764" </w:instrText>
      </w:r>
      <w:r>
        <w:fldChar w:fldCharType="separate"/>
      </w:r>
      <w:r>
        <w:rPr>
          <w:rFonts w:hint="eastAsia" w:ascii="仿宋" w:hAnsi="仿宋" w:eastAsia="仿宋" w:cs="仿宋"/>
        </w:rPr>
        <w:t>附件18 材料设备品牌选定表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_Toc26764 </w:instrText>
      </w:r>
      <w:r>
        <w:rPr>
          <w:rFonts w:hint="eastAsia" w:ascii="仿宋" w:hAnsi="仿宋" w:eastAsia="仿宋" w:cs="仿宋"/>
        </w:rPr>
        <w:fldChar w:fldCharType="separate"/>
      </w:r>
      <w:r>
        <w:rPr>
          <w:rFonts w:ascii="仿宋" w:hAnsi="仿宋" w:eastAsia="仿宋" w:cs="仿宋"/>
        </w:rPr>
        <w:t>3</w:t>
      </w:r>
      <w:r>
        <w:rPr>
          <w:rFonts w:hint="eastAsia" w:ascii="仿宋" w:hAnsi="仿宋" w:eastAsia="仿宋" w:cs="仿宋"/>
        </w:rPr>
        <w:t>47</w:t>
      </w:r>
      <w:r>
        <w:rPr>
          <w:rFonts w:hint="eastAsia" w:ascii="仿宋" w:hAnsi="仿宋" w:eastAsia="仿宋" w:cs="仿宋"/>
        </w:rPr>
        <w:fldChar w:fldCharType="end"/>
      </w:r>
      <w:r>
        <w:rPr>
          <w:rFonts w:hint="eastAsia" w:ascii="仿宋" w:hAnsi="仿宋" w:eastAsia="仿宋" w:cs="仿宋"/>
        </w:rPr>
        <w:fldChar w:fldCharType="end"/>
      </w:r>
    </w:p>
    <w:p w14:paraId="6E24E209">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"_Toc4669" </w:instrText>
      </w:r>
      <w:r>
        <w:fldChar w:fldCharType="separate"/>
      </w:r>
      <w:r>
        <w:rPr>
          <w:rFonts w:hint="eastAsia" w:ascii="仿宋" w:hAnsi="仿宋" w:eastAsia="仿宋" w:cs="仿宋"/>
        </w:rPr>
        <w:t>附件19 工程结算管理规程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_Toc4669 </w:instrText>
      </w:r>
      <w:r>
        <w:rPr>
          <w:rFonts w:hint="eastAsia" w:ascii="仿宋" w:hAnsi="仿宋" w:eastAsia="仿宋" w:cs="仿宋"/>
        </w:rPr>
        <w:fldChar w:fldCharType="separate"/>
      </w:r>
      <w:r>
        <w:rPr>
          <w:rFonts w:ascii="仿宋" w:hAnsi="仿宋" w:eastAsia="仿宋" w:cs="仿宋"/>
        </w:rPr>
        <w:t>3</w:t>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rPr>
        <w:fldChar w:fldCharType="end"/>
      </w:r>
    </w:p>
    <w:p w14:paraId="6EB378B2">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"_Toc22277" </w:instrText>
      </w:r>
      <w:r>
        <w:fldChar w:fldCharType="separate"/>
      </w:r>
      <w:r>
        <w:rPr>
          <w:rFonts w:hint="eastAsia" w:ascii="仿宋" w:hAnsi="仿宋" w:eastAsia="仿宋" w:cs="仿宋"/>
        </w:rPr>
        <w:t>附件</w:t>
      </w:r>
      <w:r>
        <w:rPr>
          <w:rFonts w:ascii="仿宋" w:hAnsi="仿宋" w:eastAsia="仿宋" w:cs="仿宋"/>
        </w:rPr>
        <w:t>2</w:t>
      </w:r>
      <w:r>
        <w:rPr>
          <w:rFonts w:hint="eastAsia" w:ascii="仿宋" w:hAnsi="仿宋" w:eastAsia="仿宋" w:cs="仿宋"/>
        </w:rPr>
        <w:t>0</w:t>
      </w:r>
      <w:r>
        <w:rPr>
          <w:rFonts w:hint="eastAsia" w:ascii="仿宋" w:hAnsi="仿宋" w:eastAsia="仿宋" w:cs="仿宋"/>
        </w:rPr>
        <w:fldChar w:fldCharType="end"/>
      </w:r>
      <w:r>
        <w:fldChar w:fldCharType="begin"/>
      </w:r>
      <w:r>
        <w:instrText xml:space="preserve"> HYPERLINK \l "_Toc10424" </w:instrText>
      </w:r>
      <w:r>
        <w:fldChar w:fldCharType="separate"/>
      </w:r>
      <w:r>
        <w:rPr>
          <w:rFonts w:hint="eastAsia" w:ascii="仿宋" w:hAnsi="仿宋" w:eastAsia="仿宋" w:cs="仿宋"/>
        </w:rPr>
        <w:t>过程结算办法</w:t>
      </w:r>
      <w:r>
        <w:rPr>
          <w:rFonts w:ascii="仿宋" w:hAnsi="仿宋" w:eastAsia="仿宋" w:cs="仿宋"/>
        </w:rPr>
        <w:tab/>
      </w:r>
      <w:r>
        <w:rPr>
          <w:rFonts w:hint="eastAsia" w:ascii="仿宋" w:hAnsi="仿宋" w:eastAsia="仿宋" w:cs="仿宋"/>
        </w:rPr>
        <w:t>354</w:t>
      </w:r>
      <w:r>
        <w:rPr>
          <w:rFonts w:hint="eastAsia" w:ascii="仿宋" w:hAnsi="仿宋" w:eastAsia="仿宋" w:cs="仿宋"/>
        </w:rPr>
        <w:fldChar w:fldCharType="end"/>
      </w:r>
    </w:p>
    <w:p w14:paraId="2A977381">
      <w:pPr>
        <w:pStyle w:val="21"/>
        <w:tabs>
          <w:tab w:val="right" w:leader="dot" w:pos="8306"/>
        </w:tabs>
        <w:spacing w:after="120"/>
        <w:ind w:left="0" w:leftChars="0" w:firstLine="0" w:firstLineChars="0"/>
        <w:rPr>
          <w:rStyle w:val="66"/>
          <w:rFonts w:ascii="仿宋" w:hAnsi="仿宋" w:eastAsia="仿宋" w:cs="仿宋"/>
        </w:rPr>
      </w:pPr>
      <w:r>
        <w:rPr>
          <w:rFonts w:ascii="仿宋" w:hAnsi="仿宋" w:eastAsia="仿宋" w:cs="仿宋"/>
        </w:rPr>
        <w:fldChar w:fldCharType="begin"/>
      </w:r>
      <w:r>
        <w:rPr>
          <w:rFonts w:hint="eastAsia" w:ascii="仿宋" w:hAnsi="仿宋" w:eastAsia="仿宋" w:cs="仿宋"/>
        </w:rPr>
        <w:instrText xml:space="preserve">HYPERLINK </w:instrText>
      </w:r>
      <w:r>
        <w:rPr>
          <w:rFonts w:ascii="仿宋" w:hAnsi="仿宋" w:eastAsia="仿宋" w:cs="仿宋"/>
        </w:rPr>
        <w:instrText xml:space="preserve"> \l "</w:instrText>
      </w:r>
      <w:r>
        <w:rPr>
          <w:rFonts w:hint="eastAsia" w:ascii="仿宋" w:hAnsi="仿宋" w:eastAsia="仿宋" w:cs="仿宋"/>
        </w:rPr>
        <w:instrText xml:space="preserve">省代建局第三方质量安全巡查评估结果应用管理办法（试行）</w:instrText>
      </w:r>
      <w:r>
        <w:rPr>
          <w:rFonts w:ascii="仿宋" w:hAnsi="仿宋" w:eastAsia="仿宋" w:cs="仿宋"/>
        </w:rPr>
        <w:instrText xml:space="preserve">"</w:instrText>
      </w:r>
      <w:r>
        <w:rPr>
          <w:rFonts w:ascii="仿宋" w:hAnsi="仿宋" w:eastAsia="仿宋" w:cs="仿宋"/>
        </w:rPr>
        <w:fldChar w:fldCharType="separate"/>
      </w:r>
      <w:r>
        <w:rPr>
          <w:rStyle w:val="66"/>
          <w:rFonts w:hint="eastAsia" w:ascii="仿宋" w:hAnsi="仿宋" w:eastAsia="仿宋" w:cs="仿宋"/>
        </w:rPr>
        <w:t>附件</w:t>
      </w:r>
      <w:r>
        <w:rPr>
          <w:rStyle w:val="66"/>
          <w:rFonts w:ascii="仿宋" w:hAnsi="仿宋" w:eastAsia="仿宋" w:cs="仿宋"/>
        </w:rPr>
        <w:t>2</w:t>
      </w:r>
      <w:r>
        <w:rPr>
          <w:rStyle w:val="66"/>
          <w:rFonts w:hint="eastAsia" w:ascii="仿宋" w:hAnsi="仿宋" w:eastAsia="仿宋" w:cs="仿宋"/>
        </w:rPr>
        <w:t>1：第三方质量安全巡查评估结果应用管理办法（试行）</w:t>
      </w:r>
      <w:r>
        <w:rPr>
          <w:rStyle w:val="66"/>
          <w:rFonts w:hint="eastAsia" w:ascii="仿宋" w:hAnsi="仿宋" w:eastAsia="仿宋" w:cs="仿宋"/>
        </w:rPr>
        <w:tab/>
      </w:r>
      <w:r>
        <w:rPr>
          <w:rStyle w:val="66"/>
          <w:rFonts w:hint="eastAsia" w:ascii="仿宋" w:hAnsi="仿宋" w:eastAsia="仿宋" w:cs="仿宋"/>
        </w:rPr>
        <w:t>360</w:t>
      </w:r>
    </w:p>
    <w:p w14:paraId="3F98DAD6">
      <w:pPr>
        <w:pStyle w:val="21"/>
        <w:tabs>
          <w:tab w:val="right" w:leader="dot" w:pos="8306"/>
        </w:tabs>
        <w:spacing w:after="120"/>
        <w:ind w:left="0" w:leftChars="0" w:firstLine="0" w:firstLineChars="0"/>
        <w:rPr>
          <w:rFonts w:ascii="仿宋" w:hAnsi="仿宋" w:eastAsia="仿宋" w:cs="仿宋"/>
        </w:rPr>
      </w:pPr>
      <w:r>
        <w:rPr>
          <w:rFonts w:ascii="仿宋" w:hAnsi="仿宋" w:eastAsia="仿宋" w:cs="仿宋"/>
        </w:rPr>
        <w:fldChar w:fldCharType="end"/>
      </w:r>
      <w:r>
        <w:fldChar w:fldCharType="begin"/>
      </w:r>
      <w:r>
        <w:instrText xml:space="preserve"> HYPERLINK \l "省代建局直接代建项目工程款" </w:instrText>
      </w:r>
      <w:r>
        <w:fldChar w:fldCharType="separate"/>
      </w:r>
      <w:r>
        <w:rPr>
          <w:rFonts w:hint="eastAsia" w:ascii="仿宋" w:hAnsi="仿宋" w:eastAsia="仿宋" w:cs="仿宋"/>
        </w:rPr>
        <w:t>附件</w:t>
      </w:r>
      <w:r>
        <w:rPr>
          <w:rFonts w:ascii="仿宋" w:hAnsi="仿宋" w:eastAsia="仿宋" w:cs="仿宋"/>
        </w:rPr>
        <w:t>2</w:t>
      </w:r>
      <w:r>
        <w:rPr>
          <w:rFonts w:hint="eastAsia" w:ascii="仿宋" w:hAnsi="仿宋" w:eastAsia="仿宋" w:cs="仿宋"/>
        </w:rPr>
        <w:t>2</w:t>
      </w:r>
      <w:r>
        <w:rPr>
          <w:rFonts w:ascii="仿宋" w:hAnsi="仿宋" w:eastAsia="仿宋" w:cs="仿宋"/>
        </w:rPr>
        <w:t>:省代建局直接代建项目工程款资金监督管理办法</w:t>
      </w:r>
      <w:r>
        <w:rPr>
          <w:rFonts w:ascii="仿宋" w:hAnsi="仿宋" w:eastAsia="仿宋" w:cs="仿宋"/>
        </w:rPr>
        <w:fldChar w:fldCharType="end"/>
      </w:r>
      <w:r>
        <w:rPr>
          <w:rFonts w:hint="eastAsia" w:ascii="仿宋" w:hAnsi="仿宋" w:eastAsia="仿宋" w:cs="仿宋"/>
        </w:rPr>
        <w:tab/>
      </w:r>
      <w:r>
        <w:rPr>
          <w:rFonts w:hint="eastAsia" w:ascii="仿宋" w:hAnsi="仿宋" w:eastAsia="仿宋" w:cs="仿宋"/>
        </w:rPr>
        <w:t>363</w:t>
      </w:r>
    </w:p>
    <w:p w14:paraId="053CF74F">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"省代建局授权并负责办理直接代建项目" </w:instrText>
      </w:r>
      <w:r>
        <w:fldChar w:fldCharType="separate"/>
      </w:r>
      <w:r>
        <w:rPr>
          <w:rFonts w:hint="eastAsia" w:ascii="仿宋" w:hAnsi="仿宋" w:eastAsia="仿宋" w:cs="仿宋"/>
        </w:rPr>
        <w:t>附件</w:t>
      </w:r>
      <w:r>
        <w:rPr>
          <w:rFonts w:ascii="仿宋" w:hAnsi="仿宋" w:eastAsia="仿宋" w:cs="仿宋"/>
        </w:rPr>
        <w:t>2</w:t>
      </w:r>
      <w:r>
        <w:rPr>
          <w:rFonts w:hint="eastAsia" w:ascii="仿宋" w:hAnsi="仿宋" w:eastAsia="仿宋" w:cs="仿宋"/>
        </w:rPr>
        <w:t>3</w:t>
      </w:r>
      <w:r>
        <w:rPr>
          <w:rFonts w:ascii="仿宋" w:hAnsi="仿宋" w:eastAsia="仿宋" w:cs="仿宋"/>
        </w:rPr>
        <w:t>：省代建局授权并负责办理直接代建项目工程款资金监督管理业务商业银行名单</w:t>
      </w:r>
      <w:r>
        <w:rPr>
          <w:rFonts w:ascii="仿宋" w:hAnsi="仿宋" w:eastAsia="仿宋" w:cs="仿宋"/>
        </w:rPr>
        <w:fldChar w:fldCharType="end"/>
      </w:r>
      <w:r>
        <w:rPr>
          <w:rFonts w:hint="eastAsia" w:ascii="仿宋" w:hAnsi="仿宋" w:eastAsia="仿宋" w:cs="仿宋"/>
        </w:rPr>
        <w:tab/>
      </w:r>
      <w:r>
        <w:rPr>
          <w:rFonts w:hint="eastAsia" w:ascii="仿宋" w:hAnsi="仿宋" w:eastAsia="仿宋" w:cs="仿宋"/>
        </w:rPr>
        <w:t>373</w:t>
      </w:r>
    </w:p>
    <w:p w14:paraId="53E236AA">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"广东省代建局施工单位智慧工地" </w:instrText>
      </w:r>
      <w:r>
        <w:fldChar w:fldCharType="separate"/>
      </w:r>
      <w:r>
        <w:rPr>
          <w:rFonts w:hint="eastAsia" w:ascii="仿宋" w:hAnsi="仿宋" w:eastAsia="仿宋" w:cs="仿宋"/>
        </w:rPr>
        <w:t>附件</w:t>
      </w:r>
      <w:r>
        <w:rPr>
          <w:rFonts w:ascii="仿宋" w:hAnsi="仿宋" w:eastAsia="仿宋" w:cs="仿宋"/>
        </w:rPr>
        <w:t>2</w:t>
      </w:r>
      <w:r>
        <w:rPr>
          <w:rFonts w:hint="eastAsia" w:ascii="仿宋" w:hAnsi="仿宋" w:eastAsia="仿宋" w:cs="仿宋"/>
        </w:rPr>
        <w:t>4</w:t>
      </w:r>
      <w:r>
        <w:rPr>
          <w:rFonts w:ascii="仿宋" w:hAnsi="仿宋" w:eastAsia="仿宋" w:cs="仿宋"/>
        </w:rPr>
        <w:t>：广东省代建局施工单位智慧工地设备技术要求文档</w:t>
      </w:r>
      <w:r>
        <w:rPr>
          <w:rFonts w:ascii="仿宋" w:hAnsi="仿宋" w:eastAsia="仿宋" w:cs="仿宋"/>
        </w:rPr>
        <w:fldChar w:fldCharType="end"/>
      </w:r>
      <w:r>
        <w:rPr>
          <w:rFonts w:hint="eastAsia" w:ascii="仿宋" w:hAnsi="仿宋" w:eastAsia="仿宋" w:cs="仿宋"/>
        </w:rPr>
        <w:tab/>
      </w:r>
      <w:r>
        <w:rPr>
          <w:rFonts w:hint="eastAsia" w:ascii="仿宋" w:hAnsi="仿宋" w:eastAsia="仿宋" w:cs="仿宋"/>
        </w:rPr>
        <w:t>374</w:t>
      </w:r>
    </w:p>
    <w:p w14:paraId="10016BB8">
      <w:pPr>
        <w:pStyle w:val="21"/>
        <w:tabs>
          <w:tab w:val="right" w:leader="dot" w:pos="8306"/>
        </w:tabs>
        <w:spacing w:after="120"/>
        <w:ind w:left="0" w:leftChars="0" w:firstLine="0" w:firstLineChars="0"/>
        <w:rPr>
          <w:rFonts w:ascii="仿宋" w:hAnsi="仿宋" w:eastAsia="仿宋" w:cs="仿宋"/>
        </w:rPr>
      </w:pPr>
      <w:r>
        <w:fldChar w:fldCharType="begin"/>
      </w:r>
      <w:r>
        <w:instrText xml:space="preserve"> HYPERLINK \l "_Toc4669" </w:instrText>
      </w:r>
      <w:r>
        <w:fldChar w:fldCharType="separate"/>
      </w:r>
      <w:r>
        <w:rPr>
          <w:rFonts w:hint="eastAsia" w:ascii="仿宋" w:hAnsi="仿宋" w:eastAsia="仿宋" w:cs="仿宋"/>
        </w:rPr>
        <w:t xml:space="preserve">附件25  </w:t>
      </w:r>
      <w:r>
        <w:rPr>
          <w:rFonts w:ascii="仿宋" w:hAnsi="仿宋" w:eastAsia="仿宋" w:cs="仿宋"/>
        </w:rPr>
        <w:t>省代建局直接管理项目设计单位履约评价实施细则</w:t>
      </w:r>
      <w:r>
        <w:rPr>
          <w:rFonts w:hint="eastAsia" w:ascii="仿宋" w:hAnsi="仿宋" w:eastAsia="仿宋" w:cs="仿宋"/>
        </w:rPr>
        <w:tab/>
      </w:r>
      <w:r>
        <w:rPr>
          <w:rFonts w:hint="eastAsia" w:ascii="仿宋" w:hAnsi="仿宋" w:eastAsia="仿宋" w:cs="仿宋"/>
        </w:rPr>
        <w:t>420</w:t>
      </w:r>
      <w:r>
        <w:rPr>
          <w:rFonts w:ascii="仿宋" w:hAnsi="仿宋" w:eastAsia="仿宋" w:cs="仿宋"/>
        </w:rPr>
        <w:fldChar w:fldCharType="end"/>
      </w:r>
    </w:p>
    <w:p w14:paraId="427097C2">
      <w:pPr>
        <w:spacing w:after="120"/>
      </w:pPr>
    </w:p>
    <w:p w14:paraId="4E789ED5">
      <w:pPr>
        <w:wordWrap/>
        <w:topLinePunct w:val="0"/>
        <w:spacing w:afterLines="0"/>
        <w:ind w:firstLine="0" w:firstLineChars="0"/>
        <w:rPr>
          <w:rFonts w:ascii="仿宋_GB2312" w:eastAsia="仿宋_GB2312"/>
          <w:sz w:val="28"/>
          <w:szCs w:val="28"/>
        </w:rPr>
      </w:pPr>
      <w:r>
        <w:rPr>
          <w:rFonts w:hint="eastAsia" w:ascii="仿宋" w:hAnsi="仿宋" w:eastAsia="仿宋" w:cs="仿宋"/>
          <w:szCs w:val="24"/>
        </w:rPr>
        <w:fldChar w:fldCharType="end"/>
      </w:r>
    </w:p>
    <w:p w14:paraId="20330F63">
      <w:pPr>
        <w:wordWrap/>
        <w:topLinePunct w:val="0"/>
        <w:spacing w:afterLines="0"/>
        <w:sectPr>
          <w:footerReference r:id="rId13" w:type="default"/>
          <w:type w:val="continuous"/>
          <w:pgSz w:w="11906" w:h="16838"/>
          <w:pgMar w:top="1440" w:right="1800" w:bottom="1440" w:left="1800" w:header="720" w:footer="998" w:gutter="0"/>
          <w:pgNumType w:start="1"/>
          <w:cols w:space="720" w:num="1"/>
          <w:titlePg/>
          <w:docGrid w:linePitch="326" w:charSpace="0"/>
        </w:sectPr>
      </w:pPr>
    </w:p>
    <w:p w14:paraId="3ECD5603">
      <w:pPr>
        <w:wordWrap/>
        <w:topLinePunct w:val="0"/>
        <w:spacing w:after="120"/>
        <w:sectPr>
          <w:pgSz w:w="11906" w:h="16838"/>
          <w:pgMar w:top="1440" w:right="1800" w:bottom="1440" w:left="1800" w:header="720" w:footer="998" w:gutter="0"/>
          <w:pgNumType w:start="1"/>
          <w:cols w:space="720" w:num="2"/>
        </w:sectPr>
      </w:pPr>
    </w:p>
    <w:p w14:paraId="518BD56C">
      <w:pPr>
        <w:pStyle w:val="109"/>
        <w:snapToGrid w:val="0"/>
        <w:spacing w:after="120" w:line="360" w:lineRule="auto"/>
        <w:ind w:firstLine="881"/>
        <w:outlineLvl w:val="0"/>
        <w:rPr>
          <w:rFonts w:ascii="华文中宋" w:hAnsi="华文中宋" w:eastAsia="华文中宋"/>
          <w:sz w:val="44"/>
          <w:szCs w:val="52"/>
        </w:rPr>
      </w:pPr>
      <w:bookmarkStart w:id="7" w:name="_Toc20404"/>
      <w:bookmarkStart w:id="8" w:name="_Toc14483"/>
      <w:bookmarkStart w:id="9" w:name="_Toc29021"/>
      <w:bookmarkStart w:id="10" w:name="_Toc54862164"/>
      <w:r>
        <w:rPr>
          <w:rFonts w:hint="eastAsia" w:ascii="华文中宋" w:hAnsi="华文中宋" w:eastAsia="华文中宋"/>
          <w:sz w:val="44"/>
          <w:szCs w:val="52"/>
        </w:rPr>
        <w:t>第一部分合同协议书</w:t>
      </w:r>
      <w:bookmarkEnd w:id="7"/>
      <w:bookmarkEnd w:id="8"/>
      <w:bookmarkEnd w:id="9"/>
      <w:bookmarkEnd w:id="10"/>
    </w:p>
    <w:p w14:paraId="70102EB9">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发包人（全称）：</w:t>
      </w:r>
      <w:r>
        <w:rPr>
          <w:rFonts w:hint="eastAsia" w:ascii="仿宋" w:hAnsi="仿宋" w:eastAsia="仿宋" w:cs="仿宋"/>
          <w:sz w:val="28"/>
          <w:szCs w:val="28"/>
          <w:u w:val="single"/>
        </w:rPr>
        <w:t>广东省代建项目管理局</w:t>
      </w:r>
    </w:p>
    <w:p w14:paraId="3DEB8DCE">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承包人（全称）：</w:t>
      </w:r>
    </w:p>
    <w:p w14:paraId="3CFD91D8">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根据《中华人民共和国民法典》、《中华人民共和国建筑法》及有关法律规定，遵循平等、自愿、公平和诚实信用的原则，双方就项目的工程总承包及有关事项协商一致，共同达成如下协议：</w:t>
      </w:r>
    </w:p>
    <w:p w14:paraId="0D5AD1D2">
      <w:pPr>
        <w:pStyle w:val="115"/>
        <w:numPr>
          <w:ilvl w:val="0"/>
          <w:numId w:val="0"/>
        </w:numPr>
        <w:wordWrap/>
        <w:topLinePunct w:val="0"/>
        <w:spacing w:after="120"/>
        <w:outlineLvl w:val="1"/>
        <w:rPr>
          <w:rFonts w:ascii="仿宋" w:hAnsi="仿宋" w:eastAsia="仿宋" w:cs="仿宋"/>
          <w:b/>
          <w:bCs/>
          <w:sz w:val="28"/>
          <w:szCs w:val="28"/>
        </w:rPr>
      </w:pPr>
      <w:bookmarkStart w:id="11" w:name="_Toc13692"/>
      <w:bookmarkStart w:id="12" w:name="_Toc7252"/>
      <w:bookmarkStart w:id="13" w:name="_Toc54862165"/>
      <w:bookmarkStart w:id="14" w:name="_Toc28716"/>
      <w:r>
        <w:rPr>
          <w:rFonts w:hint="eastAsia" w:ascii="仿宋" w:hAnsi="仿宋" w:eastAsia="仿宋" w:cs="仿宋"/>
          <w:bCs/>
          <w:sz w:val="28"/>
          <w:szCs w:val="28"/>
        </w:rPr>
        <w:t>一、工程概况</w:t>
      </w:r>
      <w:bookmarkEnd w:id="11"/>
      <w:bookmarkEnd w:id="12"/>
      <w:bookmarkEnd w:id="13"/>
      <w:bookmarkEnd w:id="14"/>
    </w:p>
    <w:p w14:paraId="75A441D5">
      <w:pPr>
        <w:spacing w:after="120"/>
        <w:ind w:firstLine="560"/>
        <w:rPr>
          <w:rFonts w:ascii="仿宋" w:hAnsi="仿宋" w:eastAsia="仿宋" w:cs="仿宋"/>
          <w:sz w:val="28"/>
          <w:szCs w:val="28"/>
        </w:rPr>
      </w:pPr>
      <w:r>
        <w:rPr>
          <w:rFonts w:hint="eastAsia" w:ascii="仿宋" w:hAnsi="仿宋" w:eastAsia="仿宋" w:cs="仿宋"/>
          <w:sz w:val="28"/>
          <w:szCs w:val="28"/>
        </w:rPr>
        <w:t>1. 工程名称：。</w:t>
      </w:r>
    </w:p>
    <w:p w14:paraId="11F79007">
      <w:pPr>
        <w:spacing w:after="120"/>
        <w:ind w:firstLine="560"/>
        <w:rPr>
          <w:rFonts w:ascii="仿宋" w:hAnsi="仿宋" w:eastAsia="仿宋" w:cs="仿宋"/>
          <w:sz w:val="28"/>
          <w:szCs w:val="28"/>
        </w:rPr>
      </w:pPr>
      <w:r>
        <w:rPr>
          <w:rFonts w:hint="eastAsia" w:ascii="仿宋" w:hAnsi="仿宋" w:eastAsia="仿宋" w:cs="仿宋"/>
          <w:sz w:val="28"/>
          <w:szCs w:val="28"/>
        </w:rPr>
        <w:t>2. 工程地点：。</w:t>
      </w:r>
    </w:p>
    <w:p w14:paraId="44A05216">
      <w:pPr>
        <w:spacing w:after="120"/>
        <w:ind w:firstLine="560"/>
        <w:rPr>
          <w:rFonts w:ascii="仿宋" w:hAnsi="仿宋" w:eastAsia="仿宋" w:cs="仿宋"/>
          <w:sz w:val="28"/>
          <w:szCs w:val="28"/>
        </w:rPr>
      </w:pPr>
      <w:r>
        <w:rPr>
          <w:rFonts w:hint="eastAsia" w:ascii="仿宋" w:hAnsi="仿宋" w:eastAsia="仿宋" w:cs="仿宋"/>
          <w:sz w:val="28"/>
          <w:szCs w:val="28"/>
        </w:rPr>
        <w:t>3. 工程审批、核准或备案文号：。</w:t>
      </w:r>
    </w:p>
    <w:p w14:paraId="17B39783">
      <w:pPr>
        <w:spacing w:after="120"/>
        <w:ind w:firstLine="560" w:firstLineChars="0"/>
        <w:rPr>
          <w:rFonts w:ascii="仿宋" w:hAnsi="仿宋" w:eastAsia="仿宋" w:cs="仿宋"/>
          <w:sz w:val="28"/>
          <w:szCs w:val="28"/>
        </w:rPr>
      </w:pPr>
      <w:r>
        <w:rPr>
          <w:rFonts w:hint="eastAsia" w:ascii="仿宋" w:hAnsi="仿宋" w:eastAsia="仿宋" w:cs="仿宋"/>
          <w:sz w:val="28"/>
          <w:szCs w:val="28"/>
        </w:rPr>
        <w:t>4. 资金来源：。</w:t>
      </w:r>
    </w:p>
    <w:p w14:paraId="2A4A8006">
      <w:pPr>
        <w:spacing w:after="120"/>
        <w:ind w:firstLine="560"/>
        <w:rPr>
          <w:rFonts w:ascii="仿宋" w:hAnsi="仿宋" w:eastAsia="仿宋" w:cs="仿宋"/>
          <w:sz w:val="28"/>
          <w:szCs w:val="28"/>
        </w:rPr>
      </w:pPr>
      <w:r>
        <w:rPr>
          <w:rFonts w:hint="eastAsia" w:ascii="仿宋" w:hAnsi="仿宋" w:eastAsia="仿宋" w:cs="仿宋"/>
          <w:sz w:val="28"/>
          <w:szCs w:val="28"/>
        </w:rPr>
        <w:t>5. 工程内容及规模：。</w:t>
      </w:r>
    </w:p>
    <w:p w14:paraId="1B753B6E">
      <w:pPr>
        <w:spacing w:after="120"/>
        <w:ind w:firstLine="560"/>
        <w:rPr>
          <w:rFonts w:ascii="仿宋" w:hAnsi="仿宋" w:eastAsia="仿宋" w:cs="仿宋"/>
          <w:sz w:val="28"/>
          <w:szCs w:val="28"/>
        </w:rPr>
      </w:pPr>
      <w:r>
        <w:rPr>
          <w:rFonts w:hint="eastAsia" w:ascii="仿宋" w:hAnsi="仿宋" w:eastAsia="仿宋" w:cs="仿宋"/>
          <w:sz w:val="28"/>
          <w:szCs w:val="28"/>
        </w:rPr>
        <w:t>6. 工程承包范围：</w:t>
      </w:r>
    </w:p>
    <w:p w14:paraId="6C7CEF69">
      <w:pPr>
        <w:spacing w:after="120"/>
        <w:ind w:firstLine="560"/>
        <w:rPr>
          <w:rFonts w:ascii="仿宋" w:hAnsi="仿宋" w:eastAsia="仿宋" w:cs="仿宋"/>
          <w:sz w:val="28"/>
          <w:szCs w:val="28"/>
        </w:rPr>
      </w:pPr>
      <w:r>
        <w:rPr>
          <w:rFonts w:hint="eastAsia" w:ascii="仿宋" w:hAnsi="仿宋" w:eastAsia="仿宋" w:cs="仿宋"/>
          <w:sz w:val="28"/>
          <w:szCs w:val="28"/>
        </w:rPr>
        <w:t>完成本项目施工图设计、建设阶段全过程总承包管理和综合协调、采购、施工、试运行至工程竣工验收、移交的“交钥匙”工程总承包，代理招标人办理报建、报批，配合发包人办理相关部门工程结算、财务决算审核，配合发包人的审计和审计调查等工作，具体包括但不限于以下事项：</w:t>
      </w:r>
    </w:p>
    <w:p w14:paraId="656B4E8F">
      <w:pPr>
        <w:spacing w:after="120"/>
        <w:ind w:firstLine="560"/>
        <w:rPr>
          <w:rFonts w:ascii="仿宋" w:hAnsi="仿宋" w:eastAsia="仿宋" w:cs="仿宋"/>
          <w:sz w:val="28"/>
          <w:szCs w:val="28"/>
        </w:rPr>
      </w:pPr>
      <w:r>
        <w:rPr>
          <w:rFonts w:hint="eastAsia" w:ascii="仿宋" w:hAnsi="仿宋" w:eastAsia="仿宋" w:cs="仿宋"/>
          <w:sz w:val="28"/>
          <w:szCs w:val="28"/>
        </w:rPr>
        <w:t>6.1设计部分</w:t>
      </w:r>
    </w:p>
    <w:p w14:paraId="0D7804B5">
      <w:pPr>
        <w:spacing w:after="120"/>
        <w:ind w:firstLine="560"/>
        <w:rPr>
          <w:rFonts w:ascii="仿宋" w:hAnsi="仿宋" w:eastAsia="仿宋" w:cs="仿宋"/>
          <w:sz w:val="28"/>
          <w:szCs w:val="28"/>
        </w:rPr>
      </w:pPr>
      <w:r>
        <w:rPr>
          <w:rFonts w:hint="eastAsia" w:ascii="仿宋" w:hAnsi="仿宋" w:eastAsia="仿宋" w:cs="仿宋"/>
          <w:sz w:val="28"/>
          <w:szCs w:val="28"/>
        </w:rPr>
        <w:t>6.1.1设计范围及内容（包括但不限于）：</w:t>
      </w:r>
    </w:p>
    <w:p w14:paraId="00BC8251">
      <w:pPr>
        <w:spacing w:after="120"/>
        <w:ind w:firstLineChars="0"/>
        <w:rPr>
          <w:rFonts w:ascii="仿宋" w:hAnsi="仿宋" w:eastAsia="仿宋" w:cs="仿宋"/>
          <w:sz w:val="28"/>
          <w:szCs w:val="28"/>
        </w:rPr>
      </w:pPr>
      <w:r>
        <w:rPr>
          <w:rFonts w:hint="eastAsia" w:ascii="仿宋" w:hAnsi="仿宋" w:eastAsia="仿宋" w:cs="仿宋"/>
          <w:kern w:val="2"/>
          <w:sz w:val="28"/>
          <w:szCs w:val="28"/>
        </w:rPr>
        <w:t>含深化的施工图设计（基坑支护项目除外）、建筑节能新技术的应用及设计、全过程的技术把关及跟踪服务、施工过程中的方案优化及设计变更、编制竣工图。提供各专业工程和分项工程招标文件中的技术要求和技术参数指标，满足发包人需要。</w:t>
      </w:r>
    </w:p>
    <w:p w14:paraId="5560CCDD">
      <w:pPr>
        <w:spacing w:after="120"/>
        <w:ind w:firstLine="560"/>
        <w:rPr>
          <w:rFonts w:ascii="仿宋" w:hAnsi="仿宋" w:eastAsia="仿宋" w:cs="仿宋"/>
          <w:sz w:val="28"/>
          <w:szCs w:val="28"/>
        </w:rPr>
      </w:pPr>
      <w:r>
        <w:rPr>
          <w:rFonts w:hint="eastAsia" w:ascii="仿宋" w:hAnsi="仿宋" w:eastAsia="仿宋" w:cs="仿宋"/>
          <w:sz w:val="28"/>
          <w:szCs w:val="28"/>
        </w:rPr>
        <w:t>6.1.2主要的设计工作内容：</w:t>
      </w:r>
    </w:p>
    <w:p w14:paraId="77A53FAF">
      <w:pPr>
        <w:spacing w:after="120"/>
        <w:ind w:firstLine="56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1</w:t>
      </w:r>
      <w:r>
        <w:rPr>
          <w:rFonts w:hint="eastAsia" w:ascii="仿宋" w:hAnsi="仿宋" w:eastAsia="仿宋" w:cs="仿宋"/>
          <w:sz w:val="28"/>
          <w:szCs w:val="28"/>
        </w:rPr>
        <w:t>）包含施工图设计、施工图送审并取得施工图审查合格书、配合预算编制及审查、竣工图编制、设计变更（含造价分析）、现场技术指导设计协调服务及负责根据建设要求组织各项等工作。</w:t>
      </w:r>
    </w:p>
    <w:p w14:paraId="3464F946">
      <w:pPr>
        <w:spacing w:after="120"/>
        <w:ind w:firstLine="56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2</w:t>
      </w:r>
      <w:r>
        <w:rPr>
          <w:rFonts w:hint="eastAsia" w:ascii="仿宋" w:hAnsi="仿宋" w:eastAsia="仿宋" w:cs="仿宋"/>
          <w:sz w:val="28"/>
          <w:szCs w:val="28"/>
        </w:rPr>
        <w:t>）负责项目施工阶段精装修、消防、水电煤气等的深化设计，并编制竣工图；</w:t>
      </w:r>
    </w:p>
    <w:p w14:paraId="0054C20E">
      <w:pPr>
        <w:spacing w:after="120"/>
        <w:ind w:firstLine="56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3</w:t>
      </w:r>
      <w:r>
        <w:rPr>
          <w:rFonts w:hint="eastAsia" w:ascii="仿宋" w:hAnsi="仿宋" w:eastAsia="仿宋" w:cs="仿宋"/>
          <w:sz w:val="28"/>
          <w:szCs w:val="28"/>
        </w:rPr>
        <w:t>）对设备选型意见及推荐品牌参考清单，提供设备材料的技术要求；</w:t>
      </w:r>
    </w:p>
    <w:p w14:paraId="4AFA07CB">
      <w:pPr>
        <w:spacing w:after="120"/>
        <w:ind w:firstLine="56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4</w:t>
      </w:r>
      <w:r>
        <w:rPr>
          <w:rFonts w:hint="eastAsia" w:ascii="仿宋" w:hAnsi="仿宋" w:eastAsia="仿宋" w:cs="仿宋"/>
          <w:sz w:val="28"/>
          <w:szCs w:val="28"/>
        </w:rPr>
        <w:t>）全过程设计服务及协调工作、负责根据建设要求组织各项专家评审,并承担相应的专家评审费用，办理建设工程规划许可证，施工图审查等报批报建工作；</w:t>
      </w:r>
    </w:p>
    <w:p w14:paraId="511053F0">
      <w:pPr>
        <w:spacing w:after="120"/>
        <w:ind w:firstLine="56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5</w:t>
      </w:r>
      <w:r>
        <w:rPr>
          <w:rFonts w:hint="eastAsia" w:ascii="仿宋" w:hAnsi="仿宋" w:eastAsia="仿宋" w:cs="仿宋"/>
          <w:sz w:val="28"/>
          <w:szCs w:val="28"/>
        </w:rPr>
        <w:t>）按用户需求提交项目设计模型、演示动画、特殊规格展示图纸等；</w:t>
      </w:r>
    </w:p>
    <w:p w14:paraId="4BF6FCE5">
      <w:pPr>
        <w:spacing w:after="120"/>
        <w:ind w:firstLine="56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6</w:t>
      </w:r>
      <w:r>
        <w:rPr>
          <w:rFonts w:hint="eastAsia" w:ascii="仿宋" w:hAnsi="仿宋" w:eastAsia="仿宋" w:cs="仿宋"/>
          <w:sz w:val="28"/>
          <w:szCs w:val="28"/>
        </w:rPr>
        <w:t>）负责本项目BIM模型的建立和应用；</w:t>
      </w:r>
    </w:p>
    <w:p w14:paraId="5EE8EF6A">
      <w:pPr>
        <w:spacing w:after="120"/>
        <w:ind w:firstLine="56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7</w:t>
      </w:r>
      <w:r>
        <w:rPr>
          <w:rFonts w:hint="eastAsia" w:ascii="仿宋" w:hAnsi="仿宋" w:eastAsia="仿宋" w:cs="仿宋"/>
          <w:sz w:val="28"/>
          <w:szCs w:val="28"/>
        </w:rPr>
        <w:t>）分包要求：本项目中（包括但不限于红线范围内）应保证按规划及建筑功能要求、配套设施要求完成本工程造价中包含的全部项目的专业专项设计（如供水、排水、供电）；限于专业资质问题不能进行的专项设计，报发包人同意后进行分包，专项分包设计费由设计人承担。专项分包施工图设计文件中，需设计人校核确认的部分由设计人及专项分包方人员进行会签并盖经授权的图纸审核专用章或公章；</w:t>
      </w:r>
    </w:p>
    <w:p w14:paraId="5542C9C3">
      <w:pPr>
        <w:spacing w:after="120"/>
        <w:ind w:firstLine="560"/>
        <w:rPr>
          <w:rFonts w:ascii="仿宋" w:hAnsi="仿宋" w:eastAsia="仿宋" w:cs="仿宋"/>
          <w:sz w:val="28"/>
          <w:szCs w:val="28"/>
        </w:rPr>
      </w:pPr>
      <w:r>
        <w:rPr>
          <w:rFonts w:hint="eastAsia" w:ascii="仿宋" w:hAnsi="仿宋" w:eastAsia="仿宋" w:cs="仿宋"/>
          <w:sz w:val="28"/>
          <w:szCs w:val="28"/>
        </w:rPr>
        <w:t>（8）专项深化设计及必要的专项研究；</w:t>
      </w:r>
    </w:p>
    <w:p w14:paraId="435B099F">
      <w:pPr>
        <w:spacing w:after="120"/>
        <w:ind w:firstLine="560"/>
        <w:rPr>
          <w:rFonts w:ascii="仿宋" w:hAnsi="仿宋" w:eastAsia="仿宋" w:cs="仿宋"/>
          <w:sz w:val="28"/>
          <w:szCs w:val="28"/>
        </w:rPr>
      </w:pPr>
      <w:r>
        <w:rPr>
          <w:rFonts w:hint="eastAsia" w:ascii="仿宋" w:hAnsi="仿宋" w:eastAsia="仿宋" w:cs="仿宋"/>
          <w:sz w:val="28"/>
          <w:szCs w:val="28"/>
        </w:rPr>
        <w:t>（9）重要提示和风险提示：</w:t>
      </w:r>
    </w:p>
    <w:p w14:paraId="443C9D9D">
      <w:pPr>
        <w:numPr>
          <w:ilvl w:val="255"/>
          <w:numId w:val="0"/>
        </w:numPr>
        <w:spacing w:after="120"/>
        <w:ind w:firstLine="562" w:firstLineChars="200"/>
        <w:rPr>
          <w:rFonts w:ascii="仿宋_GB2312" w:eastAsia="仿宋_GB2312"/>
          <w:b/>
          <w:color w:val="FF0000"/>
          <w:sz w:val="28"/>
          <w:szCs w:val="28"/>
        </w:rPr>
      </w:pPr>
      <w:r>
        <w:rPr>
          <w:rFonts w:hint="eastAsia" w:ascii="仿宋_GB2312" w:eastAsia="仿宋_GB2312"/>
          <w:b/>
          <w:color w:val="FF0000"/>
          <w:sz w:val="28"/>
          <w:szCs w:val="28"/>
        </w:rPr>
        <w:t>①承包人应按发包人批复的限额设计指标实行各单位工程、专业工程设计工作，其设计成果文件满足各使用方需求、功能定位，符合设计标准，确保美学价值最大化，且总投资在确定的限额设计指标总额内；</w:t>
      </w:r>
    </w:p>
    <w:p w14:paraId="1E2DE5E6">
      <w:pPr>
        <w:spacing w:after="120"/>
        <w:ind w:firstLine="562"/>
        <w:rPr>
          <w:rFonts w:ascii="仿宋" w:hAnsi="仿宋" w:eastAsia="仿宋" w:cs="仿宋"/>
          <w:b/>
          <w:color w:val="FF0000"/>
          <w:sz w:val="28"/>
          <w:szCs w:val="28"/>
        </w:rPr>
      </w:pPr>
      <w:r>
        <w:rPr>
          <w:rFonts w:hint="eastAsia" w:ascii="仿宋" w:hAnsi="仿宋" w:eastAsia="仿宋" w:cs="仿宋"/>
          <w:b/>
          <w:color w:val="FF0000"/>
          <w:sz w:val="28"/>
          <w:szCs w:val="28"/>
        </w:rPr>
        <w:t>②项目深化设计要求：</w:t>
      </w:r>
      <w:r>
        <w:rPr>
          <w:rFonts w:hint="eastAsia" w:ascii="仿宋_GB2312" w:eastAsia="仿宋_GB2312"/>
          <w:b/>
          <w:color w:val="FF0000"/>
          <w:sz w:val="28"/>
          <w:szCs w:val="28"/>
        </w:rPr>
        <w:t>利用</w:t>
      </w:r>
      <w:r>
        <w:rPr>
          <w:rFonts w:ascii="仿宋_GB2312" w:eastAsia="仿宋_GB2312"/>
          <w:b/>
          <w:color w:val="FF0000"/>
          <w:sz w:val="28"/>
          <w:szCs w:val="28"/>
        </w:rPr>
        <w:t>BIM技术的三维实体模型，</w:t>
      </w:r>
      <w:r>
        <w:rPr>
          <w:rFonts w:hint="eastAsia" w:ascii="仿宋_GB2312" w:eastAsia="仿宋_GB2312"/>
          <w:b/>
          <w:color w:val="FF0000"/>
          <w:sz w:val="28"/>
          <w:szCs w:val="28"/>
        </w:rPr>
        <w:t>对外立面图、室内装饰装修、主要功能区与核心区域施工图，进行实景效果模拟，确保实际完工后效果与方案设计要求的一致性；</w:t>
      </w:r>
      <w:r>
        <w:rPr>
          <w:rFonts w:ascii="仿宋_GB2312" w:eastAsia="仿宋_GB2312"/>
          <w:b/>
          <w:color w:val="FF0000"/>
          <w:sz w:val="28"/>
          <w:szCs w:val="28"/>
        </w:rPr>
        <w:t>BIM</w:t>
      </w:r>
      <w:r>
        <w:rPr>
          <w:rFonts w:hint="eastAsia" w:ascii="仿宋_GB2312" w:eastAsia="仿宋_GB2312"/>
          <w:b/>
          <w:color w:val="FF0000"/>
          <w:sz w:val="28"/>
          <w:szCs w:val="28"/>
        </w:rPr>
        <w:t>成果文件满足工程运营及维护要求。</w:t>
      </w:r>
    </w:p>
    <w:p w14:paraId="29FA984E">
      <w:pPr>
        <w:pStyle w:val="26"/>
        <w:spacing w:after="120"/>
        <w:ind w:firstLine="562"/>
        <w:rPr>
          <w:rFonts w:ascii="仿宋" w:hAnsi="仿宋" w:eastAsia="仿宋" w:cs="仿宋"/>
          <w:b/>
          <w:color w:val="FF0000"/>
          <w:sz w:val="28"/>
          <w:szCs w:val="28"/>
        </w:rPr>
      </w:pPr>
      <w:r>
        <w:rPr>
          <w:rFonts w:hint="eastAsia" w:ascii="仿宋" w:hAnsi="仿宋" w:eastAsia="仿宋" w:cs="仿宋"/>
          <w:b/>
          <w:color w:val="FF0000"/>
          <w:sz w:val="28"/>
          <w:szCs w:val="28"/>
        </w:rPr>
        <w:t>③施工图审查按广东省或项目所在地市现行管理制度执行。</w:t>
      </w:r>
    </w:p>
    <w:p w14:paraId="28DD2BC3">
      <w:pPr>
        <w:spacing w:after="120"/>
        <w:ind w:firstLine="562"/>
        <w:rPr>
          <w:rFonts w:eastAsia="仿宋"/>
          <w:b/>
          <w:color w:val="FF0000"/>
        </w:rPr>
      </w:pPr>
      <w:r>
        <w:rPr>
          <w:rFonts w:hint="eastAsia" w:ascii="仿宋" w:hAnsi="仿宋" w:eastAsia="仿宋" w:cs="仿宋"/>
          <w:b/>
          <w:color w:val="FF0000"/>
          <w:sz w:val="28"/>
          <w:szCs w:val="28"/>
        </w:rPr>
        <w:t>④除合同另有说明外，方案设计、初步设计资料由发包人提供，承包人对原初步设计方案的整体设计效果、主要规划指标、使用功能、安全性、耐用性等有实质性调整的，需征得原初步设计单位及发包人同意。</w:t>
      </w:r>
    </w:p>
    <w:p w14:paraId="6EC89E12">
      <w:pPr>
        <w:pStyle w:val="26"/>
        <w:spacing w:after="120"/>
        <w:ind w:firstLine="562"/>
        <w:rPr>
          <w:rFonts w:ascii="仿宋" w:hAnsi="仿宋" w:eastAsia="仿宋" w:cs="仿宋"/>
          <w:b/>
          <w:color w:val="FF0000"/>
          <w:sz w:val="28"/>
          <w:szCs w:val="28"/>
        </w:rPr>
      </w:pPr>
      <w:r>
        <w:rPr>
          <w:rFonts w:hint="eastAsia" w:ascii="仿宋" w:hAnsi="仿宋" w:eastAsia="仿宋" w:cs="仿宋"/>
          <w:b/>
          <w:color w:val="FF0000"/>
          <w:sz w:val="28"/>
          <w:szCs w:val="28"/>
        </w:rPr>
        <w:t>（</w:t>
      </w:r>
      <w:r>
        <w:rPr>
          <w:rFonts w:ascii="仿宋" w:hAnsi="仿宋" w:eastAsia="仿宋" w:cs="仿宋"/>
          <w:b/>
          <w:color w:val="FF0000"/>
          <w:sz w:val="28"/>
          <w:szCs w:val="28"/>
        </w:rPr>
        <w:t>10）如承包人不能按发包人要求编制竣工图，发包人有权把竣工图编制工作交予其他单位实施，相应费用从承包人结算款中扣除。</w:t>
      </w:r>
    </w:p>
    <w:p w14:paraId="0A8EAF3A">
      <w:pPr>
        <w:spacing w:after="120"/>
        <w:ind w:firstLine="478" w:firstLineChars="171"/>
        <w:rPr>
          <w:rFonts w:ascii="仿宋" w:hAnsi="仿宋" w:eastAsia="仿宋" w:cs="仿宋"/>
          <w:sz w:val="28"/>
          <w:szCs w:val="28"/>
        </w:rPr>
      </w:pPr>
      <w:r>
        <w:rPr>
          <w:rFonts w:hint="eastAsia" w:ascii="仿宋" w:hAnsi="仿宋" w:eastAsia="仿宋" w:cs="仿宋"/>
          <w:sz w:val="28"/>
          <w:szCs w:val="28"/>
        </w:rPr>
        <w:t>6.1.3设计成果文件要求：按设计部分专用合同条款要求。</w:t>
      </w:r>
    </w:p>
    <w:p w14:paraId="7DAEFC16">
      <w:pPr>
        <w:spacing w:after="120"/>
        <w:ind w:firstLine="560"/>
        <w:rPr>
          <w:rFonts w:ascii="仿宋" w:hAnsi="仿宋" w:eastAsia="仿宋" w:cs="仿宋"/>
          <w:sz w:val="28"/>
          <w:szCs w:val="28"/>
        </w:rPr>
      </w:pPr>
      <w:r>
        <w:rPr>
          <w:rFonts w:hint="eastAsia" w:ascii="仿宋" w:hAnsi="仿宋" w:eastAsia="仿宋" w:cs="仿宋"/>
          <w:sz w:val="28"/>
          <w:szCs w:val="28"/>
        </w:rPr>
        <w:t>6.2施工部分</w:t>
      </w:r>
    </w:p>
    <w:p w14:paraId="407B450F">
      <w:pPr>
        <w:widowControl w:val="0"/>
        <w:wordWrap/>
        <w:topLinePunct w:val="0"/>
        <w:adjustRightInd/>
        <w:snapToGrid/>
        <w:spacing w:afterLines="0"/>
        <w:ind w:firstLine="560" w:firstLineChars="0"/>
        <w:rPr>
          <w:rFonts w:ascii="仿宋" w:hAnsi="仿宋" w:eastAsia="仿宋" w:cs="仿宋"/>
          <w:bCs/>
          <w:sz w:val="28"/>
          <w:szCs w:val="28"/>
        </w:rPr>
      </w:pPr>
      <w:r>
        <w:rPr>
          <w:rFonts w:hint="eastAsia" w:ascii="仿宋" w:hAnsi="仿宋" w:eastAsia="仿宋" w:cs="仿宋"/>
          <w:bCs/>
          <w:sz w:val="28"/>
          <w:szCs w:val="28"/>
        </w:rPr>
        <w:t>（1）负责完成</w:t>
      </w:r>
      <w:r>
        <w:rPr>
          <w:rFonts w:hint="eastAsia" w:ascii="仿宋" w:hAnsi="仿宋" w:eastAsia="仿宋" w:cs="仿宋"/>
          <w:sz w:val="28"/>
          <w:szCs w:val="28"/>
        </w:rPr>
        <w:t>本项目</w:t>
      </w:r>
      <w:r>
        <w:rPr>
          <w:rFonts w:hint="eastAsia" w:ascii="仿宋" w:hAnsi="仿宋" w:eastAsia="仿宋" w:cs="仿宋"/>
          <w:bCs/>
          <w:sz w:val="28"/>
          <w:szCs w:val="28"/>
        </w:rPr>
        <w:t>所需的所有的施工工作，具体以</w:t>
      </w:r>
      <w:r>
        <w:rPr>
          <w:rFonts w:hint="eastAsia" w:ascii="仿宋" w:hAnsi="仿宋" w:eastAsia="仿宋" w:cs="仿宋"/>
          <w:sz w:val="28"/>
          <w:szCs w:val="28"/>
        </w:rPr>
        <w:t>发包</w:t>
      </w:r>
      <w:r>
        <w:rPr>
          <w:rFonts w:hint="eastAsia" w:ascii="仿宋" w:hAnsi="仿宋" w:eastAsia="仿宋" w:cs="仿宋"/>
          <w:bCs/>
          <w:sz w:val="28"/>
          <w:szCs w:val="28"/>
        </w:rPr>
        <w:t>人确认的施工图纸为准；</w:t>
      </w:r>
      <w:r>
        <w:rPr>
          <w:rFonts w:hint="eastAsia" w:ascii="仿宋" w:hAnsi="仿宋" w:eastAsia="仿宋" w:cs="仿宋"/>
          <w:sz w:val="28"/>
          <w:szCs w:val="28"/>
        </w:rPr>
        <w:t>组织本项目的验收备案和工程资料汇总及整理归档工作；完成工程保修并配合发包人及相关部门结（决）算审核等工作；</w:t>
      </w:r>
    </w:p>
    <w:p w14:paraId="66233ADE">
      <w:pPr>
        <w:widowControl w:val="0"/>
        <w:numPr>
          <w:ilvl w:val="255"/>
          <w:numId w:val="0"/>
        </w:numPr>
        <w:wordWrap/>
        <w:topLinePunct w:val="0"/>
        <w:adjustRightInd/>
        <w:snapToGrid/>
        <w:spacing w:afterLines="0"/>
        <w:ind w:firstLine="560" w:firstLineChars="200"/>
      </w:pPr>
      <w:r>
        <w:rPr>
          <w:rFonts w:hint="eastAsia" w:ascii="仿宋" w:hAnsi="仿宋" w:eastAsia="仿宋" w:cs="仿宋"/>
          <w:sz w:val="28"/>
          <w:szCs w:val="28"/>
        </w:rPr>
        <w:t>（2）</w:t>
      </w:r>
      <w:r>
        <w:rPr>
          <w:rFonts w:hint="eastAsia" w:ascii="仿宋" w:hAnsi="仿宋" w:eastAsia="仿宋" w:cs="仿宋"/>
          <w:bCs/>
          <w:sz w:val="28"/>
          <w:szCs w:val="28"/>
        </w:rPr>
        <w:t>负责编制施工图预算。需根据发包人审定的施工图纸编制施工图预算，编制依据在合同条款中明确，预算</w:t>
      </w:r>
      <w:bookmarkStart w:id="15" w:name="OLE_LINK1"/>
      <w:r>
        <w:rPr>
          <w:rFonts w:hint="eastAsia" w:ascii="仿宋" w:hAnsi="仿宋" w:eastAsia="仿宋" w:cs="仿宋"/>
          <w:bCs/>
          <w:sz w:val="28"/>
          <w:szCs w:val="28"/>
        </w:rPr>
        <w:t>具体内容以招标文件、经审定的施工图纸及有关资料为准</w:t>
      </w:r>
      <w:bookmarkEnd w:id="15"/>
      <w:r>
        <w:rPr>
          <w:rFonts w:hint="eastAsia" w:ascii="仿宋" w:hAnsi="仿宋" w:eastAsia="仿宋" w:cs="仿宋"/>
          <w:bCs/>
          <w:sz w:val="28"/>
          <w:szCs w:val="28"/>
        </w:rPr>
        <w:t>；</w:t>
      </w:r>
    </w:p>
    <w:p w14:paraId="594DA77C">
      <w:pPr>
        <w:spacing w:after="120"/>
        <w:ind w:firstLine="560"/>
        <w:rPr>
          <w:rFonts w:ascii="仿宋" w:hAnsi="仿宋" w:eastAsia="仿宋" w:cs="仿宋"/>
          <w:bCs/>
          <w:sz w:val="28"/>
          <w:szCs w:val="28"/>
        </w:rPr>
      </w:pPr>
      <w:r>
        <w:rPr>
          <w:rFonts w:hint="eastAsia" w:ascii="仿宋" w:hAnsi="仿宋" w:eastAsia="仿宋" w:cs="仿宋"/>
          <w:sz w:val="28"/>
          <w:szCs w:val="28"/>
        </w:rPr>
        <w:t>（3）</w:t>
      </w:r>
      <w:r>
        <w:rPr>
          <w:rFonts w:hint="eastAsia" w:ascii="仿宋" w:hAnsi="仿宋" w:eastAsia="仿宋" w:cs="仿宋"/>
          <w:bCs/>
          <w:sz w:val="28"/>
          <w:szCs w:val="28"/>
        </w:rPr>
        <w:t>负责工程结算的编制工作，配合发包人对结算的审核（工程结算的审核执行省财政厅《关于规范省级项目主管部门对下属单位基本建设项目工程结（决）算审核工作的通知》（粤财建〔2017〕120号）的规定）；</w:t>
      </w:r>
    </w:p>
    <w:p w14:paraId="4AC4E0D2">
      <w:pPr>
        <w:spacing w:after="120"/>
        <w:ind w:firstLine="560"/>
        <w:rPr>
          <w:rFonts w:ascii="仿宋" w:hAnsi="仿宋" w:eastAsia="仿宋" w:cs="仿宋"/>
          <w:bCs/>
          <w:sz w:val="28"/>
          <w:szCs w:val="28"/>
        </w:rPr>
      </w:pPr>
      <w:r>
        <w:rPr>
          <w:rFonts w:hint="eastAsia" w:ascii="仿宋" w:hAnsi="仿宋" w:eastAsia="仿宋" w:cs="仿宋"/>
          <w:bCs/>
          <w:sz w:val="28"/>
          <w:szCs w:val="28"/>
        </w:rPr>
        <w:t>（4）对需要专业分包的专项工程，报</w:t>
      </w:r>
      <w:r>
        <w:rPr>
          <w:rFonts w:hint="eastAsia" w:ascii="仿宋" w:hAnsi="仿宋" w:eastAsia="仿宋" w:cs="仿宋"/>
          <w:sz w:val="28"/>
          <w:szCs w:val="28"/>
        </w:rPr>
        <w:t>发包</w:t>
      </w:r>
      <w:r>
        <w:rPr>
          <w:rFonts w:hint="eastAsia" w:ascii="仿宋" w:hAnsi="仿宋" w:eastAsia="仿宋" w:cs="仿宋"/>
          <w:bCs/>
          <w:sz w:val="28"/>
          <w:szCs w:val="28"/>
        </w:rPr>
        <w:t>人同意后与专业分包单位签订专业分包合同，并做好协调和管理工作。同时须按国家、地方、行业规定以及</w:t>
      </w:r>
      <w:r>
        <w:rPr>
          <w:rFonts w:hint="eastAsia" w:ascii="仿宋" w:hAnsi="仿宋" w:eastAsia="仿宋" w:cs="仿宋"/>
          <w:sz w:val="28"/>
          <w:szCs w:val="28"/>
        </w:rPr>
        <w:t>发包</w:t>
      </w:r>
      <w:r>
        <w:rPr>
          <w:rFonts w:hint="eastAsia" w:ascii="仿宋" w:hAnsi="仿宋" w:eastAsia="仿宋" w:cs="仿宋"/>
          <w:bCs/>
          <w:sz w:val="28"/>
          <w:szCs w:val="28"/>
        </w:rPr>
        <w:t>人要求的工程措施、安全措施、文明措施对项目进行工程总承包管理；</w:t>
      </w:r>
    </w:p>
    <w:p w14:paraId="0938B5E3">
      <w:pPr>
        <w:spacing w:after="120"/>
        <w:ind w:firstLine="560"/>
        <w:rPr>
          <w:rFonts w:ascii="仿宋" w:hAnsi="仿宋" w:eastAsia="仿宋" w:cs="仿宋"/>
          <w:sz w:val="28"/>
          <w:szCs w:val="28"/>
        </w:rPr>
      </w:pPr>
      <w:r>
        <w:rPr>
          <w:rFonts w:hint="eastAsia" w:ascii="仿宋" w:hAnsi="仿宋" w:eastAsia="仿宋" w:cs="仿宋"/>
          <w:bCs/>
          <w:sz w:val="28"/>
          <w:szCs w:val="28"/>
        </w:rPr>
        <w:t>（5）</w:t>
      </w:r>
      <w:r>
        <w:rPr>
          <w:rFonts w:hint="eastAsia" w:ascii="仿宋" w:hAnsi="仿宋" w:eastAsia="仿宋" w:cs="仿宋"/>
          <w:sz w:val="28"/>
          <w:szCs w:val="28"/>
        </w:rPr>
        <w:t>负责或配合办理工程开工及验收所需的各项手续,包括但不限于办理施工许可证(或临时施工许可)、报建手续、余泥排放证及分部分项工程验收和各专业验收,并承担办理上述手续施工方的费用；</w:t>
      </w:r>
    </w:p>
    <w:p w14:paraId="21A6E91E">
      <w:pPr>
        <w:spacing w:after="120"/>
        <w:ind w:firstLine="560"/>
        <w:rPr>
          <w:rFonts w:ascii="仿宋" w:hAnsi="仿宋" w:eastAsia="仿宋" w:cs="仿宋"/>
          <w:sz w:val="28"/>
          <w:szCs w:val="28"/>
        </w:rPr>
      </w:pPr>
      <w:r>
        <w:rPr>
          <w:rFonts w:hint="eastAsia" w:ascii="仿宋" w:hAnsi="仿宋" w:eastAsia="仿宋" w:cs="仿宋"/>
          <w:sz w:val="28"/>
          <w:szCs w:val="28"/>
        </w:rPr>
        <w:t>（6）</w:t>
      </w:r>
      <w:r>
        <w:rPr>
          <w:rFonts w:hint="eastAsia" w:ascii="仿宋" w:hAnsi="仿宋" w:eastAsia="仿宋" w:cs="仿宋"/>
          <w:bCs/>
          <w:sz w:val="28"/>
          <w:szCs w:val="28"/>
        </w:rPr>
        <w:t>协助做好迎检、开工仪式等筹备工作；</w:t>
      </w:r>
    </w:p>
    <w:p w14:paraId="31635CF8">
      <w:pPr>
        <w:spacing w:after="120"/>
        <w:ind w:firstLine="560"/>
        <w:rPr>
          <w:rFonts w:ascii="仿宋" w:hAnsi="仿宋" w:eastAsia="仿宋" w:cs="仿宋"/>
          <w:sz w:val="28"/>
          <w:szCs w:val="28"/>
        </w:rPr>
      </w:pPr>
      <w:r>
        <w:rPr>
          <w:rFonts w:hint="eastAsia" w:ascii="仿宋" w:hAnsi="仿宋" w:eastAsia="仿宋" w:cs="仿宋"/>
          <w:sz w:val="28"/>
          <w:szCs w:val="28"/>
        </w:rPr>
        <w:t>（7）根据设计结果实施地下工程。</w:t>
      </w:r>
    </w:p>
    <w:p w14:paraId="3BD2FEFA">
      <w:pPr>
        <w:pStyle w:val="26"/>
        <w:spacing w:after="120"/>
        <w:ind w:firstLine="560"/>
        <w:rPr>
          <w:rFonts w:ascii="仿宋" w:hAnsi="仿宋" w:eastAsia="仿宋" w:cs="仿宋"/>
          <w:sz w:val="28"/>
          <w:szCs w:val="28"/>
        </w:rPr>
      </w:pPr>
      <w:r>
        <w:rPr>
          <w:rFonts w:hint="eastAsia" w:ascii="仿宋" w:hAnsi="仿宋" w:eastAsia="仿宋" w:cs="仿宋"/>
          <w:sz w:val="28"/>
          <w:szCs w:val="28"/>
        </w:rPr>
        <w:t>（8）负责施工过程中所有材料及设备采购、安装、试验（注：发包人另有约定的除外）。</w:t>
      </w:r>
    </w:p>
    <w:p w14:paraId="2CA50C77">
      <w:pPr>
        <w:spacing w:after="120"/>
        <w:ind w:firstLine="560"/>
      </w:pPr>
      <w:r>
        <w:rPr>
          <w:rFonts w:hint="eastAsia" w:ascii="仿宋" w:hAnsi="仿宋" w:eastAsia="仿宋" w:cs="仿宋"/>
          <w:sz w:val="28"/>
          <w:szCs w:val="28"/>
        </w:rPr>
        <w:t>（9）派专人按照发包人图档管理办法要求开展图档资料核对、整理和建档工作。相关工作包括且不限于施工图设计各阶段（不含行政审批时间）；施工阶段（施工实施建设阶段、采购、安装、试验、运营调试阶段、竣工验收、资料编制归档、交付使用手续办理等，不含行政审批时间）。具体以发包人实际要求通知为准；</w:t>
      </w:r>
    </w:p>
    <w:p w14:paraId="6E6F6486">
      <w:pPr>
        <w:spacing w:after="120"/>
        <w:ind w:firstLine="560"/>
        <w:rPr>
          <w:rFonts w:ascii="仿宋" w:hAnsi="仿宋" w:eastAsia="仿宋" w:cs="仿宋"/>
          <w:sz w:val="28"/>
          <w:szCs w:val="28"/>
        </w:rPr>
      </w:pPr>
      <w:r>
        <w:rPr>
          <w:rFonts w:hint="eastAsia" w:ascii="仿宋" w:hAnsi="仿宋" w:eastAsia="仿宋" w:cs="仿宋"/>
          <w:sz w:val="28"/>
          <w:szCs w:val="28"/>
        </w:rPr>
        <w:t>6.3综合协调管理部分</w:t>
      </w:r>
    </w:p>
    <w:p w14:paraId="75B4EDE2">
      <w:pPr>
        <w:spacing w:after="120"/>
        <w:ind w:firstLine="560"/>
        <w:rPr>
          <w:rFonts w:ascii="仿宋" w:hAnsi="仿宋" w:eastAsia="仿宋" w:cs="仿宋"/>
          <w:sz w:val="28"/>
          <w:szCs w:val="28"/>
        </w:rPr>
      </w:pPr>
      <w:r>
        <w:rPr>
          <w:rFonts w:hint="eastAsia" w:ascii="仿宋" w:hAnsi="仿宋" w:eastAsia="仿宋" w:cs="仿宋"/>
          <w:sz w:val="28"/>
          <w:szCs w:val="28"/>
        </w:rPr>
        <w:t>实行项目实施阶段全过程建设管理，做好项目设计、</w:t>
      </w:r>
      <w:r>
        <w:rPr>
          <w:rFonts w:hint="eastAsia"/>
        </w:rPr>
        <w:t>采购、</w:t>
      </w:r>
      <w:r>
        <w:rPr>
          <w:rFonts w:hint="eastAsia" w:ascii="仿宋" w:hAnsi="仿宋" w:eastAsia="仿宋" w:cs="仿宋"/>
          <w:sz w:val="28"/>
          <w:szCs w:val="28"/>
        </w:rPr>
        <w:t>施工总协调工作及工程涉及的其它协调管理工作。</w:t>
      </w:r>
    </w:p>
    <w:p w14:paraId="2444AF81">
      <w:pPr>
        <w:spacing w:after="120"/>
        <w:ind w:firstLine="560"/>
        <w:rPr>
          <w:rFonts w:ascii="仿宋" w:hAnsi="仿宋" w:eastAsia="仿宋" w:cs="仿宋"/>
          <w:sz w:val="28"/>
          <w:szCs w:val="28"/>
        </w:rPr>
      </w:pPr>
      <w:r>
        <w:rPr>
          <w:rFonts w:hint="eastAsia" w:ascii="仿宋" w:hAnsi="仿宋" w:eastAsia="仿宋" w:cs="仿宋"/>
          <w:sz w:val="28"/>
          <w:szCs w:val="28"/>
        </w:rPr>
        <w:t>6.4 BIM工作要求</w:t>
      </w:r>
    </w:p>
    <w:p w14:paraId="35E6AEC6">
      <w:pPr>
        <w:pStyle w:val="26"/>
        <w:spacing w:after="120"/>
        <w:ind w:firstLine="560"/>
        <w:rPr>
          <w:rFonts w:ascii="仿宋" w:hAnsi="仿宋" w:eastAsia="仿宋" w:cs="仿宋"/>
          <w:sz w:val="28"/>
          <w:szCs w:val="28"/>
        </w:rPr>
      </w:pPr>
      <w:r>
        <w:rPr>
          <w:rFonts w:hint="eastAsia" w:ascii="仿宋" w:hAnsi="仿宋" w:eastAsia="仿宋" w:cs="仿宋"/>
          <w:sz w:val="28"/>
          <w:szCs w:val="28"/>
        </w:rPr>
        <w:t>工程总承包项目在设计、施工和运营维护等全过程中运用BIM技术，达到工程建设项目全生命周期各参与方在同一多维建筑信息模型基础上的协同工作、数据共享、信息化管理以及数据更改可追溯的，同时能做到设计、生产、施工、设备供应、专业分包、项目管理等单位的无缝对接，实现项目全寿命周期内成本节约化。</w:t>
      </w:r>
    </w:p>
    <w:p w14:paraId="03BF0C53">
      <w:pPr>
        <w:pStyle w:val="26"/>
        <w:spacing w:after="120"/>
        <w:ind w:firstLine="562"/>
        <w:rPr>
          <w:rFonts w:ascii="仿宋" w:hAnsi="仿宋" w:eastAsia="仿宋" w:cs="仿宋"/>
          <w:b/>
          <w:color w:val="FF0000"/>
          <w:sz w:val="28"/>
          <w:szCs w:val="28"/>
        </w:rPr>
      </w:pPr>
      <w:r>
        <w:rPr>
          <w:rFonts w:ascii="仿宋" w:hAnsi="仿宋" w:eastAsia="仿宋" w:cs="仿宋"/>
          <w:b/>
          <w:color w:val="FF0000"/>
          <w:sz w:val="28"/>
          <w:szCs w:val="28"/>
        </w:rPr>
        <w:t xml:space="preserve">6.5 </w:t>
      </w:r>
      <w:r>
        <w:rPr>
          <w:rFonts w:hint="eastAsia" w:ascii="仿宋" w:hAnsi="仿宋" w:eastAsia="仿宋" w:cs="仿宋"/>
          <w:b/>
          <w:color w:val="FF0000"/>
          <w:sz w:val="28"/>
          <w:szCs w:val="28"/>
        </w:rPr>
        <w:t>根据发包人要求及项目所在地要求配合树木迁移工作。</w:t>
      </w:r>
    </w:p>
    <w:p w14:paraId="2F7FBEFA">
      <w:pPr>
        <w:adjustRightInd/>
        <w:snapToGrid/>
        <w:spacing w:after="120"/>
        <w:ind w:firstLine="600" w:firstLineChars="0"/>
        <w:rPr>
          <w:rFonts w:ascii="仿宋" w:hAnsi="仿宋" w:eastAsia="仿宋" w:cs="仿宋"/>
          <w:sz w:val="28"/>
          <w:szCs w:val="28"/>
        </w:rPr>
      </w:pPr>
      <w:r>
        <w:rPr>
          <w:rFonts w:hint="eastAsia" w:ascii="仿宋" w:hAnsi="仿宋" w:eastAsia="仿宋" w:cs="仿宋"/>
          <w:sz w:val="28"/>
          <w:szCs w:val="28"/>
        </w:rPr>
        <w:t>7.投资控制</w:t>
      </w:r>
    </w:p>
    <w:p w14:paraId="3DCA2A85">
      <w:pPr>
        <w:adjustRightInd/>
        <w:snapToGrid/>
        <w:spacing w:after="120"/>
        <w:ind w:firstLine="560" w:firstLineChars="0"/>
        <w:rPr>
          <w:rFonts w:ascii="仿宋" w:hAnsi="仿宋" w:eastAsia="仿宋" w:cs="仿宋"/>
          <w:sz w:val="28"/>
          <w:szCs w:val="28"/>
          <w:u w:val="single"/>
        </w:rPr>
      </w:pPr>
      <w:r>
        <w:rPr>
          <w:rFonts w:hint="eastAsia" w:ascii="仿宋" w:hAnsi="仿宋" w:eastAsia="仿宋" w:cs="仿宋"/>
          <w:sz w:val="28"/>
          <w:szCs w:val="28"/>
          <w:u w:val="single"/>
        </w:rPr>
        <w:t>7.1本项目总投资上限值暂定为     元。本项目总投资上限值最终按设计概算批复值为准。</w:t>
      </w:r>
    </w:p>
    <w:p w14:paraId="6B02C05E">
      <w:pPr>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本工程实行全过程限额设计和施工。承包人必须严格控制每阶段投资目标，确保结算总金额控制在本项目设计概算批复对应金额内。</w:t>
      </w:r>
    </w:p>
    <w:p w14:paraId="23CAB4BF">
      <w:pPr>
        <w:adjustRightInd/>
        <w:snapToGrid/>
        <w:spacing w:after="120"/>
        <w:ind w:firstLine="562" w:firstLineChars="0"/>
        <w:rPr>
          <w:rFonts w:ascii="仿宋" w:hAnsi="仿宋" w:eastAsia="仿宋" w:cs="仿宋"/>
          <w:sz w:val="28"/>
          <w:szCs w:val="28"/>
        </w:rPr>
      </w:pPr>
      <w:r>
        <w:rPr>
          <w:rFonts w:hint="eastAsia" w:ascii="仿宋" w:hAnsi="仿宋" w:eastAsia="仿宋" w:cs="仿宋"/>
          <w:sz w:val="28"/>
          <w:szCs w:val="28"/>
        </w:rPr>
        <w:t>施工图设计时，承包人应根据初步设计概算进行建安费的分解，分解后的各单项建安费作为施工图设计的依据，确保控制在限额指标范围之内（包括工程量指标及单方造价指标）。如某单体指标超出限额，承包人应主动进行优化；确实不能优化的，应提出整体调整方案，报发包人评审同意后方可进行后续工作，确保施工图预算控制在项目概算对应范围内。</w:t>
      </w:r>
    </w:p>
    <w:p w14:paraId="29970844">
      <w:pPr>
        <w:pStyle w:val="26"/>
        <w:spacing w:after="120"/>
        <w:ind w:firstLine="560"/>
        <w:rPr>
          <w:rFonts w:ascii="仿宋" w:hAnsi="仿宋" w:eastAsia="仿宋" w:cs="仿宋"/>
          <w:sz w:val="28"/>
          <w:szCs w:val="28"/>
        </w:rPr>
      </w:pPr>
      <w:r>
        <w:rPr>
          <w:rFonts w:hint="eastAsia" w:ascii="仿宋" w:hAnsi="仿宋" w:eastAsia="仿宋" w:cs="仿宋"/>
          <w:kern w:val="0"/>
          <w:sz w:val="28"/>
          <w:szCs w:val="28"/>
        </w:rPr>
        <w:t>施工图设计阶段承包人未能切实履行以上义务而导致施工图预算超出批复概算而造成的经济损失全部由承包人承担。</w:t>
      </w:r>
    </w:p>
    <w:p w14:paraId="34608A1C">
      <w:pPr>
        <w:pStyle w:val="26"/>
        <w:spacing w:after="120"/>
        <w:ind w:firstLine="560"/>
        <w:rPr>
          <w:rFonts w:ascii="仿宋" w:hAnsi="仿宋" w:eastAsia="仿宋" w:cs="仿宋"/>
          <w:sz w:val="28"/>
          <w:szCs w:val="28"/>
        </w:rPr>
      </w:pPr>
      <w:r>
        <w:rPr>
          <w:rFonts w:hint="eastAsia" w:ascii="仿宋" w:hAnsi="仿宋" w:eastAsia="仿宋" w:cs="仿宋"/>
          <w:sz w:val="28"/>
          <w:szCs w:val="28"/>
        </w:rPr>
        <w:t>承包人编制的各阶段的造价文件编制需满足对应阶段造价文件深度要求。</w:t>
      </w:r>
    </w:p>
    <w:p w14:paraId="4A860AB6">
      <w:pPr>
        <w:pStyle w:val="26"/>
        <w:spacing w:after="120"/>
        <w:ind w:firstLine="560"/>
        <w:rPr>
          <w:rFonts w:ascii="仿宋" w:hAnsi="仿宋" w:eastAsia="仿宋" w:cs="仿宋"/>
          <w:sz w:val="28"/>
          <w:szCs w:val="28"/>
        </w:rPr>
      </w:pPr>
      <w:r>
        <w:rPr>
          <w:rFonts w:hint="eastAsia" w:ascii="仿宋" w:hAnsi="仿宋" w:eastAsia="仿宋" w:cs="仿宋"/>
          <w:sz w:val="28"/>
          <w:szCs w:val="28"/>
        </w:rPr>
        <w:t>7.2 招标公告发布的初步设计图纸和项目清单已确定的特征项不得随意修改调整，根据工程实际需要，需修改的，需报发包人同意后修改。</w:t>
      </w:r>
    </w:p>
    <w:p w14:paraId="1753BA07">
      <w:pPr>
        <w:pStyle w:val="26"/>
        <w:spacing w:after="120"/>
        <w:ind w:firstLine="562"/>
        <w:rPr>
          <w:rFonts w:ascii="仿宋" w:hAnsi="仿宋" w:eastAsia="仿宋" w:cs="仿宋"/>
          <w:b/>
          <w:color w:val="FF0000"/>
          <w:sz w:val="28"/>
          <w:szCs w:val="28"/>
        </w:rPr>
      </w:pPr>
      <w:r>
        <w:rPr>
          <w:rFonts w:ascii="仿宋" w:hAnsi="仿宋" w:eastAsia="仿宋" w:cs="仿宋"/>
          <w:b/>
          <w:color w:val="FF0000"/>
          <w:sz w:val="28"/>
          <w:szCs w:val="28"/>
        </w:rPr>
        <w:t>7.3</w:t>
      </w:r>
      <w:r>
        <w:rPr>
          <w:rFonts w:hint="eastAsia" w:ascii="仿宋" w:hAnsi="仿宋" w:eastAsia="仿宋" w:cs="仿宋"/>
          <w:b/>
          <w:color w:val="FF0000"/>
          <w:sz w:val="28"/>
          <w:szCs w:val="28"/>
        </w:rPr>
        <w:t>施工图预算单价按投标下浮率封顶；施工图预算总价封顶，最高不超过经批复的初步设计概算对应的工程费用。</w:t>
      </w:r>
    </w:p>
    <w:p w14:paraId="5CDF4972">
      <w:pPr>
        <w:pStyle w:val="26"/>
        <w:spacing w:after="120"/>
        <w:ind w:firstLine="560"/>
        <w:rPr>
          <w:rFonts w:ascii="仿宋" w:hAnsi="仿宋" w:eastAsia="仿宋" w:cs="仿宋"/>
          <w:sz w:val="28"/>
          <w:szCs w:val="28"/>
        </w:rPr>
      </w:pPr>
      <w:r>
        <w:rPr>
          <w:rFonts w:hint="eastAsia" w:ascii="仿宋" w:hAnsi="仿宋" w:eastAsia="仿宋" w:cs="仿宋"/>
          <w:sz w:val="28"/>
          <w:szCs w:val="28"/>
        </w:rPr>
        <w:t>7.4暂估价按相关总价下浮后封顶。</w:t>
      </w:r>
    </w:p>
    <w:p w14:paraId="7F2AAC46">
      <w:pPr>
        <w:pStyle w:val="26"/>
        <w:spacing w:after="120"/>
        <w:ind w:firstLine="560"/>
        <w:rPr>
          <w:rFonts w:ascii="仿宋" w:hAnsi="仿宋" w:eastAsia="仿宋" w:cs="仿宋"/>
          <w:sz w:val="28"/>
          <w:szCs w:val="28"/>
        </w:rPr>
      </w:pPr>
      <w:r>
        <w:rPr>
          <w:rFonts w:hint="eastAsia" w:ascii="仿宋" w:hAnsi="仿宋" w:eastAsia="仿宋" w:cs="仿宋"/>
          <w:sz w:val="28"/>
          <w:szCs w:val="28"/>
        </w:rPr>
        <w:t xml:space="preserve">7.5 </w:t>
      </w:r>
      <w:r>
        <w:rPr>
          <w:rFonts w:hint="eastAsia" w:ascii="仿宋" w:hAnsi="仿宋" w:eastAsia="仿宋" w:cs="仿宋"/>
          <w:bCs/>
          <w:sz w:val="28"/>
          <w:szCs w:val="28"/>
        </w:rPr>
        <w:t>承包人应按照经发包人</w:t>
      </w:r>
      <w:r>
        <w:rPr>
          <w:rFonts w:hint="eastAsia" w:ascii="仿宋" w:hAnsi="仿宋" w:eastAsia="仿宋" w:cs="仿宋"/>
          <w:sz w:val="28"/>
          <w:szCs w:val="28"/>
        </w:rPr>
        <w:t>批准的施工图设计图纸，以及招标文件、投标文件和本合同有关规定编制施工图预算并报发包人，发包人组织第三方造价咨询单位审核施工图预算并经发包人批准同意后以补充协议形式确定为施工图预算合同价，作为工程</w:t>
      </w:r>
      <w:r>
        <w:rPr>
          <w:rFonts w:hint="eastAsia" w:ascii="仿宋" w:hAnsi="仿宋" w:eastAsia="仿宋" w:cs="仿宋"/>
          <w:bCs/>
          <w:sz w:val="28"/>
          <w:szCs w:val="28"/>
        </w:rPr>
        <w:t>款支付、变更和结算的依据。</w:t>
      </w:r>
    </w:p>
    <w:p w14:paraId="19D3FBB7">
      <w:pPr>
        <w:pStyle w:val="26"/>
        <w:spacing w:after="120"/>
        <w:ind w:firstLine="560"/>
        <w:rPr>
          <w:rFonts w:ascii="仿宋" w:hAnsi="仿宋" w:eastAsia="仿宋" w:cs="仿宋"/>
          <w:sz w:val="28"/>
          <w:szCs w:val="28"/>
        </w:rPr>
      </w:pPr>
      <w:r>
        <w:rPr>
          <w:rFonts w:ascii="仿宋" w:hAnsi="仿宋" w:eastAsia="仿宋" w:cs="仿宋"/>
          <w:sz w:val="28"/>
          <w:szCs w:val="28"/>
        </w:rPr>
        <w:t>7.6</w:t>
      </w:r>
      <w:r>
        <w:rPr>
          <w:rFonts w:hint="eastAsia" w:ascii="仿宋" w:hAnsi="仿宋" w:eastAsia="仿宋" w:cs="仿宋"/>
          <w:sz w:val="28"/>
          <w:szCs w:val="28"/>
        </w:rPr>
        <w:t>发包人有权否决设计施工总承包单位的施工图设计，发包人有权要求设计施工总承包单位按照初步设计图纸及项目清单约定的项目特征进行施工图设计，设计施工总承包单位应详细列出施工图设计与招标公告发布的初步设计图纸和项目清单特征描述不一致的明细表，并说明不一致的原因。</w:t>
      </w:r>
    </w:p>
    <w:p w14:paraId="5F0AE92C">
      <w:pPr>
        <w:pStyle w:val="26"/>
        <w:spacing w:after="120"/>
        <w:ind w:firstLine="560"/>
        <w:rPr>
          <w:rFonts w:ascii="仿宋" w:hAnsi="仿宋" w:eastAsia="仿宋" w:cs="仿宋"/>
          <w:bCs/>
          <w:sz w:val="28"/>
          <w:szCs w:val="28"/>
        </w:rPr>
      </w:pPr>
      <w:r>
        <w:rPr>
          <w:rFonts w:hint="eastAsia" w:ascii="仿宋" w:hAnsi="仿宋" w:eastAsia="仿宋" w:cs="仿宋"/>
          <w:bCs/>
          <w:sz w:val="28"/>
          <w:szCs w:val="28"/>
        </w:rPr>
        <w:t>初步设计图纸和</w:t>
      </w:r>
      <w:r>
        <w:rPr>
          <w:rFonts w:hint="eastAsia" w:ascii="仿宋" w:hAnsi="仿宋" w:eastAsia="仿宋" w:cs="仿宋"/>
          <w:sz w:val="28"/>
          <w:szCs w:val="28"/>
        </w:rPr>
        <w:t>项目</w:t>
      </w:r>
      <w:r>
        <w:rPr>
          <w:rFonts w:hint="eastAsia" w:ascii="仿宋" w:hAnsi="仿宋" w:eastAsia="仿宋" w:cs="仿宋"/>
          <w:bCs/>
          <w:sz w:val="28"/>
          <w:szCs w:val="28"/>
        </w:rPr>
        <w:t>清单以</w:t>
      </w:r>
      <w:r>
        <w:rPr>
          <w:rFonts w:ascii="仿宋" w:hAnsi="仿宋" w:eastAsia="仿宋" w:cs="仿宋"/>
          <w:bCs/>
          <w:sz w:val="28"/>
          <w:szCs w:val="28"/>
        </w:rPr>
        <w:t>招标公告发布的</w:t>
      </w:r>
      <w:r>
        <w:rPr>
          <w:rFonts w:hint="eastAsia" w:ascii="仿宋" w:hAnsi="仿宋" w:eastAsia="仿宋" w:cs="仿宋"/>
          <w:bCs/>
          <w:sz w:val="28"/>
          <w:szCs w:val="28"/>
        </w:rPr>
        <w:t>的附件为准。</w:t>
      </w:r>
    </w:p>
    <w:p w14:paraId="1E123676">
      <w:pPr>
        <w:spacing w:after="120"/>
        <w:ind w:firstLine="560" w:firstLineChars="0"/>
        <w:rPr>
          <w:rFonts w:ascii="仿宋" w:hAnsi="仿宋" w:eastAsia="仿宋" w:cs="仿宋"/>
          <w:sz w:val="28"/>
          <w:szCs w:val="28"/>
        </w:rPr>
      </w:pPr>
      <w:r>
        <w:rPr>
          <w:rFonts w:hint="eastAsia" w:ascii="仿宋" w:hAnsi="仿宋" w:eastAsia="仿宋" w:cs="仿宋"/>
          <w:sz w:val="28"/>
          <w:szCs w:val="28"/>
        </w:rPr>
        <w:t>8、承包方式</w:t>
      </w:r>
    </w:p>
    <w:p w14:paraId="4CAD5C0F">
      <w:pPr>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由承包人按照本合同约定范围和图纸内容实行工程设计施工总承包，包括但不限于设计、施工、包工、包料、包质量、包安全生产、包文明施工、包工期、包承包范围内工程验收通过、包通水、包通电、包移交、包结算、包创优工程的的组织实施工作和资料整理、包施工范围内的管理和现场整体组织、包专业协调及配合、包承包人应当购买的保险、包竣工图编制（须满足规划等各专项验收要求）等。</w:t>
      </w:r>
    </w:p>
    <w:p w14:paraId="659BD26C">
      <w:pPr>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（1）工程设计费按合同约定的计费方式总价包干；</w:t>
      </w:r>
    </w:p>
    <w:p w14:paraId="62A70CDA">
      <w:pPr>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（2）工程施工费实行：</w:t>
      </w:r>
      <w:r>
        <w:rPr>
          <w:rFonts w:hint="eastAsia" w:ascii="仿宋_GB2312" w:eastAsia="仿宋_GB2312"/>
          <w:sz w:val="28"/>
          <w:szCs w:val="28"/>
        </w:rPr>
        <w:t>施工图预算</w:t>
      </w:r>
      <w:r>
        <w:rPr>
          <w:rFonts w:hint="eastAsia" w:ascii="仿宋" w:hAnsi="仿宋" w:eastAsia="仿宋" w:cs="仿宋"/>
          <w:sz w:val="28"/>
          <w:szCs w:val="28"/>
        </w:rPr>
        <w:t>总价包干；</w:t>
      </w:r>
    </w:p>
    <w:p w14:paraId="22A77639">
      <w:pPr>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具体详见本合同专用条款。</w:t>
      </w:r>
    </w:p>
    <w:p w14:paraId="1FB5B243">
      <w:pPr>
        <w:pStyle w:val="115"/>
        <w:numPr>
          <w:ilvl w:val="0"/>
          <w:numId w:val="0"/>
        </w:numPr>
        <w:wordWrap/>
        <w:topLinePunct w:val="0"/>
        <w:spacing w:after="120"/>
        <w:outlineLvl w:val="1"/>
        <w:rPr>
          <w:rFonts w:ascii="仿宋" w:hAnsi="仿宋" w:eastAsia="仿宋" w:cs="仿宋"/>
          <w:b/>
          <w:bCs/>
          <w:sz w:val="28"/>
          <w:szCs w:val="28"/>
        </w:rPr>
      </w:pPr>
      <w:bookmarkStart w:id="16" w:name="_Toc18061"/>
      <w:bookmarkStart w:id="17" w:name="_Toc54862166"/>
      <w:bookmarkStart w:id="18" w:name="_Toc4339"/>
      <w:bookmarkStart w:id="19" w:name="_Toc18262"/>
      <w:r>
        <w:rPr>
          <w:rFonts w:hint="eastAsia" w:ascii="仿宋" w:hAnsi="仿宋" w:eastAsia="仿宋" w:cs="仿宋"/>
          <w:bCs/>
          <w:sz w:val="28"/>
          <w:szCs w:val="28"/>
        </w:rPr>
        <w:t>二、合同工期</w:t>
      </w:r>
      <w:bookmarkEnd w:id="16"/>
      <w:bookmarkEnd w:id="17"/>
      <w:bookmarkEnd w:id="18"/>
      <w:bookmarkEnd w:id="19"/>
    </w:p>
    <w:p w14:paraId="73C51217">
      <w:pPr>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1、总工期</w:t>
      </w:r>
    </w:p>
    <w:p w14:paraId="13BBB24C">
      <w:pPr>
        <w:wordWrap/>
        <w:topLinePunct w:val="0"/>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计划开始工作日期：年月日。</w:t>
      </w:r>
    </w:p>
    <w:p w14:paraId="6BA56820">
      <w:pPr>
        <w:wordWrap/>
        <w:topLinePunct w:val="0"/>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计划开始施工日期：年月日。</w:t>
      </w:r>
    </w:p>
    <w:p w14:paraId="159E4F2F">
      <w:pPr>
        <w:wordWrap/>
        <w:topLinePunct w:val="0"/>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工期总日历天数：  天，工期总日历天数与根据前述计划日期计算的工期天数不一致的，以工期总日历天数为准。</w:t>
      </w:r>
    </w:p>
    <w:p w14:paraId="75B60A9C">
      <w:pPr>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2、主要节点工期</w:t>
      </w:r>
    </w:p>
    <w:p w14:paraId="544A9241">
      <w:pPr>
        <w:wordWrap/>
        <w:topLinePunct w:val="0"/>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1</w:t>
      </w:r>
      <w:r>
        <w:rPr>
          <w:rFonts w:hint="eastAsia" w:ascii="仿宋" w:hAnsi="仿宋" w:eastAsia="仿宋" w:cs="仿宋"/>
          <w:sz w:val="28"/>
          <w:szCs w:val="28"/>
        </w:rPr>
        <w:t>）设计工期：合同签订后45个</w:t>
      </w:r>
      <w:r>
        <w:rPr>
          <w:rFonts w:ascii="仿宋" w:hAnsi="仿宋" w:eastAsia="仿宋" w:cs="仿宋"/>
          <w:sz w:val="28"/>
          <w:szCs w:val="28"/>
        </w:rPr>
        <w:t>日历天内完成全部施工图设计</w:t>
      </w:r>
      <w:r>
        <w:rPr>
          <w:rFonts w:hint="eastAsia" w:ascii="仿宋" w:hAnsi="仿宋" w:eastAsia="仿宋" w:cs="仿宋"/>
          <w:sz w:val="28"/>
          <w:szCs w:val="28"/>
        </w:rPr>
        <w:t>（含深化设计）及施工图预算编制。</w:t>
      </w:r>
    </w:p>
    <w:p w14:paraId="708EB2BA">
      <w:pPr>
        <w:wordWrap/>
        <w:topLinePunct w:val="0"/>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2</w:t>
      </w:r>
      <w:r>
        <w:rPr>
          <w:rFonts w:hint="eastAsia" w:ascii="仿宋" w:hAnsi="仿宋" w:eastAsia="仿宋" w:cs="仿宋"/>
          <w:sz w:val="28"/>
          <w:szCs w:val="28"/>
        </w:rPr>
        <w:t>）施工工期：项目施工期不超过334个日历天。</w:t>
      </w:r>
    </w:p>
    <w:p w14:paraId="3A0ACF1E">
      <w:pPr>
        <w:wordWrap/>
        <w:topLinePunct w:val="0"/>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3</w:t>
      </w:r>
      <w:r>
        <w:rPr>
          <w:rFonts w:hint="eastAsia" w:ascii="仿宋" w:hAnsi="仿宋" w:eastAsia="仿宋" w:cs="仿宋"/>
          <w:sz w:val="28"/>
          <w:szCs w:val="28"/>
        </w:rPr>
        <w:t>）总工期控制目标：承包人根据设计工期和施工工期自行测算填写。</w:t>
      </w:r>
    </w:p>
    <w:p w14:paraId="7E460FAC">
      <w:pPr>
        <w:adjustRightInd/>
        <w:snapToGrid/>
        <w:spacing w:after="120"/>
        <w:ind w:firstLine="560" w:firstLineChars="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4</w:t>
      </w:r>
      <w:r>
        <w:rPr>
          <w:rFonts w:hint="eastAsia" w:ascii="仿宋" w:hAnsi="仿宋" w:eastAsia="仿宋" w:cs="仿宋"/>
          <w:sz w:val="28"/>
          <w:szCs w:val="28"/>
        </w:rPr>
        <w:t>）提交结算：项目竣工验收合格后30天内向发包人提交竣工结算申请单，并按省财政评审的时限要求，完成项目工程结算工作。</w:t>
      </w:r>
    </w:p>
    <w:p w14:paraId="392673FB">
      <w:pPr>
        <w:pStyle w:val="26"/>
        <w:spacing w:after="120"/>
        <w:ind w:firstLine="560"/>
        <w:rPr>
          <w:rFonts w:ascii="仿宋" w:hAnsi="仿宋" w:eastAsia="仿宋" w:cs="仿宋"/>
          <w:sz w:val="28"/>
          <w:szCs w:val="28"/>
        </w:rPr>
      </w:pPr>
      <w:bookmarkStart w:id="20" w:name="_Toc24393"/>
      <w:bookmarkStart w:id="21" w:name="_Toc6182"/>
      <w:bookmarkStart w:id="22" w:name="_Toc54862167"/>
      <w:bookmarkStart w:id="23" w:name="_Toc7164"/>
      <w:r>
        <w:rPr>
          <w:rFonts w:hint="eastAsia" w:ascii="仿宋" w:hAnsi="仿宋" w:eastAsia="仿宋" w:cs="仿宋"/>
          <w:kern w:val="0"/>
          <w:sz w:val="28"/>
          <w:szCs w:val="28"/>
        </w:rPr>
        <w:t>（</w:t>
      </w:r>
      <w:r>
        <w:rPr>
          <w:rFonts w:ascii="仿宋" w:hAnsi="仿宋" w:eastAsia="仿宋" w:cs="仿宋"/>
          <w:kern w:val="0"/>
          <w:sz w:val="28"/>
          <w:szCs w:val="28"/>
        </w:rPr>
        <w:t>5）设计工期时间表（由</w:t>
      </w:r>
      <w:r>
        <w:rPr>
          <w:rFonts w:hint="eastAsia" w:ascii="仿宋" w:hAnsi="仿宋" w:eastAsia="仿宋" w:cs="仿宋"/>
          <w:kern w:val="0"/>
          <w:sz w:val="28"/>
          <w:szCs w:val="28"/>
        </w:rPr>
        <w:t>承包</w:t>
      </w:r>
      <w:r>
        <w:rPr>
          <w:rFonts w:ascii="仿宋" w:hAnsi="仿宋" w:eastAsia="仿宋" w:cs="仿宋"/>
          <w:kern w:val="0"/>
          <w:sz w:val="28"/>
          <w:szCs w:val="28"/>
        </w:rPr>
        <w:t>人根据设计工期控制总目标自行测算填写）</w:t>
      </w:r>
    </w:p>
    <w:p w14:paraId="6180FFBF">
      <w:pPr>
        <w:wordWrap/>
        <w:topLinePunct w:val="0"/>
        <w:spacing w:after="120"/>
        <w:ind w:firstLine="560"/>
        <w:outlineLvl w:val="1"/>
        <w:rPr>
          <w:rFonts w:ascii="仿宋" w:hAnsi="仿宋" w:eastAsia="仿宋" w:cs="仿宋"/>
          <w:b/>
          <w:bCs/>
          <w:sz w:val="28"/>
          <w:szCs w:val="28"/>
        </w:rPr>
      </w:pPr>
      <w:r>
        <w:rPr>
          <w:rFonts w:hint="eastAsia" w:ascii="仿宋" w:hAnsi="仿宋" w:eastAsia="仿宋" w:cs="仿宋"/>
          <w:bCs/>
          <w:sz w:val="28"/>
          <w:szCs w:val="28"/>
        </w:rPr>
        <w:t>三、质量标准</w:t>
      </w:r>
      <w:bookmarkEnd w:id="20"/>
      <w:bookmarkEnd w:id="21"/>
      <w:bookmarkEnd w:id="22"/>
      <w:bookmarkEnd w:id="23"/>
    </w:p>
    <w:p w14:paraId="197E2D09">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工程质量标准：</w:t>
      </w:r>
    </w:p>
    <w:p w14:paraId="27763B75">
      <w:pPr>
        <w:numPr>
          <w:ilvl w:val="255"/>
          <w:numId w:val="0"/>
        </w:numPr>
        <w:wordWrap/>
        <w:topLinePunct w:val="0"/>
        <w:spacing w:after="120"/>
        <w:ind w:firstLine="560" w:firstLineChars="200"/>
        <w:rPr>
          <w:rFonts w:ascii="仿宋" w:hAnsi="仿宋" w:cs="仿宋"/>
          <w:sz w:val="28"/>
          <w:szCs w:val="28"/>
          <w:u w:val="single"/>
        </w:rPr>
      </w:pPr>
      <w:r>
        <w:rPr>
          <w:rFonts w:hint="eastAsia" w:ascii="仿宋" w:hAnsi="仿宋" w:eastAsia="仿宋" w:cs="仿宋"/>
          <w:sz w:val="28"/>
          <w:szCs w:val="28"/>
          <w:u w:val="single"/>
        </w:rPr>
        <w:t>1、设计质量标准：符合《建设工程质量管理条例》、《建设工程勘察设计管理条例》、《建筑工程设计文件编制深度规定（201</w:t>
      </w:r>
      <w:r>
        <w:rPr>
          <w:rFonts w:ascii="仿宋" w:hAnsi="仿宋" w:eastAsia="仿宋" w:cs="仿宋"/>
          <w:sz w:val="28"/>
          <w:szCs w:val="28"/>
          <w:u w:val="single"/>
        </w:rPr>
        <w:t>6</w:t>
      </w:r>
      <w:r>
        <w:rPr>
          <w:rFonts w:hint="eastAsia" w:ascii="仿宋" w:hAnsi="仿宋" w:eastAsia="仿宋" w:cs="仿宋"/>
          <w:sz w:val="28"/>
          <w:szCs w:val="28"/>
          <w:u w:val="single"/>
        </w:rPr>
        <w:t>年版）》等国家及地方有关工程设计管理法规和规章，达到行业相关规范技术标准等要求</w:t>
      </w:r>
      <w:r>
        <w:rPr>
          <w:rFonts w:hint="eastAsia" w:ascii="仿宋" w:hAnsi="仿宋" w:eastAsia="仿宋" w:cs="仿宋"/>
          <w:color w:val="000000"/>
          <w:sz w:val="28"/>
          <w:szCs w:val="28"/>
          <w:u w:val="single"/>
        </w:rPr>
        <w:t>。</w:t>
      </w:r>
    </w:p>
    <w:p w14:paraId="05E039CC">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u w:val="single"/>
        </w:rPr>
        <w:t>2、施工质量标准：合格，符合设计图纸要求和国家、省、市相关法律法规规定要求及行业颁发的工程质量验收标准。按照国家最新颁布《建筑工程施工质量验收统一标准》（GB 50300-2013）及相应配套的各专业验收规范，一次验收合格。</w:t>
      </w:r>
    </w:p>
    <w:p w14:paraId="2FCD8D50">
      <w:pPr>
        <w:numPr>
          <w:ilvl w:val="255"/>
          <w:numId w:val="0"/>
        </w:numPr>
        <w:wordWrap/>
        <w:topLinePunct w:val="0"/>
        <w:spacing w:after="120"/>
        <w:ind w:firstLine="560" w:firstLineChars="200"/>
        <w:rPr>
          <w:rFonts w:ascii="仿宋" w:hAnsi="仿宋" w:eastAsia="仿宋" w:cs="仿宋"/>
          <w:sz w:val="28"/>
          <w:szCs w:val="28"/>
          <w:u w:val="single"/>
        </w:rPr>
      </w:pPr>
      <w:r>
        <w:rPr>
          <w:rFonts w:hint="eastAsia" w:ascii="仿宋" w:hAnsi="仿宋" w:eastAsia="仿宋" w:cs="仿宋"/>
          <w:sz w:val="28"/>
          <w:szCs w:val="28"/>
          <w:u w:val="single"/>
        </w:rPr>
        <w:t>3、安全文明目标：</w:t>
      </w:r>
    </w:p>
    <w:p w14:paraId="4C73E16F">
      <w:pPr>
        <w:wordWrap/>
        <w:topLinePunct w:val="0"/>
        <w:spacing w:after="120"/>
        <w:ind w:firstLine="560"/>
        <w:rPr>
          <w:rFonts w:ascii="仿宋" w:hAnsi="仿宋" w:eastAsia="仿宋" w:cs="仿宋"/>
          <w:sz w:val="28"/>
          <w:szCs w:val="28"/>
          <w:u w:val="single"/>
        </w:rPr>
      </w:pPr>
      <w:r>
        <w:rPr>
          <w:rFonts w:hint="eastAsia" w:ascii="仿宋" w:hAnsi="仿宋" w:eastAsia="仿宋" w:cs="仿宋"/>
          <w:sz w:val="28"/>
          <w:szCs w:val="28"/>
          <w:u w:val="single"/>
        </w:rPr>
        <w:t>确保不发生一般事故等级及以上的安全生产事故且死亡人数为零。</w:t>
      </w:r>
    </w:p>
    <w:p w14:paraId="2569EE41">
      <w:pPr>
        <w:pStyle w:val="26"/>
        <w:spacing w:after="120"/>
        <w:ind w:firstLine="560"/>
        <w:rPr>
          <w:rFonts w:ascii="仿宋" w:hAnsi="仿宋" w:eastAsia="仿宋" w:cs="仿宋"/>
          <w:sz w:val="28"/>
          <w:szCs w:val="28"/>
        </w:rPr>
      </w:pPr>
      <w:r>
        <w:rPr>
          <w:rFonts w:hint="eastAsia" w:ascii="仿宋" w:hAnsi="仿宋" w:eastAsia="仿宋" w:cs="仿宋"/>
          <w:sz w:val="28"/>
          <w:szCs w:val="28"/>
        </w:rPr>
        <w:t>4、本项目绿色建筑评价标准等级为：二</w:t>
      </w:r>
      <w:r>
        <w:rPr>
          <w:rFonts w:hint="eastAsia" w:ascii="仿宋" w:hAnsi="仿宋" w:eastAsia="仿宋" w:cs="仿宋"/>
          <w:sz w:val="28"/>
          <w:szCs w:val="28"/>
          <w:u w:val="single"/>
        </w:rPr>
        <w:t>星</w:t>
      </w:r>
      <w:r>
        <w:rPr>
          <w:rFonts w:hint="eastAsia" w:ascii="仿宋" w:hAnsi="仿宋" w:eastAsia="仿宋" w:cs="仿宋"/>
          <w:sz w:val="28"/>
          <w:szCs w:val="28"/>
        </w:rPr>
        <w:t>。</w:t>
      </w:r>
    </w:p>
    <w:p w14:paraId="6A53ED04">
      <w:pPr>
        <w:wordWrap/>
        <w:topLinePunct w:val="0"/>
        <w:spacing w:after="120"/>
        <w:ind w:firstLine="560"/>
        <w:rPr>
          <w:rFonts w:ascii="仿宋" w:hAnsi="仿宋" w:eastAsia="仿宋" w:cs="仿宋"/>
          <w:sz w:val="28"/>
          <w:szCs w:val="28"/>
          <w:u w:val="single"/>
        </w:rPr>
      </w:pPr>
      <w:r>
        <w:rPr>
          <w:rFonts w:hint="eastAsia" w:ascii="仿宋" w:hAnsi="仿宋" w:eastAsia="仿宋" w:cs="仿宋"/>
          <w:sz w:val="28"/>
          <w:szCs w:val="28"/>
          <w:u w:val="single"/>
        </w:rPr>
        <w:t>注：由中标人按招标文件及投标文件确定的目标奖项等填写，如不一致以招标文件约定的为准。</w:t>
      </w:r>
    </w:p>
    <w:p w14:paraId="4C71FEF7">
      <w:pPr>
        <w:pStyle w:val="115"/>
        <w:numPr>
          <w:ilvl w:val="0"/>
          <w:numId w:val="0"/>
        </w:numPr>
        <w:wordWrap/>
        <w:topLinePunct w:val="0"/>
        <w:spacing w:after="120"/>
        <w:outlineLvl w:val="1"/>
        <w:rPr>
          <w:rFonts w:ascii="仿宋" w:hAnsi="仿宋" w:eastAsia="仿宋" w:cs="仿宋"/>
          <w:b/>
          <w:bCs/>
          <w:sz w:val="28"/>
          <w:szCs w:val="28"/>
        </w:rPr>
      </w:pPr>
      <w:bookmarkStart w:id="24" w:name="_Toc14266"/>
      <w:bookmarkStart w:id="25" w:name="_Toc9186"/>
      <w:bookmarkStart w:id="26" w:name="_Toc29246"/>
      <w:bookmarkStart w:id="27" w:name="_Toc54862168"/>
      <w:r>
        <w:rPr>
          <w:rFonts w:hint="eastAsia" w:ascii="仿宋" w:hAnsi="仿宋" w:eastAsia="仿宋" w:cs="仿宋"/>
          <w:bCs/>
          <w:sz w:val="28"/>
          <w:szCs w:val="28"/>
        </w:rPr>
        <w:t>四、签约合同价与合同价格形式</w:t>
      </w:r>
      <w:bookmarkEnd w:id="24"/>
      <w:bookmarkEnd w:id="25"/>
      <w:bookmarkEnd w:id="26"/>
      <w:bookmarkEnd w:id="27"/>
    </w:p>
    <w:p w14:paraId="05AB6C97">
      <w:pPr>
        <w:spacing w:after="120"/>
        <w:ind w:firstLine="560"/>
        <w:rPr>
          <w:rFonts w:ascii="仿宋" w:hAnsi="仿宋" w:eastAsia="仿宋" w:cs="仿宋"/>
          <w:sz w:val="28"/>
          <w:szCs w:val="28"/>
        </w:rPr>
      </w:pPr>
      <w:r>
        <w:rPr>
          <w:rFonts w:hint="eastAsia" w:ascii="仿宋" w:hAnsi="仿宋" w:eastAsia="仿宋" w:cs="仿宋"/>
          <w:sz w:val="28"/>
          <w:szCs w:val="28"/>
        </w:rPr>
        <w:t>1. 签约合同价（含税）为：</w:t>
      </w:r>
    </w:p>
    <w:p w14:paraId="7229CA3D">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人民币（大写)（¥元）。</w:t>
      </w:r>
    </w:p>
    <w:p w14:paraId="359D9822">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具体构成详见价格清单。其中：</w:t>
      </w:r>
    </w:p>
    <w:p w14:paraId="20D0BA4C">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（1） 设计费（含税）：</w:t>
      </w:r>
    </w:p>
    <w:p w14:paraId="28147986">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人民币（大写)（¥元）；</w:t>
      </w:r>
    </w:p>
    <w:p w14:paraId="7DE5B4E2">
      <w:pPr>
        <w:pStyle w:val="26"/>
        <w:spacing w:after="120"/>
        <w:ind w:firstLine="560"/>
        <w:rPr>
          <w:rFonts w:ascii="仿宋" w:hAnsi="仿宋" w:eastAsia="仿宋" w:cs="仿宋"/>
          <w:kern w:val="0"/>
          <w:sz w:val="28"/>
          <w:szCs w:val="28"/>
        </w:rPr>
      </w:pPr>
      <w:r>
        <w:rPr>
          <w:rFonts w:hint="eastAsia" w:ascii="仿宋" w:hAnsi="仿宋" w:eastAsia="仿宋" w:cs="仿宋"/>
          <w:kern w:val="0"/>
          <w:sz w:val="28"/>
          <w:szCs w:val="28"/>
        </w:rPr>
        <w:t>竣工图编制费</w:t>
      </w:r>
      <w:r>
        <w:rPr>
          <w:rFonts w:hint="eastAsia" w:ascii="仿宋" w:hAnsi="仿宋" w:eastAsia="仿宋" w:cs="仿宋"/>
          <w:sz w:val="28"/>
          <w:szCs w:val="28"/>
        </w:rPr>
        <w:t>（大写）（¥元）</w:t>
      </w:r>
    </w:p>
    <w:p w14:paraId="30E28B9A">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（2） 设备购置费（含税）：</w:t>
      </w:r>
    </w:p>
    <w:p w14:paraId="12EC5085">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人民币（大写)（¥元）；</w:t>
      </w:r>
    </w:p>
    <w:p w14:paraId="24384923">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（3） 暂定建筑安装工程费（含税）：</w:t>
      </w:r>
    </w:p>
    <w:p w14:paraId="444EF26E">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暂定人民币（大写)（¥元）；中标报价下浮率：%。</w:t>
      </w:r>
    </w:p>
    <w:p w14:paraId="020E741C">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（4）暂估价（含税）：</w:t>
      </w:r>
    </w:p>
    <w:p w14:paraId="5B5C75A3">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人民币（大写)（¥元）。</w:t>
      </w:r>
    </w:p>
    <w:p w14:paraId="2F4CC0FF">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（5）暂列金额（含税）：</w:t>
      </w:r>
    </w:p>
    <w:p w14:paraId="2727918D">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人民币（大写)（¥元）。</w:t>
      </w:r>
    </w:p>
    <w:p w14:paraId="04CC0EE9">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（6） 双方约定的其他费用（含税）：</w:t>
      </w:r>
    </w:p>
    <w:p w14:paraId="409D7614">
      <w:pPr>
        <w:wordWrap/>
        <w:topLinePunct w:val="0"/>
        <w:spacing w:after="120"/>
        <w:ind w:firstLine="560"/>
        <w:jc w:val="left"/>
        <w:rPr>
          <w:rFonts w:ascii="仿宋" w:hAnsi="仿宋" w:eastAsia="仿宋" w:cs="仿宋"/>
          <w:sz w:val="28"/>
          <w:szCs w:val="28"/>
        </w:rPr>
      </w:pPr>
      <w:r>
        <w:rPr>
          <w:rFonts w:hint="eastAsia" w:ascii="仿宋" w:hAnsi="仿宋" w:eastAsia="仿宋" w:cs="仿宋"/>
          <w:sz w:val="28"/>
          <w:szCs w:val="28"/>
        </w:rPr>
        <w:t>人民币（大写)（¥元）。</w:t>
      </w:r>
    </w:p>
    <w:p w14:paraId="3B51426A">
      <w:pPr>
        <w:spacing w:after="120"/>
        <w:ind w:firstLine="560"/>
        <w:rPr>
          <w:rFonts w:ascii="仿宋" w:hAnsi="仿宋" w:eastAsia="仿宋" w:cs="仿宋"/>
          <w:sz w:val="28"/>
          <w:szCs w:val="28"/>
        </w:rPr>
      </w:pPr>
      <w:r>
        <w:rPr>
          <w:rFonts w:hint="eastAsia" w:ascii="仿宋" w:hAnsi="仿宋" w:eastAsia="仿宋" w:cs="仿宋"/>
          <w:sz w:val="28"/>
          <w:szCs w:val="28"/>
        </w:rPr>
        <w:t>以上含税价格不因国家税率政策调整而调整。</w:t>
      </w:r>
    </w:p>
    <w:p w14:paraId="71CB77B8">
      <w:pPr>
        <w:spacing w:after="120"/>
        <w:ind w:firstLine="560"/>
        <w:rPr>
          <w:rFonts w:ascii="仿宋" w:hAnsi="仿宋" w:eastAsia="仿宋" w:cs="仿宋"/>
          <w:sz w:val="28"/>
          <w:szCs w:val="28"/>
        </w:rPr>
      </w:pPr>
      <w:r>
        <w:rPr>
          <w:rFonts w:hint="eastAsia" w:ascii="仿宋" w:hAnsi="仿宋" w:eastAsia="仿宋" w:cs="仿宋"/>
          <w:sz w:val="28"/>
          <w:szCs w:val="28"/>
        </w:rPr>
        <w:t>2. 合同价格形式：</w:t>
      </w:r>
    </w:p>
    <w:p w14:paraId="38E25471">
      <w:pPr>
        <w:wordWrap/>
        <w:topLinePunct w:val="0"/>
        <w:spacing w:after="120"/>
        <w:ind w:firstLine="560"/>
        <w:rPr>
          <w:rFonts w:ascii="仿宋" w:hAnsi="仿宋" w:eastAsia="仿宋_GB2312" w:cs="仿宋"/>
          <w:sz w:val="28"/>
          <w:szCs w:val="28"/>
        </w:rPr>
      </w:pPr>
      <w:r>
        <w:rPr>
          <w:rFonts w:hint="eastAsia" w:ascii="仿宋" w:hAnsi="仿宋" w:eastAsia="仿宋" w:cs="仿宋"/>
          <w:sz w:val="28"/>
          <w:szCs w:val="28"/>
        </w:rPr>
        <w:t>（1）工程设计费为总价包干形式，设计费已包含了后续项目变更的设计工作量，项目概算内产生的变更调整不再另行增加设计费。</w:t>
      </w:r>
    </w:p>
    <w:p w14:paraId="26858EA3">
      <w:pPr>
        <w:wordWrap/>
        <w:topLinePunct w:val="0"/>
        <w:spacing w:after="120"/>
        <w:ind w:firstLine="560"/>
      </w:pPr>
      <w:r>
        <w:rPr>
          <w:rFonts w:hint="eastAsia" w:ascii="仿宋" w:hAnsi="仿宋" w:eastAsia="仿宋" w:cs="仿宋"/>
          <w:sz w:val="28"/>
          <w:szCs w:val="28"/>
        </w:rPr>
        <w:t>（2）工程施工费实行施工图预算总价包干形式。根据审定的施工图预算签订补充协议书。</w:t>
      </w:r>
    </w:p>
    <w:p w14:paraId="2BF0940C">
      <w:pPr>
        <w:wordWrap/>
        <w:topLinePunct w:val="0"/>
        <w:spacing w:after="120"/>
        <w:ind w:firstLine="560"/>
        <w:rPr>
          <w:rFonts w:ascii="仿宋" w:hAnsi="仿宋" w:eastAsia="仿宋" w:cs="仿宋"/>
          <w:strike/>
          <w:sz w:val="28"/>
          <w:szCs w:val="28"/>
        </w:rPr>
      </w:pPr>
      <w:r>
        <w:rPr>
          <w:rFonts w:hint="eastAsia" w:ascii="仿宋" w:hAnsi="仿宋" w:eastAsia="仿宋" w:cs="仿宋"/>
          <w:sz w:val="28"/>
          <w:szCs w:val="28"/>
        </w:rPr>
        <w:t>暂列金额归发包人支配，以变更、签证、价差调整等方式按实际发生造价支付，如实际不发生则不予支付。对于施工图预算注明为暂定工程量的项目，结算时工程量按实结算（如桩基础），按专用条款约定可调材料价差以及由于法律法规变化、发包人提出的工程变更、签证、不可抗力增加的价款可以从暂列金额中支出，施工费结算价不得超出概算批复的工程费用和经发包人批准同意使用的预备费之和，最终以省财政厅审定金额为准。</w:t>
      </w:r>
    </w:p>
    <w:p w14:paraId="192B0725">
      <w:pPr>
        <w:pStyle w:val="115"/>
        <w:numPr>
          <w:ilvl w:val="0"/>
          <w:numId w:val="0"/>
        </w:numPr>
        <w:wordWrap/>
        <w:topLinePunct w:val="0"/>
        <w:spacing w:after="120"/>
        <w:outlineLvl w:val="1"/>
        <w:rPr>
          <w:rFonts w:ascii="仿宋" w:hAnsi="仿宋" w:eastAsia="仿宋" w:cs="仿宋"/>
          <w:b/>
          <w:bCs/>
          <w:sz w:val="28"/>
          <w:szCs w:val="28"/>
        </w:rPr>
      </w:pPr>
      <w:bookmarkStart w:id="28" w:name="_Toc54862169"/>
      <w:bookmarkStart w:id="29" w:name="_Toc29485"/>
      <w:bookmarkStart w:id="30" w:name="_Toc9759"/>
      <w:bookmarkStart w:id="31" w:name="_Toc20493"/>
      <w:r>
        <w:rPr>
          <w:rFonts w:hint="eastAsia" w:ascii="仿宋" w:hAnsi="仿宋" w:eastAsia="仿宋" w:cs="仿宋"/>
          <w:bCs/>
          <w:sz w:val="28"/>
          <w:szCs w:val="28"/>
        </w:rPr>
        <w:t>五、工程总承包项目经理</w:t>
      </w:r>
      <w:bookmarkEnd w:id="28"/>
      <w:bookmarkEnd w:id="29"/>
      <w:bookmarkEnd w:id="30"/>
      <w:bookmarkEnd w:id="31"/>
    </w:p>
    <w:p w14:paraId="63E322A0">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工程总承包项目经理：。</w:t>
      </w:r>
    </w:p>
    <w:p w14:paraId="7AC15BAE">
      <w:pPr>
        <w:pStyle w:val="115"/>
        <w:numPr>
          <w:ilvl w:val="0"/>
          <w:numId w:val="0"/>
        </w:numPr>
        <w:wordWrap/>
        <w:topLinePunct w:val="0"/>
        <w:spacing w:after="120"/>
        <w:outlineLvl w:val="1"/>
        <w:rPr>
          <w:rFonts w:ascii="仿宋" w:hAnsi="仿宋" w:eastAsia="仿宋" w:cs="仿宋"/>
          <w:b/>
          <w:bCs/>
          <w:sz w:val="28"/>
          <w:szCs w:val="28"/>
        </w:rPr>
      </w:pPr>
      <w:bookmarkStart w:id="32" w:name="_Toc21195"/>
      <w:bookmarkStart w:id="33" w:name="_Toc11377"/>
      <w:bookmarkStart w:id="34" w:name="_Toc54862170"/>
      <w:bookmarkStart w:id="35" w:name="_Toc15694"/>
      <w:r>
        <w:rPr>
          <w:rFonts w:hint="eastAsia" w:ascii="仿宋" w:hAnsi="仿宋" w:eastAsia="仿宋" w:cs="仿宋"/>
          <w:bCs/>
          <w:sz w:val="28"/>
          <w:szCs w:val="28"/>
        </w:rPr>
        <w:t>六、合同文件构成</w:t>
      </w:r>
      <w:bookmarkEnd w:id="32"/>
      <w:bookmarkEnd w:id="33"/>
      <w:bookmarkEnd w:id="34"/>
      <w:bookmarkEnd w:id="35"/>
    </w:p>
    <w:p w14:paraId="4DC2430C">
      <w:pPr>
        <w:wordWrap/>
        <w:topLinePunct w:val="0"/>
        <w:spacing w:after="120"/>
        <w:ind w:firstLine="601" w:firstLineChars="0"/>
        <w:jc w:val="left"/>
        <w:rPr>
          <w:rFonts w:ascii="仿宋" w:hAnsi="仿宋" w:eastAsia="仿宋" w:cs="仿宋"/>
          <w:sz w:val="28"/>
          <w:szCs w:val="28"/>
          <w:u w:val="single"/>
        </w:rPr>
      </w:pPr>
      <w:r>
        <w:rPr>
          <w:rFonts w:hint="eastAsia" w:ascii="仿宋" w:hAnsi="仿宋" w:eastAsia="仿宋" w:cs="仿宋"/>
          <w:sz w:val="28"/>
          <w:szCs w:val="28"/>
          <w:u w:val="single"/>
        </w:rPr>
        <w:t>本协议书与下列文件一起构成合同文件：</w:t>
      </w:r>
    </w:p>
    <w:p w14:paraId="2535A8ED">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（1） 中标通知书（如果有）；</w:t>
      </w:r>
    </w:p>
    <w:p w14:paraId="0B32EFD9">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（2） 投标函及投标函附录（如果有）；</w:t>
      </w:r>
    </w:p>
    <w:p w14:paraId="73D1168E">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（3） 专用合同条件及《发包人要求》等附件；</w:t>
      </w:r>
    </w:p>
    <w:p w14:paraId="0B46540B">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（4） 通用合同条件；</w:t>
      </w:r>
    </w:p>
    <w:p w14:paraId="19CBA43A">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w:t>
      </w:r>
      <w:r>
        <w:rPr>
          <w:rFonts w:ascii="仿宋" w:hAnsi="仿宋" w:eastAsia="仿宋" w:cs="仿宋"/>
          <w:sz w:val="28"/>
          <w:szCs w:val="28"/>
        </w:rPr>
        <w:t>5</w:t>
      </w:r>
      <w:r>
        <w:rPr>
          <w:rFonts w:hint="eastAsia" w:ascii="仿宋" w:hAnsi="仿宋" w:eastAsia="仿宋" w:cs="仿宋"/>
          <w:sz w:val="28"/>
          <w:szCs w:val="28"/>
        </w:rPr>
        <w:t>）价格清单；</w:t>
      </w:r>
    </w:p>
    <w:p w14:paraId="4FAFE2C3">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（6） 承包人建议书（如有）；</w:t>
      </w:r>
    </w:p>
    <w:p w14:paraId="4A0C3FA0">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（7）双方约定的其他合同文件。</w:t>
      </w:r>
    </w:p>
    <w:p w14:paraId="6704B839">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上述各项合同文件包括双方就该项合同文件所作出的补充和修改，属于同一类内容的合同文件应以最新签署的为准。专用合同条件及其附件须经合同当事人签字或盖章。</w:t>
      </w:r>
    </w:p>
    <w:p w14:paraId="761D2B39">
      <w:pPr>
        <w:pStyle w:val="115"/>
        <w:numPr>
          <w:ilvl w:val="0"/>
          <w:numId w:val="0"/>
        </w:numPr>
        <w:wordWrap/>
        <w:topLinePunct w:val="0"/>
        <w:spacing w:after="120"/>
        <w:outlineLvl w:val="1"/>
        <w:rPr>
          <w:rFonts w:ascii="仿宋" w:hAnsi="仿宋" w:eastAsia="仿宋" w:cs="仿宋"/>
          <w:b/>
          <w:bCs/>
          <w:sz w:val="28"/>
          <w:szCs w:val="28"/>
        </w:rPr>
      </w:pPr>
      <w:bookmarkStart w:id="36" w:name="_Toc54862171"/>
      <w:bookmarkStart w:id="37" w:name="_Toc16560"/>
      <w:bookmarkStart w:id="38" w:name="_Toc20475"/>
      <w:bookmarkStart w:id="39" w:name="_Toc28426"/>
      <w:r>
        <w:rPr>
          <w:rFonts w:hint="eastAsia" w:ascii="仿宋" w:hAnsi="仿宋" w:eastAsia="仿宋" w:cs="仿宋"/>
          <w:bCs/>
          <w:sz w:val="28"/>
          <w:szCs w:val="28"/>
        </w:rPr>
        <w:t>七、承诺</w:t>
      </w:r>
      <w:bookmarkEnd w:id="36"/>
      <w:bookmarkEnd w:id="37"/>
      <w:bookmarkEnd w:id="38"/>
      <w:bookmarkEnd w:id="39"/>
    </w:p>
    <w:p w14:paraId="50DC243B">
      <w:pPr>
        <w:spacing w:after="120"/>
        <w:ind w:firstLine="560"/>
        <w:rPr>
          <w:rFonts w:ascii="仿宋" w:hAnsi="仿宋" w:eastAsia="仿宋" w:cs="仿宋"/>
          <w:sz w:val="28"/>
          <w:szCs w:val="28"/>
        </w:rPr>
      </w:pPr>
      <w:r>
        <w:rPr>
          <w:rFonts w:hint="eastAsia" w:ascii="仿宋" w:hAnsi="仿宋" w:eastAsia="仿宋" w:cs="仿宋"/>
          <w:sz w:val="28"/>
          <w:szCs w:val="28"/>
        </w:rPr>
        <w:t>1. 发包人承诺按照法律规定履行项目审批手续、筹集工程建设资金并按照合同约定的期限和方式支付合同价款。</w:t>
      </w:r>
    </w:p>
    <w:p w14:paraId="4BA88225">
      <w:pPr>
        <w:spacing w:after="120"/>
        <w:ind w:firstLine="560"/>
        <w:rPr>
          <w:rFonts w:ascii="仿宋" w:hAnsi="仿宋" w:eastAsia="仿宋" w:cs="仿宋"/>
          <w:sz w:val="28"/>
          <w:szCs w:val="28"/>
        </w:rPr>
      </w:pPr>
      <w:r>
        <w:rPr>
          <w:rFonts w:hint="eastAsia" w:ascii="仿宋" w:hAnsi="仿宋" w:eastAsia="仿宋" w:cs="仿宋"/>
          <w:sz w:val="28"/>
          <w:szCs w:val="28"/>
        </w:rPr>
        <w:t>2. 承包人承诺按照法律规定及合同约定组织完成工程的设计、采购和施工等工作，确保工程质量和安全，不进行转包及违法分包，并在缺陷责任期及保修期内承担相应的工程维修责任。</w:t>
      </w:r>
    </w:p>
    <w:p w14:paraId="21B466B6">
      <w:pPr>
        <w:spacing w:after="120"/>
        <w:ind w:firstLine="562"/>
        <w:rPr>
          <w:rFonts w:ascii="仿宋" w:hAnsi="仿宋" w:eastAsia="仿宋" w:cs="仿宋"/>
          <w:b/>
          <w:sz w:val="28"/>
          <w:szCs w:val="28"/>
          <w:u w:val="single"/>
        </w:rPr>
      </w:pPr>
      <w:r>
        <w:rPr>
          <w:rFonts w:hint="eastAsia" w:ascii="仿宋" w:hAnsi="仿宋" w:eastAsia="仿宋" w:cs="仿宋"/>
          <w:b/>
          <w:sz w:val="28"/>
          <w:szCs w:val="28"/>
          <w:u w:val="single"/>
        </w:rPr>
        <w:t>3.承包人承诺达到在投标文件工程实施方案中的各项承诺为：</w:t>
      </w:r>
    </w:p>
    <w:p w14:paraId="60B8B99A">
      <w:pPr>
        <w:spacing w:after="120"/>
        <w:ind w:firstLine="560"/>
        <w:rPr>
          <w:rFonts w:ascii="仿宋" w:hAnsi="仿宋" w:eastAsia="仿宋" w:cs="仿宋"/>
          <w:bCs/>
          <w:sz w:val="28"/>
          <w:szCs w:val="28"/>
          <w:u w:val="single"/>
        </w:rPr>
      </w:pPr>
      <w:r>
        <w:rPr>
          <w:rFonts w:hint="eastAsia" w:ascii="仿宋" w:hAnsi="仿宋" w:eastAsia="仿宋" w:cs="仿宋"/>
          <w:bCs/>
          <w:sz w:val="28"/>
          <w:szCs w:val="28"/>
          <w:u w:val="single"/>
        </w:rPr>
        <w:t xml:space="preserve">质量标准：    （优于招标文件的要求） </w:t>
      </w:r>
    </w:p>
    <w:p w14:paraId="3646F7EF">
      <w:pPr>
        <w:spacing w:after="120"/>
        <w:ind w:firstLine="560"/>
        <w:rPr>
          <w:rFonts w:ascii="仿宋" w:hAnsi="仿宋" w:eastAsia="仿宋" w:cs="仿宋"/>
          <w:bCs/>
          <w:sz w:val="28"/>
          <w:szCs w:val="28"/>
          <w:u w:val="single"/>
        </w:rPr>
      </w:pPr>
      <w:r>
        <w:rPr>
          <w:rFonts w:hint="eastAsia" w:ascii="仿宋" w:hAnsi="仿宋" w:eastAsia="仿宋" w:cs="仿宋"/>
          <w:bCs/>
          <w:sz w:val="28"/>
          <w:szCs w:val="28"/>
          <w:u w:val="single"/>
        </w:rPr>
        <w:t xml:space="preserve">安全生产文明施工控制目标：   </w:t>
      </w:r>
    </w:p>
    <w:p w14:paraId="6233D06D">
      <w:pPr>
        <w:spacing w:after="120"/>
        <w:rPr>
          <w:rFonts w:ascii="仿宋" w:hAnsi="仿宋" w:eastAsia="仿宋" w:cs="仿宋"/>
          <w:szCs w:val="28"/>
          <w:u w:val="single"/>
        </w:rPr>
      </w:pPr>
      <w:r>
        <w:rPr>
          <w:rFonts w:hint="eastAsia" w:ascii="仿宋" w:hAnsi="仿宋" w:eastAsia="仿宋" w:cs="仿宋"/>
          <w:szCs w:val="28"/>
          <w:u w:val="single"/>
        </w:rPr>
        <w:t>投标文件工程实施方案中其他承诺：     （按投标文件填写）</w:t>
      </w:r>
    </w:p>
    <w:p w14:paraId="45A38917">
      <w:pPr>
        <w:spacing w:after="120"/>
        <w:ind w:firstLine="560"/>
        <w:rPr>
          <w:rFonts w:ascii="仿宋" w:hAnsi="仿宋" w:eastAsia="仿宋" w:cs="仿宋"/>
          <w:bCs/>
          <w:sz w:val="28"/>
          <w:szCs w:val="28"/>
          <w:u w:val="single"/>
        </w:rPr>
      </w:pPr>
      <w:r>
        <w:rPr>
          <w:rFonts w:hint="eastAsia" w:ascii="仿宋" w:hAnsi="仿宋" w:eastAsia="仿宋" w:cs="仿宋"/>
          <w:bCs/>
          <w:sz w:val="28"/>
          <w:szCs w:val="28"/>
          <w:u w:val="single"/>
        </w:rPr>
        <w:t>如未达到工程实施方案中承诺的</w:t>
      </w:r>
      <w:r>
        <w:rPr>
          <w:rFonts w:hint="eastAsia" w:ascii="仿宋" w:hAnsi="仿宋" w:eastAsia="仿宋" w:cs="仿宋"/>
          <w:b/>
          <w:sz w:val="28"/>
          <w:szCs w:val="28"/>
          <w:u w:val="single"/>
        </w:rPr>
        <w:t>安全文明管理措施的</w:t>
      </w:r>
      <w:r>
        <w:rPr>
          <w:rFonts w:hint="eastAsia" w:ascii="仿宋" w:hAnsi="仿宋" w:eastAsia="仿宋" w:cs="仿宋"/>
          <w:bCs/>
          <w:sz w:val="28"/>
          <w:szCs w:val="28"/>
          <w:u w:val="single"/>
        </w:rPr>
        <w:t>：自愿接受承担80万元/项的违约责任；如未达到工程实施方案中承诺的</w:t>
      </w:r>
      <w:r>
        <w:rPr>
          <w:rFonts w:hint="eastAsia" w:ascii="仿宋" w:hAnsi="仿宋" w:eastAsia="仿宋" w:cs="仿宋"/>
          <w:b/>
          <w:sz w:val="28"/>
          <w:szCs w:val="28"/>
          <w:u w:val="single"/>
        </w:rPr>
        <w:t>质量控制措施</w:t>
      </w:r>
      <w:r>
        <w:rPr>
          <w:rFonts w:hint="eastAsia" w:ascii="仿宋" w:hAnsi="仿宋" w:eastAsia="仿宋" w:cs="仿宋"/>
          <w:bCs/>
          <w:sz w:val="28"/>
          <w:szCs w:val="28"/>
          <w:u w:val="single"/>
        </w:rPr>
        <w:t>的：自愿接受承担50万元/项的违约责任；如未达到工程实施方案中承诺的</w:t>
      </w:r>
      <w:r>
        <w:rPr>
          <w:rFonts w:hint="eastAsia" w:ascii="仿宋" w:hAnsi="仿宋" w:eastAsia="仿宋" w:cs="仿宋"/>
          <w:b/>
          <w:sz w:val="28"/>
          <w:szCs w:val="28"/>
          <w:u w:val="single"/>
        </w:rPr>
        <w:t>投资控制、施工图出图方案</w:t>
      </w:r>
      <w:r>
        <w:rPr>
          <w:rFonts w:hint="eastAsia" w:ascii="仿宋" w:hAnsi="仿宋" w:eastAsia="仿宋" w:cs="仿宋"/>
          <w:bCs/>
          <w:sz w:val="28"/>
          <w:szCs w:val="28"/>
          <w:u w:val="single"/>
        </w:rPr>
        <w:t xml:space="preserve">的：自愿接受承担30万元/项的违约责任；如其他承诺未达到，自愿接受承担  万元/项（每项不低于 10万元）的违约责任。违约金从承包人（履约保函\工程款)中直接扣除。（注：金额如无特别约定，按严重违约金额填写）     </w:t>
      </w:r>
    </w:p>
    <w:p w14:paraId="16F2D1C9">
      <w:pPr>
        <w:numPr>
          <w:ilvl w:val="255"/>
          <w:numId w:val="0"/>
        </w:numPr>
        <w:spacing w:after="120"/>
        <w:ind w:firstLine="560"/>
        <w:rPr>
          <w:rFonts w:ascii="仿宋" w:hAnsi="仿宋" w:eastAsia="仿宋" w:cs="仿宋"/>
          <w:bCs/>
          <w:sz w:val="28"/>
          <w:szCs w:val="28"/>
          <w:u w:val="single"/>
        </w:rPr>
      </w:pPr>
      <w:r>
        <w:rPr>
          <w:rFonts w:hint="eastAsia" w:ascii="仿宋_GB2312" w:eastAsia="仿宋_GB2312"/>
          <w:color w:val="000000"/>
          <w:sz w:val="28"/>
          <w:szCs w:val="28"/>
        </w:rPr>
        <w:t>4</w:t>
      </w:r>
      <w:r>
        <w:rPr>
          <w:rFonts w:ascii="仿宋_GB2312" w:eastAsia="仿宋_GB2312"/>
          <w:color w:val="000000"/>
          <w:sz w:val="28"/>
          <w:szCs w:val="28"/>
        </w:rPr>
        <w:t xml:space="preserve">. </w:t>
      </w:r>
      <w:r>
        <w:rPr>
          <w:rFonts w:hint="eastAsia" w:ascii="仿宋_GB2312" w:eastAsia="仿宋_GB2312"/>
          <w:color w:val="000000"/>
          <w:sz w:val="28"/>
          <w:szCs w:val="28"/>
        </w:rPr>
        <w:t>本项目招标代理费由发包人（招标人）支付。</w:t>
      </w:r>
    </w:p>
    <w:p w14:paraId="05CBCE70">
      <w:pPr>
        <w:spacing w:after="120"/>
        <w:ind w:firstLine="560"/>
        <w:rPr>
          <w:rFonts w:ascii="仿宋" w:hAnsi="仿宋" w:eastAsia="仿宋" w:cs="仿宋"/>
          <w:bCs/>
          <w:sz w:val="28"/>
          <w:szCs w:val="28"/>
          <w:u w:val="single"/>
        </w:rPr>
      </w:pPr>
      <w:r>
        <w:rPr>
          <w:rFonts w:hint="eastAsia" w:ascii="仿宋" w:hAnsi="仿宋" w:eastAsia="仿宋" w:cs="仿宋"/>
          <w:bCs/>
          <w:sz w:val="28"/>
          <w:szCs w:val="28"/>
          <w:u w:val="single"/>
        </w:rPr>
        <w:t>5.承包人向广州公共资源交易中心垫付交易服务费人民币万元。上述费用在承包人第一次请款时一并申请。</w:t>
      </w:r>
    </w:p>
    <w:p w14:paraId="4ED5D14B">
      <w:pPr>
        <w:spacing w:after="120"/>
        <w:ind w:firstLine="560"/>
        <w:rPr>
          <w:rFonts w:ascii="仿宋" w:hAnsi="仿宋" w:eastAsia="仿宋" w:cs="仿宋"/>
          <w:bCs/>
          <w:sz w:val="28"/>
          <w:szCs w:val="28"/>
        </w:rPr>
      </w:pPr>
      <w:r>
        <w:rPr>
          <w:rFonts w:hint="eastAsia" w:ascii="仿宋" w:hAnsi="仿宋" w:eastAsia="仿宋" w:cs="仿宋"/>
          <w:bCs/>
          <w:sz w:val="28"/>
          <w:szCs w:val="28"/>
        </w:rPr>
        <w:t>6.合同签订后，承包人应选择发包人授权认可的资金监管银行（国库集中支付业务代理银行）开设工程款资金监管账户，发包人、承包人、资金监管银行三方共同签订《广东省代建项目管理局项目建设资金监督管理协议》，具体按照《省代建局直接代建项目工程款资金监督管理办法》（详见合同附件）执行。国库集中支付业务代理银行名单见附件 ，该名单随省财政厅要求同步更新。</w:t>
      </w:r>
    </w:p>
    <w:p w14:paraId="6AFEC52D">
      <w:pPr>
        <w:spacing w:after="120"/>
        <w:ind w:firstLine="560"/>
        <w:rPr>
          <w:rFonts w:ascii="仿宋" w:hAnsi="仿宋" w:eastAsia="仿宋" w:cs="仿宋"/>
          <w:sz w:val="28"/>
          <w:szCs w:val="28"/>
        </w:rPr>
      </w:pPr>
      <w:r>
        <w:rPr>
          <w:rFonts w:hint="eastAsia" w:ascii="仿宋" w:hAnsi="仿宋" w:eastAsia="仿宋" w:cs="仿宋"/>
          <w:sz w:val="28"/>
          <w:szCs w:val="28"/>
        </w:rPr>
        <w:t>7.关于“工人工资支付专用账户”的设立与拨付，承包方承诺按照《国务院办公厅关于全面治理拖欠农民工工资问题的意见》（国办发〔2016〕1号）、《广东省人民政府办公厅关于全面治理拖欠异地务工人员工资问题的实施意见》（粤府办〔2016〕111号）及项目所在地市的有关规定执行。否则，承包人须对此引起的纠纷负全责，造成发包人损失（包括但不限于发包人因此而支付的赔偿款、律师费、诉讼费、保全费、公证费、鉴定费等）的，须承担全部责任。</w:t>
      </w:r>
    </w:p>
    <w:p w14:paraId="52F495BC">
      <w:pPr>
        <w:wordWrap/>
        <w:topLinePunct w:val="0"/>
        <w:spacing w:after="120" w:line="240" w:lineRule="auto"/>
        <w:ind w:firstLine="600" w:firstLineChars="0"/>
        <w:rPr>
          <w:rFonts w:ascii="仿宋" w:hAnsi="仿宋" w:eastAsia="仿宋" w:cs="仿宋"/>
          <w:sz w:val="28"/>
          <w:szCs w:val="28"/>
        </w:rPr>
      </w:pPr>
      <w:r>
        <w:rPr>
          <w:rFonts w:hint="eastAsia" w:ascii="仿宋" w:hAnsi="仿宋" w:eastAsia="仿宋" w:cs="仿宋"/>
          <w:sz w:val="28"/>
          <w:szCs w:val="28"/>
        </w:rPr>
        <w:t>工人工资支付专用账户：</w:t>
      </w:r>
    </w:p>
    <w:p w14:paraId="670FB10D">
      <w:pPr>
        <w:wordWrap/>
        <w:topLinePunct w:val="0"/>
        <w:spacing w:after="120" w:line="240" w:lineRule="auto"/>
        <w:ind w:firstLine="560"/>
        <w:rPr>
          <w:rFonts w:ascii="仿宋" w:hAnsi="仿宋" w:eastAsia="仿宋" w:cs="仿宋"/>
          <w:sz w:val="28"/>
          <w:szCs w:val="28"/>
        </w:rPr>
      </w:pPr>
      <w:r>
        <w:rPr>
          <w:rFonts w:hint="eastAsia" w:ascii="仿宋" w:hAnsi="仿宋" w:eastAsia="仿宋" w:cs="仿宋"/>
          <w:sz w:val="28"/>
          <w:szCs w:val="28"/>
        </w:rPr>
        <w:t>开户名称：</w:t>
      </w:r>
    </w:p>
    <w:p w14:paraId="2E26B221">
      <w:pPr>
        <w:wordWrap/>
        <w:topLinePunct w:val="0"/>
        <w:spacing w:after="120" w:line="240" w:lineRule="auto"/>
        <w:ind w:firstLine="600" w:firstLineChars="0"/>
        <w:rPr>
          <w:rFonts w:ascii="仿宋" w:hAnsi="仿宋" w:eastAsia="仿宋" w:cs="仿宋"/>
          <w:sz w:val="28"/>
          <w:szCs w:val="28"/>
        </w:rPr>
      </w:pPr>
      <w:r>
        <w:rPr>
          <w:rFonts w:hint="eastAsia" w:ascii="仿宋" w:hAnsi="仿宋" w:eastAsia="仿宋" w:cs="仿宋"/>
          <w:sz w:val="28"/>
          <w:szCs w:val="28"/>
        </w:rPr>
        <w:t xml:space="preserve">开 户 行：                          </w:t>
      </w:r>
    </w:p>
    <w:p w14:paraId="0B6E7C44">
      <w:pPr>
        <w:wordWrap/>
        <w:topLinePunct w:val="0"/>
        <w:spacing w:after="120" w:line="240" w:lineRule="auto"/>
        <w:ind w:firstLine="600" w:firstLineChars="0"/>
        <w:rPr>
          <w:rFonts w:ascii="仿宋" w:hAnsi="仿宋" w:eastAsia="仿宋" w:cs="仿宋"/>
          <w:bCs/>
          <w:sz w:val="28"/>
          <w:szCs w:val="28"/>
        </w:rPr>
      </w:pPr>
      <w:r>
        <w:rPr>
          <w:rFonts w:hint="eastAsia" w:ascii="仿宋" w:hAnsi="仿宋" w:eastAsia="仿宋" w:cs="仿宋"/>
          <w:sz w:val="28"/>
          <w:szCs w:val="28"/>
        </w:rPr>
        <w:t>工程进度款中工人工资比例：</w:t>
      </w:r>
    </w:p>
    <w:p w14:paraId="425F10EC">
      <w:pPr>
        <w:wordWrap/>
        <w:topLinePunct w:val="0"/>
        <w:spacing w:after="120" w:line="240" w:lineRule="auto"/>
        <w:ind w:firstLine="600" w:firstLineChars="0"/>
        <w:rPr>
          <w:rFonts w:ascii="仿宋" w:hAnsi="仿宋" w:eastAsia="仿宋" w:cs="仿宋"/>
          <w:bCs/>
          <w:sz w:val="28"/>
          <w:szCs w:val="28"/>
        </w:rPr>
      </w:pPr>
      <w:r>
        <w:rPr>
          <w:rFonts w:hint="eastAsia" w:ascii="仿宋" w:hAnsi="仿宋" w:eastAsia="仿宋" w:cs="仿宋"/>
          <w:bCs/>
          <w:sz w:val="28"/>
          <w:szCs w:val="28"/>
        </w:rPr>
        <w:t>支付期限：</w:t>
      </w:r>
    </w:p>
    <w:p w14:paraId="37507283">
      <w:pPr>
        <w:pStyle w:val="26"/>
        <w:numPr>
          <w:ilvl w:val="255"/>
          <w:numId w:val="0"/>
        </w:numPr>
        <w:spacing w:after="120"/>
        <w:ind w:firstLine="560"/>
        <w:rPr>
          <w:rFonts w:ascii="仿宋" w:hAnsi="仿宋" w:eastAsia="仿宋" w:cs="仿宋"/>
          <w:sz w:val="28"/>
          <w:szCs w:val="28"/>
        </w:rPr>
      </w:pPr>
      <w:bookmarkStart w:id="40" w:name="_Toc30602"/>
      <w:bookmarkStart w:id="41" w:name="_Toc54862172"/>
      <w:bookmarkStart w:id="42" w:name="_Toc209"/>
      <w:bookmarkStart w:id="43" w:name="_Toc15925"/>
      <w:r>
        <w:rPr>
          <w:rFonts w:hint="eastAsia" w:ascii="仿宋" w:hAnsi="仿宋" w:eastAsia="仿宋" w:cs="仿宋"/>
          <w:sz w:val="28"/>
          <w:szCs w:val="28"/>
        </w:rPr>
        <w:t>8.承包人承诺达到的</w:t>
      </w:r>
      <w:r>
        <w:rPr>
          <w:rFonts w:hint="eastAsia" w:ascii="仿宋" w:hAnsi="仿宋" w:eastAsia="仿宋" w:cs="仿宋"/>
          <w:bCs/>
          <w:snapToGrid w:val="0"/>
          <w:sz w:val="28"/>
          <w:szCs w:val="28"/>
        </w:rPr>
        <w:t>绿色节能控制措施</w:t>
      </w:r>
      <w:r>
        <w:rPr>
          <w:rFonts w:hint="eastAsia" w:ascii="仿宋" w:hAnsi="仿宋" w:eastAsia="仿宋" w:cs="仿宋"/>
          <w:sz w:val="28"/>
          <w:szCs w:val="28"/>
        </w:rPr>
        <w:t>、</w:t>
      </w:r>
      <w:r>
        <w:rPr>
          <w:rFonts w:hint="eastAsia" w:ascii="仿宋" w:hAnsi="仿宋" w:eastAsia="仿宋" w:cs="仿宋"/>
          <w:bCs/>
          <w:snapToGrid w:val="0"/>
          <w:sz w:val="28"/>
          <w:szCs w:val="28"/>
        </w:rPr>
        <w:t>安全文明管理控制措施</w:t>
      </w:r>
      <w:r>
        <w:rPr>
          <w:rFonts w:hint="eastAsia" w:ascii="仿宋" w:hAnsi="仿宋" w:eastAsia="仿宋" w:cs="仿宋"/>
          <w:sz w:val="28"/>
          <w:szCs w:val="28"/>
        </w:rPr>
        <w:t>、</w:t>
      </w:r>
      <w:r>
        <w:rPr>
          <w:rFonts w:hint="eastAsia" w:ascii="仿宋" w:hAnsi="仿宋" w:eastAsia="仿宋" w:cs="仿宋"/>
          <w:bCs/>
          <w:snapToGrid w:val="0"/>
          <w:sz w:val="28"/>
          <w:szCs w:val="28"/>
        </w:rPr>
        <w:t>质量控制措施</w:t>
      </w:r>
      <w:r>
        <w:rPr>
          <w:rFonts w:hint="eastAsia" w:ascii="仿宋" w:hAnsi="仿宋" w:eastAsia="仿宋" w:cs="仿宋"/>
          <w:sz w:val="28"/>
          <w:szCs w:val="28"/>
        </w:rPr>
        <w:t>、</w:t>
      </w:r>
      <w:r>
        <w:rPr>
          <w:rFonts w:hint="eastAsia" w:ascii="仿宋" w:hAnsi="仿宋" w:eastAsia="仿宋" w:cs="仿宋"/>
          <w:bCs/>
          <w:snapToGrid w:val="0"/>
          <w:sz w:val="28"/>
          <w:szCs w:val="28"/>
        </w:rPr>
        <w:t>进度</w:t>
      </w:r>
      <w:r>
        <w:rPr>
          <w:rFonts w:hint="eastAsia" w:ascii="仿宋" w:hAnsi="仿宋" w:eastAsia="仿宋" w:cs="仿宋"/>
          <w:sz w:val="28"/>
          <w:szCs w:val="28"/>
        </w:rPr>
        <w:t>管理方案、劳动力投入、机械投入、</w:t>
      </w:r>
      <w:r>
        <w:rPr>
          <w:rFonts w:hint="eastAsia" w:ascii="仿宋" w:hAnsi="仿宋" w:eastAsia="仿宋" w:cs="仿宋"/>
          <w:bCs/>
          <w:snapToGrid w:val="0"/>
          <w:sz w:val="28"/>
          <w:szCs w:val="28"/>
        </w:rPr>
        <w:t>投资控制</w:t>
      </w:r>
      <w:r>
        <w:rPr>
          <w:rFonts w:hint="eastAsia" w:ascii="仿宋" w:hAnsi="仿宋" w:eastAsia="仿宋" w:cs="仿宋"/>
          <w:sz w:val="28"/>
          <w:szCs w:val="28"/>
        </w:rPr>
        <w:t>、施工图出图方案等按投标时单独提交承诺函为标准，相关承诺将纳入合同约定内容及合同履约诚信评价。</w:t>
      </w:r>
    </w:p>
    <w:p w14:paraId="1AE3E776">
      <w:pPr>
        <w:wordWrap/>
        <w:topLinePunct w:val="0"/>
        <w:spacing w:after="120"/>
        <w:ind w:firstLine="600"/>
      </w:pPr>
      <w:r>
        <w:rPr>
          <w:rFonts w:hint="eastAsia" w:ascii="仿宋_GB2312" w:eastAsia="仿宋_GB2312"/>
          <w:sz w:val="30"/>
          <w:szCs w:val="30"/>
        </w:rPr>
        <w:t>9.</w:t>
      </w:r>
      <w:r>
        <w:rPr>
          <w:rFonts w:ascii="仿宋_GB2312" w:eastAsia="仿宋_GB2312"/>
          <w:sz w:val="30"/>
          <w:szCs w:val="30"/>
        </w:rPr>
        <w:t>承包人须承担与本工程有关或本工程进行期间发生或本工程引致的财产损坏的费用、责任、损失、索偿或诉讼的法律责任，并须保障发包人免负该等责任，除非有关损坏是发包人或其余负责的人士所引致的。</w:t>
      </w:r>
    </w:p>
    <w:p w14:paraId="14A0F9D4">
      <w:pPr>
        <w:wordWrap/>
        <w:topLinePunct w:val="0"/>
        <w:spacing w:after="120" w:line="240" w:lineRule="auto"/>
        <w:ind w:firstLine="600" w:firstLineChars="0"/>
        <w:outlineLvl w:val="1"/>
        <w:rPr>
          <w:rFonts w:ascii="仿宋" w:hAnsi="仿宋" w:eastAsia="仿宋" w:cs="仿宋"/>
          <w:b/>
          <w:bCs/>
          <w:sz w:val="28"/>
          <w:szCs w:val="28"/>
        </w:rPr>
      </w:pPr>
      <w:r>
        <w:rPr>
          <w:rFonts w:hint="eastAsia" w:ascii="仿宋" w:hAnsi="仿宋" w:eastAsia="仿宋" w:cs="仿宋"/>
          <w:bCs/>
          <w:sz w:val="28"/>
          <w:szCs w:val="28"/>
        </w:rPr>
        <w:t>八、订立时间</w:t>
      </w:r>
      <w:bookmarkEnd w:id="40"/>
      <w:bookmarkEnd w:id="41"/>
      <w:bookmarkEnd w:id="42"/>
      <w:bookmarkEnd w:id="43"/>
    </w:p>
    <w:p w14:paraId="7614C656">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本合同于年月日订立。</w:t>
      </w:r>
    </w:p>
    <w:p w14:paraId="2F383C50">
      <w:pPr>
        <w:wordWrap/>
        <w:topLinePunct w:val="0"/>
        <w:spacing w:after="120" w:line="240" w:lineRule="auto"/>
        <w:ind w:firstLine="600" w:firstLineChars="0"/>
        <w:outlineLvl w:val="1"/>
        <w:rPr>
          <w:rFonts w:ascii="仿宋" w:hAnsi="仿宋" w:eastAsia="仿宋" w:cs="仿宋"/>
          <w:b/>
          <w:bCs/>
          <w:sz w:val="28"/>
          <w:szCs w:val="28"/>
        </w:rPr>
      </w:pPr>
      <w:bookmarkStart w:id="44" w:name="_Toc16286"/>
      <w:bookmarkStart w:id="45" w:name="_Toc54862173"/>
      <w:bookmarkStart w:id="46" w:name="_Toc1264"/>
      <w:bookmarkStart w:id="47" w:name="_Toc26800"/>
      <w:r>
        <w:rPr>
          <w:rFonts w:hint="eastAsia" w:ascii="仿宋" w:hAnsi="仿宋" w:eastAsia="仿宋" w:cs="仿宋"/>
          <w:bCs/>
          <w:sz w:val="28"/>
          <w:szCs w:val="28"/>
        </w:rPr>
        <w:t>九、订立地点</w:t>
      </w:r>
      <w:bookmarkEnd w:id="44"/>
      <w:bookmarkEnd w:id="45"/>
      <w:bookmarkEnd w:id="46"/>
      <w:bookmarkEnd w:id="47"/>
    </w:p>
    <w:p w14:paraId="43BD2EC6">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本合同在订立。</w:t>
      </w:r>
    </w:p>
    <w:p w14:paraId="6B8FE9FA">
      <w:pPr>
        <w:pStyle w:val="115"/>
        <w:numPr>
          <w:ilvl w:val="0"/>
          <w:numId w:val="0"/>
        </w:numPr>
        <w:wordWrap/>
        <w:topLinePunct w:val="0"/>
        <w:spacing w:after="120"/>
        <w:outlineLvl w:val="1"/>
        <w:rPr>
          <w:rFonts w:ascii="仿宋" w:hAnsi="仿宋" w:eastAsia="仿宋" w:cs="仿宋"/>
          <w:b/>
          <w:bCs/>
          <w:sz w:val="28"/>
          <w:szCs w:val="28"/>
        </w:rPr>
      </w:pPr>
      <w:bookmarkStart w:id="48" w:name="_Toc54862174"/>
      <w:bookmarkStart w:id="49" w:name="_Toc2574"/>
      <w:bookmarkStart w:id="50" w:name="_Toc31550"/>
      <w:bookmarkStart w:id="51" w:name="_Toc25656"/>
      <w:r>
        <w:rPr>
          <w:rFonts w:hint="eastAsia" w:ascii="仿宋" w:hAnsi="仿宋" w:eastAsia="仿宋" w:cs="仿宋"/>
          <w:bCs/>
          <w:sz w:val="28"/>
          <w:szCs w:val="28"/>
        </w:rPr>
        <w:t>十、合同生效</w:t>
      </w:r>
      <w:bookmarkEnd w:id="48"/>
      <w:bookmarkEnd w:id="49"/>
      <w:bookmarkEnd w:id="50"/>
      <w:bookmarkEnd w:id="51"/>
    </w:p>
    <w:p w14:paraId="060C0A70">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本合同经双方签字或盖章后成立，并自生效。</w:t>
      </w:r>
    </w:p>
    <w:p w14:paraId="077CC2C5">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联合体牵头人和成员共同与发包人签订合同书，并就中标项目向发包人负有连带的法律责任；联合体的中标文件、发包人的招标文件、联合体与发包人签订的合同及补充协议对联合体各方均具有约束力。</w:t>
      </w:r>
    </w:p>
    <w:p w14:paraId="12F3BCF4">
      <w:pPr>
        <w:pStyle w:val="115"/>
        <w:numPr>
          <w:ilvl w:val="0"/>
          <w:numId w:val="0"/>
        </w:numPr>
        <w:wordWrap/>
        <w:topLinePunct w:val="0"/>
        <w:spacing w:after="120"/>
        <w:outlineLvl w:val="1"/>
        <w:rPr>
          <w:rFonts w:ascii="仿宋" w:hAnsi="仿宋" w:eastAsia="仿宋" w:cs="仿宋"/>
          <w:b/>
          <w:bCs/>
          <w:sz w:val="28"/>
          <w:szCs w:val="28"/>
        </w:rPr>
      </w:pPr>
      <w:bookmarkStart w:id="52" w:name="_Toc26031"/>
      <w:bookmarkStart w:id="53" w:name="_Toc5278"/>
      <w:bookmarkStart w:id="54" w:name="_Toc54862175"/>
      <w:bookmarkStart w:id="55" w:name="_Toc18730"/>
      <w:r>
        <w:rPr>
          <w:rFonts w:hint="eastAsia" w:ascii="仿宋" w:hAnsi="仿宋" w:eastAsia="仿宋" w:cs="仿宋"/>
          <w:bCs/>
          <w:sz w:val="28"/>
          <w:szCs w:val="28"/>
        </w:rPr>
        <w:t>十一、合同份数</w:t>
      </w:r>
      <w:bookmarkEnd w:id="52"/>
      <w:bookmarkEnd w:id="53"/>
      <w:bookmarkEnd w:id="54"/>
      <w:bookmarkEnd w:id="55"/>
    </w:p>
    <w:p w14:paraId="29207923">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本合同一式份。其中正本</w:t>
      </w:r>
      <w:r>
        <w:rPr>
          <w:rFonts w:hint="eastAsia" w:ascii="仿宋_GB2312" w:eastAsia="仿宋_GB2312"/>
          <w:sz w:val="28"/>
          <w:szCs w:val="28"/>
        </w:rPr>
        <w:t xml:space="preserve"> 陆 </w:t>
      </w:r>
      <w:r>
        <w:rPr>
          <w:rFonts w:hint="eastAsia" w:ascii="仿宋" w:hAnsi="仿宋" w:eastAsia="仿宋" w:cs="仿宋"/>
          <w:sz w:val="28"/>
          <w:szCs w:val="28"/>
        </w:rPr>
        <w:t>份，发承包双方各执</w:t>
      </w:r>
      <w:r>
        <w:rPr>
          <w:rFonts w:hint="eastAsia" w:ascii="仿宋_GB2312" w:eastAsia="仿宋_GB2312"/>
          <w:sz w:val="28"/>
          <w:szCs w:val="28"/>
        </w:rPr>
        <w:t xml:space="preserve"> 叁 </w:t>
      </w:r>
      <w:r>
        <w:rPr>
          <w:rFonts w:hint="eastAsia" w:ascii="仿宋" w:hAnsi="仿宋" w:eastAsia="仿宋" w:cs="仿宋"/>
          <w:sz w:val="28"/>
          <w:szCs w:val="28"/>
        </w:rPr>
        <w:t>份，副本</w:t>
      </w:r>
      <w:r>
        <w:rPr>
          <w:rFonts w:hint="eastAsia" w:ascii="仿宋_GB2312" w:eastAsia="仿宋_GB2312"/>
          <w:sz w:val="28"/>
          <w:szCs w:val="28"/>
        </w:rPr>
        <w:t xml:space="preserve">壹拾陆 </w:t>
      </w:r>
      <w:r>
        <w:rPr>
          <w:rFonts w:hint="eastAsia" w:ascii="仿宋" w:hAnsi="仿宋" w:eastAsia="仿宋" w:cs="仿宋"/>
          <w:sz w:val="28"/>
          <w:szCs w:val="28"/>
        </w:rPr>
        <w:t>份，发包人执</w:t>
      </w:r>
      <w:r>
        <w:rPr>
          <w:rFonts w:hint="eastAsia" w:ascii="仿宋_GB2312" w:eastAsia="仿宋_GB2312"/>
          <w:sz w:val="28"/>
          <w:szCs w:val="28"/>
        </w:rPr>
        <w:t xml:space="preserve"> 捌 </w:t>
      </w:r>
      <w:r>
        <w:rPr>
          <w:rFonts w:hint="eastAsia" w:ascii="仿宋" w:hAnsi="仿宋" w:eastAsia="仿宋" w:cs="仿宋"/>
          <w:sz w:val="28"/>
          <w:szCs w:val="28"/>
        </w:rPr>
        <w:t>份，承包人执</w:t>
      </w:r>
      <w:r>
        <w:rPr>
          <w:rFonts w:hint="eastAsia" w:ascii="仿宋_GB2312" w:eastAsia="仿宋_GB2312"/>
          <w:sz w:val="28"/>
          <w:szCs w:val="28"/>
        </w:rPr>
        <w:t xml:space="preserve"> 捌 </w:t>
      </w:r>
      <w:r>
        <w:rPr>
          <w:rFonts w:hint="eastAsia" w:ascii="仿宋" w:hAnsi="仿宋" w:eastAsia="仿宋" w:cs="仿宋"/>
          <w:sz w:val="28"/>
          <w:szCs w:val="28"/>
        </w:rPr>
        <w:t>份，均具有同等法律效力。</w:t>
      </w:r>
    </w:p>
    <w:p w14:paraId="43461792">
      <w:pPr>
        <w:pStyle w:val="115"/>
        <w:numPr>
          <w:ilvl w:val="0"/>
          <w:numId w:val="0"/>
        </w:numPr>
        <w:wordWrap/>
        <w:topLinePunct w:val="0"/>
        <w:spacing w:after="120"/>
        <w:outlineLvl w:val="1"/>
        <w:rPr>
          <w:rFonts w:ascii="仿宋" w:hAnsi="仿宋" w:eastAsia="仿宋" w:cs="仿宋"/>
          <w:b/>
          <w:bCs/>
          <w:sz w:val="28"/>
          <w:szCs w:val="28"/>
        </w:rPr>
      </w:pPr>
      <w:bookmarkStart w:id="56" w:name="_Toc9533"/>
      <w:bookmarkStart w:id="57" w:name="_Toc20889"/>
      <w:bookmarkStart w:id="58" w:name="_Toc30990"/>
      <w:r>
        <w:rPr>
          <w:rFonts w:hint="eastAsia" w:ascii="仿宋" w:hAnsi="仿宋" w:eastAsia="仿宋" w:cs="仿宋"/>
          <w:bCs/>
          <w:sz w:val="28"/>
          <w:szCs w:val="28"/>
        </w:rPr>
        <w:t>十二、其他</w:t>
      </w:r>
      <w:bookmarkEnd w:id="56"/>
      <w:bookmarkEnd w:id="57"/>
      <w:bookmarkEnd w:id="58"/>
    </w:p>
    <w:p w14:paraId="79BCEB69">
      <w:pPr>
        <w:wordWrap/>
        <w:topLinePunct w:val="0"/>
        <w:spacing w:after="120"/>
        <w:ind w:firstLine="560"/>
        <w:rPr>
          <w:rFonts w:ascii="仿宋" w:hAnsi="仿宋" w:eastAsia="仿宋" w:cs="仿宋"/>
          <w:sz w:val="28"/>
          <w:szCs w:val="28"/>
        </w:rPr>
      </w:pPr>
      <w:r>
        <w:rPr>
          <w:rFonts w:hint="eastAsia" w:ascii="仿宋" w:hAnsi="仿宋" w:eastAsia="仿宋" w:cs="仿宋"/>
          <w:sz w:val="28"/>
          <w:szCs w:val="28"/>
        </w:rPr>
        <w:t>1、本项目如为联合体中标，则合同各项费用由牵头人向甲方发起申请，设计费由承包人“ ”收取，施工费（即建筑安装工程费）由承包人“ ”收取，并分别向发包人出具合法的发票。</w:t>
      </w:r>
    </w:p>
    <w:p w14:paraId="7A9BDCDC">
      <w:pPr>
        <w:spacing w:after="120"/>
        <w:ind w:firstLine="560"/>
        <w:rPr>
          <w:rFonts w:ascii="仿宋" w:hAnsi="仿宋" w:eastAsia="仿宋" w:cs="仿宋"/>
          <w:sz w:val="28"/>
          <w:szCs w:val="28"/>
        </w:rPr>
      </w:pPr>
      <w:r>
        <w:rPr>
          <w:rFonts w:hint="eastAsia" w:ascii="仿宋" w:hAnsi="仿宋" w:eastAsia="仿宋" w:cs="仿宋"/>
          <w:sz w:val="28"/>
          <w:szCs w:val="28"/>
        </w:rPr>
        <w:t>2.本合同签订后，承包人应选择发包人授权认可的资金监管银行（国库集中支付业务代理银行）开设工程款资金监管账户，发包人、承包人、资金监管银行三方共同签订《广东省代建项目管理局项目建设资金监督管理协议》，具体按照《省代建局直接代建项目工程款资金监督管理办法》（附件）执行。国库集中支付业务代理银行名单见附件，该名单随省财政厅要求同步更新。</w:t>
      </w:r>
    </w:p>
    <w:p w14:paraId="28371E2E">
      <w:pPr>
        <w:spacing w:after="120"/>
        <w:ind w:firstLine="560"/>
        <w:rPr>
          <w:rFonts w:ascii="仿宋" w:hAnsi="仿宋" w:eastAsia="仿宋" w:cs="仿宋"/>
          <w:sz w:val="28"/>
          <w:szCs w:val="28"/>
          <w:u w:val="single"/>
        </w:rPr>
      </w:pPr>
      <w:r>
        <w:rPr>
          <w:rFonts w:hint="eastAsia" w:ascii="仿宋" w:hAnsi="仿宋" w:eastAsia="仿宋" w:cs="仿宋"/>
          <w:sz w:val="28"/>
          <w:szCs w:val="28"/>
          <w:u w:val="single"/>
        </w:rPr>
        <w:t>3.承包人施工现场配备需满足省代建局智慧工地设备技术要求，工地数据必须接入省代建局智慧工地指挥系统，做好智慧工地指挥中心的数据对接和维护，投标人在投标报价下浮时综合考虑每年的数据对接和维护费用，由此产生的所有费用均已包含在合同价内，不另行计取每年的数据对接和维护费用，项目结算时不再单独列项计价。</w:t>
      </w:r>
    </w:p>
    <w:p w14:paraId="2B64EE11">
      <w:pPr>
        <w:pStyle w:val="26"/>
        <w:spacing w:after="120"/>
        <w:ind w:firstLine="560"/>
        <w:rPr>
          <w:rFonts w:ascii="仿宋" w:hAnsi="仿宋" w:eastAsia="仿宋" w:cs="仿宋"/>
          <w:kern w:val="0"/>
          <w:sz w:val="28"/>
          <w:szCs w:val="28"/>
        </w:rPr>
      </w:pPr>
      <w:r>
        <w:rPr>
          <w:rFonts w:hint="eastAsia" w:ascii="仿宋" w:hAnsi="仿宋" w:eastAsia="仿宋" w:cs="仿宋"/>
          <w:kern w:val="0"/>
          <w:sz w:val="28"/>
          <w:szCs w:val="28"/>
        </w:rPr>
        <w:t>4、本合同所列需要遵守的国家、省、市法规如有更新，则承包人应按照法规最新版本执行，并遵守国家、省、市颁发的其他相关规章制度。</w:t>
      </w:r>
    </w:p>
    <w:p w14:paraId="79AA23D7">
      <w:pPr>
        <w:wordWrap/>
        <w:topLinePunct w:val="0"/>
        <w:spacing w:after="120"/>
        <w:ind w:firstLine="560"/>
      </w:pPr>
      <w:r>
        <w:rPr>
          <w:rFonts w:hint="eastAsia" w:ascii="仿宋" w:hAnsi="仿宋" w:eastAsia="仿宋" w:cs="仿宋"/>
          <w:sz w:val="28"/>
          <w:szCs w:val="28"/>
        </w:rPr>
        <w:t>5、合同未尽事宜，双方另行签订补充协议。补充协议是合同的组成部分。</w:t>
      </w:r>
    </w:p>
    <w:tbl>
      <w:tblPr>
        <w:tblStyle w:val="55"/>
        <w:tblpPr w:leftFromText="180" w:rightFromText="180" w:vertAnchor="text" w:horzAnchor="page" w:tblpX="1702" w:tblpY="119"/>
        <w:tblW w:w="9072" w:type="dxa"/>
        <w:tblInd w:w="0" w:type="dxa"/>
        <w:tblLayout w:type="fixed"/>
        <w:tblCellMar>
          <w:top w:w="0" w:type="dxa"/>
          <w:left w:w="108" w:type="dxa"/>
          <w:bottom w:w="0" w:type="dxa"/>
          <w:right w:w="108" w:type="dxa"/>
        </w:tblCellMar>
      </w:tblPr>
      <w:tblGrid>
        <w:gridCol w:w="4507"/>
        <w:gridCol w:w="4565"/>
      </w:tblGrid>
      <w:tr w14:paraId="39CE7FE9">
        <w:tc>
          <w:tcPr>
            <w:tcW w:w="4507" w:type="dxa"/>
            <w:shd w:val="clear" w:color="auto" w:fill="auto"/>
          </w:tcPr>
          <w:p w14:paraId="60A73385">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发包人：（公章）</w:t>
            </w:r>
          </w:p>
        </w:tc>
        <w:tc>
          <w:tcPr>
            <w:tcW w:w="4565" w:type="dxa"/>
            <w:shd w:val="clear" w:color="auto" w:fill="auto"/>
          </w:tcPr>
          <w:p w14:paraId="61A1A17D">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承包人：（公章）</w:t>
            </w:r>
          </w:p>
          <w:p w14:paraId="7C21F0AD">
            <w:pPr>
              <w:spacing w:after="120"/>
            </w:pPr>
          </w:p>
        </w:tc>
      </w:tr>
      <w:tr w14:paraId="0EAA2B06">
        <w:tblPrEx>
          <w:tblCellMar>
            <w:top w:w="0" w:type="dxa"/>
            <w:left w:w="108" w:type="dxa"/>
            <w:bottom w:w="0" w:type="dxa"/>
            <w:right w:w="108" w:type="dxa"/>
          </w:tblCellMar>
        </w:tblPrEx>
        <w:tc>
          <w:tcPr>
            <w:tcW w:w="4507" w:type="dxa"/>
            <w:shd w:val="clear" w:color="auto" w:fill="auto"/>
          </w:tcPr>
          <w:p w14:paraId="51CB7430">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法定代表人或其委托代理人：</w:t>
            </w:r>
          </w:p>
          <w:p w14:paraId="41FB9034">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（签字）</w:t>
            </w:r>
          </w:p>
        </w:tc>
        <w:tc>
          <w:tcPr>
            <w:tcW w:w="4565" w:type="dxa"/>
            <w:shd w:val="clear" w:color="auto" w:fill="auto"/>
          </w:tcPr>
          <w:p w14:paraId="338B68A3">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法定代表人或其委托代理人：</w:t>
            </w:r>
          </w:p>
          <w:p w14:paraId="304EFBA9">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（签字）</w:t>
            </w:r>
          </w:p>
          <w:p w14:paraId="42305A3E">
            <w:pPr>
              <w:pStyle w:val="119"/>
              <w:numPr>
                <w:ilvl w:val="0"/>
                <w:numId w:val="0"/>
              </w:numPr>
              <w:spacing w:after="120"/>
              <w:rPr>
                <w:rFonts w:ascii="仿宋" w:hAnsi="仿宋" w:eastAsia="仿宋" w:cs="仿宋"/>
                <w:sz w:val="28"/>
                <w:szCs w:val="28"/>
              </w:rPr>
            </w:pPr>
          </w:p>
        </w:tc>
      </w:tr>
      <w:tr w14:paraId="3B6E9200">
        <w:tblPrEx>
          <w:tblCellMar>
            <w:top w:w="0" w:type="dxa"/>
            <w:left w:w="108" w:type="dxa"/>
            <w:bottom w:w="0" w:type="dxa"/>
            <w:right w:w="108" w:type="dxa"/>
          </w:tblCellMar>
        </w:tblPrEx>
        <w:tc>
          <w:tcPr>
            <w:tcW w:w="4507" w:type="dxa"/>
            <w:shd w:val="clear" w:color="auto" w:fill="auto"/>
          </w:tcPr>
          <w:p w14:paraId="6823472F">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统一社会信用代码：</w:t>
            </w:r>
          </w:p>
          <w:p w14:paraId="6798769F">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地址：</w:t>
            </w:r>
          </w:p>
          <w:p w14:paraId="251A6080">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邮政编码：</w:t>
            </w:r>
          </w:p>
          <w:p w14:paraId="2F90F7BB">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法定代表人：</w:t>
            </w:r>
          </w:p>
          <w:p w14:paraId="194E3CB3">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委托代理人：</w:t>
            </w:r>
          </w:p>
          <w:p w14:paraId="1396AB01">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电话：</w:t>
            </w:r>
          </w:p>
          <w:p w14:paraId="047D285D">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传真：</w:t>
            </w:r>
          </w:p>
          <w:p w14:paraId="191388FF">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电子信箱：</w:t>
            </w:r>
          </w:p>
          <w:p w14:paraId="6551C7AF">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开户银行：</w:t>
            </w:r>
          </w:p>
          <w:p w14:paraId="5E8B71B4">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账号：</w:t>
            </w:r>
          </w:p>
        </w:tc>
        <w:tc>
          <w:tcPr>
            <w:tcW w:w="4565" w:type="dxa"/>
            <w:shd w:val="clear" w:color="auto" w:fill="auto"/>
          </w:tcPr>
          <w:p w14:paraId="2CFE9513">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统一社会信用代码：</w:t>
            </w:r>
          </w:p>
          <w:p w14:paraId="7DFFA9A8">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地址：</w:t>
            </w:r>
          </w:p>
          <w:p w14:paraId="5BEBF976">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邮政编码：</w:t>
            </w:r>
          </w:p>
          <w:p w14:paraId="513BF8BB">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法定代表人：</w:t>
            </w:r>
          </w:p>
          <w:p w14:paraId="1AF72DDC">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委托代理人：</w:t>
            </w:r>
          </w:p>
          <w:p w14:paraId="2B963200">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电话：</w:t>
            </w:r>
          </w:p>
          <w:p w14:paraId="2686BC2C">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传真：</w:t>
            </w:r>
          </w:p>
          <w:p w14:paraId="2FCBC22A">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电子信箱：</w:t>
            </w:r>
          </w:p>
          <w:p w14:paraId="23E5DD12">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开户银行：</w:t>
            </w:r>
          </w:p>
          <w:p w14:paraId="4367EF71">
            <w:pPr>
              <w:pStyle w:val="119"/>
              <w:numPr>
                <w:ilvl w:val="0"/>
                <w:numId w:val="0"/>
              </w:numPr>
              <w:spacing w:after="120"/>
              <w:ind w:left="425"/>
              <w:rPr>
                <w:rFonts w:ascii="仿宋" w:hAnsi="仿宋" w:eastAsia="仿宋" w:cs="仿宋"/>
                <w:sz w:val="28"/>
                <w:szCs w:val="28"/>
              </w:rPr>
            </w:pPr>
            <w:r>
              <w:rPr>
                <w:rFonts w:hint="eastAsia" w:ascii="仿宋" w:hAnsi="仿宋" w:eastAsia="仿宋" w:cs="仿宋"/>
                <w:sz w:val="28"/>
                <w:szCs w:val="28"/>
              </w:rPr>
              <w:t>账号：</w:t>
            </w:r>
          </w:p>
        </w:tc>
      </w:tr>
    </w:tbl>
    <w:p w14:paraId="52187D37">
      <w:pPr>
        <w:wordWrap/>
        <w:topLinePunct w:val="0"/>
        <w:spacing w:after="120"/>
        <w:rPr>
          <w:rFonts w:ascii="仿宋" w:hAnsi="仿宋" w:eastAsia="仿宋" w:cs="仿宋"/>
          <w:szCs w:val="24"/>
        </w:rPr>
        <w:sectPr>
          <w:footerReference r:id="rId14" w:type="default"/>
          <w:type w:val="continuous"/>
          <w:pgSz w:w="11906" w:h="16838"/>
          <w:pgMar w:top="1440" w:right="1800" w:bottom="1440" w:left="1800" w:header="720" w:footer="850" w:gutter="0"/>
          <w:pgNumType w:start="1"/>
          <w:cols w:space="720" w:num="1"/>
          <w:docGrid w:linePitch="326" w:charSpace="0"/>
        </w:sectPr>
      </w:pPr>
    </w:p>
    <w:p w14:paraId="32EFECC6">
      <w:pPr>
        <w:pStyle w:val="109"/>
        <w:snapToGrid w:val="0"/>
        <w:spacing w:after="120" w:line="360" w:lineRule="auto"/>
        <w:ind w:firstLine="881"/>
        <w:outlineLvl w:val="0"/>
        <w:rPr>
          <w:rFonts w:ascii="仿宋" w:hAnsi="仿宋" w:eastAsia="仿宋" w:cs="仿宋"/>
          <w:sz w:val="44"/>
          <w:szCs w:val="52"/>
        </w:rPr>
      </w:pPr>
      <w:bookmarkStart w:id="59" w:name="_Toc20712"/>
      <w:bookmarkStart w:id="60" w:name="_Toc22679"/>
      <w:bookmarkStart w:id="61" w:name="_Toc54862176"/>
      <w:bookmarkStart w:id="62" w:name="_Toc23520"/>
      <w:r>
        <w:rPr>
          <w:rFonts w:hint="eastAsia" w:ascii="仿宋" w:hAnsi="仿宋" w:eastAsia="仿宋" w:cs="仿宋"/>
          <w:sz w:val="44"/>
          <w:szCs w:val="52"/>
        </w:rPr>
        <w:t>第二部分 通用合同条件</w:t>
      </w:r>
      <w:bookmarkEnd w:id="59"/>
      <w:bookmarkEnd w:id="60"/>
      <w:bookmarkEnd w:id="61"/>
      <w:bookmarkEnd w:id="62"/>
    </w:p>
    <w:p w14:paraId="049A6E45">
      <w:pPr>
        <w:wordWrap/>
        <w:topLinePunct w:val="0"/>
        <w:spacing w:after="120"/>
        <w:ind w:firstLine="0" w:firstLineChars="0"/>
        <w:jc w:val="left"/>
        <w:rPr>
          <w:rFonts w:ascii="仿宋" w:hAnsi="仿宋" w:eastAsia="仿宋" w:cs="仿宋"/>
          <w:b/>
          <w:bCs/>
          <w:sz w:val="32"/>
          <w:szCs w:val="32"/>
        </w:rPr>
      </w:pPr>
      <w:bookmarkStart w:id="63" w:name="_Toc31645"/>
      <w:bookmarkStart w:id="64" w:name="_Toc28043"/>
      <w:bookmarkStart w:id="65" w:name="_Toc54862177"/>
      <w:bookmarkStart w:id="66" w:name="_Toc28371"/>
      <w:bookmarkStart w:id="67" w:name="_Ref508893699"/>
      <w:bookmarkStart w:id="68" w:name="_Ref509040831"/>
      <w:bookmarkStart w:id="69" w:name="_Ref509040826"/>
      <w:r>
        <w:rPr>
          <w:rFonts w:hint="eastAsia" w:ascii="仿宋" w:hAnsi="仿宋" w:eastAsia="仿宋" w:cs="仿宋"/>
          <w:bCs/>
          <w:sz w:val="32"/>
          <w:szCs w:val="32"/>
        </w:rPr>
        <w:t>第1条 一般</w:t>
      </w:r>
      <w:bookmarkEnd w:id="63"/>
      <w:bookmarkEnd w:id="64"/>
      <w:bookmarkEnd w:id="65"/>
      <w:bookmarkEnd w:id="66"/>
      <w:bookmarkEnd w:id="67"/>
      <w:r>
        <w:rPr>
          <w:rFonts w:hint="eastAsia" w:ascii="仿宋" w:hAnsi="仿宋" w:eastAsia="仿宋" w:cs="仿宋"/>
          <w:bCs/>
          <w:sz w:val="32"/>
          <w:szCs w:val="32"/>
        </w:rPr>
        <w:t>约定</w:t>
      </w:r>
    </w:p>
    <w:p w14:paraId="7F625229">
      <w:pPr>
        <w:pStyle w:val="127"/>
        <w:numPr>
          <w:ilvl w:val="2"/>
          <w:numId w:val="0"/>
        </w:numPr>
        <w:tabs>
          <w:tab w:val="clear" w:pos="1928"/>
        </w:tabs>
        <w:spacing w:after="120"/>
        <w:ind w:firstLine="600" w:firstLineChars="200"/>
        <w:rPr>
          <w:rFonts w:ascii="仿宋" w:hAnsi="仿宋" w:eastAsia="仿宋" w:cs="仿宋"/>
          <w:b/>
          <w:bCs/>
          <w:sz w:val="30"/>
          <w:szCs w:val="30"/>
        </w:rPr>
      </w:pPr>
      <w:bookmarkStart w:id="70" w:name="_Toc54862178"/>
      <w:bookmarkStart w:id="71" w:name="_Ref523741474"/>
      <w:bookmarkStart w:id="72" w:name="_Ref523741471"/>
      <w:r>
        <w:rPr>
          <w:rFonts w:hint="eastAsia" w:ascii="仿宋" w:hAnsi="仿宋" w:eastAsia="仿宋" w:cs="仿宋"/>
          <w:bCs/>
          <w:sz w:val="30"/>
          <w:szCs w:val="30"/>
        </w:rPr>
        <w:t>1.1 词语定义和解释</w:t>
      </w:r>
      <w:bookmarkEnd w:id="68"/>
      <w:bookmarkEnd w:id="69"/>
      <w:bookmarkEnd w:id="70"/>
      <w:bookmarkEnd w:id="71"/>
      <w:bookmarkEnd w:id="72"/>
    </w:p>
    <w:p w14:paraId="359852DD">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合同协议书、通用合同条件、专用合同条件中的下列词语应具有本款所赋予的含义：</w:t>
      </w:r>
    </w:p>
    <w:p w14:paraId="4C89BA32">
      <w:pPr>
        <w:spacing w:after="120"/>
        <w:ind w:firstLine="600"/>
        <w:rPr>
          <w:rFonts w:ascii="仿宋" w:hAnsi="仿宋" w:eastAsia="仿宋" w:cs="仿宋"/>
          <w:sz w:val="30"/>
          <w:szCs w:val="30"/>
        </w:rPr>
      </w:pPr>
      <w:bookmarkStart w:id="73" w:name="_Ref4757289"/>
      <w:bookmarkStart w:id="74" w:name="_Ref521288340"/>
      <w:r>
        <w:rPr>
          <w:rFonts w:hint="eastAsia" w:ascii="仿宋" w:hAnsi="仿宋" w:eastAsia="仿宋" w:cs="仿宋"/>
          <w:sz w:val="30"/>
          <w:szCs w:val="30"/>
        </w:rPr>
        <w:t>1.1.1 合同</w:t>
      </w:r>
      <w:bookmarkEnd w:id="73"/>
    </w:p>
    <w:p w14:paraId="4C801AF9">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.1.1.1 </w:t>
      </w:r>
      <w:r>
        <w:rPr>
          <w:rFonts w:hint="eastAsia" w:ascii="仿宋_GB2312" w:eastAsia="仿宋_GB2312"/>
          <w:sz w:val="30"/>
          <w:szCs w:val="30"/>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6E912BD5">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.1.1.2 </w:t>
      </w:r>
      <w:r>
        <w:rPr>
          <w:rFonts w:hint="eastAsia" w:ascii="仿宋_GB2312" w:eastAsia="仿宋_GB2312"/>
          <w:sz w:val="30"/>
          <w:szCs w:val="30"/>
        </w:rPr>
        <w:t>合同协议书：是指构成合同的由发包人和承包人共同签署的称为“合同协议书”的书面文件。</w:t>
      </w:r>
    </w:p>
    <w:p w14:paraId="318A0383">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.1.1.3 </w:t>
      </w:r>
      <w:r>
        <w:rPr>
          <w:rFonts w:hint="eastAsia" w:ascii="仿宋_GB2312" w:eastAsia="仿宋_GB2312"/>
          <w:sz w:val="30"/>
          <w:szCs w:val="30"/>
        </w:rPr>
        <w:t>中标通知书：是指构成合同的由发包人通知承包人中标的书面文件。中标通知书随附的澄清、说明、补正事项纪要等，是中标通知书的组成部分。</w:t>
      </w:r>
    </w:p>
    <w:p w14:paraId="7296CDAE">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.1.1.4 </w:t>
      </w:r>
      <w:r>
        <w:rPr>
          <w:rFonts w:hint="eastAsia" w:ascii="仿宋_GB2312" w:eastAsia="仿宋_GB2312"/>
          <w:sz w:val="30"/>
          <w:szCs w:val="30"/>
        </w:rPr>
        <w:t>投标函：是指构成合同的由承包人填写并签署的用于投标的称为“投标函”的文件。</w:t>
      </w:r>
    </w:p>
    <w:p w14:paraId="1A561F82">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.1.1.5 </w:t>
      </w:r>
      <w:r>
        <w:rPr>
          <w:rFonts w:hint="eastAsia" w:ascii="仿宋_GB2312" w:eastAsia="仿宋_GB2312"/>
          <w:sz w:val="30"/>
          <w:szCs w:val="30"/>
        </w:rPr>
        <w:t>投标函附录：是指构成合同的附在投标函后的称为“投标函附录”的文件。</w:t>
      </w:r>
    </w:p>
    <w:p w14:paraId="52A8EECC">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.1.1.6 </w:t>
      </w:r>
      <w:r>
        <w:rPr>
          <w:rFonts w:hint="eastAsia" w:ascii="仿宋_GB2312" w:eastAsia="仿宋_GB2312"/>
          <w:sz w:val="30"/>
          <w:szCs w:val="30"/>
        </w:rPr>
        <w:t>《发包人要求》：指构成合同文件组成部分的名为《发包人要求》的文件，其中列明工程的目的、范围、设计与其他技术标准和要求，以及合同双方当事人约定对其所作的修改或补充。</w:t>
      </w:r>
    </w:p>
    <w:p w14:paraId="33A73A3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.1.1.7 </w:t>
      </w:r>
      <w:r>
        <w:rPr>
          <w:rFonts w:hint="eastAsia" w:ascii="仿宋_GB2312" w:eastAsia="仿宋_GB2312"/>
          <w:sz w:val="30"/>
          <w:szCs w:val="30"/>
        </w:rPr>
        <w:t>项目清单：是指发包人提供的载明工程总承包项目勘察费（如果有）、设计费、建筑安装工程费、设备购置费、暂估价、暂列金额和双方约定的其他费用的名称和相应数量等内容的项目明细。</w:t>
      </w:r>
    </w:p>
    <w:p w14:paraId="291AD15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.1.1.8 </w:t>
      </w:r>
      <w:r>
        <w:rPr>
          <w:rFonts w:hint="eastAsia" w:ascii="仿宋_GB2312" w:eastAsia="仿宋_GB2312"/>
          <w:sz w:val="30"/>
          <w:szCs w:val="30"/>
        </w:rPr>
        <w:t>价格清单：指构成合同文件组成部分的由承包人按发包人提供的项目清单规定的格式和要求填写并标明价格的清单。</w:t>
      </w:r>
    </w:p>
    <w:p w14:paraId="0E913472">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.1.1.9 </w:t>
      </w:r>
      <w:r>
        <w:rPr>
          <w:rFonts w:hint="eastAsia" w:ascii="仿宋_GB2312" w:eastAsia="仿宋_GB2312"/>
          <w:sz w:val="30"/>
          <w:szCs w:val="30"/>
        </w:rPr>
        <w:t>承包人建议书：指构成合同文件组成部分的名为承包人建议书的文件。承包人建议书由承包人随投标函一起提交。</w:t>
      </w:r>
    </w:p>
    <w:p w14:paraId="67D26C84">
      <w:pPr>
        <w:spacing w:after="120"/>
        <w:ind w:firstLine="600"/>
        <w:rPr>
          <w:rFonts w:ascii="仿宋_GB2312" w:eastAsia="仿宋_GB2312"/>
          <w:sz w:val="30"/>
          <w:szCs w:val="30"/>
        </w:rPr>
      </w:pPr>
      <w:bookmarkStart w:id="75" w:name="_Ref4415300"/>
      <w:r>
        <w:rPr>
          <w:rFonts w:hint="eastAsia" w:ascii="仿宋_GB2312" w:eastAsia="仿宋_GB2312"/>
          <w:sz w:val="30"/>
          <w:szCs w:val="30"/>
        </w:rPr>
        <w:t>1</w:t>
      </w:r>
      <w:r>
        <w:rPr>
          <w:rFonts w:ascii="仿宋_GB2312" w:eastAsia="仿宋_GB2312"/>
          <w:sz w:val="30"/>
          <w:szCs w:val="30"/>
        </w:rPr>
        <w:t>.1.1.1</w:t>
      </w:r>
      <w:r>
        <w:rPr>
          <w:rFonts w:hint="eastAsia" w:ascii="仿宋_GB2312" w:eastAsia="仿宋_GB2312"/>
          <w:sz w:val="30"/>
          <w:szCs w:val="30"/>
        </w:rPr>
        <w:t>0其他合同文件：是指经合同当事人约定的与工程实施有关的具有合同约束力的文件或书面协议。合同当事人可以在专用合同条件中进行约定。</w:t>
      </w:r>
      <w:bookmarkEnd w:id="75"/>
    </w:p>
    <w:p w14:paraId="15BE2134">
      <w:pPr>
        <w:spacing w:after="120"/>
        <w:ind w:firstLine="600"/>
        <w:rPr>
          <w:rFonts w:ascii="仿宋_GB2312" w:eastAsia="仿宋_GB2312"/>
          <w:sz w:val="30"/>
          <w:szCs w:val="30"/>
        </w:rPr>
      </w:pPr>
      <w:bookmarkStart w:id="76" w:name="_Ref4757418"/>
      <w:r>
        <w:rPr>
          <w:rFonts w:hint="eastAsia" w:ascii="仿宋_GB2312" w:eastAsia="仿宋_GB2312"/>
          <w:sz w:val="30"/>
          <w:szCs w:val="30"/>
        </w:rPr>
        <w:t>1</w:t>
      </w:r>
      <w:r>
        <w:rPr>
          <w:rFonts w:ascii="仿宋_GB2312" w:eastAsia="仿宋_GB2312"/>
          <w:sz w:val="30"/>
          <w:szCs w:val="30"/>
        </w:rPr>
        <w:t xml:space="preserve">.1.2 </w:t>
      </w:r>
      <w:r>
        <w:rPr>
          <w:rFonts w:hint="eastAsia" w:ascii="仿宋_GB2312" w:eastAsia="仿宋_GB2312"/>
          <w:sz w:val="30"/>
          <w:szCs w:val="30"/>
        </w:rPr>
        <w:t>合同当事人及其他相关方</w:t>
      </w:r>
      <w:bookmarkEnd w:id="76"/>
    </w:p>
    <w:p w14:paraId="13CD12E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.1.2.1 </w:t>
      </w:r>
      <w:r>
        <w:rPr>
          <w:rFonts w:hint="eastAsia" w:ascii="仿宋_GB2312" w:eastAsia="仿宋_GB2312"/>
          <w:sz w:val="30"/>
          <w:szCs w:val="30"/>
        </w:rPr>
        <w:t>合同当事人：是指发包人和（或）承包人。</w:t>
      </w:r>
    </w:p>
    <w:p w14:paraId="155CAAF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.1.2.2 </w:t>
      </w:r>
      <w:r>
        <w:rPr>
          <w:rFonts w:hint="eastAsia" w:ascii="仿宋_GB2312" w:eastAsia="仿宋_GB2312"/>
          <w:sz w:val="30"/>
          <w:szCs w:val="30"/>
        </w:rPr>
        <w:t>发包人：是指与承包人订立合同协议书的当事人及取得该当事人资格的合法继受人。本合同中“因发包人原因”里的“发包人”包括发包人及所有发包人人员。</w:t>
      </w:r>
    </w:p>
    <w:p w14:paraId="78323556">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.1.2.3 </w:t>
      </w:r>
      <w:r>
        <w:rPr>
          <w:rFonts w:hint="eastAsia" w:ascii="仿宋_GB2312" w:eastAsia="仿宋_GB2312"/>
          <w:sz w:val="30"/>
          <w:szCs w:val="30"/>
        </w:rPr>
        <w:t>承包人：是指与发包人订立合同协议书的当事人及取得该当事人资格的合法继受人。</w:t>
      </w:r>
    </w:p>
    <w:p w14:paraId="743864E0">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.1.2.4 </w:t>
      </w:r>
      <w:r>
        <w:rPr>
          <w:rFonts w:hint="eastAsia" w:ascii="仿宋_GB2312" w:eastAsia="仿宋_GB2312"/>
          <w:sz w:val="30"/>
          <w:szCs w:val="30"/>
        </w:rPr>
        <w:t>联合体：是指经发包人同意由两个或两个以上法人或者其他组织组成的，作为承包人的临时机构。</w:t>
      </w:r>
    </w:p>
    <w:p w14:paraId="1382C27A">
      <w:pPr>
        <w:spacing w:after="120"/>
        <w:ind w:firstLine="600"/>
        <w:rPr>
          <w:rFonts w:ascii="仿宋_GB2312" w:eastAsia="仿宋_GB2312"/>
          <w:sz w:val="30"/>
          <w:szCs w:val="30"/>
        </w:rPr>
      </w:pPr>
      <w:bookmarkStart w:id="77" w:name="_Ref4420046"/>
      <w:r>
        <w:rPr>
          <w:rFonts w:hint="eastAsia" w:ascii="仿宋_GB2312" w:eastAsia="仿宋_GB2312"/>
          <w:sz w:val="30"/>
          <w:szCs w:val="30"/>
        </w:rPr>
        <w:t>1</w:t>
      </w:r>
      <w:r>
        <w:rPr>
          <w:rFonts w:ascii="仿宋_GB2312" w:eastAsia="仿宋_GB2312"/>
          <w:sz w:val="30"/>
          <w:szCs w:val="30"/>
        </w:rPr>
        <w:t xml:space="preserve">.1.2.5 </w:t>
      </w:r>
      <w:r>
        <w:rPr>
          <w:rFonts w:hint="eastAsia" w:ascii="仿宋_GB2312" w:eastAsia="仿宋_GB2312"/>
          <w:sz w:val="30"/>
          <w:szCs w:val="30"/>
        </w:rPr>
        <w:t>发包人代表：是指由发包人任命并派驻工作现场，在发包人授权范围内行使发包人权利和履行发包人义务的人。</w:t>
      </w:r>
    </w:p>
    <w:p w14:paraId="3283F99E">
      <w:pPr>
        <w:spacing w:after="120"/>
        <w:ind w:firstLine="600"/>
        <w:rPr>
          <w:rFonts w:ascii="仿宋_GB2312" w:eastAsia="仿宋_GB2312"/>
          <w:sz w:val="30"/>
          <w:szCs w:val="30"/>
        </w:rPr>
      </w:pPr>
      <w:bookmarkStart w:id="78" w:name="_Ref4756982"/>
      <w:r>
        <w:rPr>
          <w:rFonts w:hint="eastAsia" w:ascii="仿宋_GB2312" w:eastAsia="仿宋_GB2312"/>
          <w:sz w:val="30"/>
          <w:szCs w:val="30"/>
        </w:rPr>
        <w:t>1</w:t>
      </w:r>
      <w:r>
        <w:rPr>
          <w:rFonts w:ascii="仿宋_GB2312" w:eastAsia="仿宋_GB2312"/>
          <w:sz w:val="30"/>
          <w:szCs w:val="30"/>
        </w:rPr>
        <w:t xml:space="preserve">.1.2.6 </w:t>
      </w:r>
      <w:r>
        <w:rPr>
          <w:rFonts w:hint="eastAsia" w:ascii="仿宋_GB2312" w:eastAsia="仿宋_GB2312"/>
          <w:sz w:val="30"/>
          <w:szCs w:val="30"/>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77"/>
      <w:bookmarkEnd w:id="78"/>
    </w:p>
    <w:p w14:paraId="3AD34FF5">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.1.2.7 </w:t>
      </w:r>
      <w:r>
        <w:rPr>
          <w:rFonts w:hint="eastAsia" w:ascii="仿宋_GB2312" w:eastAsia="仿宋_GB2312"/>
          <w:sz w:val="30"/>
          <w:szCs w:val="30"/>
        </w:rPr>
        <w:t>工程总承包项目经理：是指由承包人任命的，在承包人授权范围内负责合同履行的管理，且按照法律规定具有相应资格的项目总负责人。</w:t>
      </w:r>
    </w:p>
    <w:p w14:paraId="4E317D0E">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.1.2.8 </w:t>
      </w:r>
      <w:r>
        <w:rPr>
          <w:rFonts w:hint="eastAsia" w:ascii="仿宋_GB2312" w:eastAsia="仿宋_GB2312"/>
          <w:sz w:val="30"/>
          <w:szCs w:val="30"/>
        </w:rPr>
        <w:t>设计负责人：是指承包人指定负责组织、指导、协调设计工作并具有相应资格的人员。</w:t>
      </w:r>
    </w:p>
    <w:p w14:paraId="131AADD6">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.1.2.9 </w:t>
      </w:r>
      <w:r>
        <w:rPr>
          <w:rFonts w:hint="eastAsia" w:ascii="仿宋_GB2312" w:eastAsia="仿宋_GB2312"/>
          <w:sz w:val="30"/>
          <w:szCs w:val="30"/>
        </w:rPr>
        <w:t>采购负责人：是指承包人指定负责组织、指导、协调采购工作的人员。</w:t>
      </w:r>
    </w:p>
    <w:p w14:paraId="7331119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.1.2.10 </w:t>
      </w:r>
      <w:r>
        <w:rPr>
          <w:rFonts w:hint="eastAsia" w:ascii="仿宋_GB2312" w:eastAsia="仿宋_GB2312"/>
          <w:sz w:val="30"/>
          <w:szCs w:val="30"/>
        </w:rPr>
        <w:t>施工负责人：是指承包人指定负责组织、指导、协调施工工作并具有相应资格的人员。</w:t>
      </w:r>
    </w:p>
    <w:p w14:paraId="7C67F8C8">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.1.2.11 </w:t>
      </w:r>
      <w:r>
        <w:rPr>
          <w:rFonts w:hint="eastAsia" w:ascii="仿宋_GB2312" w:eastAsia="仿宋_GB2312"/>
          <w:sz w:val="30"/>
          <w:szCs w:val="30"/>
        </w:rPr>
        <w:t>分包人：是指按照法律规定和合同约定，分包部分工程或工作，并与承包人订立分包合同的具有相应资质或资格的法人或其他组织。</w:t>
      </w:r>
    </w:p>
    <w:p w14:paraId="3318E30D">
      <w:pPr>
        <w:spacing w:after="120"/>
        <w:ind w:firstLine="600"/>
        <w:rPr>
          <w:rFonts w:ascii="仿宋_GB2312" w:eastAsia="仿宋_GB2312"/>
          <w:sz w:val="30"/>
          <w:szCs w:val="30"/>
        </w:rPr>
      </w:pPr>
      <w:bookmarkStart w:id="79" w:name="_Ref4758319"/>
      <w:r>
        <w:rPr>
          <w:rFonts w:hint="eastAsia" w:ascii="仿宋_GB2312" w:eastAsia="仿宋_GB2312"/>
          <w:sz w:val="30"/>
          <w:szCs w:val="30"/>
        </w:rPr>
        <w:t>1</w:t>
      </w:r>
      <w:r>
        <w:rPr>
          <w:rFonts w:ascii="仿宋_GB2312" w:eastAsia="仿宋_GB2312"/>
          <w:sz w:val="30"/>
          <w:szCs w:val="30"/>
        </w:rPr>
        <w:t xml:space="preserve">.1.3 </w:t>
      </w:r>
      <w:r>
        <w:rPr>
          <w:rFonts w:hint="eastAsia" w:ascii="仿宋_GB2312" w:eastAsia="仿宋_GB2312"/>
          <w:sz w:val="30"/>
          <w:szCs w:val="30"/>
        </w:rPr>
        <w:t>工程和设备</w:t>
      </w:r>
      <w:bookmarkEnd w:id="79"/>
    </w:p>
    <w:p w14:paraId="012DBDB3">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.1.3.1 </w:t>
      </w:r>
      <w:r>
        <w:rPr>
          <w:rFonts w:hint="eastAsia" w:ascii="仿宋_GB2312" w:eastAsia="仿宋_GB2312"/>
          <w:sz w:val="30"/>
          <w:szCs w:val="30"/>
        </w:rPr>
        <w:t>工程：是指与合同协议书中工程承包范围对应的永久工程和（或）临时工程。</w:t>
      </w:r>
    </w:p>
    <w:p w14:paraId="47A7FB0C">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.1.3.2 </w:t>
      </w:r>
      <w:r>
        <w:rPr>
          <w:rFonts w:hint="eastAsia" w:ascii="仿宋_GB2312" w:eastAsia="仿宋_GB2312"/>
          <w:sz w:val="30"/>
          <w:szCs w:val="30"/>
        </w:rPr>
        <w:t>工程实施：是指进行工程的设计、采购、施工和竣工以及对工程任何缺陷的修复。</w:t>
      </w:r>
    </w:p>
    <w:p w14:paraId="01767E84">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.1.3.3 </w:t>
      </w:r>
      <w:r>
        <w:rPr>
          <w:rFonts w:hint="eastAsia" w:ascii="仿宋_GB2312" w:eastAsia="仿宋_GB2312"/>
          <w:sz w:val="30"/>
          <w:szCs w:val="30"/>
        </w:rPr>
        <w:t>永久工程：是指按合同约定建造并移交给发包人的工程，包括工程设备。</w:t>
      </w:r>
    </w:p>
    <w:p w14:paraId="4955A41C">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.1.3.4 </w:t>
      </w:r>
      <w:r>
        <w:rPr>
          <w:rFonts w:hint="eastAsia" w:ascii="仿宋_GB2312" w:eastAsia="仿宋_GB2312"/>
          <w:sz w:val="30"/>
          <w:szCs w:val="30"/>
        </w:rPr>
        <w:t>临时工程：是指为完成合同约定的永久工程所修建的各类临时性工程，不包括施工设备。</w:t>
      </w:r>
    </w:p>
    <w:p w14:paraId="0EC9B67C">
      <w:pPr>
        <w:spacing w:after="120"/>
        <w:ind w:firstLine="600"/>
        <w:rPr>
          <w:rFonts w:ascii="仿宋_GB2312" w:eastAsia="仿宋_GB2312"/>
          <w:sz w:val="30"/>
          <w:szCs w:val="30"/>
        </w:rPr>
      </w:pPr>
      <w:bookmarkStart w:id="80" w:name="_Ref4419825"/>
      <w:r>
        <w:rPr>
          <w:rFonts w:hint="eastAsia" w:ascii="仿宋_GB2312" w:eastAsia="仿宋_GB2312"/>
          <w:sz w:val="30"/>
          <w:szCs w:val="30"/>
        </w:rPr>
        <w:t>1</w:t>
      </w:r>
      <w:r>
        <w:rPr>
          <w:rFonts w:ascii="仿宋_GB2312" w:eastAsia="仿宋_GB2312"/>
          <w:sz w:val="30"/>
          <w:szCs w:val="30"/>
        </w:rPr>
        <w:t xml:space="preserve">.1.3.5 </w:t>
      </w:r>
      <w:r>
        <w:rPr>
          <w:rFonts w:hint="eastAsia" w:ascii="仿宋_GB2312" w:eastAsia="仿宋_GB2312"/>
          <w:sz w:val="30"/>
          <w:szCs w:val="30"/>
        </w:rPr>
        <w:t>单位/区段工程：是指在专用合同条件中指明特定范围的，能单独接收并使用的永久工程。</w:t>
      </w:r>
      <w:bookmarkEnd w:id="80"/>
    </w:p>
    <w:p w14:paraId="4D5E622F">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.1.3.6 </w:t>
      </w:r>
      <w:r>
        <w:rPr>
          <w:rFonts w:hint="eastAsia" w:ascii="仿宋_GB2312" w:eastAsia="仿宋_GB2312"/>
          <w:sz w:val="30"/>
          <w:szCs w:val="30"/>
        </w:rPr>
        <w:t>工程设备：指构成永久工程的机电设备、仪器装置、运载工具及其他类似的设备和装置，包括其配件及备品、备件、易损易耗件等。</w:t>
      </w:r>
    </w:p>
    <w:p w14:paraId="430BA8B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.1.3.7 </w:t>
      </w:r>
      <w:r>
        <w:rPr>
          <w:rFonts w:hint="eastAsia" w:ascii="仿宋_GB2312" w:eastAsia="仿宋_GB2312"/>
          <w:sz w:val="30"/>
          <w:szCs w:val="30"/>
        </w:rPr>
        <w:t>施工设备：指为完成合同约定的各项工作所需的设备、器具和其他物品，不包括工程设备、临时工程和材料。</w:t>
      </w:r>
    </w:p>
    <w:p w14:paraId="0980E15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.1.3.8 </w:t>
      </w:r>
      <w:r>
        <w:rPr>
          <w:rFonts w:hint="eastAsia" w:ascii="仿宋_GB2312" w:eastAsia="仿宋_GB2312"/>
          <w:sz w:val="30"/>
          <w:szCs w:val="30"/>
        </w:rPr>
        <w:t>临时设施：指为完成合同约定的各项工作所服务的临时性生产和生活设施。</w:t>
      </w:r>
    </w:p>
    <w:p w14:paraId="311E6ACD">
      <w:pPr>
        <w:spacing w:after="120"/>
        <w:ind w:firstLine="600"/>
        <w:rPr>
          <w:rFonts w:ascii="仿宋_GB2312" w:eastAsia="仿宋_GB2312"/>
          <w:sz w:val="30"/>
          <w:szCs w:val="30"/>
        </w:rPr>
      </w:pPr>
      <w:bookmarkStart w:id="81" w:name="_Ref4420577"/>
      <w:r>
        <w:rPr>
          <w:rFonts w:hint="eastAsia" w:ascii="仿宋_GB2312" w:eastAsia="仿宋_GB2312"/>
          <w:sz w:val="30"/>
          <w:szCs w:val="30"/>
        </w:rPr>
        <w:t>1</w:t>
      </w:r>
      <w:r>
        <w:rPr>
          <w:rFonts w:ascii="仿宋_GB2312" w:eastAsia="仿宋_GB2312"/>
          <w:sz w:val="30"/>
          <w:szCs w:val="30"/>
        </w:rPr>
        <w:t xml:space="preserve">.1.3.9 </w:t>
      </w:r>
      <w:r>
        <w:rPr>
          <w:rFonts w:hint="eastAsia" w:ascii="仿宋_GB2312" w:eastAsia="仿宋_GB2312"/>
          <w:sz w:val="30"/>
          <w:szCs w:val="30"/>
        </w:rPr>
        <w:t>施工现场：是指用于工程施工的场所，以及在专用合同条件中指明作为施工场所组成部分的其他场所，包括永久占地和临时占地。</w:t>
      </w:r>
      <w:bookmarkEnd w:id="81"/>
    </w:p>
    <w:p w14:paraId="54261DB2">
      <w:pPr>
        <w:spacing w:after="120"/>
        <w:ind w:firstLine="600"/>
        <w:rPr>
          <w:rFonts w:ascii="仿宋_GB2312" w:eastAsia="仿宋_GB2312"/>
          <w:sz w:val="30"/>
          <w:szCs w:val="30"/>
        </w:rPr>
      </w:pPr>
      <w:bookmarkStart w:id="82" w:name="_Ref4420746"/>
      <w:r>
        <w:rPr>
          <w:rFonts w:hint="eastAsia" w:ascii="仿宋_GB2312" w:eastAsia="仿宋_GB2312"/>
          <w:sz w:val="30"/>
          <w:szCs w:val="30"/>
        </w:rPr>
        <w:t>1</w:t>
      </w:r>
      <w:r>
        <w:rPr>
          <w:rFonts w:ascii="仿宋_GB2312" w:eastAsia="仿宋_GB2312"/>
          <w:sz w:val="30"/>
          <w:szCs w:val="30"/>
        </w:rPr>
        <w:t xml:space="preserve">.1.3.10 </w:t>
      </w:r>
      <w:r>
        <w:rPr>
          <w:rFonts w:hint="eastAsia" w:ascii="仿宋_GB2312" w:eastAsia="仿宋_GB2312"/>
          <w:sz w:val="30"/>
          <w:szCs w:val="30"/>
        </w:rPr>
        <w:t>永久占地：是指专用合同条件中指明为实施工程需永久占用的土地。</w:t>
      </w:r>
      <w:bookmarkEnd w:id="82"/>
    </w:p>
    <w:p w14:paraId="527B3F8A">
      <w:pPr>
        <w:spacing w:after="120"/>
        <w:ind w:firstLine="600"/>
        <w:rPr>
          <w:rFonts w:ascii="仿宋_GB2312" w:eastAsia="仿宋_GB2312"/>
          <w:sz w:val="30"/>
          <w:szCs w:val="30"/>
        </w:rPr>
      </w:pPr>
      <w:bookmarkStart w:id="83" w:name="_Ref4420821"/>
      <w:r>
        <w:rPr>
          <w:rFonts w:hint="eastAsia" w:ascii="仿宋_GB2312" w:eastAsia="仿宋_GB2312"/>
          <w:sz w:val="30"/>
          <w:szCs w:val="30"/>
        </w:rPr>
        <w:t>1</w:t>
      </w:r>
      <w:r>
        <w:rPr>
          <w:rFonts w:ascii="仿宋_GB2312" w:eastAsia="仿宋_GB2312"/>
          <w:sz w:val="30"/>
          <w:szCs w:val="30"/>
        </w:rPr>
        <w:t xml:space="preserve">.1.3.11 </w:t>
      </w:r>
      <w:r>
        <w:rPr>
          <w:rFonts w:hint="eastAsia" w:ascii="仿宋_GB2312" w:eastAsia="仿宋_GB2312"/>
          <w:sz w:val="30"/>
          <w:szCs w:val="30"/>
        </w:rPr>
        <w:t>临时占地：是指专用合同条件中指明为实施工程需临时占用的土地。</w:t>
      </w:r>
      <w:bookmarkEnd w:id="83"/>
    </w:p>
    <w:p w14:paraId="4CD1D926">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 </w:t>
      </w:r>
      <w:r>
        <w:rPr>
          <w:rFonts w:hint="eastAsia" w:ascii="仿宋_GB2312" w:eastAsia="仿宋_GB2312"/>
          <w:sz w:val="30"/>
          <w:szCs w:val="30"/>
        </w:rPr>
        <w:t>日期和期限</w:t>
      </w:r>
    </w:p>
    <w:p w14:paraId="4E34B2E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.1.4.1 </w:t>
      </w:r>
      <w:r>
        <w:rPr>
          <w:rFonts w:hint="eastAsia" w:ascii="仿宋_GB2312" w:eastAsia="仿宋_GB2312"/>
          <w:sz w:val="30"/>
          <w:szCs w:val="30"/>
        </w:rPr>
        <w:t>开始工作通知：指工程师按第</w:t>
      </w:r>
      <w:r>
        <w:rPr>
          <w:rFonts w:ascii="仿宋_GB2312" w:eastAsia="仿宋_GB2312"/>
          <w:sz w:val="30"/>
          <w:szCs w:val="30"/>
        </w:rPr>
        <w:t>8.1.2</w:t>
      </w:r>
      <w:r>
        <w:rPr>
          <w:rFonts w:hint="eastAsia" w:ascii="仿宋_GB2312" w:eastAsia="仿宋_GB2312"/>
          <w:sz w:val="30"/>
          <w:szCs w:val="30"/>
        </w:rPr>
        <w:t>项[开始工作通知]的约定通知承包人开始工作的函件。</w:t>
      </w:r>
    </w:p>
    <w:p w14:paraId="7C3486A4">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.1.4.2 </w:t>
      </w:r>
      <w:r>
        <w:rPr>
          <w:rFonts w:hint="eastAsia" w:ascii="仿宋_GB2312" w:eastAsia="仿宋_GB2312"/>
          <w:sz w:val="30"/>
          <w:szCs w:val="30"/>
        </w:rPr>
        <w:t>开始工作日期：包括计划开始工作日期和实际开始工作日期。计划开始工作日期是指合同协议书约定的开始工作日期；实际开始工作日期是指工程师按照第</w:t>
      </w:r>
      <w:r>
        <w:rPr>
          <w:rFonts w:ascii="仿宋_GB2312" w:eastAsia="仿宋_GB2312"/>
          <w:sz w:val="30"/>
          <w:szCs w:val="30"/>
        </w:rPr>
        <w:t>8.1</w:t>
      </w:r>
      <w:r>
        <w:rPr>
          <w:rFonts w:hint="eastAsia" w:ascii="仿宋_GB2312" w:eastAsia="仿宋_GB2312"/>
          <w:sz w:val="30"/>
          <w:szCs w:val="30"/>
        </w:rPr>
        <w:t>款[开始工作]约定发出的符合法律规定的开始工作通知中载明的开始工作日期。</w:t>
      </w:r>
    </w:p>
    <w:p w14:paraId="4AF64BE4">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.1.4.3 </w:t>
      </w:r>
      <w:r>
        <w:rPr>
          <w:rFonts w:hint="eastAsia" w:ascii="仿宋_GB2312" w:eastAsia="仿宋_GB2312"/>
          <w:sz w:val="30"/>
          <w:szCs w:val="30"/>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2B1C3996">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.1.4.4 </w:t>
      </w:r>
      <w:r>
        <w:rPr>
          <w:rFonts w:hint="eastAsia" w:ascii="仿宋_GB2312" w:eastAsia="仿宋_GB2312"/>
          <w:sz w:val="30"/>
          <w:szCs w:val="30"/>
        </w:rPr>
        <w:t>竣工日期：包括计划竣工日期和实际竣工日期。计划竣工日期是指合同协议书约定的竣工日期；实际竣工日期按照第</w:t>
      </w:r>
      <w:r>
        <w:rPr>
          <w:rFonts w:ascii="仿宋_GB2312" w:eastAsia="仿宋_GB2312"/>
          <w:sz w:val="30"/>
          <w:szCs w:val="30"/>
        </w:rPr>
        <w:t>8.2</w:t>
      </w:r>
      <w:r>
        <w:rPr>
          <w:rFonts w:hint="eastAsia" w:ascii="仿宋_GB2312" w:eastAsia="仿宋_GB2312"/>
          <w:sz w:val="30"/>
          <w:szCs w:val="30"/>
        </w:rPr>
        <w:t>款[竣工日期]的约定确定。</w:t>
      </w:r>
    </w:p>
    <w:p w14:paraId="462B27BC">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.1.4.5 </w:t>
      </w:r>
      <w:r>
        <w:rPr>
          <w:rFonts w:hint="eastAsia" w:ascii="仿宋_GB2312" w:eastAsia="仿宋_GB2312"/>
          <w:sz w:val="30"/>
          <w:szCs w:val="30"/>
        </w:rPr>
        <w:t>工期：是指在合同协议书约定的承包人完成合同工作所需的期限，包括按照合同约定所作的期限变更及按合同约定承包人有权取得的工期延长。</w:t>
      </w:r>
    </w:p>
    <w:p w14:paraId="072AB76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.1.4.6 </w:t>
      </w:r>
      <w:r>
        <w:rPr>
          <w:rFonts w:hint="eastAsia" w:ascii="仿宋_GB2312" w:eastAsia="仿宋_GB2312"/>
          <w:sz w:val="30"/>
          <w:szCs w:val="30"/>
        </w:rPr>
        <w:t>缺陷责任期：是指发包人预留工程质量保证金以保证承包人履行第</w:t>
      </w:r>
      <w:r>
        <w:rPr>
          <w:rFonts w:ascii="仿宋_GB2312" w:eastAsia="仿宋_GB2312"/>
          <w:sz w:val="30"/>
          <w:szCs w:val="30"/>
        </w:rPr>
        <w:t>11.3</w:t>
      </w:r>
      <w:r>
        <w:rPr>
          <w:rFonts w:hint="eastAsia" w:ascii="仿宋_GB2312" w:eastAsia="仿宋_GB2312"/>
          <w:sz w:val="30"/>
          <w:szCs w:val="30"/>
        </w:rPr>
        <w:t>款[缺陷调查]</w:t>
      </w:r>
      <w:r>
        <w:rPr>
          <w:rFonts w:ascii="仿宋_GB2312" w:eastAsia="仿宋_GB2312"/>
          <w:sz w:val="30"/>
          <w:szCs w:val="30"/>
        </w:rPr>
        <w:t>下质量缺陷责任的期限</w:t>
      </w:r>
      <w:r>
        <w:rPr>
          <w:rFonts w:hint="eastAsia" w:ascii="仿宋_GB2312" w:eastAsia="仿宋_GB2312"/>
          <w:sz w:val="30"/>
          <w:szCs w:val="30"/>
        </w:rPr>
        <w:t>。</w:t>
      </w:r>
    </w:p>
    <w:p w14:paraId="1FA99DF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.1.4.7 </w:t>
      </w:r>
      <w:r>
        <w:rPr>
          <w:rFonts w:hint="eastAsia" w:ascii="仿宋_GB2312" w:eastAsia="仿宋_GB2312"/>
          <w:sz w:val="30"/>
          <w:szCs w:val="30"/>
        </w:rPr>
        <w:t>保修期：是指承包人按照合同约定和法律规定对工程质量承担保修责任的期限，该期限自缺陷责任期起算之日起计算。</w:t>
      </w:r>
    </w:p>
    <w:p w14:paraId="64CBBB16">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.1.4.8 </w:t>
      </w:r>
      <w:r>
        <w:rPr>
          <w:rFonts w:hint="eastAsia" w:ascii="仿宋_GB2312" w:eastAsia="仿宋_GB2312"/>
          <w:sz w:val="30"/>
          <w:szCs w:val="30"/>
        </w:rPr>
        <w:t>基准日期：招标发包的工程以投标截止日前28天的日期为基准日期，直接发包的工程以合同订立日前28天的日期为基准日期。</w:t>
      </w:r>
    </w:p>
    <w:p w14:paraId="556E5898">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.1.4.9 </w:t>
      </w:r>
      <w:r>
        <w:rPr>
          <w:rFonts w:hint="eastAsia" w:ascii="仿宋_GB2312" w:eastAsia="仿宋_GB2312"/>
          <w:sz w:val="30"/>
          <w:szCs w:val="30"/>
        </w:rPr>
        <w:t>天：除特别指明外，均指日历天。合同中按天计算时间的，开始当天不计入，从次日开始计算。期限最后一天的截止时间为当天24:00。</w:t>
      </w:r>
    </w:p>
    <w:p w14:paraId="37050A5B">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.1.4.10 </w:t>
      </w:r>
      <w:r>
        <w:rPr>
          <w:rFonts w:hint="eastAsia" w:ascii="仿宋_GB2312" w:eastAsia="仿宋_GB2312"/>
          <w:sz w:val="30"/>
          <w:szCs w:val="30"/>
        </w:rPr>
        <w:t>竣工试验：是指在工程竣工验收前，根据第</w:t>
      </w:r>
      <w:r>
        <w:rPr>
          <w:rFonts w:ascii="仿宋_GB2312" w:eastAsia="仿宋_GB2312"/>
          <w:sz w:val="30"/>
          <w:szCs w:val="30"/>
        </w:rPr>
        <w:t>9条</w:t>
      </w:r>
      <w:r>
        <w:rPr>
          <w:rFonts w:hint="eastAsia" w:ascii="仿宋_GB2312" w:eastAsia="仿宋_GB2312"/>
          <w:sz w:val="30"/>
          <w:szCs w:val="30"/>
        </w:rPr>
        <w:t>[竣工试验]要求进行的试验。</w:t>
      </w:r>
    </w:p>
    <w:p w14:paraId="2DCFCDCE">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.1.4.11 </w:t>
      </w:r>
      <w:r>
        <w:rPr>
          <w:rFonts w:hint="eastAsia" w:ascii="仿宋_GB2312" w:eastAsia="仿宋_GB2312"/>
          <w:sz w:val="30"/>
          <w:szCs w:val="30"/>
        </w:rPr>
        <w:t>竣工验收：是指承包人完成了合同约定的各项内容后，发包人按合同要求进行的验收。</w:t>
      </w:r>
    </w:p>
    <w:p w14:paraId="58677FF0">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.1.4.12 </w:t>
      </w:r>
      <w:r>
        <w:rPr>
          <w:rFonts w:hint="eastAsia" w:ascii="仿宋_GB2312" w:eastAsia="仿宋_GB2312"/>
          <w:sz w:val="30"/>
          <w:szCs w:val="30"/>
        </w:rPr>
        <w:t>竣工后试验：是指在工程竣工验收后，根据第</w:t>
      </w:r>
      <w:r>
        <w:rPr>
          <w:rFonts w:ascii="仿宋_GB2312" w:eastAsia="仿宋_GB2312"/>
          <w:sz w:val="30"/>
          <w:szCs w:val="30"/>
        </w:rPr>
        <w:t>12条</w:t>
      </w:r>
      <w:r>
        <w:rPr>
          <w:rFonts w:hint="eastAsia" w:ascii="仿宋_GB2312" w:eastAsia="仿宋_GB2312"/>
          <w:sz w:val="30"/>
          <w:szCs w:val="30"/>
        </w:rPr>
        <w:t>[竣工后试验]约定进行的试验。</w:t>
      </w:r>
    </w:p>
    <w:p w14:paraId="16AF3E83">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.1.5 </w:t>
      </w:r>
      <w:r>
        <w:rPr>
          <w:rFonts w:hint="eastAsia" w:ascii="仿宋_GB2312" w:eastAsia="仿宋_GB2312"/>
          <w:sz w:val="30"/>
          <w:szCs w:val="30"/>
        </w:rPr>
        <w:t>合同价格和费用</w:t>
      </w:r>
    </w:p>
    <w:p w14:paraId="37B6AC5E">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.1.5.1 </w:t>
      </w:r>
      <w:r>
        <w:rPr>
          <w:rFonts w:hint="eastAsia" w:ascii="仿宋_GB2312" w:eastAsia="仿宋_GB2312"/>
          <w:sz w:val="30"/>
          <w:szCs w:val="30"/>
        </w:rPr>
        <w:t>签约合同价：是指发包人和承包人在合同协议书中确定的总金额，包括暂估价及暂列金额等。</w:t>
      </w:r>
    </w:p>
    <w:p w14:paraId="122307A4">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.1.5.2 </w:t>
      </w:r>
      <w:r>
        <w:rPr>
          <w:rFonts w:hint="eastAsia" w:ascii="仿宋_GB2312" w:eastAsia="仿宋_GB2312"/>
          <w:sz w:val="30"/>
          <w:szCs w:val="30"/>
        </w:rPr>
        <w:t>合同价格：是指发包人用于支付承包人按照合同约定完成承包范围内全部工作的金额，包括合同履行过程中按合同约定发生的价格变化。</w:t>
      </w:r>
    </w:p>
    <w:p w14:paraId="3292D8E3">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.1.5.3 </w:t>
      </w:r>
      <w:r>
        <w:rPr>
          <w:rFonts w:hint="eastAsia" w:ascii="仿宋_GB2312" w:eastAsia="仿宋_GB2312"/>
          <w:sz w:val="30"/>
          <w:szCs w:val="30"/>
        </w:rPr>
        <w:t>费用：是指为履行合同所发生的或将要发生的所有合理开支，包括管理费和应分摊的其他费用，但不包括利润。</w:t>
      </w:r>
    </w:p>
    <w:p w14:paraId="635D0F3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.1.5.4 </w:t>
      </w:r>
      <w:r>
        <w:rPr>
          <w:rFonts w:hint="eastAsia" w:ascii="仿宋_GB2312" w:eastAsia="仿宋_GB2312"/>
          <w:sz w:val="30"/>
          <w:szCs w:val="30"/>
        </w:rPr>
        <w:t>人工费：是指支付给直接从事建筑安装工程施工作业的建筑工人的各项费用。</w:t>
      </w:r>
    </w:p>
    <w:p w14:paraId="7562BAFF">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.1.5.5 </w:t>
      </w:r>
      <w:r>
        <w:rPr>
          <w:rFonts w:hint="eastAsia" w:ascii="仿宋_GB2312" w:eastAsia="仿宋_GB2312"/>
          <w:sz w:val="30"/>
          <w:szCs w:val="30"/>
        </w:rPr>
        <w:t>暂估价：</w:t>
      </w:r>
      <w:bookmarkStart w:id="84" w:name="_Hlk18973781"/>
      <w:r>
        <w:rPr>
          <w:rFonts w:hint="eastAsia" w:ascii="仿宋_GB2312" w:eastAsia="仿宋_GB2312"/>
          <w:sz w:val="30"/>
          <w:szCs w:val="30"/>
        </w:rPr>
        <w:t>是指发包人在项目清单中给定的，用于支付必然发生但暂时不能确定价格的专业服务、材料、设备、专业工程的金额。</w:t>
      </w:r>
      <w:bookmarkEnd w:id="84"/>
    </w:p>
    <w:p w14:paraId="6FC35260">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.1.5.6 </w:t>
      </w:r>
      <w:r>
        <w:rPr>
          <w:rFonts w:hint="eastAsia" w:ascii="仿宋_GB2312" w:eastAsia="仿宋_GB2312"/>
          <w:sz w:val="30"/>
          <w:szCs w:val="30"/>
        </w:rPr>
        <w:t>暂列金额：是指发包人在项目清单中给定的，用于在订立协议书时尚未确定或不可预见变更的设计、施工及其所需材料、工程设备、服务等的金额，包括以计日工方式支付的金额。</w:t>
      </w:r>
    </w:p>
    <w:p w14:paraId="6A7E08FB">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.1.5.7 </w:t>
      </w:r>
      <w:r>
        <w:rPr>
          <w:rFonts w:hint="eastAsia" w:ascii="仿宋_GB2312" w:eastAsia="仿宋_GB2312"/>
          <w:sz w:val="30"/>
          <w:szCs w:val="30"/>
        </w:rPr>
        <w:t>计日工：是指合同履行过程中，承包人完成发包人提出的零星工作或需要采用计日工计价的变更工作时，按合同中约定的单价计价的一种方式。</w:t>
      </w:r>
    </w:p>
    <w:p w14:paraId="4AB7223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.1.5.8 </w:t>
      </w:r>
      <w:r>
        <w:rPr>
          <w:rFonts w:hint="eastAsia" w:ascii="仿宋_GB2312" w:eastAsia="仿宋_GB2312"/>
          <w:sz w:val="30"/>
          <w:szCs w:val="30"/>
        </w:rPr>
        <w:t>质量保证金：是指按第</w:t>
      </w:r>
      <w:r>
        <w:rPr>
          <w:rFonts w:ascii="仿宋_GB2312" w:eastAsia="仿宋_GB2312"/>
          <w:sz w:val="30"/>
          <w:szCs w:val="30"/>
        </w:rPr>
        <w:t>14.6</w:t>
      </w:r>
      <w:r>
        <w:rPr>
          <w:rFonts w:hint="eastAsia" w:ascii="仿宋_GB2312" w:eastAsia="仿宋_GB2312"/>
          <w:sz w:val="30"/>
          <w:szCs w:val="30"/>
        </w:rPr>
        <w:t>款[质量保证金]约定承包人用于保证其在缺陷责任期内履行缺陷修复义务的担保。</w:t>
      </w:r>
    </w:p>
    <w:p w14:paraId="73E58C4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.1.6 </w:t>
      </w:r>
      <w:r>
        <w:rPr>
          <w:rFonts w:hint="eastAsia" w:ascii="仿宋_GB2312" w:eastAsia="仿宋_GB2312"/>
          <w:sz w:val="30"/>
          <w:szCs w:val="30"/>
        </w:rPr>
        <w:t>其他</w:t>
      </w:r>
    </w:p>
    <w:p w14:paraId="0E2CB4E3">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.1.6.1 </w:t>
      </w:r>
      <w:r>
        <w:rPr>
          <w:rFonts w:hint="eastAsia" w:ascii="仿宋_GB2312" w:eastAsia="仿宋_GB2312"/>
          <w:sz w:val="30"/>
          <w:szCs w:val="30"/>
        </w:rPr>
        <w:t>书面形式：指合同文件、信函、电报、传真、数据电文、电子邮件、会议纪要等可以有形地表现所载内容的形式。</w:t>
      </w:r>
    </w:p>
    <w:p w14:paraId="41D9710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.1.6.2 </w:t>
      </w:r>
      <w:r>
        <w:rPr>
          <w:rFonts w:hint="eastAsia" w:ascii="仿宋_GB2312" w:eastAsia="仿宋_GB2312"/>
          <w:sz w:val="30"/>
          <w:szCs w:val="30"/>
        </w:rPr>
        <w:t>承包人文件：指由承包人根据合同约定应提交的所有图纸、手册、模型、计算书、软件、函件、洽商性文件和其他技术性文件。</w:t>
      </w:r>
    </w:p>
    <w:p w14:paraId="3DE1D84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.1.6.3 </w:t>
      </w:r>
      <w:r>
        <w:rPr>
          <w:rFonts w:hint="eastAsia" w:ascii="仿宋_GB2312" w:eastAsia="仿宋_GB2312"/>
          <w:sz w:val="30"/>
          <w:szCs w:val="30"/>
        </w:rPr>
        <w:t>变更：指根据第</w:t>
      </w:r>
      <w:r>
        <w:rPr>
          <w:rFonts w:ascii="仿宋_GB2312" w:eastAsia="仿宋_GB2312"/>
          <w:sz w:val="30"/>
          <w:szCs w:val="30"/>
        </w:rPr>
        <w:t>13条</w:t>
      </w:r>
      <w:r>
        <w:rPr>
          <w:rFonts w:hint="eastAsia" w:ascii="仿宋_GB2312" w:eastAsia="仿宋_GB2312"/>
          <w:sz w:val="30"/>
          <w:szCs w:val="30"/>
        </w:rPr>
        <w:t>[变更与调整]的约定，经指示或批准对《发包人要求》或工程所做的改变。</w:t>
      </w:r>
    </w:p>
    <w:bookmarkEnd w:id="74"/>
    <w:p w14:paraId="51874D19">
      <w:pPr>
        <w:spacing w:after="120"/>
        <w:ind w:firstLine="600"/>
        <w:rPr>
          <w:rFonts w:ascii="仿宋_GB2312" w:eastAsia="仿宋_GB2312"/>
          <w:sz w:val="30"/>
          <w:szCs w:val="30"/>
        </w:rPr>
      </w:pPr>
      <w:bookmarkStart w:id="85" w:name="_Ref509042101"/>
      <w:bookmarkStart w:id="86" w:name="_Ref509042104"/>
      <w:bookmarkStart w:id="87" w:name="_Toc54862179"/>
      <w:bookmarkStart w:id="88" w:name="_Ref522730349"/>
      <w:bookmarkStart w:id="89" w:name="_Ref522730353"/>
      <w:r>
        <w:rPr>
          <w:rFonts w:hint="eastAsia" w:ascii="仿宋_GB2312" w:eastAsia="仿宋_GB2312"/>
          <w:sz w:val="30"/>
          <w:szCs w:val="30"/>
        </w:rPr>
        <w:t>1.2 语言文字</w:t>
      </w:r>
      <w:bookmarkEnd w:id="85"/>
      <w:bookmarkEnd w:id="86"/>
      <w:bookmarkEnd w:id="87"/>
    </w:p>
    <w:p w14:paraId="33367BDB">
      <w:pPr>
        <w:wordWrap/>
        <w:topLinePunct w:val="0"/>
        <w:spacing w:after="120"/>
        <w:ind w:firstLine="600"/>
        <w:rPr>
          <w:rFonts w:ascii="仿宋_GB2312" w:eastAsia="仿宋_GB2312"/>
          <w:sz w:val="30"/>
          <w:szCs w:val="30"/>
        </w:rPr>
      </w:pPr>
      <w:r>
        <w:rPr>
          <w:rFonts w:hint="eastAsia" w:ascii="仿宋_GB2312" w:eastAsia="仿宋_GB2312"/>
          <w:sz w:val="30"/>
          <w:szCs w:val="30"/>
        </w:rPr>
        <w:t>合同文件以中国的汉语简体语言文字编写、解释和说明。专用术语使用外文的，应附有中文注释。合同当事人在专用合同条件约定使用两种及以上语言时，汉语为优先解释和说明合同的语言。</w:t>
      </w:r>
    </w:p>
    <w:p w14:paraId="73C01F44">
      <w:pPr>
        <w:wordWrap/>
        <w:topLinePunct w:val="0"/>
        <w:spacing w:after="120"/>
        <w:ind w:firstLine="600"/>
        <w:rPr>
          <w:rFonts w:ascii="仿宋_GB2312" w:eastAsia="仿宋_GB2312"/>
          <w:sz w:val="30"/>
          <w:szCs w:val="30"/>
        </w:rPr>
      </w:pPr>
      <w:r>
        <w:rPr>
          <w:rFonts w:hint="eastAsia" w:ascii="仿宋_GB2312" w:eastAsia="仿宋_GB2312"/>
          <w:sz w:val="30"/>
          <w:szCs w:val="30"/>
        </w:rPr>
        <w:t>与合同有关的联络应使用专用合同条件约定的语言。如没有约定，则应使用中国的汉语简体语言文字。</w:t>
      </w:r>
    </w:p>
    <w:p w14:paraId="73C58B69">
      <w:pPr>
        <w:spacing w:after="120"/>
        <w:ind w:firstLine="600"/>
        <w:rPr>
          <w:rFonts w:ascii="仿宋_GB2312" w:eastAsia="仿宋_GB2312"/>
          <w:sz w:val="30"/>
          <w:szCs w:val="30"/>
        </w:rPr>
      </w:pPr>
      <w:bookmarkStart w:id="90" w:name="_Ref531949539"/>
      <w:bookmarkStart w:id="91" w:name="_Ref531949543"/>
      <w:bookmarkStart w:id="92" w:name="_Toc54862180"/>
      <w:r>
        <w:rPr>
          <w:rFonts w:hint="eastAsia" w:ascii="仿宋_GB2312" w:eastAsia="仿宋_GB2312"/>
          <w:sz w:val="30"/>
          <w:szCs w:val="30"/>
        </w:rPr>
        <w:t>1.3 法律</w:t>
      </w:r>
      <w:bookmarkEnd w:id="90"/>
      <w:bookmarkEnd w:id="91"/>
      <w:bookmarkEnd w:id="92"/>
    </w:p>
    <w:p w14:paraId="3D832A83">
      <w:pPr>
        <w:spacing w:after="120"/>
        <w:ind w:firstLine="600"/>
        <w:rPr>
          <w:rFonts w:ascii="仿宋_GB2312" w:eastAsia="仿宋_GB2312"/>
          <w:sz w:val="30"/>
          <w:szCs w:val="30"/>
        </w:rPr>
      </w:pPr>
      <w:r>
        <w:rPr>
          <w:rFonts w:hint="eastAsia" w:ascii="仿宋_GB2312" w:eastAsia="仿宋_GB2312"/>
          <w:sz w:val="30"/>
          <w:szCs w:val="30"/>
        </w:rPr>
        <w:t>合同所称法律是指</w:t>
      </w:r>
      <w:r>
        <w:rPr>
          <w:rFonts w:ascii="仿宋_GB2312" w:eastAsia="仿宋_GB2312"/>
          <w:sz w:val="30"/>
          <w:szCs w:val="30"/>
        </w:rPr>
        <w:t>中华人民共和国法律、行政法规、部门规章</w:t>
      </w:r>
      <w:r>
        <w:rPr>
          <w:rFonts w:hint="eastAsia" w:ascii="仿宋_GB2312" w:eastAsia="仿宋_GB2312"/>
          <w:sz w:val="30"/>
          <w:szCs w:val="30"/>
        </w:rPr>
        <w:t>，</w:t>
      </w:r>
      <w:r>
        <w:rPr>
          <w:rFonts w:ascii="仿宋_GB2312" w:eastAsia="仿宋_GB2312"/>
          <w:sz w:val="30"/>
          <w:szCs w:val="30"/>
        </w:rPr>
        <w:t>以及工程所在地的地方法规、自治条例、单行条例和地方政府规章</w:t>
      </w:r>
      <w:r>
        <w:rPr>
          <w:rFonts w:hint="eastAsia" w:ascii="仿宋_GB2312" w:eastAsia="仿宋_GB2312"/>
          <w:sz w:val="30"/>
          <w:szCs w:val="30"/>
        </w:rPr>
        <w:t>等。</w:t>
      </w:r>
    </w:p>
    <w:p w14:paraId="3FE4500C">
      <w:pPr>
        <w:wordWrap/>
        <w:topLinePunct w:val="0"/>
        <w:spacing w:after="120"/>
        <w:ind w:firstLine="600"/>
        <w:rPr>
          <w:rFonts w:ascii="仿宋_GB2312" w:eastAsia="仿宋_GB2312"/>
          <w:sz w:val="30"/>
          <w:szCs w:val="30"/>
        </w:rPr>
      </w:pPr>
      <w:r>
        <w:rPr>
          <w:rFonts w:ascii="仿宋_GB2312" w:eastAsia="仿宋_GB2312"/>
          <w:sz w:val="30"/>
          <w:szCs w:val="30"/>
        </w:rPr>
        <w:t>合同当事人可以在专用合同条件中约定合同适用的其他规范性文件</w:t>
      </w:r>
      <w:r>
        <w:rPr>
          <w:rFonts w:hint="eastAsia" w:ascii="仿宋_GB2312" w:eastAsia="仿宋_GB2312"/>
          <w:sz w:val="30"/>
          <w:szCs w:val="30"/>
        </w:rPr>
        <w:t>。</w:t>
      </w:r>
    </w:p>
    <w:p w14:paraId="2F5A6C84">
      <w:pPr>
        <w:spacing w:after="120"/>
        <w:ind w:firstLine="600"/>
        <w:rPr>
          <w:rFonts w:ascii="仿宋_GB2312" w:eastAsia="仿宋_GB2312"/>
          <w:sz w:val="30"/>
          <w:szCs w:val="30"/>
        </w:rPr>
      </w:pPr>
      <w:bookmarkStart w:id="93" w:name="_Toc54862181"/>
      <w:bookmarkStart w:id="94" w:name="_Ref531949594"/>
      <w:bookmarkStart w:id="95" w:name="_Ref531949589"/>
      <w:r>
        <w:rPr>
          <w:rFonts w:hint="eastAsia" w:ascii="仿宋_GB2312" w:eastAsia="仿宋_GB2312"/>
          <w:sz w:val="30"/>
          <w:szCs w:val="30"/>
        </w:rPr>
        <w:t>1.4 标准和规范</w:t>
      </w:r>
      <w:bookmarkEnd w:id="93"/>
      <w:bookmarkEnd w:id="94"/>
      <w:bookmarkEnd w:id="95"/>
    </w:p>
    <w:p w14:paraId="29C06691">
      <w:pPr>
        <w:spacing w:after="120"/>
        <w:ind w:firstLine="600"/>
        <w:rPr>
          <w:rFonts w:ascii="仿宋_GB2312" w:eastAsia="仿宋_GB2312"/>
          <w:sz w:val="30"/>
          <w:szCs w:val="30"/>
        </w:rPr>
      </w:pPr>
      <w:bookmarkStart w:id="96" w:name="_Ref4420991"/>
      <w:r>
        <w:rPr>
          <w:rFonts w:hint="eastAsia" w:ascii="仿宋_GB2312" w:eastAsia="仿宋_GB2312"/>
          <w:sz w:val="30"/>
          <w:szCs w:val="30"/>
        </w:rPr>
        <w:t>1</w:t>
      </w:r>
      <w:r>
        <w:rPr>
          <w:rFonts w:ascii="仿宋_GB2312" w:eastAsia="仿宋_GB2312"/>
          <w:sz w:val="30"/>
          <w:szCs w:val="30"/>
        </w:rPr>
        <w:t xml:space="preserve">.4.1 </w:t>
      </w:r>
      <w:r>
        <w:rPr>
          <w:rFonts w:hint="eastAsia" w:ascii="仿宋_GB2312" w:eastAsia="仿宋_GB2312"/>
          <w:sz w:val="30"/>
          <w:szCs w:val="30"/>
        </w:rPr>
        <w:t>适用于工程的国家标准、行业标准、工程所在地的地方性标准，以及相应的规范、规程等，合同当事人有特别要求的，应在专用合同条件中约定。</w:t>
      </w:r>
      <w:bookmarkEnd w:id="96"/>
    </w:p>
    <w:p w14:paraId="4950E16F">
      <w:pPr>
        <w:spacing w:after="120"/>
        <w:ind w:firstLine="600"/>
        <w:rPr>
          <w:rFonts w:ascii="仿宋_GB2312" w:eastAsia="仿宋_GB2312"/>
          <w:sz w:val="30"/>
          <w:szCs w:val="30"/>
        </w:rPr>
      </w:pPr>
      <w:bookmarkStart w:id="97" w:name="_Ref531949642"/>
      <w:r>
        <w:rPr>
          <w:rFonts w:hint="eastAsia" w:ascii="仿宋_GB2312" w:eastAsia="仿宋_GB2312"/>
          <w:sz w:val="30"/>
          <w:szCs w:val="30"/>
        </w:rPr>
        <w:t>1</w:t>
      </w:r>
      <w:r>
        <w:rPr>
          <w:rFonts w:ascii="仿宋_GB2312" w:eastAsia="仿宋_GB2312"/>
          <w:sz w:val="30"/>
          <w:szCs w:val="30"/>
        </w:rPr>
        <w:t xml:space="preserve">.4.2 </w:t>
      </w:r>
      <w:r>
        <w:rPr>
          <w:rFonts w:hint="eastAsia" w:ascii="仿宋_GB2312" w:eastAsia="仿宋_GB2312"/>
          <w:sz w:val="30"/>
          <w:szCs w:val="30"/>
        </w:rPr>
        <w:t>发包人要求使用国外标准、规范的，发包人负责提供原文版本和中文译本，并在专用合同条件中约定提供标准规范的名称、份数和时间。</w:t>
      </w:r>
      <w:bookmarkEnd w:id="97"/>
    </w:p>
    <w:p w14:paraId="1749233B">
      <w:pPr>
        <w:spacing w:after="120"/>
        <w:ind w:firstLine="600"/>
        <w:rPr>
          <w:rFonts w:ascii="仿宋_GB2312" w:eastAsia="仿宋_GB2312"/>
          <w:sz w:val="30"/>
          <w:szCs w:val="30"/>
        </w:rPr>
      </w:pPr>
      <w:bookmarkStart w:id="98" w:name="_Ref531949657"/>
      <w:r>
        <w:rPr>
          <w:rFonts w:hint="eastAsia" w:ascii="仿宋_GB2312" w:eastAsia="仿宋_GB2312"/>
          <w:sz w:val="30"/>
          <w:szCs w:val="30"/>
        </w:rPr>
        <w:t>1</w:t>
      </w:r>
      <w:r>
        <w:rPr>
          <w:rFonts w:ascii="仿宋_GB2312" w:eastAsia="仿宋_GB2312"/>
          <w:sz w:val="30"/>
          <w:szCs w:val="30"/>
        </w:rPr>
        <w:t xml:space="preserve">.4.3 </w:t>
      </w:r>
      <w:r>
        <w:rPr>
          <w:rFonts w:hint="eastAsia" w:ascii="仿宋_GB2312" w:eastAsia="仿宋_GB2312"/>
          <w:sz w:val="30"/>
          <w:szCs w:val="30"/>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98"/>
    </w:p>
    <w:p w14:paraId="3052345A">
      <w:pPr>
        <w:spacing w:after="120"/>
        <w:ind w:firstLine="600"/>
        <w:rPr>
          <w:rFonts w:ascii="仿宋_GB2312" w:eastAsia="仿宋_GB2312"/>
          <w:sz w:val="30"/>
          <w:szCs w:val="30"/>
        </w:rPr>
      </w:pPr>
      <w:bookmarkStart w:id="99" w:name="_Ref4421272"/>
      <w:r>
        <w:rPr>
          <w:rFonts w:hint="eastAsia" w:ascii="仿宋_GB2312" w:eastAsia="仿宋_GB2312"/>
          <w:sz w:val="30"/>
          <w:szCs w:val="30"/>
        </w:rPr>
        <w:t>1</w:t>
      </w:r>
      <w:r>
        <w:rPr>
          <w:rFonts w:ascii="仿宋_GB2312" w:eastAsia="仿宋_GB2312"/>
          <w:sz w:val="30"/>
          <w:szCs w:val="30"/>
        </w:rPr>
        <w:t xml:space="preserve">.4.4 </w:t>
      </w:r>
      <w:r>
        <w:rPr>
          <w:rFonts w:hint="eastAsia" w:ascii="仿宋_GB2312" w:eastAsia="仿宋_GB2312"/>
          <w:sz w:val="30"/>
          <w:szCs w:val="30"/>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99"/>
    </w:p>
    <w:p w14:paraId="287468D2">
      <w:pPr>
        <w:spacing w:after="120"/>
        <w:ind w:firstLine="600"/>
        <w:rPr>
          <w:rFonts w:ascii="仿宋_GB2312" w:eastAsia="仿宋_GB2312"/>
          <w:sz w:val="30"/>
          <w:szCs w:val="30"/>
        </w:rPr>
      </w:pPr>
      <w:bookmarkStart w:id="100" w:name="_Toc54862182"/>
      <w:bookmarkStart w:id="101" w:name="_Ref4421717"/>
      <w:r>
        <w:rPr>
          <w:rFonts w:hint="eastAsia" w:ascii="仿宋_GB2312" w:eastAsia="仿宋_GB2312"/>
          <w:sz w:val="30"/>
          <w:szCs w:val="30"/>
        </w:rPr>
        <w:t>1.5 合同文件的优先顺序</w:t>
      </w:r>
      <w:bookmarkEnd w:id="88"/>
      <w:bookmarkEnd w:id="89"/>
      <w:bookmarkEnd w:id="100"/>
      <w:bookmarkEnd w:id="101"/>
    </w:p>
    <w:p w14:paraId="2C24A95E">
      <w:pPr>
        <w:wordWrap/>
        <w:topLinePunct w:val="0"/>
        <w:spacing w:after="120"/>
        <w:ind w:firstLine="600"/>
        <w:rPr>
          <w:rFonts w:ascii="仿宋_GB2312" w:eastAsia="仿宋_GB2312"/>
          <w:sz w:val="30"/>
          <w:szCs w:val="30"/>
        </w:rPr>
      </w:pPr>
      <w:bookmarkStart w:id="102" w:name="_Ref531948776"/>
      <w:r>
        <w:rPr>
          <w:rFonts w:hint="eastAsia" w:ascii="仿宋_GB2312" w:eastAsia="仿宋_GB2312"/>
          <w:sz w:val="30"/>
          <w:szCs w:val="30"/>
        </w:rPr>
        <w:t>组成合同的各项文件应互相解释，互为说明。除专用合同条件另有约定外，</w:t>
      </w:r>
      <w:bookmarkEnd w:id="102"/>
      <w:r>
        <w:rPr>
          <w:rFonts w:hint="eastAsia" w:ascii="仿宋_GB2312" w:eastAsia="仿宋_GB2312"/>
          <w:sz w:val="30"/>
          <w:szCs w:val="30"/>
        </w:rPr>
        <w:t>解释合同文件的优先顺序如下：</w:t>
      </w:r>
    </w:p>
    <w:p w14:paraId="34524D52">
      <w:pPr>
        <w:wordWrap/>
        <w:topLinePunct w:val="0"/>
        <w:spacing w:after="120"/>
        <w:ind w:firstLine="600"/>
        <w:rPr>
          <w:rFonts w:ascii="仿宋_GB2312" w:eastAsia="仿宋_GB2312"/>
          <w:sz w:val="30"/>
          <w:szCs w:val="30"/>
        </w:rPr>
      </w:pPr>
      <w:r>
        <w:rPr>
          <w:rFonts w:hint="eastAsia" w:ascii="仿宋_GB2312" w:eastAsia="仿宋_GB2312"/>
          <w:sz w:val="30"/>
          <w:szCs w:val="30"/>
        </w:rPr>
        <w:t>（1） 合同协议书；</w:t>
      </w:r>
    </w:p>
    <w:p w14:paraId="3C1ECCEB">
      <w:pPr>
        <w:wordWrap/>
        <w:topLinePunct w:val="0"/>
        <w:spacing w:after="120"/>
        <w:ind w:firstLine="600"/>
        <w:rPr>
          <w:rFonts w:ascii="仿宋_GB2312" w:eastAsia="仿宋_GB2312"/>
          <w:sz w:val="30"/>
          <w:szCs w:val="30"/>
        </w:rPr>
      </w:pPr>
      <w:r>
        <w:rPr>
          <w:rFonts w:hint="eastAsia" w:ascii="仿宋_GB2312" w:eastAsia="仿宋_GB2312"/>
          <w:sz w:val="30"/>
          <w:szCs w:val="30"/>
        </w:rPr>
        <w:t>（2） 中标通知书（如果有）；</w:t>
      </w:r>
    </w:p>
    <w:p w14:paraId="60BAB4BC">
      <w:pPr>
        <w:wordWrap/>
        <w:topLinePunct w:val="0"/>
        <w:spacing w:after="120"/>
        <w:ind w:firstLine="600"/>
        <w:rPr>
          <w:rFonts w:ascii="仿宋_GB2312" w:eastAsia="仿宋_GB2312"/>
          <w:sz w:val="30"/>
          <w:szCs w:val="30"/>
        </w:rPr>
      </w:pPr>
      <w:r>
        <w:rPr>
          <w:rFonts w:hint="eastAsia" w:ascii="仿宋_GB2312" w:eastAsia="仿宋_GB2312"/>
          <w:sz w:val="30"/>
          <w:szCs w:val="30"/>
        </w:rPr>
        <w:t>（3） 投标函及投标函附录（如果有）；</w:t>
      </w:r>
    </w:p>
    <w:p w14:paraId="5884DB73">
      <w:pPr>
        <w:wordWrap/>
        <w:topLinePunct w:val="0"/>
        <w:spacing w:after="120"/>
        <w:ind w:firstLine="600"/>
        <w:rPr>
          <w:rFonts w:ascii="仿宋_GB2312" w:eastAsia="仿宋_GB2312"/>
          <w:sz w:val="30"/>
          <w:szCs w:val="30"/>
        </w:rPr>
      </w:pPr>
      <w:r>
        <w:rPr>
          <w:rFonts w:hint="eastAsia" w:ascii="仿宋_GB2312" w:eastAsia="仿宋_GB2312"/>
          <w:sz w:val="30"/>
          <w:szCs w:val="30"/>
        </w:rPr>
        <w:t>（4） 专用合同条件及《发包人要求》等附件；</w:t>
      </w:r>
    </w:p>
    <w:p w14:paraId="20396B66">
      <w:pPr>
        <w:wordWrap/>
        <w:topLinePunct w:val="0"/>
        <w:spacing w:after="120"/>
        <w:ind w:firstLine="600"/>
        <w:rPr>
          <w:rFonts w:ascii="仿宋_GB2312" w:eastAsia="仿宋_GB2312"/>
          <w:sz w:val="30"/>
          <w:szCs w:val="30"/>
        </w:rPr>
      </w:pPr>
      <w:r>
        <w:rPr>
          <w:rFonts w:hint="eastAsia" w:ascii="仿宋_GB2312" w:eastAsia="仿宋_GB2312"/>
          <w:sz w:val="30"/>
          <w:szCs w:val="30"/>
        </w:rPr>
        <w:t>（5） 通用合同条件；</w:t>
      </w:r>
    </w:p>
    <w:p w14:paraId="4797C764">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（6） 价格清单； </w:t>
      </w:r>
    </w:p>
    <w:p w14:paraId="76781831">
      <w:pPr>
        <w:wordWrap/>
        <w:topLinePunct w:val="0"/>
        <w:spacing w:after="120"/>
        <w:ind w:firstLine="600"/>
        <w:rPr>
          <w:rFonts w:ascii="仿宋_GB2312" w:eastAsia="仿宋_GB2312"/>
          <w:sz w:val="30"/>
          <w:szCs w:val="30"/>
        </w:rPr>
      </w:pPr>
      <w:r>
        <w:rPr>
          <w:rFonts w:hint="eastAsia" w:ascii="仿宋_GB2312" w:eastAsia="仿宋_GB2312"/>
          <w:sz w:val="30"/>
          <w:szCs w:val="30"/>
        </w:rPr>
        <w:t>（7） 承包人建议书；</w:t>
      </w:r>
    </w:p>
    <w:p w14:paraId="46268939">
      <w:pPr>
        <w:wordWrap/>
        <w:topLinePunct w:val="0"/>
        <w:spacing w:after="120"/>
        <w:ind w:firstLine="600"/>
        <w:rPr>
          <w:rFonts w:ascii="仿宋_GB2312" w:eastAsia="仿宋_GB2312"/>
          <w:sz w:val="30"/>
          <w:szCs w:val="30"/>
        </w:rPr>
      </w:pPr>
      <w:r>
        <w:rPr>
          <w:rFonts w:hint="eastAsia" w:ascii="仿宋_GB2312" w:eastAsia="仿宋_GB2312"/>
          <w:sz w:val="30"/>
          <w:szCs w:val="30"/>
        </w:rPr>
        <w:t>（8） 双方约定的其他合同文件。</w:t>
      </w:r>
    </w:p>
    <w:p w14:paraId="225DE6D2">
      <w:pPr>
        <w:wordWrap/>
        <w:topLinePunct w:val="0"/>
        <w:spacing w:after="120"/>
        <w:ind w:firstLine="600"/>
        <w:rPr>
          <w:rFonts w:ascii="仿宋_GB2312" w:eastAsia="仿宋_GB2312"/>
          <w:sz w:val="30"/>
          <w:szCs w:val="30"/>
        </w:rPr>
      </w:pPr>
      <w:bookmarkStart w:id="103" w:name="_Hlk18951547"/>
      <w:r>
        <w:rPr>
          <w:rFonts w:hint="eastAsia" w:ascii="仿宋_GB2312" w:eastAsia="仿宋_GB2312"/>
          <w:sz w:val="30"/>
          <w:szCs w:val="30"/>
        </w:rPr>
        <w:t>上述各项合同文件包括合同当事人就该项合同文件所作出的补充和修改，属于同一类内容的文件，应以最新签署的为准</w:t>
      </w:r>
      <w:bookmarkEnd w:id="103"/>
      <w:r>
        <w:rPr>
          <w:rFonts w:hint="eastAsia" w:ascii="仿宋_GB2312" w:eastAsia="仿宋_GB2312"/>
          <w:sz w:val="30"/>
          <w:szCs w:val="30"/>
        </w:rPr>
        <w:t>。</w:t>
      </w:r>
    </w:p>
    <w:p w14:paraId="6055FECB">
      <w:pPr>
        <w:wordWrap/>
        <w:topLinePunct w:val="0"/>
        <w:spacing w:after="120"/>
        <w:ind w:firstLine="600"/>
        <w:rPr>
          <w:rFonts w:ascii="仿宋_GB2312" w:eastAsia="仿宋_GB2312"/>
          <w:sz w:val="30"/>
          <w:szCs w:val="30"/>
        </w:rPr>
      </w:pPr>
      <w:r>
        <w:rPr>
          <w:rFonts w:hint="eastAsia" w:ascii="仿宋_GB2312" w:eastAsia="仿宋_GB2312"/>
          <w:sz w:val="30"/>
          <w:szCs w:val="30"/>
        </w:rPr>
        <w:t>在合同订立及履行过程中形成的与合同有关的文件均构成合同文件组成部分，并根据其性质确定优先解释顺序。</w:t>
      </w:r>
    </w:p>
    <w:p w14:paraId="14DE0ABF">
      <w:pPr>
        <w:wordWrap/>
        <w:topLinePunct w:val="0"/>
        <w:spacing w:after="120"/>
        <w:ind w:firstLine="600"/>
        <w:rPr>
          <w:rFonts w:ascii="仿宋_GB2312" w:eastAsia="仿宋_GB2312"/>
          <w:sz w:val="30"/>
          <w:szCs w:val="30"/>
        </w:rPr>
      </w:pPr>
      <w:bookmarkStart w:id="104" w:name="_Ref4422060"/>
      <w:bookmarkStart w:id="105" w:name="_Ref11917818"/>
      <w:bookmarkStart w:id="106" w:name="_Toc54862183"/>
      <w:bookmarkStart w:id="107" w:name="_Ref531949803"/>
      <w:bookmarkStart w:id="108" w:name="_Ref531949822"/>
      <w:bookmarkStart w:id="109" w:name="_Ref531949807"/>
      <w:r>
        <w:rPr>
          <w:rFonts w:hint="eastAsia" w:ascii="仿宋_GB2312" w:eastAsia="仿宋_GB2312"/>
          <w:sz w:val="30"/>
          <w:szCs w:val="30"/>
        </w:rPr>
        <w:t>1.6 文件的提供和</w:t>
      </w:r>
      <w:bookmarkEnd w:id="104"/>
      <w:r>
        <w:rPr>
          <w:rFonts w:hint="eastAsia" w:ascii="仿宋_GB2312" w:eastAsia="仿宋_GB2312"/>
          <w:sz w:val="30"/>
          <w:szCs w:val="30"/>
        </w:rPr>
        <w:t>照管</w:t>
      </w:r>
      <w:bookmarkEnd w:id="105"/>
      <w:bookmarkEnd w:id="106"/>
    </w:p>
    <w:p w14:paraId="3B35BC2B">
      <w:pPr>
        <w:spacing w:after="120"/>
        <w:ind w:firstLine="600"/>
        <w:rPr>
          <w:rFonts w:ascii="仿宋_GB2312" w:eastAsia="仿宋_GB2312"/>
          <w:sz w:val="30"/>
          <w:szCs w:val="30"/>
        </w:rPr>
      </w:pPr>
      <w:bookmarkStart w:id="110" w:name="_Ref4421991"/>
      <w:r>
        <w:rPr>
          <w:rFonts w:hint="eastAsia" w:ascii="仿宋_GB2312" w:eastAsia="仿宋_GB2312"/>
          <w:sz w:val="30"/>
          <w:szCs w:val="30"/>
        </w:rPr>
        <w:t>1</w:t>
      </w:r>
      <w:r>
        <w:rPr>
          <w:rFonts w:ascii="仿宋_GB2312" w:eastAsia="仿宋_GB2312"/>
          <w:sz w:val="30"/>
          <w:szCs w:val="30"/>
        </w:rPr>
        <w:t xml:space="preserve">.6.1 </w:t>
      </w:r>
      <w:r>
        <w:rPr>
          <w:rFonts w:hint="eastAsia" w:ascii="仿宋_GB2312" w:eastAsia="仿宋_GB2312"/>
          <w:sz w:val="30"/>
          <w:szCs w:val="30"/>
        </w:rPr>
        <w:t>发包人文件的提供</w:t>
      </w:r>
      <w:bookmarkEnd w:id="110"/>
    </w:p>
    <w:p w14:paraId="21F6C22D">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仿宋_GB2312" w:eastAsia="仿宋_GB2312"/>
          <w:sz w:val="30"/>
          <w:szCs w:val="30"/>
        </w:rPr>
        <w:t>8.7.1</w:t>
      </w:r>
      <w:r>
        <w:rPr>
          <w:rFonts w:hint="eastAsia" w:ascii="仿宋_GB2312" w:eastAsia="仿宋_GB2312"/>
          <w:sz w:val="30"/>
          <w:szCs w:val="30"/>
        </w:rPr>
        <w:t>项[</w:t>
      </w:r>
      <w:r>
        <w:rPr>
          <w:rFonts w:ascii="仿宋_GB2312" w:eastAsia="仿宋_GB2312"/>
          <w:sz w:val="30"/>
          <w:szCs w:val="30"/>
        </w:rPr>
        <w:t>因发包人原因导致工期延误</w:t>
      </w:r>
      <w:r>
        <w:rPr>
          <w:rFonts w:hint="eastAsia" w:ascii="仿宋_GB2312" w:eastAsia="仿宋_GB2312"/>
          <w:sz w:val="30"/>
          <w:szCs w:val="30"/>
        </w:rPr>
        <w:t>]约定办理。</w:t>
      </w:r>
    </w:p>
    <w:p w14:paraId="2DC5068C">
      <w:pPr>
        <w:spacing w:after="120"/>
        <w:ind w:firstLine="600"/>
        <w:rPr>
          <w:rFonts w:ascii="仿宋_GB2312" w:eastAsia="仿宋_GB2312"/>
          <w:sz w:val="30"/>
          <w:szCs w:val="30"/>
        </w:rPr>
      </w:pPr>
      <w:bookmarkStart w:id="111" w:name="_Ref4422317"/>
      <w:r>
        <w:rPr>
          <w:rFonts w:hint="eastAsia" w:ascii="仿宋_GB2312" w:eastAsia="仿宋_GB2312"/>
          <w:sz w:val="30"/>
          <w:szCs w:val="30"/>
        </w:rPr>
        <w:t>1</w:t>
      </w:r>
      <w:r>
        <w:rPr>
          <w:rFonts w:ascii="仿宋_GB2312" w:eastAsia="仿宋_GB2312"/>
          <w:sz w:val="30"/>
          <w:szCs w:val="30"/>
        </w:rPr>
        <w:t xml:space="preserve">.6.2 </w:t>
      </w:r>
      <w:r>
        <w:rPr>
          <w:rFonts w:hint="eastAsia" w:ascii="仿宋_GB2312" w:eastAsia="仿宋_GB2312"/>
          <w:sz w:val="30"/>
          <w:szCs w:val="30"/>
        </w:rPr>
        <w:t>承包人文件的提供</w:t>
      </w:r>
      <w:bookmarkEnd w:id="111"/>
    </w:p>
    <w:p w14:paraId="6D1A4995">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除专用合同条件另有约定外，承包人文件应包含下列内容，并用第</w:t>
      </w:r>
      <w:r>
        <w:rPr>
          <w:rFonts w:ascii="仿宋_GB2312" w:eastAsia="仿宋_GB2312"/>
          <w:sz w:val="30"/>
          <w:szCs w:val="30"/>
        </w:rPr>
        <w:t>1.2</w:t>
      </w:r>
      <w:r>
        <w:rPr>
          <w:rFonts w:hint="eastAsia" w:ascii="仿宋_GB2312" w:eastAsia="仿宋_GB2312"/>
          <w:sz w:val="30"/>
          <w:szCs w:val="30"/>
        </w:rPr>
        <w:t>款[语言文字]约定的语言制作：</w:t>
      </w:r>
    </w:p>
    <w:p w14:paraId="0612EFC8">
      <w:pPr>
        <w:wordWrap/>
        <w:topLinePunct w:val="0"/>
        <w:spacing w:after="120"/>
        <w:ind w:firstLine="600"/>
        <w:rPr>
          <w:rFonts w:ascii="仿宋_GB2312" w:eastAsia="仿宋_GB2312"/>
          <w:sz w:val="30"/>
          <w:szCs w:val="30"/>
        </w:rPr>
      </w:pPr>
      <w:r>
        <w:rPr>
          <w:rFonts w:hint="eastAsia" w:ascii="仿宋_GB2312" w:eastAsia="仿宋_GB2312"/>
          <w:sz w:val="30"/>
          <w:szCs w:val="30"/>
        </w:rPr>
        <w:t>（1） 《发包人要求》中规定的相关文件；</w:t>
      </w:r>
    </w:p>
    <w:p w14:paraId="2625EF82">
      <w:pPr>
        <w:wordWrap/>
        <w:topLinePunct w:val="0"/>
        <w:spacing w:after="120"/>
        <w:ind w:firstLine="600"/>
        <w:rPr>
          <w:rFonts w:ascii="仿宋_GB2312" w:eastAsia="仿宋_GB2312"/>
          <w:sz w:val="30"/>
          <w:szCs w:val="30"/>
        </w:rPr>
      </w:pPr>
      <w:r>
        <w:rPr>
          <w:rFonts w:hint="eastAsia" w:ascii="仿宋_GB2312" w:eastAsia="仿宋_GB2312"/>
          <w:sz w:val="30"/>
          <w:szCs w:val="30"/>
        </w:rPr>
        <w:t>（2） 满足工程相关行政审批手续所必须的应由承包人负责的相关文件；</w:t>
      </w:r>
    </w:p>
    <w:p w14:paraId="080D6EA7">
      <w:pPr>
        <w:wordWrap/>
        <w:topLinePunct w:val="0"/>
        <w:spacing w:after="120"/>
        <w:ind w:firstLine="600"/>
        <w:rPr>
          <w:rFonts w:ascii="仿宋_GB2312" w:eastAsia="仿宋_GB2312"/>
          <w:sz w:val="30"/>
          <w:szCs w:val="30"/>
        </w:rPr>
      </w:pPr>
      <w:r>
        <w:rPr>
          <w:rFonts w:hint="eastAsia" w:ascii="仿宋_GB2312" w:eastAsia="仿宋_GB2312"/>
          <w:sz w:val="30"/>
          <w:szCs w:val="30"/>
        </w:rPr>
        <w:t>（3） 第</w:t>
      </w:r>
      <w:r>
        <w:rPr>
          <w:rFonts w:ascii="仿宋_GB2312" w:eastAsia="仿宋_GB2312"/>
          <w:sz w:val="30"/>
          <w:szCs w:val="30"/>
        </w:rPr>
        <w:t>5.4</w:t>
      </w:r>
      <w:r>
        <w:rPr>
          <w:rFonts w:hint="eastAsia" w:ascii="仿宋_GB2312" w:eastAsia="仿宋_GB2312"/>
          <w:sz w:val="30"/>
          <w:szCs w:val="30"/>
        </w:rPr>
        <w:t>款[竣工文件]与第</w:t>
      </w:r>
      <w:r>
        <w:rPr>
          <w:rFonts w:ascii="仿宋_GB2312" w:eastAsia="仿宋_GB2312"/>
          <w:sz w:val="30"/>
          <w:szCs w:val="30"/>
        </w:rPr>
        <w:t>5.5</w:t>
      </w:r>
      <w:r>
        <w:rPr>
          <w:rFonts w:hint="eastAsia" w:ascii="仿宋_GB2312" w:eastAsia="仿宋_GB2312"/>
          <w:sz w:val="30"/>
          <w:szCs w:val="30"/>
        </w:rPr>
        <w:t>款[操作和维修手册]中要求的相关文件。</w:t>
      </w:r>
    </w:p>
    <w:p w14:paraId="17EA97CC">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仿宋_GB2312" w:eastAsia="仿宋_GB2312"/>
          <w:sz w:val="30"/>
          <w:szCs w:val="30"/>
        </w:rPr>
        <w:t>5.2</w:t>
      </w:r>
      <w:r>
        <w:rPr>
          <w:rFonts w:hint="eastAsia" w:ascii="仿宋_GB2312" w:eastAsia="仿宋_GB2312"/>
          <w:sz w:val="30"/>
          <w:szCs w:val="30"/>
        </w:rPr>
        <w:t>款[承包人文件审查]和第</w:t>
      </w:r>
      <w:r>
        <w:rPr>
          <w:rFonts w:ascii="仿宋_GB2312" w:eastAsia="仿宋_GB2312"/>
          <w:sz w:val="30"/>
          <w:szCs w:val="30"/>
        </w:rPr>
        <w:t>5.4</w:t>
      </w:r>
      <w:r>
        <w:rPr>
          <w:rFonts w:hint="eastAsia" w:ascii="仿宋_GB2312" w:eastAsia="仿宋_GB2312"/>
          <w:sz w:val="30"/>
          <w:szCs w:val="30"/>
        </w:rPr>
        <w:t>款[竣工文件]的约定。</w:t>
      </w:r>
    </w:p>
    <w:p w14:paraId="1C4D3C4F">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.6.3 </w:t>
      </w:r>
      <w:r>
        <w:rPr>
          <w:rFonts w:hint="eastAsia" w:ascii="仿宋_GB2312" w:eastAsia="仿宋_GB2312"/>
          <w:sz w:val="30"/>
          <w:szCs w:val="30"/>
        </w:rPr>
        <w:t>文件错误的通知</w:t>
      </w:r>
    </w:p>
    <w:p w14:paraId="0C998D72">
      <w:pPr>
        <w:wordWrap/>
        <w:topLinePunct w:val="0"/>
        <w:spacing w:after="120"/>
        <w:ind w:firstLine="600"/>
        <w:rPr>
          <w:rFonts w:ascii="仿宋_GB2312" w:eastAsia="仿宋_GB2312"/>
          <w:sz w:val="30"/>
          <w:szCs w:val="30"/>
        </w:rPr>
      </w:pPr>
      <w:r>
        <w:rPr>
          <w:rFonts w:hint="eastAsia" w:ascii="仿宋_GB2312" w:eastAsia="仿宋_GB2312"/>
          <w:sz w:val="30"/>
          <w:szCs w:val="30"/>
        </w:rPr>
        <w:t>任何一方发现文件中存在明显的错误或疏忽，应及时通知另一方。</w:t>
      </w:r>
    </w:p>
    <w:p w14:paraId="423677E4">
      <w:pPr>
        <w:spacing w:after="120"/>
        <w:ind w:firstLine="600"/>
        <w:rPr>
          <w:rFonts w:ascii="仿宋_GB2312" w:eastAsia="仿宋_GB2312"/>
          <w:sz w:val="30"/>
          <w:szCs w:val="30"/>
        </w:rPr>
      </w:pPr>
      <w:bookmarkStart w:id="112" w:name="_Ref4678410"/>
      <w:bookmarkStart w:id="113" w:name="_Ref11957673"/>
      <w:r>
        <w:rPr>
          <w:rFonts w:hint="eastAsia" w:ascii="仿宋_GB2312" w:eastAsia="仿宋_GB2312"/>
          <w:sz w:val="30"/>
          <w:szCs w:val="30"/>
        </w:rPr>
        <w:t>1</w:t>
      </w:r>
      <w:r>
        <w:rPr>
          <w:rFonts w:ascii="仿宋_GB2312" w:eastAsia="仿宋_GB2312"/>
          <w:sz w:val="30"/>
          <w:szCs w:val="30"/>
        </w:rPr>
        <w:t xml:space="preserve">.6.4 </w:t>
      </w:r>
      <w:r>
        <w:rPr>
          <w:rFonts w:hint="eastAsia" w:ascii="仿宋_GB2312" w:eastAsia="仿宋_GB2312"/>
          <w:sz w:val="30"/>
          <w:szCs w:val="30"/>
        </w:rPr>
        <w:t>文件的</w:t>
      </w:r>
      <w:bookmarkEnd w:id="112"/>
      <w:r>
        <w:rPr>
          <w:rFonts w:hint="eastAsia" w:ascii="仿宋_GB2312" w:eastAsia="仿宋_GB2312"/>
          <w:sz w:val="30"/>
          <w:szCs w:val="30"/>
        </w:rPr>
        <w:t>照管</w:t>
      </w:r>
      <w:bookmarkEnd w:id="113"/>
    </w:p>
    <w:p w14:paraId="26840E9A">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3E280B9B">
      <w:pPr>
        <w:spacing w:after="120"/>
        <w:ind w:firstLine="600"/>
        <w:rPr>
          <w:rFonts w:ascii="仿宋_GB2312" w:eastAsia="仿宋_GB2312"/>
          <w:sz w:val="30"/>
          <w:szCs w:val="30"/>
        </w:rPr>
      </w:pPr>
      <w:bookmarkStart w:id="114" w:name="_Toc54862184"/>
      <w:bookmarkStart w:id="115" w:name="_Ref4415170"/>
      <w:r>
        <w:rPr>
          <w:rFonts w:hint="eastAsia" w:ascii="仿宋_GB2312" w:eastAsia="仿宋_GB2312"/>
          <w:sz w:val="30"/>
          <w:szCs w:val="30"/>
        </w:rPr>
        <w:t>1.7 联络</w:t>
      </w:r>
      <w:bookmarkEnd w:id="114"/>
      <w:bookmarkEnd w:id="115"/>
    </w:p>
    <w:p w14:paraId="10EBBDA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.7.1 </w:t>
      </w:r>
      <w:r>
        <w:rPr>
          <w:rFonts w:hint="eastAsia" w:ascii="仿宋_GB2312" w:eastAsia="仿宋_GB2312"/>
          <w:sz w:val="30"/>
          <w:szCs w:val="30"/>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68CF16CC">
      <w:pPr>
        <w:spacing w:after="120"/>
        <w:ind w:firstLine="600"/>
        <w:rPr>
          <w:rFonts w:ascii="仿宋_GB2312" w:eastAsia="仿宋_GB2312"/>
          <w:sz w:val="30"/>
          <w:szCs w:val="30"/>
        </w:rPr>
      </w:pPr>
      <w:bookmarkStart w:id="116" w:name="_Ref531949897"/>
      <w:r>
        <w:rPr>
          <w:rFonts w:hint="eastAsia" w:ascii="仿宋_GB2312" w:eastAsia="仿宋_GB2312"/>
          <w:sz w:val="30"/>
          <w:szCs w:val="30"/>
        </w:rPr>
        <w:t>1</w:t>
      </w:r>
      <w:r>
        <w:rPr>
          <w:rFonts w:ascii="仿宋_GB2312" w:eastAsia="仿宋_GB2312"/>
          <w:sz w:val="30"/>
          <w:szCs w:val="30"/>
        </w:rPr>
        <w:t xml:space="preserve">.7.2 </w:t>
      </w:r>
      <w:r>
        <w:rPr>
          <w:rFonts w:hint="eastAsia" w:ascii="仿宋_GB2312" w:eastAsia="仿宋_GB2312"/>
          <w:sz w:val="30"/>
          <w:szCs w:val="30"/>
        </w:rPr>
        <w:t>发包人和承包人应在专用合同条件中约定各自的送达方式和收件地址。任何一方合同当事人指定的送达方式或收件地址发生变动的，应提前3天以书面形式通知对方。</w:t>
      </w:r>
      <w:bookmarkEnd w:id="116"/>
    </w:p>
    <w:p w14:paraId="7FC2EF49">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.7.3 </w:t>
      </w:r>
      <w:r>
        <w:rPr>
          <w:rFonts w:hint="eastAsia" w:ascii="仿宋_GB2312" w:eastAsia="仿宋_GB2312"/>
          <w:sz w:val="30"/>
          <w:szCs w:val="30"/>
        </w:rPr>
        <w:t>发包人和承包人应当及时签收另一方通过约定的送达方式送达至收件地址的来往文件。拒不签收的，由此增加的费用和（或）延误的工期由拒绝接收一方承担。</w:t>
      </w:r>
    </w:p>
    <w:p w14:paraId="3BC8EA49">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.7.4 </w:t>
      </w:r>
      <w:r>
        <w:rPr>
          <w:rFonts w:hint="eastAsia" w:ascii="仿宋_GB2312" w:eastAsia="仿宋_GB2312"/>
          <w:sz w:val="30"/>
          <w:szCs w:val="30"/>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026A5F49">
      <w:pPr>
        <w:spacing w:after="120"/>
        <w:ind w:firstLine="600"/>
        <w:rPr>
          <w:rFonts w:ascii="仿宋_GB2312" w:eastAsia="仿宋_GB2312"/>
          <w:sz w:val="30"/>
          <w:szCs w:val="30"/>
        </w:rPr>
      </w:pPr>
      <w:bookmarkStart w:id="117" w:name="_Toc54862185"/>
      <w:r>
        <w:rPr>
          <w:rFonts w:hint="eastAsia" w:ascii="仿宋_GB2312" w:eastAsia="仿宋_GB2312"/>
          <w:sz w:val="30"/>
          <w:szCs w:val="30"/>
        </w:rPr>
        <w:t>1.8 严禁贿赂</w:t>
      </w:r>
      <w:bookmarkEnd w:id="107"/>
      <w:bookmarkEnd w:id="108"/>
      <w:bookmarkEnd w:id="109"/>
      <w:bookmarkEnd w:id="117"/>
    </w:p>
    <w:p w14:paraId="47074B38">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合同当事人不得以贿赂或变相贿赂的方式，谋取非法利益或损害对方权益。因一方合同当事人的贿赂造成对方损失的，应赔偿损失，并承担相应的法律责任。</w:t>
      </w:r>
    </w:p>
    <w:p w14:paraId="02C4147B">
      <w:pPr>
        <w:wordWrap/>
        <w:topLinePunct w:val="0"/>
        <w:spacing w:after="120"/>
        <w:ind w:firstLine="600"/>
        <w:rPr>
          <w:rFonts w:ascii="仿宋_GB2312" w:eastAsia="仿宋_GB2312"/>
          <w:sz w:val="32"/>
          <w:szCs w:val="32"/>
        </w:rPr>
      </w:pPr>
      <w:r>
        <w:rPr>
          <w:rFonts w:hint="eastAsia" w:ascii="仿宋_GB2312" w:eastAsia="仿宋_GB2312"/>
          <w:sz w:val="30"/>
          <w:szCs w:val="30"/>
        </w:rPr>
        <w:t>承包人不得与工程师或发包人聘请的第三方串通损害发包人利益。未经发包人书面同意，承包人不得为工程师提供合同约定以外的通讯设备、交通工具及其他任何形式的利益，不得向工程师支付报酬。</w:t>
      </w:r>
    </w:p>
    <w:p w14:paraId="27788E65">
      <w:pPr>
        <w:pStyle w:val="127"/>
        <w:numPr>
          <w:ilvl w:val="2"/>
          <w:numId w:val="0"/>
        </w:numPr>
        <w:tabs>
          <w:tab w:val="clear" w:pos="1928"/>
        </w:tabs>
        <w:spacing w:after="120"/>
        <w:ind w:left="480" w:leftChars="200"/>
        <w:rPr>
          <w:rFonts w:ascii="仿宋_GB2312" w:hAnsi="宋体" w:eastAsia="仿宋_GB2312"/>
          <w:sz w:val="30"/>
          <w:szCs w:val="30"/>
          <w:lang w:val="en-US"/>
        </w:rPr>
      </w:pPr>
      <w:bookmarkStart w:id="118" w:name="_Toc54862186"/>
      <w:r>
        <w:rPr>
          <w:rFonts w:hint="eastAsia" w:ascii="仿宋_GB2312" w:hAnsi="宋体" w:eastAsia="仿宋_GB2312"/>
          <w:sz w:val="30"/>
          <w:szCs w:val="30"/>
          <w:lang w:val="en-US"/>
        </w:rPr>
        <w:t>1.9 化石、文物</w:t>
      </w:r>
      <w:bookmarkEnd w:id="118"/>
    </w:p>
    <w:p w14:paraId="2E0D96CD">
      <w:pPr>
        <w:wordWrap/>
        <w:topLinePunct w:val="0"/>
        <w:spacing w:after="120"/>
        <w:ind w:firstLine="600"/>
        <w:rPr>
          <w:rFonts w:ascii="仿宋_GB2312" w:eastAsia="仿宋_GB2312"/>
          <w:sz w:val="30"/>
          <w:szCs w:val="30"/>
        </w:rPr>
      </w:pPr>
      <w:r>
        <w:rPr>
          <w:rFonts w:hint="eastAsia" w:ascii="仿宋_GB2312" w:eastAsia="仿宋_GB2312"/>
          <w:sz w:val="30"/>
          <w:szCs w:val="30"/>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19F062D5">
      <w:pPr>
        <w:wordWrap/>
        <w:topLinePunct w:val="0"/>
        <w:spacing w:after="120"/>
        <w:ind w:firstLine="600"/>
        <w:rPr>
          <w:rFonts w:ascii="仿宋_GB2312" w:eastAsia="仿宋_GB2312"/>
          <w:sz w:val="30"/>
          <w:szCs w:val="30"/>
        </w:rPr>
      </w:pPr>
      <w:r>
        <w:rPr>
          <w:rFonts w:hint="eastAsia" w:ascii="仿宋_GB2312" w:eastAsia="仿宋_GB2312"/>
          <w:sz w:val="30"/>
          <w:szCs w:val="30"/>
        </w:rPr>
        <w:t>发包人、工程师和承包人应按有关政府行政管理部门要求采取妥善的保护措施，由此增加的费用和（或）延误的工期由发包人承担。</w:t>
      </w:r>
    </w:p>
    <w:p w14:paraId="05664BA4">
      <w:pPr>
        <w:wordWrap/>
        <w:topLinePunct w:val="0"/>
        <w:spacing w:after="120"/>
        <w:ind w:firstLine="600"/>
        <w:rPr>
          <w:rFonts w:ascii="仿宋_GB2312" w:eastAsia="仿宋_GB2312"/>
          <w:sz w:val="30"/>
          <w:szCs w:val="30"/>
        </w:rPr>
      </w:pPr>
      <w:r>
        <w:rPr>
          <w:rFonts w:hint="eastAsia" w:ascii="仿宋_GB2312" w:eastAsia="仿宋_GB2312"/>
          <w:sz w:val="30"/>
          <w:szCs w:val="30"/>
        </w:rPr>
        <w:t>承包人发现文物后不及时报告或隐瞒不报，致使文物丢失或损坏的，应赔偿损失，并承担相应的法律责任。</w:t>
      </w:r>
      <w:bookmarkStart w:id="119" w:name="_Ref4423426"/>
      <w:bookmarkStart w:id="120" w:name="_Ref531949766"/>
      <w:bookmarkStart w:id="121" w:name="_Ref531949770"/>
      <w:bookmarkStart w:id="122" w:name="_Toc54862187"/>
      <w:bookmarkStart w:id="123" w:name="_Ref531949855"/>
      <w:bookmarkStart w:id="124" w:name="_Ref531949826"/>
      <w:bookmarkStart w:id="125" w:name="_Ref531949841"/>
    </w:p>
    <w:p w14:paraId="2D9C1CA6">
      <w:pPr>
        <w:wordWrap/>
        <w:topLinePunct w:val="0"/>
        <w:spacing w:after="120"/>
        <w:ind w:firstLine="600"/>
        <w:rPr>
          <w:rFonts w:ascii="仿宋_GB2312" w:eastAsia="仿宋_GB2312"/>
          <w:sz w:val="30"/>
          <w:szCs w:val="30"/>
        </w:rPr>
      </w:pPr>
      <w:r>
        <w:rPr>
          <w:rFonts w:hint="eastAsia" w:ascii="仿宋_GB2312" w:eastAsia="仿宋_GB2312"/>
          <w:sz w:val="30"/>
          <w:szCs w:val="30"/>
        </w:rPr>
        <w:t>1.10 知识产权</w:t>
      </w:r>
      <w:bookmarkEnd w:id="119"/>
      <w:bookmarkEnd w:id="120"/>
      <w:bookmarkEnd w:id="121"/>
      <w:bookmarkEnd w:id="122"/>
    </w:p>
    <w:p w14:paraId="0683DC8A">
      <w:pPr>
        <w:spacing w:after="120"/>
        <w:ind w:firstLine="600"/>
        <w:rPr>
          <w:rFonts w:ascii="仿宋_GB2312" w:eastAsia="仿宋_GB2312"/>
          <w:sz w:val="30"/>
          <w:szCs w:val="30"/>
        </w:rPr>
      </w:pPr>
      <w:bookmarkStart w:id="126" w:name="_Ref4423563"/>
      <w:r>
        <w:rPr>
          <w:rFonts w:hint="eastAsia" w:ascii="仿宋_GB2312" w:eastAsia="仿宋_GB2312"/>
          <w:sz w:val="30"/>
          <w:szCs w:val="30"/>
        </w:rPr>
        <w:t>1</w:t>
      </w:r>
      <w:r>
        <w:rPr>
          <w:rFonts w:ascii="仿宋_GB2312" w:eastAsia="仿宋_GB2312"/>
          <w:sz w:val="30"/>
          <w:szCs w:val="30"/>
        </w:rPr>
        <w:t xml:space="preserve">.10.1 </w:t>
      </w:r>
      <w:r>
        <w:rPr>
          <w:rFonts w:hint="eastAsia" w:ascii="仿宋_GB2312" w:eastAsia="仿宋_GB2312"/>
          <w:sz w:val="30"/>
          <w:szCs w:val="30"/>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126"/>
    </w:p>
    <w:p w14:paraId="21D9A211">
      <w:pPr>
        <w:spacing w:after="120"/>
        <w:ind w:firstLine="600"/>
        <w:rPr>
          <w:rFonts w:ascii="仿宋_GB2312" w:eastAsia="仿宋_GB2312"/>
          <w:sz w:val="30"/>
          <w:szCs w:val="30"/>
        </w:rPr>
      </w:pPr>
      <w:bookmarkStart w:id="127" w:name="_Ref4423604"/>
      <w:r>
        <w:rPr>
          <w:rFonts w:hint="eastAsia" w:ascii="仿宋_GB2312" w:eastAsia="仿宋_GB2312"/>
          <w:sz w:val="30"/>
          <w:szCs w:val="30"/>
        </w:rPr>
        <w:t>1</w:t>
      </w:r>
      <w:r>
        <w:rPr>
          <w:rFonts w:ascii="仿宋_GB2312" w:eastAsia="仿宋_GB2312"/>
          <w:sz w:val="30"/>
          <w:szCs w:val="30"/>
        </w:rPr>
        <w:t xml:space="preserve">.10.2 </w:t>
      </w:r>
      <w:r>
        <w:rPr>
          <w:rFonts w:hint="eastAsia" w:ascii="仿宋_GB2312" w:eastAsia="仿宋_GB2312"/>
          <w:sz w:val="30"/>
          <w:szCs w:val="30"/>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127"/>
    </w:p>
    <w:p w14:paraId="491871FE">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.10.3 </w:t>
      </w:r>
      <w:r>
        <w:rPr>
          <w:rFonts w:hint="eastAsia" w:ascii="仿宋_GB2312" w:eastAsia="仿宋_GB2312"/>
          <w:sz w:val="30"/>
          <w:szCs w:val="30"/>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441A7EF0">
      <w:pPr>
        <w:spacing w:after="120"/>
        <w:ind w:firstLine="600"/>
        <w:rPr>
          <w:rFonts w:ascii="仿宋_GB2312" w:eastAsia="仿宋_GB2312"/>
          <w:sz w:val="30"/>
          <w:szCs w:val="30"/>
        </w:rPr>
      </w:pPr>
      <w:bookmarkStart w:id="128" w:name="_Ref4423695"/>
      <w:r>
        <w:rPr>
          <w:rFonts w:hint="eastAsia" w:ascii="仿宋_GB2312" w:eastAsia="仿宋_GB2312"/>
          <w:sz w:val="30"/>
          <w:szCs w:val="30"/>
        </w:rPr>
        <w:t>1</w:t>
      </w:r>
      <w:r>
        <w:rPr>
          <w:rFonts w:ascii="仿宋_GB2312" w:eastAsia="仿宋_GB2312"/>
          <w:sz w:val="30"/>
          <w:szCs w:val="30"/>
        </w:rPr>
        <w:t xml:space="preserve">.10.4 </w:t>
      </w:r>
      <w:r>
        <w:rPr>
          <w:rFonts w:hint="eastAsia" w:ascii="仿宋_GB2312" w:eastAsia="仿宋_GB2312"/>
          <w:sz w:val="30"/>
          <w:szCs w:val="30"/>
        </w:rPr>
        <w:t>除专用合同条件另有约定外，承包人在投标文件中采用的专利、专有技术、商业软件、技术秘密的使用费已包含在签约合同价中。</w:t>
      </w:r>
      <w:bookmarkEnd w:id="128"/>
    </w:p>
    <w:p w14:paraId="7EA98F80">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.10.5 </w:t>
      </w:r>
      <w:r>
        <w:rPr>
          <w:rFonts w:hint="eastAsia" w:ascii="仿宋_GB2312" w:eastAsia="仿宋_GB2312"/>
          <w:sz w:val="30"/>
          <w:szCs w:val="30"/>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42ADBB58">
      <w:pPr>
        <w:spacing w:after="120"/>
        <w:ind w:firstLine="600"/>
        <w:rPr>
          <w:rFonts w:ascii="仿宋_GB2312" w:eastAsia="仿宋_GB2312"/>
          <w:sz w:val="30"/>
          <w:szCs w:val="30"/>
        </w:rPr>
      </w:pPr>
      <w:bookmarkStart w:id="129" w:name="_Toc54862188"/>
      <w:bookmarkStart w:id="130" w:name="_Ref4423898"/>
      <w:bookmarkStart w:id="131" w:name="_Ref4423873"/>
      <w:r>
        <w:rPr>
          <w:rFonts w:hint="eastAsia" w:ascii="仿宋_GB2312" w:eastAsia="仿宋_GB2312"/>
          <w:sz w:val="30"/>
          <w:szCs w:val="30"/>
        </w:rPr>
        <w:t>1.11 保密</w:t>
      </w:r>
      <w:bookmarkEnd w:id="123"/>
      <w:bookmarkEnd w:id="124"/>
      <w:bookmarkEnd w:id="125"/>
      <w:bookmarkEnd w:id="129"/>
      <w:bookmarkEnd w:id="130"/>
      <w:bookmarkEnd w:id="131"/>
    </w:p>
    <w:p w14:paraId="735A5FE5">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合同当事人一方对在订立和履行合同过程中知悉的另一方的商业秘密、技术秘密，以及任何一方明确要求保密的其它信息，负有保密责任。</w:t>
      </w:r>
    </w:p>
    <w:p w14:paraId="622FE2DE">
      <w:pPr>
        <w:wordWrap/>
        <w:topLinePunct w:val="0"/>
        <w:spacing w:after="120"/>
        <w:ind w:firstLine="600"/>
        <w:rPr>
          <w:rFonts w:ascii="仿宋_GB2312" w:eastAsia="仿宋_GB2312"/>
          <w:sz w:val="30"/>
          <w:szCs w:val="30"/>
        </w:rPr>
      </w:pPr>
      <w:r>
        <w:rPr>
          <w:rFonts w:hint="eastAsia" w:ascii="仿宋_GB2312" w:eastAsia="仿宋_GB2312"/>
          <w:sz w:val="30"/>
          <w:szCs w:val="30"/>
        </w:rPr>
        <w:t>除法律规定或合同另有约定外，未经对方同意，任何一方当事人不得将对方提供的文件、技术秘密以及声明需要保密的资料信息等商业秘密泄露给第三方或者用于本合同以外的目的。</w:t>
      </w:r>
    </w:p>
    <w:p w14:paraId="515D0319">
      <w:pPr>
        <w:wordWrap/>
        <w:topLinePunct w:val="0"/>
        <w:spacing w:after="120"/>
        <w:ind w:firstLine="600"/>
        <w:rPr>
          <w:rFonts w:ascii="仿宋_GB2312" w:eastAsia="仿宋_GB2312"/>
          <w:sz w:val="30"/>
          <w:szCs w:val="30"/>
        </w:rPr>
      </w:pPr>
      <w:r>
        <w:rPr>
          <w:rFonts w:hint="eastAsia" w:ascii="仿宋_GB2312" w:eastAsia="仿宋_GB2312"/>
          <w:sz w:val="30"/>
          <w:szCs w:val="30"/>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4FAFAAA1">
      <w:pPr>
        <w:wordWrap/>
        <w:topLinePunct w:val="0"/>
        <w:spacing w:after="120"/>
        <w:ind w:firstLine="600"/>
        <w:rPr>
          <w:rFonts w:ascii="仿宋_GB2312" w:eastAsia="仿宋_GB2312"/>
          <w:sz w:val="30"/>
          <w:szCs w:val="30"/>
        </w:rPr>
      </w:pPr>
      <w:bookmarkStart w:id="132" w:name="_Ref532336812"/>
      <w:bookmarkStart w:id="133" w:name="_Toc54862189"/>
      <w:r>
        <w:rPr>
          <w:rFonts w:hint="eastAsia" w:ascii="仿宋_GB2312" w:eastAsia="仿宋_GB2312"/>
          <w:sz w:val="30"/>
          <w:szCs w:val="30"/>
        </w:rPr>
        <w:t xml:space="preserve">1.12 </w:t>
      </w:r>
      <w:bookmarkStart w:id="134" w:name="_Hlk55215423"/>
      <w:r>
        <w:rPr>
          <w:rFonts w:hint="eastAsia" w:ascii="仿宋_GB2312" w:eastAsia="仿宋_GB2312"/>
          <w:sz w:val="30"/>
          <w:szCs w:val="30"/>
        </w:rPr>
        <w:t>《发包人要求》和基础资料中的错误</w:t>
      </w:r>
      <w:bookmarkEnd w:id="132"/>
      <w:bookmarkEnd w:id="133"/>
      <w:bookmarkEnd w:id="134"/>
    </w:p>
    <w:p w14:paraId="4DF45913">
      <w:pPr>
        <w:spacing w:after="120"/>
        <w:ind w:firstLine="600"/>
        <w:rPr>
          <w:rFonts w:ascii="仿宋_GB2312" w:eastAsia="仿宋_GB2312"/>
          <w:sz w:val="30"/>
          <w:szCs w:val="30"/>
        </w:rPr>
      </w:pPr>
      <w:r>
        <w:rPr>
          <w:rFonts w:hint="eastAsia" w:ascii="仿宋_GB2312" w:eastAsia="仿宋_GB2312"/>
          <w:sz w:val="30"/>
          <w:szCs w:val="30"/>
        </w:rPr>
        <w:t>承包人应尽早认真阅读、复核《发包人要求》以及其提供的基础资料，发现错误的，应及时书面通知发包人补正。发包人作相应修改的，按照第</w:t>
      </w:r>
      <w:r>
        <w:rPr>
          <w:rFonts w:ascii="仿宋_GB2312" w:eastAsia="仿宋_GB2312"/>
          <w:sz w:val="30"/>
          <w:szCs w:val="30"/>
        </w:rPr>
        <w:t>13条</w:t>
      </w:r>
      <w:r>
        <w:rPr>
          <w:rFonts w:hint="eastAsia" w:ascii="仿宋_GB2312" w:eastAsia="仿宋_GB2312"/>
          <w:sz w:val="30"/>
          <w:szCs w:val="30"/>
        </w:rPr>
        <w:t>[变更与调整</w:t>
      </w:r>
      <w:bookmarkStart w:id="135" w:name="_Ref523403776"/>
      <w:bookmarkStart w:id="136" w:name="_Ref523403409"/>
      <w:r>
        <w:rPr>
          <w:rFonts w:hint="eastAsia" w:ascii="仿宋_GB2312" w:eastAsia="仿宋_GB2312"/>
          <w:sz w:val="30"/>
          <w:szCs w:val="30"/>
        </w:rPr>
        <w:t>]的约定处理。</w:t>
      </w:r>
    </w:p>
    <w:p w14:paraId="463262C2">
      <w:pPr>
        <w:spacing w:after="120"/>
        <w:ind w:firstLine="600"/>
        <w:rPr>
          <w:rFonts w:ascii="仿宋_GB2312" w:eastAsia="仿宋_GB2312"/>
          <w:sz w:val="30"/>
          <w:szCs w:val="30"/>
        </w:rPr>
      </w:pPr>
      <w:r>
        <w:rPr>
          <w:rFonts w:hint="eastAsia" w:ascii="仿宋_GB2312" w:eastAsia="仿宋_GB2312"/>
          <w:sz w:val="30"/>
          <w:szCs w:val="30"/>
        </w:rPr>
        <w:t>《发包人要求》或其提供的基础资料中的错误导致承包人增加费用和（或）工期延误的，发包人应承担由此增加的费用和（或）工期延误，并向承包人支付合理利润。</w:t>
      </w:r>
    </w:p>
    <w:bookmarkEnd w:id="135"/>
    <w:bookmarkEnd w:id="136"/>
    <w:p w14:paraId="29E9671F">
      <w:pPr>
        <w:wordWrap/>
        <w:topLinePunct w:val="0"/>
        <w:spacing w:after="120"/>
        <w:ind w:firstLine="600"/>
        <w:rPr>
          <w:rFonts w:ascii="仿宋_GB2312" w:eastAsia="仿宋_GB2312"/>
          <w:sz w:val="30"/>
          <w:szCs w:val="30"/>
        </w:rPr>
      </w:pPr>
      <w:bookmarkStart w:id="137" w:name="_Toc54862190"/>
      <w:bookmarkStart w:id="138" w:name="_Ref531949933"/>
      <w:bookmarkStart w:id="139" w:name="_Ref531949937"/>
      <w:r>
        <w:rPr>
          <w:rFonts w:hint="eastAsia" w:ascii="仿宋_GB2312" w:eastAsia="仿宋_GB2312"/>
          <w:sz w:val="30"/>
          <w:szCs w:val="30"/>
        </w:rPr>
        <w:t>1.13 责任限制</w:t>
      </w:r>
      <w:bookmarkEnd w:id="137"/>
      <w:bookmarkEnd w:id="138"/>
      <w:bookmarkEnd w:id="139"/>
    </w:p>
    <w:p w14:paraId="0EB188E0">
      <w:pPr>
        <w:wordWrap/>
        <w:topLinePunct w:val="0"/>
        <w:spacing w:after="120"/>
        <w:ind w:firstLine="600"/>
        <w:rPr>
          <w:rFonts w:ascii="仿宋_GB2312" w:eastAsia="仿宋_GB2312"/>
          <w:sz w:val="30"/>
          <w:szCs w:val="30"/>
        </w:rPr>
      </w:pPr>
      <w:r>
        <w:rPr>
          <w:rFonts w:ascii="仿宋_GB2312" w:eastAsia="仿宋_GB2312"/>
          <w:sz w:val="30"/>
          <w:szCs w:val="30"/>
        </w:rPr>
        <w:t>承包人对发包人的赔偿责任不应超过专用合同条件约定的赔偿最高限额。若专用合同条件未约定，则承包人对发包人的赔偿责任不应超过</w:t>
      </w:r>
      <w:r>
        <w:rPr>
          <w:rFonts w:hint="eastAsia" w:ascii="仿宋_GB2312" w:eastAsia="仿宋_GB2312"/>
          <w:sz w:val="30"/>
          <w:szCs w:val="30"/>
        </w:rPr>
        <w:t>签约合同价。</w:t>
      </w:r>
      <w:r>
        <w:rPr>
          <w:rFonts w:ascii="仿宋_GB2312" w:eastAsia="仿宋_GB2312"/>
          <w:sz w:val="30"/>
          <w:szCs w:val="30"/>
        </w:rPr>
        <w:t>但对于因欺诈、</w:t>
      </w:r>
      <w:r>
        <w:rPr>
          <w:rFonts w:hint="eastAsia" w:ascii="仿宋_GB2312" w:eastAsia="仿宋_GB2312"/>
          <w:sz w:val="30"/>
          <w:szCs w:val="30"/>
        </w:rPr>
        <w:t>犯罪、</w:t>
      </w:r>
      <w:r>
        <w:rPr>
          <w:rFonts w:ascii="仿宋_GB2312" w:eastAsia="仿宋_GB2312"/>
          <w:sz w:val="30"/>
          <w:szCs w:val="30"/>
        </w:rPr>
        <w:t>故意、</w:t>
      </w:r>
      <w:r>
        <w:rPr>
          <w:rFonts w:hint="eastAsia" w:ascii="仿宋_GB2312" w:eastAsia="仿宋_GB2312"/>
          <w:sz w:val="30"/>
          <w:szCs w:val="30"/>
        </w:rPr>
        <w:t>重大过失、人身伤害</w:t>
      </w:r>
      <w:r>
        <w:rPr>
          <w:rFonts w:ascii="仿宋_GB2312" w:eastAsia="仿宋_GB2312"/>
          <w:sz w:val="30"/>
          <w:szCs w:val="30"/>
        </w:rPr>
        <w:t>等不当行为造成的损失，赔偿的责任限度不受</w:t>
      </w:r>
      <w:r>
        <w:rPr>
          <w:rFonts w:hint="eastAsia" w:ascii="仿宋_GB2312" w:eastAsia="仿宋_GB2312"/>
          <w:sz w:val="30"/>
          <w:szCs w:val="30"/>
        </w:rPr>
        <w:t>上述最高</w:t>
      </w:r>
      <w:r>
        <w:rPr>
          <w:rFonts w:ascii="仿宋_GB2312" w:eastAsia="仿宋_GB2312"/>
          <w:sz w:val="30"/>
          <w:szCs w:val="30"/>
        </w:rPr>
        <w:t>限额的限制</w:t>
      </w:r>
      <w:r>
        <w:rPr>
          <w:rFonts w:hint="eastAsia" w:ascii="仿宋_GB2312" w:eastAsia="仿宋_GB2312"/>
          <w:sz w:val="30"/>
          <w:szCs w:val="30"/>
        </w:rPr>
        <w:t>。</w:t>
      </w:r>
    </w:p>
    <w:p w14:paraId="5620FC15">
      <w:pPr>
        <w:wordWrap/>
        <w:topLinePunct w:val="0"/>
        <w:spacing w:after="120"/>
        <w:ind w:firstLine="600"/>
        <w:rPr>
          <w:rFonts w:ascii="仿宋_GB2312" w:eastAsia="仿宋_GB2312"/>
          <w:sz w:val="30"/>
          <w:szCs w:val="30"/>
        </w:rPr>
      </w:pPr>
      <w:bookmarkStart w:id="140" w:name="_Toc54862191"/>
      <w:bookmarkStart w:id="141" w:name="_Hlk51506160"/>
      <w:r>
        <w:rPr>
          <w:rFonts w:hint="eastAsia" w:ascii="仿宋_GB2312" w:eastAsia="仿宋_GB2312"/>
          <w:sz w:val="30"/>
          <w:szCs w:val="30"/>
        </w:rPr>
        <w:t>1.14 建筑信息模型技术的应用</w:t>
      </w:r>
      <w:bookmarkEnd w:id="140"/>
    </w:p>
    <w:bookmarkEnd w:id="141"/>
    <w:p w14:paraId="7C18609B">
      <w:pPr>
        <w:spacing w:after="120"/>
        <w:ind w:firstLine="600"/>
        <w:rPr>
          <w:rFonts w:ascii="仿宋_GB2312" w:eastAsia="仿宋_GB2312"/>
          <w:sz w:val="30"/>
          <w:szCs w:val="30"/>
        </w:rPr>
      </w:pPr>
      <w:r>
        <w:rPr>
          <w:rFonts w:hint="eastAsia" w:ascii="仿宋_GB2312" w:eastAsia="仿宋_GB2312"/>
          <w:sz w:val="30"/>
          <w:szCs w:val="30"/>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4EE1025E">
      <w:pPr>
        <w:wordWrap/>
        <w:topLinePunct w:val="0"/>
        <w:spacing w:after="120"/>
        <w:ind w:firstLine="0" w:firstLineChars="0"/>
        <w:rPr>
          <w:rFonts w:ascii="仿宋_GB2312" w:eastAsia="仿宋_GB2312"/>
          <w:sz w:val="32"/>
          <w:szCs w:val="32"/>
        </w:rPr>
      </w:pPr>
      <w:bookmarkStart w:id="142" w:name="_Toc27206"/>
      <w:bookmarkStart w:id="143" w:name="_Ref4796511"/>
      <w:bookmarkStart w:id="144" w:name="_Toc5973"/>
      <w:bookmarkStart w:id="145" w:name="_Toc54862192"/>
      <w:bookmarkStart w:id="146" w:name="_Toc15216"/>
      <w:r>
        <w:rPr>
          <w:rFonts w:hint="eastAsia" w:ascii="仿宋_GB2312" w:eastAsia="仿宋_GB2312"/>
          <w:sz w:val="32"/>
          <w:szCs w:val="32"/>
        </w:rPr>
        <w:t>第2条 发包人</w:t>
      </w:r>
      <w:bookmarkEnd w:id="142"/>
      <w:bookmarkEnd w:id="143"/>
      <w:bookmarkEnd w:id="144"/>
      <w:bookmarkEnd w:id="145"/>
      <w:bookmarkEnd w:id="146"/>
    </w:p>
    <w:p w14:paraId="07EA06D9">
      <w:pPr>
        <w:wordWrap/>
        <w:topLinePunct w:val="0"/>
        <w:spacing w:after="120"/>
        <w:ind w:firstLine="600"/>
        <w:rPr>
          <w:rFonts w:ascii="仿宋_GB2312" w:eastAsia="仿宋_GB2312"/>
          <w:sz w:val="30"/>
          <w:szCs w:val="30"/>
        </w:rPr>
      </w:pPr>
      <w:bookmarkStart w:id="147" w:name="_Toc54862193"/>
      <w:r>
        <w:rPr>
          <w:rFonts w:hint="eastAsia" w:ascii="仿宋_GB2312" w:eastAsia="仿宋_GB2312"/>
          <w:sz w:val="30"/>
          <w:szCs w:val="30"/>
        </w:rPr>
        <w:t>2.1 遵守法律</w:t>
      </w:r>
      <w:bookmarkEnd w:id="147"/>
    </w:p>
    <w:p w14:paraId="2788752B">
      <w:pPr>
        <w:wordWrap/>
        <w:topLinePunct w:val="0"/>
        <w:spacing w:after="120"/>
        <w:ind w:firstLine="600"/>
        <w:rPr>
          <w:rFonts w:ascii="仿宋_GB2312" w:eastAsia="仿宋_GB2312"/>
          <w:sz w:val="30"/>
          <w:szCs w:val="30"/>
        </w:rPr>
      </w:pPr>
      <w:r>
        <w:rPr>
          <w:rFonts w:hint="eastAsia" w:ascii="仿宋_GB2312" w:eastAsia="仿宋_GB2312"/>
          <w:sz w:val="30"/>
          <w:szCs w:val="30"/>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44CBFDB4">
      <w:pPr>
        <w:wordWrap/>
        <w:topLinePunct w:val="0"/>
        <w:spacing w:after="120"/>
        <w:ind w:firstLine="600"/>
        <w:rPr>
          <w:rFonts w:ascii="仿宋_GB2312" w:eastAsia="仿宋_GB2312"/>
          <w:sz w:val="30"/>
          <w:szCs w:val="30"/>
        </w:rPr>
      </w:pPr>
      <w:bookmarkStart w:id="148" w:name="_Ref11917995"/>
      <w:bookmarkStart w:id="149" w:name="_Toc54862194"/>
      <w:bookmarkStart w:id="150" w:name="_Ref11917977"/>
      <w:r>
        <w:rPr>
          <w:rFonts w:hint="eastAsia" w:ascii="仿宋_GB2312" w:eastAsia="仿宋_GB2312"/>
          <w:sz w:val="30"/>
          <w:szCs w:val="30"/>
        </w:rPr>
        <w:t>2.2 提供施工现场和工作条件</w:t>
      </w:r>
      <w:bookmarkEnd w:id="148"/>
      <w:bookmarkEnd w:id="149"/>
      <w:bookmarkEnd w:id="150"/>
      <w:bookmarkStart w:id="151" w:name="_Toc51505123"/>
      <w:bookmarkEnd w:id="151"/>
      <w:bookmarkStart w:id="152" w:name="_Toc51505124"/>
      <w:bookmarkEnd w:id="152"/>
      <w:bookmarkStart w:id="153" w:name="_Toc54862196"/>
      <w:bookmarkEnd w:id="153"/>
      <w:bookmarkStart w:id="154" w:name="_Toc54862197"/>
      <w:bookmarkEnd w:id="154"/>
      <w:bookmarkStart w:id="155" w:name="_Toc54862195"/>
      <w:bookmarkEnd w:id="155"/>
      <w:bookmarkStart w:id="156" w:name="_Toc51505125"/>
      <w:bookmarkEnd w:id="156"/>
      <w:bookmarkStart w:id="157" w:name="_Ref531950085"/>
    </w:p>
    <w:p w14:paraId="55F5B65F">
      <w:pPr>
        <w:spacing w:after="120"/>
        <w:ind w:firstLine="600"/>
        <w:rPr>
          <w:rFonts w:ascii="仿宋_GB2312" w:eastAsia="仿宋_GB2312"/>
          <w:sz w:val="30"/>
          <w:szCs w:val="30"/>
        </w:rPr>
      </w:pPr>
      <w:r>
        <w:rPr>
          <w:rFonts w:hint="eastAsia" w:ascii="仿宋_GB2312" w:eastAsia="仿宋_GB2312"/>
          <w:sz w:val="30"/>
          <w:szCs w:val="30"/>
        </w:rPr>
        <w:t>2</w:t>
      </w:r>
      <w:r>
        <w:rPr>
          <w:rFonts w:ascii="仿宋_GB2312" w:eastAsia="仿宋_GB2312"/>
          <w:sz w:val="30"/>
          <w:szCs w:val="30"/>
        </w:rPr>
        <w:t xml:space="preserve">.2.1 </w:t>
      </w:r>
      <w:r>
        <w:rPr>
          <w:rFonts w:hint="eastAsia" w:ascii="仿宋_GB2312" w:eastAsia="仿宋_GB2312"/>
          <w:sz w:val="30"/>
          <w:szCs w:val="30"/>
        </w:rPr>
        <w:t>提供施工</w:t>
      </w:r>
      <w:bookmarkEnd w:id="157"/>
      <w:r>
        <w:rPr>
          <w:rFonts w:hint="eastAsia" w:ascii="仿宋_GB2312" w:eastAsia="仿宋_GB2312"/>
          <w:sz w:val="30"/>
          <w:szCs w:val="30"/>
        </w:rPr>
        <w:t>现场</w:t>
      </w:r>
    </w:p>
    <w:p w14:paraId="523948FD">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1EE1B20C">
      <w:pPr>
        <w:spacing w:after="120"/>
        <w:ind w:firstLine="600"/>
        <w:rPr>
          <w:rFonts w:ascii="仿宋_GB2312" w:eastAsia="仿宋_GB2312"/>
          <w:sz w:val="30"/>
          <w:szCs w:val="30"/>
        </w:rPr>
      </w:pPr>
      <w:bookmarkStart w:id="158" w:name="_Ref531950101"/>
      <w:r>
        <w:rPr>
          <w:rFonts w:hint="eastAsia" w:ascii="仿宋_GB2312" w:eastAsia="仿宋_GB2312"/>
          <w:sz w:val="30"/>
          <w:szCs w:val="30"/>
        </w:rPr>
        <w:t>2</w:t>
      </w:r>
      <w:r>
        <w:rPr>
          <w:rFonts w:ascii="仿宋_GB2312" w:eastAsia="仿宋_GB2312"/>
          <w:sz w:val="30"/>
          <w:szCs w:val="30"/>
        </w:rPr>
        <w:t xml:space="preserve">.2.2 </w:t>
      </w:r>
      <w:r>
        <w:rPr>
          <w:rFonts w:hint="eastAsia" w:ascii="仿宋_GB2312" w:eastAsia="仿宋_GB2312"/>
          <w:sz w:val="30"/>
          <w:szCs w:val="30"/>
        </w:rPr>
        <w:t>提供工作条件</w:t>
      </w:r>
      <w:bookmarkEnd w:id="158"/>
    </w:p>
    <w:p w14:paraId="5BA54BC4">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发包人应按专用合同条件约定向承包人提供工作条件。专用合同条件对此没有约定的，发包人应负责提供开展本合同相关工作所需要的条件，包括：</w:t>
      </w:r>
    </w:p>
    <w:p w14:paraId="3932BCDE">
      <w:pPr>
        <w:wordWrap/>
        <w:topLinePunct w:val="0"/>
        <w:spacing w:after="120"/>
        <w:ind w:firstLine="600"/>
        <w:rPr>
          <w:rFonts w:ascii="仿宋_GB2312" w:eastAsia="仿宋_GB2312"/>
          <w:sz w:val="30"/>
          <w:szCs w:val="30"/>
        </w:rPr>
      </w:pPr>
      <w:r>
        <w:rPr>
          <w:rFonts w:hint="eastAsia" w:ascii="仿宋_GB2312" w:eastAsia="仿宋_GB2312"/>
          <w:sz w:val="30"/>
          <w:szCs w:val="30"/>
        </w:rPr>
        <w:t>（1） 将施工用水、电力、通讯线路等施工所必需的条件接至施工现场内；</w:t>
      </w:r>
    </w:p>
    <w:p w14:paraId="264817B5">
      <w:pPr>
        <w:wordWrap/>
        <w:topLinePunct w:val="0"/>
        <w:spacing w:after="120"/>
        <w:ind w:firstLine="600"/>
        <w:rPr>
          <w:rFonts w:ascii="仿宋_GB2312" w:eastAsia="仿宋_GB2312"/>
          <w:sz w:val="30"/>
          <w:szCs w:val="30"/>
        </w:rPr>
      </w:pPr>
      <w:r>
        <w:rPr>
          <w:rFonts w:hint="eastAsia" w:ascii="仿宋_GB2312" w:eastAsia="仿宋_GB2312"/>
          <w:sz w:val="30"/>
          <w:szCs w:val="30"/>
        </w:rPr>
        <w:t>（2） 保证向承包人提供正常施工所需要的进入施工现场的交通条件；</w:t>
      </w:r>
    </w:p>
    <w:p w14:paraId="2830ACF2">
      <w:pPr>
        <w:wordWrap/>
        <w:topLinePunct w:val="0"/>
        <w:spacing w:after="120"/>
        <w:ind w:firstLine="600"/>
        <w:rPr>
          <w:rFonts w:ascii="仿宋_GB2312" w:eastAsia="仿宋_GB2312"/>
          <w:sz w:val="30"/>
          <w:szCs w:val="30"/>
        </w:rPr>
      </w:pPr>
      <w:r>
        <w:rPr>
          <w:rFonts w:hint="eastAsia" w:ascii="仿宋_GB2312" w:eastAsia="仿宋_GB2312"/>
          <w:sz w:val="30"/>
          <w:szCs w:val="30"/>
        </w:rPr>
        <w:t>（3） 协调处理施工现场周围地下管线和邻近建筑物、构筑物、古树名木、文物、化石及坟墓等的保护工作，并承担相关费用；</w:t>
      </w:r>
    </w:p>
    <w:p w14:paraId="1A723276">
      <w:pPr>
        <w:wordWrap/>
        <w:topLinePunct w:val="0"/>
        <w:spacing w:after="120"/>
        <w:ind w:firstLine="600"/>
        <w:rPr>
          <w:rFonts w:ascii="仿宋_GB2312" w:eastAsia="仿宋_GB2312"/>
          <w:sz w:val="30"/>
          <w:szCs w:val="30"/>
        </w:rPr>
      </w:pPr>
      <w:r>
        <w:rPr>
          <w:rFonts w:hint="eastAsia" w:ascii="仿宋_GB2312" w:eastAsia="仿宋_GB2312"/>
          <w:sz w:val="30"/>
          <w:szCs w:val="30"/>
        </w:rPr>
        <w:t>（4） 对工程现场临近发包人正在使用、运行、或由发包人用于生产的建筑物、构筑物、生产装置、设施、设备等，设置隔离设施，竖立禁止入内、禁止动火的明显标志，</w:t>
      </w:r>
      <w:r>
        <w:rPr>
          <w:rFonts w:ascii="仿宋_GB2312" w:eastAsia="仿宋_GB2312"/>
          <w:sz w:val="30"/>
          <w:szCs w:val="30"/>
        </w:rPr>
        <w:t xml:space="preserve"> 并以书面形式通知承包人须遵守的安全规定和位置范围；</w:t>
      </w:r>
    </w:p>
    <w:p w14:paraId="785B75E8">
      <w:pPr>
        <w:wordWrap/>
        <w:topLinePunct w:val="0"/>
        <w:spacing w:after="120"/>
        <w:ind w:firstLine="600"/>
        <w:rPr>
          <w:rFonts w:ascii="仿宋_GB2312" w:eastAsia="仿宋_GB2312"/>
          <w:sz w:val="30"/>
          <w:szCs w:val="30"/>
        </w:rPr>
      </w:pPr>
      <w:r>
        <w:rPr>
          <w:rFonts w:hint="eastAsia" w:ascii="仿宋_GB2312" w:eastAsia="仿宋_GB2312"/>
          <w:sz w:val="30"/>
          <w:szCs w:val="30"/>
        </w:rPr>
        <w:t>（5） 按照专用合同条件约定应提供的其他设施和条件。</w:t>
      </w:r>
    </w:p>
    <w:p w14:paraId="5A1F3874">
      <w:pPr>
        <w:wordWrap/>
        <w:topLinePunct w:val="0"/>
        <w:spacing w:after="120"/>
        <w:ind w:firstLine="600"/>
        <w:rPr>
          <w:rFonts w:ascii="仿宋_GB2312" w:eastAsia="仿宋_GB2312"/>
          <w:sz w:val="30"/>
          <w:szCs w:val="30"/>
        </w:rPr>
      </w:pPr>
      <w:r>
        <w:rPr>
          <w:rFonts w:hint="eastAsia" w:ascii="仿宋_GB2312" w:eastAsia="仿宋_GB2312"/>
          <w:sz w:val="30"/>
          <w:szCs w:val="30"/>
        </w:rPr>
        <w:t>2.2.3 逾期提供的责任</w:t>
      </w:r>
    </w:p>
    <w:p w14:paraId="6F3B7B2B">
      <w:pPr>
        <w:wordWrap/>
        <w:topLinePunct w:val="0"/>
        <w:spacing w:after="120"/>
        <w:ind w:firstLine="600"/>
        <w:rPr>
          <w:rFonts w:ascii="仿宋_GB2312" w:eastAsia="仿宋_GB2312"/>
          <w:sz w:val="30"/>
          <w:szCs w:val="30"/>
        </w:rPr>
      </w:pPr>
      <w:r>
        <w:rPr>
          <w:rFonts w:hint="eastAsia" w:ascii="仿宋_GB2312" w:eastAsia="仿宋_GB2312"/>
          <w:sz w:val="30"/>
          <w:szCs w:val="30"/>
        </w:rPr>
        <w:t>因发包人原因未能按合同约定及时向承包人提供施工现场和施工条件的，由发包人承担由此增加的费用和（或）延误的工期。</w:t>
      </w:r>
    </w:p>
    <w:p w14:paraId="00054E54">
      <w:pPr>
        <w:wordWrap/>
        <w:topLinePunct w:val="0"/>
        <w:spacing w:after="120"/>
        <w:ind w:firstLine="600"/>
        <w:rPr>
          <w:rFonts w:ascii="仿宋_GB2312" w:eastAsia="仿宋_GB2312"/>
          <w:sz w:val="30"/>
          <w:szCs w:val="30"/>
        </w:rPr>
      </w:pPr>
      <w:bookmarkStart w:id="159" w:name="_Ref11956654"/>
      <w:bookmarkStart w:id="160" w:name="_Ref11918025"/>
      <w:bookmarkStart w:id="161" w:name="_Toc54862198"/>
      <w:bookmarkStart w:id="162" w:name="_Ref11918036"/>
      <w:bookmarkStart w:id="163" w:name="_Ref11956647"/>
      <w:r>
        <w:rPr>
          <w:rFonts w:hint="eastAsia" w:ascii="仿宋_GB2312" w:eastAsia="仿宋_GB2312"/>
          <w:sz w:val="30"/>
          <w:szCs w:val="30"/>
        </w:rPr>
        <w:t>2.3 提供基础资料</w:t>
      </w:r>
      <w:bookmarkEnd w:id="159"/>
      <w:bookmarkEnd w:id="160"/>
      <w:bookmarkEnd w:id="161"/>
      <w:bookmarkEnd w:id="162"/>
      <w:bookmarkEnd w:id="163"/>
    </w:p>
    <w:p w14:paraId="4776D1C4">
      <w:pPr>
        <w:wordWrap/>
        <w:topLinePunct w:val="0"/>
        <w:spacing w:after="120"/>
        <w:ind w:firstLine="600"/>
        <w:rPr>
          <w:rFonts w:ascii="仿宋_GB2312" w:eastAsia="仿宋_GB2312"/>
          <w:sz w:val="30"/>
          <w:szCs w:val="30"/>
        </w:rPr>
      </w:pPr>
      <w:bookmarkStart w:id="164" w:name="_Hlk51506429"/>
      <w:r>
        <w:rPr>
          <w:rFonts w:hint="eastAsia" w:ascii="仿宋_GB2312" w:eastAsia="仿宋_GB2312"/>
          <w:sz w:val="30"/>
          <w:szCs w:val="30"/>
        </w:rPr>
        <w:t>发包人应按专用合同条件和《发包人要求》中的约定向承包人提供</w:t>
      </w:r>
      <w:bookmarkEnd w:id="164"/>
      <w:r>
        <w:rPr>
          <w:rFonts w:hint="eastAsia" w:ascii="仿宋_GB2312" w:eastAsia="仿宋_GB2312"/>
          <w:sz w:val="30"/>
          <w:szCs w:val="30"/>
        </w:rPr>
        <w:t>施工现场及工程实施所必需的毗邻区域内的供水、排水、供电、供气、供热、通信、广播电视等地上、地下管线和设施资料，气象和水文观测资料，地质勘察资料，相邻建筑物、构筑物和地下工程等有关基础资料，并根据第</w:t>
      </w:r>
      <w:r>
        <w:rPr>
          <w:rFonts w:ascii="仿宋_GB2312" w:eastAsia="仿宋_GB2312"/>
          <w:sz w:val="30"/>
          <w:szCs w:val="30"/>
        </w:rPr>
        <w:t>1.12</w:t>
      </w:r>
      <w:r>
        <w:rPr>
          <w:rFonts w:hint="eastAsia" w:ascii="仿宋_GB2312" w:eastAsia="仿宋_GB2312"/>
          <w:sz w:val="30"/>
          <w:szCs w:val="30"/>
        </w:rPr>
        <w:t>款[</w:t>
      </w:r>
      <w:r>
        <w:rPr>
          <w:rFonts w:ascii="仿宋_GB2312" w:eastAsia="仿宋_GB2312"/>
          <w:sz w:val="30"/>
          <w:szCs w:val="30"/>
        </w:rPr>
        <w:t>《发包人要求》和基础资料中的错误</w:t>
      </w:r>
      <w:r>
        <w:rPr>
          <w:rFonts w:hint="eastAsia" w:ascii="仿宋_GB2312" w:eastAsia="仿宋_GB2312"/>
          <w:sz w:val="30"/>
          <w:szCs w:val="30"/>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68A9C60B">
      <w:pPr>
        <w:wordWrap/>
        <w:topLinePunct w:val="0"/>
        <w:spacing w:after="120"/>
        <w:ind w:firstLine="600"/>
        <w:rPr>
          <w:rFonts w:ascii="仿宋_GB2312" w:eastAsia="仿宋_GB2312"/>
          <w:sz w:val="30"/>
          <w:szCs w:val="30"/>
        </w:rPr>
      </w:pPr>
      <w:bookmarkStart w:id="165" w:name="_Ref531950041"/>
      <w:bookmarkStart w:id="166" w:name="_Ref531950045"/>
      <w:bookmarkStart w:id="167" w:name="_Toc54862199"/>
      <w:r>
        <w:rPr>
          <w:rFonts w:hint="eastAsia" w:ascii="仿宋_GB2312" w:eastAsia="仿宋_GB2312"/>
          <w:sz w:val="30"/>
          <w:szCs w:val="30"/>
        </w:rPr>
        <w:t>2.4 办理许可和批准</w:t>
      </w:r>
      <w:bookmarkEnd w:id="165"/>
      <w:bookmarkEnd w:id="166"/>
      <w:bookmarkEnd w:id="167"/>
    </w:p>
    <w:p w14:paraId="359E9D8F">
      <w:pPr>
        <w:spacing w:after="120"/>
        <w:ind w:firstLine="600"/>
        <w:rPr>
          <w:rFonts w:ascii="仿宋_GB2312" w:eastAsia="仿宋_GB2312"/>
          <w:sz w:val="30"/>
          <w:szCs w:val="30"/>
        </w:rPr>
      </w:pPr>
      <w:bookmarkStart w:id="168" w:name="_Toc51505128"/>
      <w:r>
        <w:rPr>
          <w:rFonts w:hint="eastAsia" w:ascii="仿宋_GB2312" w:eastAsia="仿宋_GB2312"/>
          <w:sz w:val="30"/>
          <w:szCs w:val="30"/>
        </w:rPr>
        <w:t>2</w:t>
      </w:r>
      <w:r>
        <w:rPr>
          <w:rFonts w:ascii="仿宋_GB2312" w:eastAsia="仿宋_GB2312"/>
          <w:sz w:val="30"/>
          <w:szCs w:val="30"/>
        </w:rPr>
        <w:t xml:space="preserve">.4.1 </w:t>
      </w:r>
      <w:r>
        <w:rPr>
          <w:rFonts w:hint="eastAsia" w:ascii="仿宋_GB2312" w:eastAsia="仿宋_GB2312"/>
          <w:sz w:val="30"/>
          <w:szCs w:val="30"/>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168"/>
    </w:p>
    <w:p w14:paraId="31C9CDE8">
      <w:pPr>
        <w:spacing w:after="120"/>
        <w:ind w:firstLine="600"/>
        <w:rPr>
          <w:rFonts w:ascii="仿宋_GB2312" w:eastAsia="仿宋_GB2312"/>
          <w:sz w:val="30"/>
          <w:szCs w:val="30"/>
        </w:rPr>
      </w:pPr>
      <w:bookmarkStart w:id="169" w:name="_Toc51505129"/>
      <w:r>
        <w:rPr>
          <w:rFonts w:hint="eastAsia" w:ascii="仿宋_GB2312" w:eastAsia="仿宋_GB2312"/>
          <w:sz w:val="30"/>
          <w:szCs w:val="30"/>
        </w:rPr>
        <w:t>2</w:t>
      </w:r>
      <w:r>
        <w:rPr>
          <w:rFonts w:ascii="仿宋_GB2312" w:eastAsia="仿宋_GB2312"/>
          <w:sz w:val="30"/>
          <w:szCs w:val="30"/>
        </w:rPr>
        <w:t xml:space="preserve">.4.2 </w:t>
      </w:r>
      <w:r>
        <w:rPr>
          <w:rFonts w:hint="eastAsia" w:ascii="仿宋_GB2312" w:eastAsia="仿宋_GB2312"/>
          <w:sz w:val="30"/>
          <w:szCs w:val="30"/>
        </w:rPr>
        <w:t>因发包人原因未能及时办理完毕前述许可、批准或备案，由发包人承担由此增加的费用和（或）延误的工期，并支付承包人合理的利润。</w:t>
      </w:r>
      <w:bookmarkEnd w:id="169"/>
    </w:p>
    <w:p w14:paraId="7F550D40">
      <w:pPr>
        <w:wordWrap/>
        <w:topLinePunct w:val="0"/>
        <w:spacing w:after="120"/>
        <w:ind w:firstLine="600"/>
        <w:rPr>
          <w:rFonts w:ascii="仿宋_GB2312" w:eastAsia="仿宋_GB2312"/>
          <w:sz w:val="30"/>
          <w:szCs w:val="30"/>
        </w:rPr>
      </w:pPr>
      <w:bookmarkStart w:id="170" w:name="_Ref11956533"/>
      <w:bookmarkStart w:id="171" w:name="_Toc54862200"/>
      <w:bookmarkStart w:id="172" w:name="_Ref11956525"/>
      <w:bookmarkStart w:id="173" w:name="_Ref11918060"/>
      <w:bookmarkStart w:id="174" w:name="_Ref11918070"/>
      <w:r>
        <w:rPr>
          <w:rFonts w:hint="eastAsia" w:ascii="仿宋_GB2312" w:eastAsia="仿宋_GB2312"/>
          <w:sz w:val="30"/>
          <w:szCs w:val="30"/>
        </w:rPr>
        <w:t>2.5 支付合同价款</w:t>
      </w:r>
      <w:bookmarkEnd w:id="170"/>
      <w:bookmarkEnd w:id="171"/>
      <w:bookmarkEnd w:id="172"/>
      <w:bookmarkEnd w:id="173"/>
      <w:bookmarkEnd w:id="174"/>
    </w:p>
    <w:p w14:paraId="406182F9">
      <w:pPr>
        <w:wordWrap/>
        <w:topLinePunct w:val="0"/>
        <w:spacing w:after="120"/>
        <w:ind w:firstLine="600"/>
        <w:rPr>
          <w:rFonts w:ascii="仿宋_GB2312" w:eastAsia="仿宋_GB2312"/>
          <w:sz w:val="30"/>
          <w:szCs w:val="30"/>
        </w:rPr>
      </w:pPr>
      <w:bookmarkStart w:id="175" w:name="_Toc51505131"/>
      <w:bookmarkStart w:id="176" w:name="_Ref531950147"/>
      <w:r>
        <w:rPr>
          <w:rFonts w:hint="eastAsia" w:ascii="仿宋_GB2312" w:eastAsia="仿宋_GB2312"/>
          <w:sz w:val="30"/>
          <w:szCs w:val="30"/>
        </w:rPr>
        <w:t>2</w:t>
      </w:r>
      <w:r>
        <w:rPr>
          <w:rFonts w:ascii="仿宋_GB2312" w:eastAsia="仿宋_GB2312"/>
          <w:sz w:val="30"/>
          <w:szCs w:val="30"/>
        </w:rPr>
        <w:t xml:space="preserve">.5.1 </w:t>
      </w:r>
      <w:r>
        <w:rPr>
          <w:rFonts w:hint="eastAsia" w:ascii="仿宋_GB2312" w:eastAsia="仿宋_GB2312"/>
          <w:sz w:val="30"/>
          <w:szCs w:val="30"/>
        </w:rPr>
        <w:t>发包人应按合同约定向承包人及时支付合同价款。</w:t>
      </w:r>
      <w:bookmarkEnd w:id="175"/>
    </w:p>
    <w:bookmarkEnd w:id="176"/>
    <w:p w14:paraId="2F880E97">
      <w:pPr>
        <w:spacing w:after="120"/>
        <w:ind w:firstLine="600"/>
        <w:rPr>
          <w:rFonts w:ascii="仿宋_GB2312" w:eastAsia="仿宋_GB2312"/>
          <w:sz w:val="30"/>
          <w:szCs w:val="30"/>
        </w:rPr>
      </w:pPr>
      <w:bookmarkStart w:id="177" w:name="_Toc51505132"/>
      <w:r>
        <w:rPr>
          <w:rFonts w:hint="eastAsia" w:ascii="仿宋_GB2312" w:eastAsia="仿宋_GB2312"/>
          <w:sz w:val="30"/>
          <w:szCs w:val="30"/>
        </w:rPr>
        <w:t>2</w:t>
      </w:r>
      <w:r>
        <w:rPr>
          <w:rFonts w:ascii="仿宋_GB2312" w:eastAsia="仿宋_GB2312"/>
          <w:sz w:val="30"/>
          <w:szCs w:val="30"/>
        </w:rPr>
        <w:t xml:space="preserve">.5.2 </w:t>
      </w:r>
      <w:r>
        <w:rPr>
          <w:rFonts w:hint="eastAsia" w:ascii="仿宋_GB2312" w:eastAsia="仿宋_GB2312"/>
          <w:sz w:val="30"/>
          <w:szCs w:val="30"/>
        </w:rPr>
        <w:t>发包人应当制定资金安排计划，除专用合同条件另有约定外，如发包人拟对资金安排做任何重要变更，应将变更的详细情况通知承包人。如发生承包人收到价格大于签约合同价</w:t>
      </w:r>
      <w:r>
        <w:rPr>
          <w:rFonts w:ascii="仿宋_GB2312" w:eastAsia="仿宋_GB2312"/>
          <w:sz w:val="30"/>
          <w:szCs w:val="30"/>
        </w:rPr>
        <w:t>10%</w:t>
      </w:r>
      <w:r>
        <w:rPr>
          <w:rFonts w:hint="eastAsia" w:ascii="仿宋_GB2312" w:eastAsia="仿宋_GB2312"/>
          <w:sz w:val="30"/>
          <w:szCs w:val="30"/>
        </w:rPr>
        <w:t>的变更指示或累计变更的总价超过签约合同价</w:t>
      </w:r>
      <w:r>
        <w:rPr>
          <w:rFonts w:ascii="仿宋_GB2312" w:eastAsia="仿宋_GB2312"/>
          <w:sz w:val="30"/>
          <w:szCs w:val="30"/>
        </w:rPr>
        <w:t>30%；或承包人未能根据</w:t>
      </w:r>
      <w:r>
        <w:rPr>
          <w:rFonts w:hint="eastAsia" w:ascii="仿宋_GB2312" w:eastAsia="仿宋_GB2312"/>
          <w:sz w:val="30"/>
          <w:szCs w:val="30"/>
        </w:rPr>
        <w:t>第</w:t>
      </w:r>
      <w:r>
        <w:rPr>
          <w:rFonts w:ascii="仿宋_GB2312" w:eastAsia="仿宋_GB2312"/>
          <w:sz w:val="30"/>
          <w:szCs w:val="30"/>
        </w:rPr>
        <w:t>14条</w:t>
      </w:r>
      <w:r>
        <w:rPr>
          <w:rFonts w:hint="eastAsia" w:ascii="仿宋_GB2312" w:eastAsia="仿宋_GB2312"/>
          <w:sz w:val="30"/>
          <w:szCs w:val="30"/>
        </w:rPr>
        <w:t>[合同价格与支付]收到付款，或承包人得知发包人的资金安排发生重要变更但并未收到发包人上述重要变更通知的情况，则承包人可随时要求发包人在</w:t>
      </w:r>
      <w:r>
        <w:rPr>
          <w:rFonts w:ascii="仿宋_GB2312" w:eastAsia="仿宋_GB2312"/>
          <w:sz w:val="30"/>
          <w:szCs w:val="30"/>
        </w:rPr>
        <w:t>28</w:t>
      </w:r>
      <w:r>
        <w:rPr>
          <w:rFonts w:hint="eastAsia" w:ascii="仿宋_GB2312" w:eastAsia="仿宋_GB2312"/>
          <w:sz w:val="30"/>
          <w:szCs w:val="30"/>
        </w:rPr>
        <w:t>天内补充提供能够按照合同约定支付合同价款的相应资金来源证明。</w:t>
      </w:r>
      <w:bookmarkEnd w:id="177"/>
    </w:p>
    <w:p w14:paraId="6B12727F">
      <w:pPr>
        <w:spacing w:after="120"/>
        <w:ind w:firstLine="600"/>
        <w:rPr>
          <w:rFonts w:ascii="仿宋_GB2312" w:eastAsia="仿宋_GB2312"/>
          <w:sz w:val="30"/>
          <w:szCs w:val="30"/>
        </w:rPr>
      </w:pPr>
      <w:bookmarkStart w:id="178" w:name="_Toc51505133"/>
      <w:bookmarkStart w:id="179" w:name="_Ref531950161"/>
      <w:r>
        <w:rPr>
          <w:rFonts w:hint="eastAsia" w:ascii="仿宋_GB2312" w:eastAsia="仿宋_GB2312"/>
          <w:sz w:val="30"/>
          <w:szCs w:val="30"/>
        </w:rPr>
        <w:t>2</w:t>
      </w:r>
      <w:r>
        <w:rPr>
          <w:rFonts w:ascii="仿宋_GB2312" w:eastAsia="仿宋_GB2312"/>
          <w:sz w:val="30"/>
          <w:szCs w:val="30"/>
        </w:rPr>
        <w:t xml:space="preserve">.5.3 </w:t>
      </w:r>
      <w:r>
        <w:rPr>
          <w:rFonts w:hint="eastAsia" w:ascii="仿宋_GB2312" w:eastAsia="仿宋_GB2312"/>
          <w:sz w:val="30"/>
          <w:szCs w:val="30"/>
        </w:rPr>
        <w:t>发包人应当向承包人提供支付担保。支付担保可以采用银行保函或担保公司担保等形式，具体由合同当事人在专用合同条件中约定。</w:t>
      </w:r>
      <w:bookmarkEnd w:id="178"/>
      <w:bookmarkEnd w:id="179"/>
    </w:p>
    <w:p w14:paraId="0DD651BF">
      <w:pPr>
        <w:wordWrap/>
        <w:topLinePunct w:val="0"/>
        <w:spacing w:after="120"/>
        <w:ind w:firstLine="600"/>
        <w:rPr>
          <w:rFonts w:ascii="仿宋_GB2312" w:eastAsia="仿宋_GB2312"/>
          <w:sz w:val="30"/>
          <w:szCs w:val="30"/>
        </w:rPr>
      </w:pPr>
      <w:bookmarkStart w:id="180" w:name="_Toc54862201"/>
      <w:r>
        <w:rPr>
          <w:rFonts w:hint="eastAsia" w:ascii="仿宋_GB2312" w:eastAsia="仿宋_GB2312"/>
          <w:sz w:val="30"/>
          <w:szCs w:val="30"/>
        </w:rPr>
        <w:t>2.6 现场管理配合</w:t>
      </w:r>
      <w:bookmarkEnd w:id="180"/>
    </w:p>
    <w:p w14:paraId="1C4DD2C2">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发包人应负责保证在现场或现场附近的发包人人员和发包人的其他承包人（如有）：</w:t>
      </w:r>
    </w:p>
    <w:p w14:paraId="7D813E5B">
      <w:pPr>
        <w:wordWrap/>
        <w:topLinePunct w:val="0"/>
        <w:spacing w:after="120"/>
        <w:ind w:firstLine="600"/>
        <w:rPr>
          <w:rFonts w:ascii="仿宋_GB2312" w:eastAsia="仿宋_GB2312"/>
          <w:sz w:val="30"/>
          <w:szCs w:val="30"/>
        </w:rPr>
      </w:pPr>
      <w:r>
        <w:rPr>
          <w:rFonts w:hint="eastAsia" w:ascii="仿宋_GB2312" w:eastAsia="仿宋_GB2312"/>
          <w:sz w:val="30"/>
          <w:szCs w:val="30"/>
        </w:rPr>
        <w:t>（1）根据第</w:t>
      </w:r>
      <w:r>
        <w:rPr>
          <w:rFonts w:ascii="仿宋_GB2312" w:eastAsia="仿宋_GB2312"/>
          <w:sz w:val="30"/>
          <w:szCs w:val="30"/>
        </w:rPr>
        <w:t>7.3</w:t>
      </w:r>
      <w:r>
        <w:rPr>
          <w:rFonts w:hint="eastAsia" w:ascii="仿宋_GB2312" w:eastAsia="仿宋_GB2312"/>
          <w:sz w:val="30"/>
          <w:szCs w:val="30"/>
        </w:rPr>
        <w:t>款[现场合作]的约定，与承包人进行合作；</w:t>
      </w:r>
    </w:p>
    <w:p w14:paraId="34227CDA">
      <w:pPr>
        <w:wordWrap/>
        <w:topLinePunct w:val="0"/>
        <w:spacing w:after="120"/>
        <w:ind w:firstLine="600"/>
        <w:rPr>
          <w:rFonts w:ascii="仿宋_GB2312" w:eastAsia="仿宋_GB2312"/>
          <w:sz w:val="30"/>
          <w:szCs w:val="30"/>
        </w:rPr>
      </w:pPr>
      <w:r>
        <w:rPr>
          <w:rFonts w:hint="eastAsia" w:ascii="仿宋_GB2312" w:eastAsia="仿宋_GB2312"/>
          <w:sz w:val="30"/>
          <w:szCs w:val="30"/>
        </w:rPr>
        <w:t>（2）遵守第</w:t>
      </w:r>
      <w:r>
        <w:rPr>
          <w:rFonts w:ascii="仿宋_GB2312" w:eastAsia="仿宋_GB2312"/>
          <w:sz w:val="30"/>
          <w:szCs w:val="30"/>
        </w:rPr>
        <w:t>7.5</w:t>
      </w:r>
      <w:r>
        <w:rPr>
          <w:rFonts w:hint="eastAsia" w:ascii="仿宋_GB2312" w:eastAsia="仿宋_GB2312"/>
          <w:sz w:val="30"/>
          <w:szCs w:val="30"/>
        </w:rPr>
        <w:t>款[现场劳动用工</w:t>
      </w:r>
      <w:r>
        <w:rPr>
          <w:rFonts w:ascii="仿宋_GB2312" w:eastAsia="仿宋_GB2312"/>
          <w:sz w:val="30"/>
          <w:szCs w:val="30"/>
        </w:rPr>
        <w:t>]</w:t>
      </w:r>
      <w:r>
        <w:rPr>
          <w:rFonts w:hint="eastAsia" w:ascii="仿宋_GB2312" w:eastAsia="仿宋_GB2312"/>
          <w:sz w:val="30"/>
          <w:szCs w:val="30"/>
        </w:rPr>
        <w:t>、第7</w:t>
      </w:r>
      <w:r>
        <w:rPr>
          <w:rFonts w:ascii="仿宋_GB2312" w:eastAsia="仿宋_GB2312"/>
          <w:sz w:val="30"/>
          <w:szCs w:val="30"/>
        </w:rPr>
        <w:t>.6</w:t>
      </w:r>
      <w:r>
        <w:rPr>
          <w:rFonts w:hint="eastAsia" w:ascii="仿宋_GB2312" w:eastAsia="仿宋_GB2312"/>
          <w:sz w:val="30"/>
          <w:szCs w:val="30"/>
        </w:rPr>
        <w:t>款[安全文明施工]、第</w:t>
      </w:r>
      <w:r>
        <w:rPr>
          <w:rFonts w:ascii="仿宋_GB2312" w:eastAsia="仿宋_GB2312"/>
          <w:sz w:val="30"/>
          <w:szCs w:val="30"/>
        </w:rPr>
        <w:t>7.7</w:t>
      </w:r>
      <w:r>
        <w:rPr>
          <w:rFonts w:hint="eastAsia" w:ascii="仿宋_GB2312" w:eastAsia="仿宋_GB2312"/>
          <w:sz w:val="30"/>
          <w:szCs w:val="30"/>
        </w:rPr>
        <w:t>款[职业健康</w:t>
      </w:r>
      <w:bookmarkStart w:id="181" w:name="_Ref531952756"/>
      <w:bookmarkStart w:id="182" w:name="_Ref531952761"/>
      <w:r>
        <w:rPr>
          <w:rFonts w:hint="eastAsia" w:ascii="仿宋_GB2312" w:eastAsia="仿宋_GB2312"/>
          <w:sz w:val="30"/>
          <w:szCs w:val="30"/>
        </w:rPr>
        <w:t>]和第</w:t>
      </w:r>
      <w:r>
        <w:rPr>
          <w:rFonts w:ascii="仿宋_GB2312" w:eastAsia="仿宋_GB2312"/>
          <w:sz w:val="30"/>
          <w:szCs w:val="30"/>
        </w:rPr>
        <w:t>7.8</w:t>
      </w:r>
      <w:r>
        <w:rPr>
          <w:rFonts w:hint="eastAsia" w:ascii="仿宋_GB2312" w:eastAsia="仿宋_GB2312"/>
          <w:sz w:val="30"/>
          <w:szCs w:val="30"/>
        </w:rPr>
        <w:t>款[</w:t>
      </w:r>
      <w:r>
        <w:rPr>
          <w:rFonts w:ascii="仿宋_GB2312" w:eastAsia="仿宋_GB2312"/>
          <w:sz w:val="30"/>
          <w:szCs w:val="30"/>
        </w:rPr>
        <w:t>环境保护</w:t>
      </w:r>
      <w:r>
        <w:rPr>
          <w:rFonts w:hint="eastAsia" w:ascii="仿宋_GB2312" w:eastAsia="仿宋_GB2312"/>
          <w:sz w:val="30"/>
          <w:szCs w:val="30"/>
        </w:rPr>
        <w:t>]的相关约定。</w:t>
      </w:r>
    </w:p>
    <w:p w14:paraId="02162557">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发包人应与承包人、由发包人直接发包的其他承包人（如有）订立施工现场统一管理协议，明确各方的权利义务。</w:t>
      </w:r>
    </w:p>
    <w:p w14:paraId="56ABB769">
      <w:pPr>
        <w:wordWrap/>
        <w:topLinePunct w:val="0"/>
        <w:spacing w:after="120"/>
        <w:ind w:firstLine="600"/>
        <w:rPr>
          <w:rFonts w:ascii="仿宋_GB2312" w:eastAsia="仿宋_GB2312"/>
          <w:sz w:val="30"/>
          <w:szCs w:val="30"/>
        </w:rPr>
      </w:pPr>
      <w:bookmarkStart w:id="183" w:name="_Toc54862202"/>
      <w:bookmarkStart w:id="184" w:name="_Ref11959376"/>
      <w:bookmarkStart w:id="185" w:name="_Ref11959372"/>
      <w:r>
        <w:rPr>
          <w:rFonts w:hint="eastAsia" w:ascii="仿宋_GB2312" w:eastAsia="仿宋_GB2312"/>
          <w:sz w:val="30"/>
          <w:szCs w:val="30"/>
        </w:rPr>
        <w:t>2.7 其他义务</w:t>
      </w:r>
      <w:bookmarkEnd w:id="183"/>
      <w:bookmarkEnd w:id="184"/>
      <w:bookmarkEnd w:id="185"/>
    </w:p>
    <w:p w14:paraId="2F9F99C4">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发包人应履行合同约定的其他义务，双方可在专用合同条件内对发包人应履行的其他义务进行补充约定。</w:t>
      </w:r>
    </w:p>
    <w:bookmarkEnd w:id="181"/>
    <w:bookmarkEnd w:id="182"/>
    <w:p w14:paraId="0A01A11A">
      <w:pPr>
        <w:wordWrap/>
        <w:topLinePunct w:val="0"/>
        <w:spacing w:after="120"/>
        <w:ind w:firstLine="0" w:firstLineChars="0"/>
        <w:rPr>
          <w:rFonts w:ascii="仿宋_GB2312" w:eastAsia="仿宋_GB2312"/>
          <w:sz w:val="32"/>
          <w:szCs w:val="32"/>
        </w:rPr>
      </w:pPr>
      <w:bookmarkStart w:id="186" w:name="_Toc1814"/>
      <w:bookmarkStart w:id="187" w:name="_Ref531952791"/>
      <w:bookmarkStart w:id="188" w:name="_Toc22497"/>
      <w:bookmarkStart w:id="189" w:name="_Toc5637"/>
      <w:bookmarkStart w:id="190" w:name="_Toc54862203"/>
      <w:r>
        <w:rPr>
          <w:rFonts w:hint="eastAsia" w:ascii="仿宋_GB2312" w:eastAsia="仿宋_GB2312"/>
          <w:sz w:val="32"/>
          <w:szCs w:val="32"/>
        </w:rPr>
        <w:t>第3条 发包人的管理</w:t>
      </w:r>
      <w:bookmarkEnd w:id="186"/>
      <w:bookmarkEnd w:id="187"/>
      <w:bookmarkEnd w:id="188"/>
      <w:bookmarkEnd w:id="189"/>
      <w:bookmarkEnd w:id="190"/>
    </w:p>
    <w:p w14:paraId="67A56BB7">
      <w:pPr>
        <w:wordWrap/>
        <w:topLinePunct w:val="0"/>
        <w:spacing w:after="120"/>
        <w:ind w:firstLine="600"/>
        <w:rPr>
          <w:rFonts w:ascii="仿宋_GB2312" w:eastAsia="仿宋_GB2312"/>
          <w:sz w:val="30"/>
          <w:szCs w:val="30"/>
        </w:rPr>
      </w:pPr>
      <w:bookmarkStart w:id="191" w:name="_Ref522810094"/>
      <w:bookmarkStart w:id="192" w:name="_Ref522810097"/>
      <w:bookmarkStart w:id="193" w:name="_Toc54862204"/>
      <w:bookmarkStart w:id="194" w:name="_Ref531951538"/>
      <w:bookmarkStart w:id="195" w:name="_Ref531951533"/>
      <w:r>
        <w:rPr>
          <w:rFonts w:hint="eastAsia" w:ascii="仿宋_GB2312" w:eastAsia="仿宋_GB2312"/>
          <w:sz w:val="30"/>
          <w:szCs w:val="30"/>
        </w:rPr>
        <w:t>3.1 发包人</w:t>
      </w:r>
      <w:bookmarkEnd w:id="191"/>
      <w:bookmarkEnd w:id="192"/>
      <w:r>
        <w:rPr>
          <w:rFonts w:hint="eastAsia" w:ascii="仿宋_GB2312" w:eastAsia="仿宋_GB2312"/>
          <w:sz w:val="30"/>
          <w:szCs w:val="30"/>
        </w:rPr>
        <w:t>代表</w:t>
      </w:r>
      <w:bookmarkEnd w:id="193"/>
      <w:bookmarkEnd w:id="194"/>
      <w:bookmarkEnd w:id="195"/>
    </w:p>
    <w:p w14:paraId="3118EECC">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73EAA0AA">
      <w:pPr>
        <w:wordWrap/>
        <w:topLinePunct w:val="0"/>
        <w:spacing w:after="120"/>
        <w:ind w:firstLine="600"/>
        <w:rPr>
          <w:rFonts w:ascii="仿宋_GB2312" w:eastAsia="仿宋_GB2312"/>
          <w:sz w:val="30"/>
          <w:szCs w:val="30"/>
        </w:rPr>
      </w:pPr>
      <w:r>
        <w:rPr>
          <w:rFonts w:hint="eastAsia" w:ascii="仿宋_GB2312" w:eastAsia="仿宋_GB2312"/>
          <w:sz w:val="30"/>
          <w:szCs w:val="30"/>
        </w:rPr>
        <w:t>除非发包人另行通知承包人，发包人代表应被授予并且被认为具有发包人在授权范围内享有的相应权利，涉及第</w:t>
      </w:r>
      <w:r>
        <w:rPr>
          <w:rFonts w:ascii="仿宋_GB2312" w:eastAsia="仿宋_GB2312"/>
          <w:sz w:val="30"/>
          <w:szCs w:val="30"/>
        </w:rPr>
        <w:t>16.1</w:t>
      </w:r>
      <w:r>
        <w:rPr>
          <w:rFonts w:hint="eastAsia" w:ascii="仿宋_GB2312" w:eastAsia="仿宋_GB2312"/>
          <w:sz w:val="30"/>
          <w:szCs w:val="30"/>
        </w:rPr>
        <w:t>款[由发包人解除合同]的权利除外。</w:t>
      </w:r>
    </w:p>
    <w:p w14:paraId="0618B3E0">
      <w:pPr>
        <w:wordWrap/>
        <w:topLinePunct w:val="0"/>
        <w:spacing w:after="120"/>
        <w:ind w:firstLine="600"/>
        <w:rPr>
          <w:rFonts w:ascii="仿宋_GB2312" w:eastAsia="仿宋_GB2312"/>
          <w:sz w:val="30"/>
          <w:szCs w:val="30"/>
        </w:rPr>
      </w:pPr>
      <w:r>
        <w:rPr>
          <w:rFonts w:hint="eastAsia" w:ascii="仿宋_GB2312" w:eastAsia="仿宋_GB2312"/>
          <w:sz w:val="30"/>
          <w:szCs w:val="30"/>
        </w:rPr>
        <w:t>发包人代表（或者在其为法人的情况下，被任命代表其行事的自然人）应：</w:t>
      </w:r>
    </w:p>
    <w:p w14:paraId="78C906C6">
      <w:pPr>
        <w:wordWrap/>
        <w:topLinePunct w:val="0"/>
        <w:spacing w:after="120"/>
        <w:ind w:firstLine="600"/>
        <w:rPr>
          <w:rFonts w:ascii="仿宋_GB2312" w:eastAsia="仿宋_GB2312"/>
          <w:sz w:val="30"/>
          <w:szCs w:val="30"/>
        </w:rPr>
      </w:pPr>
      <w:r>
        <w:rPr>
          <w:rFonts w:hint="eastAsia" w:ascii="仿宋_GB2312" w:eastAsia="仿宋_GB2312"/>
          <w:sz w:val="30"/>
          <w:szCs w:val="30"/>
        </w:rPr>
        <w:t>（1） 履行指派给其的职责，行使发包人托付给的权利；</w:t>
      </w:r>
    </w:p>
    <w:p w14:paraId="1AC13840">
      <w:pPr>
        <w:wordWrap/>
        <w:topLinePunct w:val="0"/>
        <w:spacing w:after="120"/>
        <w:ind w:firstLine="600"/>
        <w:rPr>
          <w:rFonts w:ascii="仿宋_GB2312" w:eastAsia="仿宋_GB2312"/>
          <w:sz w:val="30"/>
          <w:szCs w:val="30"/>
        </w:rPr>
      </w:pPr>
      <w:r>
        <w:rPr>
          <w:rFonts w:hint="eastAsia" w:ascii="仿宋_GB2312" w:eastAsia="仿宋_GB2312"/>
          <w:sz w:val="30"/>
          <w:szCs w:val="30"/>
        </w:rPr>
        <w:t>（2） 具备履行这些职责、行使这些权利的能力；</w:t>
      </w:r>
    </w:p>
    <w:p w14:paraId="5B09A3BA">
      <w:pPr>
        <w:wordWrap/>
        <w:topLinePunct w:val="0"/>
        <w:spacing w:after="120"/>
        <w:ind w:firstLine="600"/>
        <w:rPr>
          <w:rFonts w:ascii="仿宋_GB2312" w:eastAsia="仿宋_GB2312"/>
          <w:sz w:val="30"/>
          <w:szCs w:val="30"/>
        </w:rPr>
      </w:pPr>
      <w:r>
        <w:rPr>
          <w:rFonts w:hint="eastAsia" w:ascii="仿宋_GB2312" w:eastAsia="仿宋_GB2312"/>
          <w:sz w:val="30"/>
          <w:szCs w:val="30"/>
        </w:rPr>
        <w:t>（3） 作为熟练的专业人员行事。</w:t>
      </w:r>
    </w:p>
    <w:p w14:paraId="3C2FD222">
      <w:pPr>
        <w:wordWrap/>
        <w:topLinePunct w:val="0"/>
        <w:spacing w:after="120"/>
        <w:ind w:firstLine="600"/>
        <w:rPr>
          <w:rFonts w:ascii="仿宋_GB2312" w:eastAsia="仿宋_GB2312"/>
          <w:sz w:val="30"/>
          <w:szCs w:val="30"/>
        </w:rPr>
      </w:pPr>
      <w:r>
        <w:rPr>
          <w:rFonts w:hint="eastAsia" w:ascii="仿宋_GB2312" w:eastAsia="仿宋_GB2312"/>
          <w:sz w:val="30"/>
          <w:szCs w:val="30"/>
        </w:rPr>
        <w:t>如果发包人代表为法人且在签订本合同时未能确定授权代表的，发包人代表应在本合同签订之日起</w:t>
      </w:r>
      <w:r>
        <w:rPr>
          <w:rFonts w:ascii="仿宋_GB2312" w:eastAsia="仿宋_GB2312"/>
          <w:sz w:val="30"/>
          <w:szCs w:val="30"/>
        </w:rPr>
        <w:t>3日内</w:t>
      </w:r>
      <w:r>
        <w:rPr>
          <w:rFonts w:hint="eastAsia" w:ascii="仿宋_GB2312" w:eastAsia="仿宋_GB2312"/>
          <w:sz w:val="30"/>
          <w:szCs w:val="30"/>
        </w:rPr>
        <w:t>向双方发出书面通知，告知被任命和授权的自然人以及任何替代人员。此授权在双方收到本通知后生效。发包人代表撤销该授权或者变更授权代表时也应同样发出该通知。</w:t>
      </w:r>
    </w:p>
    <w:p w14:paraId="4541D88B">
      <w:pPr>
        <w:wordWrap/>
        <w:topLinePunct w:val="0"/>
        <w:spacing w:after="120"/>
        <w:ind w:firstLine="600"/>
        <w:rPr>
          <w:rFonts w:ascii="仿宋_GB2312" w:eastAsia="仿宋_GB2312"/>
          <w:sz w:val="30"/>
          <w:szCs w:val="30"/>
        </w:rPr>
      </w:pPr>
      <w:r>
        <w:rPr>
          <w:rFonts w:hint="eastAsia" w:ascii="仿宋_GB2312" w:eastAsia="仿宋_GB2312"/>
          <w:sz w:val="30"/>
          <w:szCs w:val="30"/>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51D940C3">
      <w:pPr>
        <w:wordWrap/>
        <w:topLinePunct w:val="0"/>
        <w:spacing w:after="120"/>
        <w:ind w:firstLine="600"/>
        <w:rPr>
          <w:rFonts w:ascii="仿宋_GB2312" w:eastAsia="仿宋_GB2312"/>
          <w:sz w:val="30"/>
          <w:szCs w:val="30"/>
        </w:rPr>
      </w:pPr>
      <w:r>
        <w:rPr>
          <w:rFonts w:hint="eastAsia" w:ascii="仿宋_GB2312" w:eastAsia="仿宋_GB2312"/>
          <w:sz w:val="30"/>
          <w:szCs w:val="30"/>
        </w:rPr>
        <w:t>发包人代表不能按照合同约定履行其职责及义务，并导致合同无法继续正常履行的，承包人可以要求发包人撤换发包人代表。</w:t>
      </w:r>
    </w:p>
    <w:p w14:paraId="106F9C68">
      <w:pPr>
        <w:wordWrap/>
        <w:topLinePunct w:val="0"/>
        <w:spacing w:after="120"/>
        <w:ind w:firstLine="600"/>
        <w:rPr>
          <w:rFonts w:ascii="仿宋_GB2312" w:eastAsia="仿宋_GB2312"/>
          <w:sz w:val="30"/>
          <w:szCs w:val="30"/>
        </w:rPr>
      </w:pPr>
      <w:bookmarkStart w:id="196" w:name="_Ref531951553"/>
      <w:bookmarkStart w:id="197" w:name="_Ref531951557"/>
      <w:bookmarkStart w:id="198" w:name="_Toc54862205"/>
      <w:r>
        <w:rPr>
          <w:rFonts w:hint="eastAsia" w:ascii="仿宋_GB2312" w:eastAsia="仿宋_GB2312"/>
          <w:sz w:val="30"/>
          <w:szCs w:val="30"/>
        </w:rPr>
        <w:t>3.2 发包人人员</w:t>
      </w:r>
      <w:bookmarkEnd w:id="196"/>
      <w:bookmarkEnd w:id="197"/>
      <w:bookmarkEnd w:id="198"/>
    </w:p>
    <w:p w14:paraId="3AEF99E9">
      <w:pPr>
        <w:wordWrap/>
        <w:topLinePunct w:val="0"/>
        <w:spacing w:after="120"/>
        <w:ind w:firstLine="600"/>
        <w:rPr>
          <w:rFonts w:ascii="仿宋_GB2312" w:eastAsia="仿宋_GB2312"/>
          <w:sz w:val="30"/>
          <w:szCs w:val="30"/>
        </w:rPr>
      </w:pPr>
      <w:r>
        <w:rPr>
          <w:rFonts w:hint="eastAsia" w:ascii="仿宋_GB2312" w:eastAsia="仿宋_GB2312"/>
          <w:sz w:val="30"/>
          <w:szCs w:val="30"/>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6A0903A7">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发包人应要求在施工现场的发包人人员遵守法律及有关安全、质量、环境保护、文明施工等规定，因发包人人员未遵守上述要求给承包人造成的损失和责任由发包人承担。</w:t>
      </w:r>
    </w:p>
    <w:p w14:paraId="7831F429">
      <w:pPr>
        <w:wordWrap/>
        <w:topLinePunct w:val="0"/>
        <w:spacing w:after="120"/>
        <w:ind w:firstLine="600"/>
        <w:rPr>
          <w:rFonts w:ascii="仿宋_GB2312" w:eastAsia="仿宋_GB2312"/>
          <w:sz w:val="30"/>
          <w:szCs w:val="30"/>
        </w:rPr>
      </w:pPr>
      <w:bookmarkStart w:id="199" w:name="_Toc54862206"/>
      <w:r>
        <w:rPr>
          <w:rFonts w:hint="eastAsia" w:ascii="仿宋_GB2312" w:eastAsia="仿宋_GB2312"/>
          <w:sz w:val="30"/>
          <w:szCs w:val="30"/>
        </w:rPr>
        <w:t>3.3 工程师</w:t>
      </w:r>
      <w:bookmarkEnd w:id="199"/>
    </w:p>
    <w:p w14:paraId="1DA089E2">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.3.1 </w:t>
      </w:r>
      <w:r>
        <w:rPr>
          <w:rFonts w:hint="eastAsia" w:ascii="仿宋_GB2312" w:eastAsia="仿宋_GB2312"/>
          <w:sz w:val="30"/>
          <w:szCs w:val="30"/>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1D3F0199">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.3.2 </w:t>
      </w:r>
      <w:r>
        <w:rPr>
          <w:rFonts w:hint="eastAsia" w:ascii="仿宋_GB2312" w:eastAsia="仿宋_GB2312"/>
          <w:sz w:val="30"/>
          <w:szCs w:val="30"/>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2678B081">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.3.3 </w:t>
      </w:r>
      <w:r>
        <w:rPr>
          <w:rFonts w:hint="eastAsia" w:ascii="仿宋_GB2312" w:eastAsia="仿宋_GB2312"/>
          <w:sz w:val="30"/>
          <w:szCs w:val="30"/>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3A5CD396">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.3.4 </w:t>
      </w:r>
      <w:r>
        <w:rPr>
          <w:rFonts w:hint="eastAsia" w:ascii="仿宋_GB2312" w:eastAsia="仿宋_GB2312"/>
          <w:sz w:val="30"/>
          <w:szCs w:val="30"/>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04441890">
      <w:pPr>
        <w:wordWrap/>
        <w:topLinePunct w:val="0"/>
        <w:spacing w:after="120"/>
        <w:ind w:firstLine="600"/>
        <w:rPr>
          <w:rFonts w:ascii="仿宋_GB2312" w:eastAsia="仿宋_GB2312"/>
          <w:sz w:val="30"/>
          <w:szCs w:val="30"/>
        </w:rPr>
      </w:pPr>
      <w:bookmarkStart w:id="200" w:name="_Toc54862207"/>
      <w:bookmarkStart w:id="201" w:name="_Ref531951597"/>
      <w:bookmarkStart w:id="202" w:name="_Ref531951594"/>
      <w:r>
        <w:rPr>
          <w:rFonts w:hint="eastAsia" w:ascii="仿宋_GB2312" w:eastAsia="仿宋_GB2312"/>
          <w:sz w:val="30"/>
          <w:szCs w:val="30"/>
        </w:rPr>
        <w:t>3.4 任命和授权</w:t>
      </w:r>
      <w:bookmarkEnd w:id="200"/>
    </w:p>
    <w:p w14:paraId="174C126A">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.4.1 </w:t>
      </w:r>
      <w:r>
        <w:rPr>
          <w:rFonts w:hint="eastAsia" w:ascii="仿宋_GB2312" w:eastAsia="仿宋_GB2312"/>
          <w:sz w:val="30"/>
          <w:szCs w:val="30"/>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5919C14C">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.4.2 </w:t>
      </w:r>
      <w:r>
        <w:rPr>
          <w:rFonts w:hint="eastAsia" w:ascii="仿宋_GB2312" w:eastAsia="仿宋_GB2312"/>
          <w:sz w:val="30"/>
          <w:szCs w:val="30"/>
        </w:rPr>
        <w:t>工程师可以授权其他人员负责执行其指派的一项或多项工作，但第</w:t>
      </w:r>
      <w:r>
        <w:rPr>
          <w:rFonts w:ascii="仿宋_GB2312" w:eastAsia="仿宋_GB2312"/>
          <w:sz w:val="30"/>
          <w:szCs w:val="30"/>
        </w:rPr>
        <w:t>3.6</w:t>
      </w:r>
      <w:r>
        <w:rPr>
          <w:rFonts w:hint="eastAsia" w:ascii="仿宋_GB2312" w:eastAsia="仿宋_GB2312"/>
          <w:sz w:val="30"/>
          <w:szCs w:val="30"/>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46C30435">
      <w:pPr>
        <w:wordWrap/>
        <w:topLinePunct w:val="0"/>
        <w:spacing w:after="120"/>
        <w:ind w:firstLine="600"/>
        <w:rPr>
          <w:rFonts w:ascii="仿宋_GB2312" w:eastAsia="仿宋_GB2312"/>
          <w:sz w:val="30"/>
          <w:szCs w:val="30"/>
        </w:rPr>
      </w:pPr>
      <w:bookmarkStart w:id="203" w:name="_Toc54862208"/>
      <w:bookmarkStart w:id="204" w:name="_Ref20165400"/>
      <w:r>
        <w:rPr>
          <w:rFonts w:hint="eastAsia" w:ascii="仿宋_GB2312" w:eastAsia="仿宋_GB2312"/>
          <w:sz w:val="30"/>
          <w:szCs w:val="30"/>
        </w:rPr>
        <w:t>3.5 指示</w:t>
      </w:r>
      <w:bookmarkEnd w:id="201"/>
      <w:bookmarkEnd w:id="202"/>
      <w:bookmarkEnd w:id="203"/>
      <w:bookmarkEnd w:id="204"/>
    </w:p>
    <w:p w14:paraId="603FA60E">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.5.1 </w:t>
      </w:r>
      <w:r>
        <w:rPr>
          <w:rFonts w:hint="eastAsia" w:ascii="仿宋_GB2312" w:eastAsia="仿宋_GB2312"/>
          <w:sz w:val="30"/>
          <w:szCs w:val="30"/>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42E4BFAA">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.5.2 </w:t>
      </w:r>
      <w:r>
        <w:rPr>
          <w:rFonts w:hint="eastAsia" w:ascii="仿宋_GB2312" w:eastAsia="仿宋_GB2312"/>
          <w:sz w:val="30"/>
          <w:szCs w:val="30"/>
        </w:rPr>
        <w:t>承包人收到工程师作出的指示后应遵照执行。如果任何此类指示构成一项变更时，应按照第</w:t>
      </w:r>
      <w:r>
        <w:rPr>
          <w:rFonts w:ascii="仿宋_GB2312" w:eastAsia="仿宋_GB2312"/>
          <w:sz w:val="30"/>
          <w:szCs w:val="30"/>
        </w:rPr>
        <w:t>13条</w:t>
      </w:r>
      <w:r>
        <w:rPr>
          <w:rFonts w:hint="eastAsia" w:ascii="仿宋_GB2312" w:eastAsia="仿宋_GB2312"/>
          <w:sz w:val="30"/>
          <w:szCs w:val="30"/>
        </w:rPr>
        <w:t>[变更与调整]的约定办理。</w:t>
      </w:r>
    </w:p>
    <w:p w14:paraId="440A8440">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.5.3 </w:t>
      </w:r>
      <w:r>
        <w:rPr>
          <w:rFonts w:hint="eastAsia" w:ascii="仿宋_GB2312" w:eastAsia="仿宋_GB2312"/>
          <w:sz w:val="30"/>
          <w:szCs w:val="30"/>
        </w:rPr>
        <w:t>由于工程师未能按合同约定发出指示、指示延误或指示错误而导致承包人费用增加和（或）工期延误的，发包人应承担由此增加的费用和（或）工期延误，并向承包人支付合理利润。</w:t>
      </w:r>
    </w:p>
    <w:p w14:paraId="128DC8F4">
      <w:pPr>
        <w:wordWrap/>
        <w:topLinePunct w:val="0"/>
        <w:spacing w:after="120"/>
        <w:ind w:firstLine="600"/>
        <w:rPr>
          <w:rFonts w:ascii="仿宋_GB2312" w:eastAsia="仿宋_GB2312"/>
          <w:sz w:val="30"/>
          <w:szCs w:val="30"/>
        </w:rPr>
      </w:pPr>
      <w:bookmarkStart w:id="205" w:name="_Ref531951611"/>
      <w:bookmarkStart w:id="206" w:name="_Toc54862209"/>
      <w:bookmarkStart w:id="207" w:name="_Ref531951609"/>
      <w:r>
        <w:rPr>
          <w:rFonts w:hint="eastAsia" w:ascii="仿宋_GB2312" w:eastAsia="仿宋_GB2312"/>
          <w:sz w:val="30"/>
          <w:szCs w:val="30"/>
        </w:rPr>
        <w:t>3.6 商定或确定</w:t>
      </w:r>
      <w:bookmarkEnd w:id="205"/>
      <w:bookmarkEnd w:id="206"/>
      <w:bookmarkEnd w:id="207"/>
    </w:p>
    <w:p w14:paraId="788B0C3B">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.6.1 </w:t>
      </w:r>
      <w:r>
        <w:rPr>
          <w:rFonts w:hint="eastAsia" w:ascii="仿宋_GB2312" w:eastAsia="仿宋_GB2312"/>
          <w:sz w:val="30"/>
          <w:szCs w:val="30"/>
        </w:rPr>
        <w:t>合同约定工程师应按照本款对任何事项进行商定或确定时，工程师应及时与合同当事人协商，尽量达成一致。工程师应将商定的结果以书面形式通知发包人和承包人，并由双方签署确认。</w:t>
      </w:r>
    </w:p>
    <w:p w14:paraId="286D6FF8">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.6.2 </w:t>
      </w:r>
      <w:r>
        <w:rPr>
          <w:rFonts w:hint="eastAsia" w:ascii="仿宋_GB2312" w:eastAsia="仿宋_GB2312"/>
          <w:sz w:val="30"/>
          <w:szCs w:val="30"/>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1645F838">
      <w:pPr>
        <w:spacing w:after="120"/>
        <w:ind w:firstLine="600"/>
        <w:rPr>
          <w:rFonts w:ascii="仿宋_GB2312" w:eastAsia="仿宋_GB2312"/>
          <w:sz w:val="30"/>
          <w:szCs w:val="30"/>
        </w:rPr>
      </w:pPr>
      <w:bookmarkStart w:id="208" w:name="_Ref532287856"/>
      <w:r>
        <w:rPr>
          <w:rFonts w:hint="eastAsia" w:ascii="仿宋_GB2312" w:eastAsia="仿宋_GB2312"/>
          <w:sz w:val="30"/>
          <w:szCs w:val="30"/>
        </w:rPr>
        <w:t>3</w:t>
      </w:r>
      <w:r>
        <w:rPr>
          <w:rFonts w:ascii="仿宋_GB2312" w:eastAsia="仿宋_GB2312"/>
          <w:sz w:val="30"/>
          <w:szCs w:val="30"/>
        </w:rPr>
        <w:t xml:space="preserve">.6.3 </w:t>
      </w:r>
      <w:r>
        <w:rPr>
          <w:rFonts w:hint="eastAsia" w:ascii="仿宋_GB2312" w:eastAsia="仿宋_GB2312"/>
          <w:sz w:val="30"/>
          <w:szCs w:val="30"/>
        </w:rPr>
        <w:t>任何一方对工程师的确定有异议的，应在收到确定的结果后28天内向另一方发出书面异议通知并抄送工程师。除第</w:t>
      </w:r>
      <w:r>
        <w:rPr>
          <w:rFonts w:ascii="仿宋_GB2312" w:eastAsia="仿宋_GB2312"/>
          <w:sz w:val="30"/>
          <w:szCs w:val="30"/>
        </w:rPr>
        <w:t>19.2</w:t>
      </w:r>
      <w:r>
        <w:rPr>
          <w:rFonts w:hint="eastAsia" w:ascii="仿宋_GB2312" w:eastAsia="仿宋_GB2312"/>
          <w:sz w:val="30"/>
          <w:szCs w:val="30"/>
        </w:rPr>
        <w:t>款[</w:t>
      </w:r>
      <w:r>
        <w:rPr>
          <w:rFonts w:ascii="仿宋_GB2312" w:eastAsia="仿宋_GB2312"/>
          <w:sz w:val="30"/>
          <w:szCs w:val="30"/>
        </w:rPr>
        <w:t>承包人索赔的处理程序</w:t>
      </w:r>
      <w:r>
        <w:rPr>
          <w:rFonts w:hint="eastAsia" w:ascii="仿宋_GB2312" w:eastAsia="仿宋_GB2312"/>
          <w:sz w:val="30"/>
          <w:szCs w:val="30"/>
        </w:rPr>
        <w:t>]另有约定外，工程师未能在确定的期限内发出确定的结果通知的，或者任何一方发出对确定的结果有异议的通知的，则构成争议并应按照第</w:t>
      </w:r>
      <w:r>
        <w:rPr>
          <w:rFonts w:ascii="仿宋_GB2312" w:eastAsia="仿宋_GB2312"/>
          <w:sz w:val="30"/>
          <w:szCs w:val="30"/>
        </w:rPr>
        <w:t>20条</w:t>
      </w:r>
      <w:r>
        <w:rPr>
          <w:rFonts w:hint="eastAsia" w:ascii="仿宋_GB2312" w:eastAsia="仿宋_GB2312"/>
          <w:sz w:val="30"/>
          <w:szCs w:val="30"/>
        </w:rPr>
        <w:t>[争议解决]的约定处理。如未在28天内发出上述通知的，工程师的确定应被视为已被双方接受并对双方具有约束力，但专用合同条件另有约定的除外。</w:t>
      </w:r>
      <w:bookmarkEnd w:id="208"/>
    </w:p>
    <w:p w14:paraId="291F0064">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.6.4 </w:t>
      </w:r>
      <w:r>
        <w:rPr>
          <w:rFonts w:hint="eastAsia" w:ascii="仿宋_GB2312" w:eastAsia="仿宋_GB2312"/>
          <w:sz w:val="30"/>
          <w:szCs w:val="30"/>
        </w:rPr>
        <w:t>在该争议解决前，双方应暂按工程师的确定执行。按照第</w:t>
      </w:r>
      <w:r>
        <w:rPr>
          <w:rFonts w:ascii="仿宋_GB2312" w:eastAsia="仿宋_GB2312"/>
          <w:sz w:val="30"/>
          <w:szCs w:val="30"/>
        </w:rPr>
        <w:t>20条</w:t>
      </w:r>
      <w:r>
        <w:rPr>
          <w:rFonts w:hint="eastAsia" w:ascii="仿宋_GB2312" w:eastAsia="仿宋_GB2312"/>
          <w:sz w:val="30"/>
          <w:szCs w:val="30"/>
        </w:rPr>
        <w:t>[争议解决]的约定对工程师的确定作出修改的，按修改后的结果执行，由此导致承包人增加的费用和延误的工期由责任方承担。</w:t>
      </w:r>
    </w:p>
    <w:p w14:paraId="1BC2340D">
      <w:pPr>
        <w:wordWrap/>
        <w:topLinePunct w:val="0"/>
        <w:spacing w:after="120"/>
        <w:ind w:firstLine="600"/>
        <w:rPr>
          <w:rFonts w:ascii="仿宋_GB2312" w:eastAsia="仿宋_GB2312"/>
          <w:sz w:val="30"/>
          <w:szCs w:val="30"/>
        </w:rPr>
      </w:pPr>
      <w:bookmarkStart w:id="209" w:name="_Ref531951749"/>
      <w:bookmarkStart w:id="210" w:name="_Ref531951747"/>
      <w:bookmarkStart w:id="211" w:name="_Toc54862210"/>
      <w:r>
        <w:rPr>
          <w:rFonts w:hint="eastAsia" w:ascii="仿宋_GB2312" w:eastAsia="仿宋_GB2312"/>
          <w:sz w:val="30"/>
          <w:szCs w:val="30"/>
        </w:rPr>
        <w:t>3.7 会议</w:t>
      </w:r>
      <w:bookmarkEnd w:id="209"/>
      <w:bookmarkEnd w:id="210"/>
      <w:bookmarkEnd w:id="211"/>
    </w:p>
    <w:p w14:paraId="18D3B1A9">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.7.1 </w:t>
      </w:r>
      <w:r>
        <w:rPr>
          <w:rFonts w:hint="eastAsia" w:ascii="仿宋_GB2312" w:eastAsia="仿宋_GB2312"/>
          <w:sz w:val="30"/>
          <w:szCs w:val="30"/>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482E8E2B">
      <w:pPr>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.7.2 </w:t>
      </w:r>
      <w:r>
        <w:rPr>
          <w:rFonts w:hint="eastAsia" w:ascii="仿宋_GB2312" w:eastAsia="仿宋_GB2312"/>
          <w:sz w:val="30"/>
          <w:szCs w:val="30"/>
        </w:rPr>
        <w:t>除专用合同条件另有约定外，发包人应保存每次会议参加人签名的记录，并将会议纪要提供给出席会议的人员。任何根据此类会议以及会议纪要采取的行动应符合本合同的约定。</w:t>
      </w:r>
    </w:p>
    <w:p w14:paraId="6F09F55B">
      <w:pPr>
        <w:wordWrap/>
        <w:topLinePunct w:val="0"/>
        <w:spacing w:after="120"/>
        <w:ind w:firstLine="0" w:firstLineChars="0"/>
        <w:rPr>
          <w:rFonts w:ascii="仿宋_GB2312" w:eastAsia="仿宋_GB2312"/>
          <w:sz w:val="32"/>
          <w:szCs w:val="32"/>
        </w:rPr>
      </w:pPr>
      <w:bookmarkStart w:id="212" w:name="_Ref531952805"/>
      <w:bookmarkStart w:id="213" w:name="_Toc12639"/>
      <w:bookmarkStart w:id="214" w:name="_Toc7291"/>
      <w:bookmarkStart w:id="215" w:name="_Toc54862211"/>
      <w:bookmarkStart w:id="216" w:name="_Toc4223"/>
      <w:r>
        <w:rPr>
          <w:rFonts w:hint="eastAsia" w:ascii="仿宋_GB2312" w:eastAsia="仿宋_GB2312"/>
          <w:sz w:val="32"/>
          <w:szCs w:val="32"/>
        </w:rPr>
        <w:t>第4条 承包人</w:t>
      </w:r>
      <w:bookmarkEnd w:id="212"/>
      <w:bookmarkEnd w:id="213"/>
      <w:bookmarkEnd w:id="214"/>
      <w:bookmarkEnd w:id="215"/>
      <w:bookmarkEnd w:id="216"/>
    </w:p>
    <w:p w14:paraId="07AF05E7">
      <w:pPr>
        <w:wordWrap/>
        <w:topLinePunct w:val="0"/>
        <w:spacing w:after="120"/>
        <w:ind w:firstLine="600"/>
        <w:rPr>
          <w:rFonts w:ascii="仿宋_GB2312" w:eastAsia="仿宋_GB2312"/>
          <w:sz w:val="30"/>
          <w:szCs w:val="30"/>
        </w:rPr>
      </w:pPr>
      <w:bookmarkStart w:id="217" w:name="_Toc54862212"/>
      <w:bookmarkStart w:id="218" w:name="_Ref531951945"/>
      <w:bookmarkStart w:id="219" w:name="_Ref531951941"/>
      <w:bookmarkStart w:id="220" w:name="_Ref531951958"/>
      <w:bookmarkStart w:id="221" w:name="_Ref531951975"/>
      <w:bookmarkStart w:id="222" w:name="_Ref531951961"/>
      <w:r>
        <w:rPr>
          <w:rFonts w:hint="eastAsia" w:ascii="仿宋_GB2312" w:eastAsia="仿宋_GB2312"/>
          <w:sz w:val="30"/>
          <w:szCs w:val="30"/>
        </w:rPr>
        <w:t>4.1 承包人的一般义务</w:t>
      </w:r>
      <w:bookmarkEnd w:id="217"/>
      <w:bookmarkEnd w:id="218"/>
      <w:bookmarkEnd w:id="219"/>
      <w:bookmarkEnd w:id="220"/>
      <w:bookmarkEnd w:id="221"/>
      <w:bookmarkEnd w:id="222"/>
    </w:p>
    <w:p w14:paraId="659DAAAB">
      <w:pPr>
        <w:wordWrap/>
        <w:topLinePunct w:val="0"/>
        <w:spacing w:after="120"/>
        <w:ind w:firstLine="600"/>
        <w:rPr>
          <w:rFonts w:ascii="仿宋_GB2312" w:eastAsia="仿宋_GB2312"/>
          <w:sz w:val="30"/>
          <w:szCs w:val="30"/>
        </w:rPr>
      </w:pPr>
      <w:bookmarkStart w:id="223" w:name="_Ref509046929"/>
      <w:r>
        <w:rPr>
          <w:rFonts w:hint="eastAsia" w:ascii="仿宋_GB2312" w:eastAsia="仿宋_GB2312"/>
          <w:sz w:val="30"/>
          <w:szCs w:val="30"/>
        </w:rPr>
        <w:t>除专用合同条件另有约定外，承包人在履行合同过程中应遵守法律和工程建设标准规范，并履行以下义务：</w:t>
      </w:r>
    </w:p>
    <w:p w14:paraId="03C4559C">
      <w:pPr>
        <w:wordWrap/>
        <w:topLinePunct w:val="0"/>
        <w:spacing w:after="120"/>
        <w:ind w:firstLine="600"/>
        <w:rPr>
          <w:rFonts w:ascii="仿宋_GB2312" w:eastAsia="仿宋_GB2312"/>
          <w:sz w:val="30"/>
          <w:szCs w:val="30"/>
        </w:rPr>
      </w:pPr>
      <w:r>
        <w:rPr>
          <w:rFonts w:hint="eastAsia" w:ascii="仿宋_GB2312" w:eastAsia="仿宋_GB2312"/>
          <w:sz w:val="30"/>
          <w:szCs w:val="30"/>
        </w:rPr>
        <w:t>（1） 办理法律规定和合同约定由承包人办理的许可和批准，将办理结果书面报送发包人留存，并承担因承包人违反法律或合同约定给发包人造成的任何费用和损失；</w:t>
      </w:r>
    </w:p>
    <w:p w14:paraId="7DEDE310">
      <w:pPr>
        <w:wordWrap/>
        <w:topLinePunct w:val="0"/>
        <w:spacing w:after="120"/>
        <w:ind w:firstLine="600"/>
        <w:rPr>
          <w:rFonts w:ascii="仿宋_GB2312" w:eastAsia="仿宋_GB2312"/>
          <w:sz w:val="30"/>
          <w:szCs w:val="30"/>
        </w:rPr>
      </w:pPr>
      <w:r>
        <w:rPr>
          <w:rFonts w:hint="eastAsia" w:ascii="仿宋_GB2312" w:eastAsia="仿宋_GB2312"/>
          <w:sz w:val="30"/>
          <w:szCs w:val="30"/>
        </w:rPr>
        <w:t>（2） 按合同约定完成全部工作并在缺陷责任期和保修期内承担缺陷保证责任和保修义务，对工作中的任何缺陷进行整改、完善和修补，使其满足合同约定的目的；</w:t>
      </w:r>
    </w:p>
    <w:p w14:paraId="1B986A67">
      <w:pPr>
        <w:wordWrap/>
        <w:topLinePunct w:val="0"/>
        <w:spacing w:after="120"/>
        <w:ind w:firstLine="600"/>
        <w:rPr>
          <w:rFonts w:ascii="仿宋_GB2312" w:eastAsia="仿宋_GB2312"/>
          <w:sz w:val="30"/>
          <w:szCs w:val="30"/>
        </w:rPr>
      </w:pPr>
      <w:r>
        <w:rPr>
          <w:rFonts w:hint="eastAsia" w:ascii="仿宋_GB2312" w:eastAsia="仿宋_GB2312"/>
          <w:sz w:val="30"/>
          <w:szCs w:val="30"/>
        </w:rPr>
        <w:t>（3） 提供合同约定的工程设备和承包人文件，以及为完成合同工作所需的劳务、材料、施工设备和其他物品，并按合同约定负责临时设施的设计、施工、运行、维护、管理和拆除；</w:t>
      </w:r>
    </w:p>
    <w:p w14:paraId="2BFDAF9D">
      <w:pPr>
        <w:wordWrap/>
        <w:topLinePunct w:val="0"/>
        <w:spacing w:after="120"/>
        <w:ind w:firstLine="600"/>
        <w:rPr>
          <w:rFonts w:ascii="仿宋_GB2312" w:eastAsia="仿宋_GB2312"/>
          <w:sz w:val="30"/>
          <w:szCs w:val="30"/>
        </w:rPr>
      </w:pPr>
      <w:r>
        <w:rPr>
          <w:rFonts w:hint="eastAsia" w:ascii="仿宋_GB2312" w:eastAsia="仿宋_GB2312"/>
          <w:sz w:val="30"/>
          <w:szCs w:val="30"/>
        </w:rPr>
        <w:t>（4） 按合同约定的工作内容和进度要求，编制设计、施工的组织和实施计划，保证项目进度计划的实现，并对所有设计、施工作业和施工方法，以及全部工程的完备性和安全可靠性负责；</w:t>
      </w:r>
    </w:p>
    <w:p w14:paraId="6E247C6E">
      <w:pPr>
        <w:wordWrap/>
        <w:topLinePunct w:val="0"/>
        <w:spacing w:after="120"/>
        <w:ind w:firstLine="600"/>
        <w:rPr>
          <w:rFonts w:ascii="仿宋_GB2312" w:eastAsia="仿宋_GB2312"/>
          <w:sz w:val="30"/>
          <w:szCs w:val="30"/>
        </w:rPr>
      </w:pPr>
      <w:r>
        <w:rPr>
          <w:rFonts w:hint="eastAsia" w:ascii="仿宋_GB2312" w:eastAsia="仿宋_GB2312"/>
          <w:sz w:val="30"/>
          <w:szCs w:val="30"/>
        </w:rPr>
        <w:t>（5） 按法律规定和合同约定采取安全文明施工、职业健康和环境保护措施，办理员工工伤保险等相关保险，确保工程及人员、材料、设备和设施的安全，防止因工程实施造成的人身伤害和财产损失；</w:t>
      </w:r>
    </w:p>
    <w:p w14:paraId="53C6E518">
      <w:pPr>
        <w:wordWrap/>
        <w:topLinePunct w:val="0"/>
        <w:spacing w:after="120"/>
        <w:ind w:firstLine="600"/>
        <w:rPr>
          <w:rFonts w:ascii="仿宋_GB2312" w:eastAsia="仿宋_GB2312"/>
          <w:sz w:val="30"/>
          <w:szCs w:val="30"/>
        </w:rPr>
      </w:pPr>
      <w:r>
        <w:rPr>
          <w:rFonts w:hint="eastAsia" w:ascii="仿宋_GB2312" w:eastAsia="仿宋_GB2312"/>
          <w:sz w:val="30"/>
          <w:szCs w:val="30"/>
        </w:rPr>
        <w:t>（6） 将发包人按合同约定支付的各项价款专用于合同工程，且应及时支付其雇用人员（包括建筑工人）工资，并及时向分包人支付合同价款；</w:t>
      </w:r>
    </w:p>
    <w:p w14:paraId="1C43EA36">
      <w:pPr>
        <w:wordWrap/>
        <w:topLinePunct w:val="0"/>
        <w:spacing w:after="120"/>
        <w:ind w:firstLine="600"/>
        <w:rPr>
          <w:rFonts w:ascii="仿宋_GB2312" w:eastAsia="仿宋_GB2312"/>
          <w:sz w:val="30"/>
          <w:szCs w:val="30"/>
        </w:rPr>
      </w:pPr>
      <w:r>
        <w:rPr>
          <w:rFonts w:hint="eastAsia" w:ascii="仿宋_GB2312" w:eastAsia="仿宋_GB2312"/>
          <w:sz w:val="30"/>
          <w:szCs w:val="30"/>
        </w:rPr>
        <w:t>（7） 在进行合同约定的各项工作时，不得侵害发包人与他人使用公用道路、水源、市政管网等公共设施的权利，避免对邻近的公共设施产生干扰。</w:t>
      </w:r>
    </w:p>
    <w:p w14:paraId="3B962074">
      <w:pPr>
        <w:wordWrap/>
        <w:topLinePunct w:val="0"/>
        <w:spacing w:after="120"/>
        <w:ind w:firstLine="600"/>
        <w:rPr>
          <w:rFonts w:ascii="仿宋_GB2312" w:eastAsia="仿宋_GB2312"/>
          <w:sz w:val="30"/>
          <w:szCs w:val="30"/>
        </w:rPr>
      </w:pPr>
      <w:bookmarkStart w:id="224" w:name="_Toc54862213"/>
      <w:bookmarkStart w:id="225" w:name="_Ref4426803"/>
      <w:bookmarkStart w:id="226" w:name="_Ref4428418"/>
      <w:r>
        <w:rPr>
          <w:rFonts w:hint="eastAsia" w:ascii="仿宋_GB2312" w:eastAsia="仿宋_GB2312"/>
          <w:sz w:val="30"/>
          <w:szCs w:val="30"/>
        </w:rPr>
        <w:t>4.2 履约担保</w:t>
      </w:r>
      <w:bookmarkEnd w:id="224"/>
      <w:bookmarkEnd w:id="225"/>
    </w:p>
    <w:p w14:paraId="272FAFFE">
      <w:pPr>
        <w:wordWrap/>
        <w:topLinePunct w:val="0"/>
        <w:spacing w:after="120"/>
        <w:ind w:firstLine="600"/>
        <w:rPr>
          <w:rFonts w:ascii="仿宋_GB2312" w:eastAsia="仿宋_GB2312"/>
          <w:sz w:val="30"/>
          <w:szCs w:val="30"/>
        </w:rPr>
      </w:pPr>
      <w:r>
        <w:rPr>
          <w:rFonts w:hint="eastAsia" w:ascii="仿宋_GB2312" w:eastAsia="仿宋_GB2312"/>
          <w:sz w:val="30"/>
          <w:szCs w:val="30"/>
        </w:rPr>
        <w:t>发包人需要承包人提供履约担保的，由合同当事人在专用合同条件中约定履约担保的方式、金额及提交的时间等，并应符合第</w:t>
      </w:r>
      <w:r>
        <w:rPr>
          <w:rFonts w:ascii="仿宋_GB2312" w:eastAsia="仿宋_GB2312"/>
          <w:sz w:val="30"/>
          <w:szCs w:val="30"/>
        </w:rPr>
        <w:t>2.5</w:t>
      </w:r>
      <w:r>
        <w:rPr>
          <w:rFonts w:hint="eastAsia" w:ascii="仿宋_GB2312" w:eastAsia="仿宋_GB2312"/>
          <w:sz w:val="30"/>
          <w:szCs w:val="30"/>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3A6494A3">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承包人应保证其履约担保在发包人竣工验收前一直有效，发包人应在竣工验收合格后</w:t>
      </w:r>
      <w:r>
        <w:rPr>
          <w:rFonts w:ascii="仿宋_GB2312" w:eastAsia="仿宋_GB2312"/>
          <w:sz w:val="30"/>
          <w:szCs w:val="30"/>
        </w:rPr>
        <w:t>7</w:t>
      </w:r>
      <w:r>
        <w:rPr>
          <w:rFonts w:hint="eastAsia" w:ascii="仿宋_GB2312" w:eastAsia="仿宋_GB2312"/>
          <w:sz w:val="30"/>
          <w:szCs w:val="30"/>
        </w:rPr>
        <w:t>天内将履约担保款项退还给承包人或者解除履约担保。</w:t>
      </w:r>
    </w:p>
    <w:p w14:paraId="3D3CAF8E">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因承包人原因导致工期延长的，继续提供履约担保所增加的费用由承包人承担；非因承包人原因导致工期延长的，继续提供履约担保所增加的费用由发包人承担。</w:t>
      </w:r>
    </w:p>
    <w:bookmarkEnd w:id="223"/>
    <w:bookmarkEnd w:id="226"/>
    <w:p w14:paraId="14C9ABD7">
      <w:pPr>
        <w:wordWrap/>
        <w:topLinePunct w:val="0"/>
        <w:spacing w:after="120"/>
        <w:ind w:firstLine="600"/>
        <w:rPr>
          <w:rFonts w:ascii="仿宋_GB2312" w:eastAsia="仿宋_GB2312"/>
          <w:sz w:val="30"/>
          <w:szCs w:val="30"/>
        </w:rPr>
      </w:pPr>
      <w:bookmarkStart w:id="227" w:name="_Toc54862214"/>
      <w:bookmarkStart w:id="228" w:name="_Ref532689108"/>
      <w:bookmarkStart w:id="229" w:name="_Ref532689105"/>
      <w:r>
        <w:rPr>
          <w:rFonts w:hint="eastAsia" w:ascii="仿宋_GB2312" w:eastAsia="仿宋_GB2312"/>
          <w:sz w:val="30"/>
          <w:szCs w:val="30"/>
        </w:rPr>
        <w:t>4.3 工程总承包项目经理</w:t>
      </w:r>
      <w:bookmarkEnd w:id="227"/>
      <w:bookmarkEnd w:id="228"/>
      <w:bookmarkEnd w:id="229"/>
    </w:p>
    <w:p w14:paraId="36B20CD9">
      <w:pPr>
        <w:spacing w:after="120"/>
        <w:ind w:firstLine="600"/>
        <w:rPr>
          <w:rFonts w:ascii="仿宋_GB2312" w:eastAsia="仿宋_GB2312"/>
          <w:sz w:val="30"/>
          <w:szCs w:val="30"/>
        </w:rPr>
      </w:pPr>
      <w:bookmarkStart w:id="230" w:name="_Ref532351726"/>
      <w:r>
        <w:rPr>
          <w:rFonts w:hint="eastAsia" w:ascii="仿宋_GB2312" w:eastAsia="仿宋_GB2312"/>
          <w:sz w:val="30"/>
          <w:szCs w:val="30"/>
        </w:rPr>
        <w:t>4</w:t>
      </w:r>
      <w:r>
        <w:rPr>
          <w:rFonts w:ascii="仿宋_GB2312" w:eastAsia="仿宋_GB2312"/>
          <w:sz w:val="30"/>
          <w:szCs w:val="30"/>
        </w:rPr>
        <w:t xml:space="preserve">.3.1 </w:t>
      </w:r>
      <w:r>
        <w:rPr>
          <w:rFonts w:hint="eastAsia" w:ascii="仿宋_GB2312" w:eastAsia="仿宋_GB2312"/>
          <w:sz w:val="30"/>
          <w:szCs w:val="30"/>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230"/>
    </w:p>
    <w:p w14:paraId="3FB4C237">
      <w:pPr>
        <w:spacing w:after="120"/>
        <w:ind w:firstLine="600"/>
        <w:rPr>
          <w:rFonts w:ascii="仿宋_GB2312" w:eastAsia="仿宋_GB2312"/>
          <w:sz w:val="30"/>
          <w:szCs w:val="30"/>
        </w:rPr>
      </w:pPr>
      <w:bookmarkStart w:id="231" w:name="_Ref532689263"/>
      <w:r>
        <w:rPr>
          <w:rFonts w:hint="eastAsia" w:ascii="仿宋_GB2312" w:eastAsia="仿宋_GB2312"/>
          <w:sz w:val="30"/>
          <w:szCs w:val="30"/>
        </w:rPr>
        <w:t>4</w:t>
      </w:r>
      <w:r>
        <w:rPr>
          <w:rFonts w:ascii="仿宋_GB2312" w:eastAsia="仿宋_GB2312"/>
          <w:sz w:val="30"/>
          <w:szCs w:val="30"/>
        </w:rPr>
        <w:t xml:space="preserve">.3.2 </w:t>
      </w:r>
      <w:r>
        <w:rPr>
          <w:rFonts w:hint="eastAsia" w:ascii="仿宋_GB2312" w:eastAsia="仿宋_GB2312"/>
          <w:sz w:val="30"/>
          <w:szCs w:val="30"/>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231"/>
    </w:p>
    <w:p w14:paraId="21E062D1">
      <w:pPr>
        <w:spacing w:after="120"/>
        <w:ind w:firstLine="600"/>
        <w:rPr>
          <w:rFonts w:ascii="仿宋_GB2312" w:eastAsia="仿宋_GB2312"/>
          <w:sz w:val="30"/>
          <w:szCs w:val="30"/>
        </w:rPr>
      </w:pPr>
      <w:bookmarkStart w:id="232" w:name="_Ref532689178"/>
      <w:bookmarkStart w:id="233" w:name="_Ref531952112"/>
      <w:r>
        <w:rPr>
          <w:rFonts w:hint="eastAsia" w:ascii="仿宋_GB2312" w:eastAsia="仿宋_GB2312"/>
          <w:sz w:val="30"/>
          <w:szCs w:val="30"/>
        </w:rPr>
        <w:t>4</w:t>
      </w:r>
      <w:r>
        <w:rPr>
          <w:rFonts w:ascii="仿宋_GB2312" w:eastAsia="仿宋_GB2312"/>
          <w:sz w:val="30"/>
          <w:szCs w:val="30"/>
        </w:rPr>
        <w:t xml:space="preserve">.3.3 </w:t>
      </w:r>
      <w:r>
        <w:rPr>
          <w:rFonts w:hint="eastAsia" w:ascii="仿宋_GB2312" w:eastAsia="仿宋_GB2312"/>
          <w:sz w:val="30"/>
          <w:szCs w:val="30"/>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rFonts w:ascii="仿宋_GB2312" w:eastAsia="仿宋_GB2312"/>
          <w:sz w:val="30"/>
          <w:szCs w:val="30"/>
        </w:rPr>
        <w:t>3.5</w:t>
      </w:r>
      <w:r>
        <w:rPr>
          <w:rFonts w:hint="eastAsia" w:ascii="仿宋_GB2312" w:eastAsia="仿宋_GB2312"/>
          <w:sz w:val="30"/>
          <w:szCs w:val="30"/>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232"/>
    </w:p>
    <w:bookmarkEnd w:id="233"/>
    <w:p w14:paraId="1428C6B9">
      <w:pPr>
        <w:spacing w:after="120"/>
        <w:ind w:firstLine="600"/>
        <w:rPr>
          <w:rFonts w:ascii="仿宋_GB2312" w:eastAsia="仿宋_GB2312"/>
          <w:sz w:val="30"/>
          <w:szCs w:val="30"/>
        </w:rPr>
      </w:pPr>
      <w:bookmarkStart w:id="234" w:name="_Ref4426412"/>
      <w:r>
        <w:rPr>
          <w:rFonts w:hint="eastAsia" w:ascii="仿宋_GB2312" w:eastAsia="仿宋_GB2312"/>
          <w:sz w:val="30"/>
          <w:szCs w:val="30"/>
        </w:rPr>
        <w:t>4</w:t>
      </w:r>
      <w:r>
        <w:rPr>
          <w:rFonts w:ascii="仿宋_GB2312" w:eastAsia="仿宋_GB2312"/>
          <w:sz w:val="30"/>
          <w:szCs w:val="30"/>
        </w:rPr>
        <w:t xml:space="preserve">.3.4 </w:t>
      </w:r>
      <w:r>
        <w:rPr>
          <w:rFonts w:hint="eastAsia" w:ascii="仿宋_GB2312" w:eastAsia="仿宋_GB2312"/>
          <w:sz w:val="30"/>
          <w:szCs w:val="30"/>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235" w:name="_Hlk55056591"/>
      <w:r>
        <w:rPr>
          <w:rFonts w:hint="eastAsia" w:ascii="仿宋_GB2312" w:eastAsia="仿宋_GB2312"/>
          <w:sz w:val="30"/>
          <w:szCs w:val="30"/>
        </w:rPr>
        <w:t>应按照专用合同条件的约定承担违约责任。</w:t>
      </w:r>
      <w:bookmarkEnd w:id="234"/>
      <w:bookmarkEnd w:id="235"/>
    </w:p>
    <w:p w14:paraId="34E6B347">
      <w:pPr>
        <w:spacing w:after="120"/>
        <w:ind w:firstLine="600"/>
        <w:rPr>
          <w:rFonts w:ascii="仿宋_GB2312" w:eastAsia="仿宋_GB2312"/>
          <w:sz w:val="30"/>
          <w:szCs w:val="30"/>
        </w:rPr>
      </w:pPr>
      <w:bookmarkStart w:id="236" w:name="_Ref531952137"/>
      <w:r>
        <w:rPr>
          <w:rFonts w:hint="eastAsia" w:ascii="仿宋_GB2312" w:eastAsia="仿宋_GB2312"/>
          <w:sz w:val="30"/>
          <w:szCs w:val="30"/>
        </w:rPr>
        <w:t>4</w:t>
      </w:r>
      <w:r>
        <w:rPr>
          <w:rFonts w:ascii="仿宋_GB2312" w:eastAsia="仿宋_GB2312"/>
          <w:sz w:val="30"/>
          <w:szCs w:val="30"/>
        </w:rPr>
        <w:t xml:space="preserve">.3.5 </w:t>
      </w:r>
      <w:r>
        <w:rPr>
          <w:rFonts w:hint="eastAsia" w:ascii="仿宋_GB2312" w:eastAsia="仿宋_GB2312"/>
          <w:sz w:val="30"/>
          <w:szCs w:val="30"/>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rFonts w:ascii="仿宋_GB2312" w:eastAsia="仿宋_GB2312"/>
          <w:sz w:val="30"/>
          <w:szCs w:val="30"/>
        </w:rPr>
        <w:t>28天内更换项目经理。</w:t>
      </w:r>
      <w:r>
        <w:rPr>
          <w:rFonts w:hint="eastAsia" w:ascii="仿宋_GB2312" w:eastAsia="仿宋_GB2312"/>
          <w:sz w:val="30"/>
          <w:szCs w:val="30"/>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236"/>
    </w:p>
    <w:p w14:paraId="6BB436C4">
      <w:pPr>
        <w:spacing w:after="120"/>
        <w:ind w:firstLine="600"/>
        <w:rPr>
          <w:rFonts w:ascii="仿宋_GB2312" w:eastAsia="仿宋_GB2312"/>
          <w:sz w:val="30"/>
          <w:szCs w:val="30"/>
        </w:rPr>
      </w:pPr>
      <w:bookmarkStart w:id="237" w:name="_Ref122620"/>
      <w:r>
        <w:rPr>
          <w:rFonts w:hint="eastAsia" w:ascii="仿宋_GB2312" w:eastAsia="仿宋_GB2312"/>
          <w:sz w:val="30"/>
          <w:szCs w:val="30"/>
        </w:rPr>
        <w:t>4</w:t>
      </w:r>
      <w:r>
        <w:rPr>
          <w:rFonts w:ascii="仿宋_GB2312" w:eastAsia="仿宋_GB2312"/>
          <w:sz w:val="30"/>
          <w:szCs w:val="30"/>
        </w:rPr>
        <w:t xml:space="preserve">.3.6 </w:t>
      </w:r>
      <w:r>
        <w:rPr>
          <w:rFonts w:hint="eastAsia" w:ascii="仿宋_GB2312" w:eastAsia="仿宋_GB2312"/>
          <w:sz w:val="30"/>
          <w:szCs w:val="30"/>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237"/>
    </w:p>
    <w:p w14:paraId="552852BA">
      <w:pPr>
        <w:wordWrap/>
        <w:topLinePunct w:val="0"/>
        <w:spacing w:after="120"/>
        <w:ind w:firstLine="600"/>
        <w:rPr>
          <w:rFonts w:ascii="仿宋_GB2312" w:eastAsia="仿宋_GB2312"/>
          <w:sz w:val="30"/>
          <w:szCs w:val="30"/>
        </w:rPr>
      </w:pPr>
      <w:bookmarkStart w:id="238" w:name="_Ref531952172"/>
      <w:bookmarkStart w:id="239" w:name="_Toc54862215"/>
      <w:bookmarkStart w:id="240" w:name="_Ref531952175"/>
      <w:r>
        <w:rPr>
          <w:rFonts w:hint="eastAsia" w:ascii="仿宋_GB2312" w:eastAsia="仿宋_GB2312"/>
          <w:sz w:val="30"/>
          <w:szCs w:val="30"/>
        </w:rPr>
        <w:t>4.4 承包人人员</w:t>
      </w:r>
      <w:bookmarkEnd w:id="238"/>
      <w:bookmarkEnd w:id="239"/>
      <w:bookmarkEnd w:id="240"/>
    </w:p>
    <w:p w14:paraId="5EDBDD0F">
      <w:pPr>
        <w:spacing w:after="120"/>
        <w:ind w:firstLine="600"/>
        <w:rPr>
          <w:rFonts w:ascii="仿宋_GB2312" w:eastAsia="仿宋_GB2312"/>
          <w:sz w:val="30"/>
          <w:szCs w:val="30"/>
        </w:rPr>
      </w:pPr>
      <w:bookmarkStart w:id="241" w:name="_Ref531952185"/>
      <w:r>
        <w:rPr>
          <w:rFonts w:hint="eastAsia" w:ascii="仿宋_GB2312" w:eastAsia="仿宋_GB2312"/>
          <w:sz w:val="30"/>
          <w:szCs w:val="30"/>
        </w:rPr>
        <w:t>4</w:t>
      </w:r>
      <w:r>
        <w:rPr>
          <w:rFonts w:ascii="仿宋_GB2312" w:eastAsia="仿宋_GB2312"/>
          <w:sz w:val="30"/>
          <w:szCs w:val="30"/>
        </w:rPr>
        <w:t xml:space="preserve">.4.1 </w:t>
      </w:r>
      <w:r>
        <w:rPr>
          <w:rFonts w:hint="eastAsia" w:ascii="仿宋_GB2312" w:eastAsia="仿宋_GB2312"/>
          <w:sz w:val="30"/>
          <w:szCs w:val="30"/>
        </w:rPr>
        <w:t>人员安排</w:t>
      </w:r>
      <w:bookmarkEnd w:id="241"/>
    </w:p>
    <w:p w14:paraId="208561F8">
      <w:pPr>
        <w:wordWrap/>
        <w:topLinePunct w:val="0"/>
        <w:spacing w:after="120"/>
        <w:ind w:firstLine="600"/>
        <w:rPr>
          <w:rFonts w:ascii="仿宋_GB2312" w:eastAsia="仿宋_GB2312"/>
          <w:sz w:val="30"/>
          <w:szCs w:val="30"/>
        </w:rPr>
      </w:pPr>
      <w:r>
        <w:rPr>
          <w:rFonts w:hint="eastAsia" w:ascii="仿宋_GB2312" w:eastAsia="仿宋_GB2312"/>
          <w:sz w:val="30"/>
          <w:szCs w:val="30"/>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06E6D415">
      <w:pPr>
        <w:wordWrap/>
        <w:topLinePunct w:val="0"/>
        <w:spacing w:after="120"/>
        <w:ind w:firstLine="600"/>
        <w:rPr>
          <w:rFonts w:ascii="仿宋_GB2312" w:eastAsia="仿宋_GB2312"/>
          <w:sz w:val="30"/>
          <w:szCs w:val="30"/>
        </w:rPr>
      </w:pPr>
      <w:r>
        <w:rPr>
          <w:rFonts w:hint="eastAsia" w:ascii="仿宋_GB2312" w:eastAsia="仿宋_GB2312"/>
          <w:sz w:val="30"/>
          <w:szCs w:val="30"/>
        </w:rPr>
        <w:t>关键人员</w:t>
      </w:r>
      <w:bookmarkStart w:id="242" w:name="_Hlk16210335"/>
      <w:r>
        <w:rPr>
          <w:rFonts w:hint="eastAsia" w:ascii="仿宋_GB2312" w:eastAsia="仿宋_GB2312"/>
          <w:sz w:val="30"/>
          <w:szCs w:val="30"/>
        </w:rPr>
        <w:t>是发包人及承包人一致认为对工程建设起重要作用的承包人主要管理人员或技术人员。关键人员的具体范围由发包人及承包人在附件</w:t>
      </w:r>
      <w:r>
        <w:rPr>
          <w:rFonts w:ascii="仿宋_GB2312" w:eastAsia="仿宋_GB2312"/>
          <w:sz w:val="30"/>
          <w:szCs w:val="30"/>
        </w:rPr>
        <w:t>5[承包人主要管理人员表]</w:t>
      </w:r>
      <w:r>
        <w:rPr>
          <w:rFonts w:hint="eastAsia" w:ascii="仿宋_GB2312" w:eastAsia="仿宋_GB2312"/>
          <w:sz w:val="30"/>
          <w:szCs w:val="30"/>
        </w:rPr>
        <w:t>中另行约定。</w:t>
      </w:r>
    </w:p>
    <w:bookmarkEnd w:id="242"/>
    <w:p w14:paraId="0CCE2DD2">
      <w:pPr>
        <w:spacing w:after="120"/>
        <w:ind w:firstLine="600"/>
        <w:rPr>
          <w:rFonts w:ascii="仿宋_GB2312" w:eastAsia="仿宋_GB2312"/>
          <w:sz w:val="30"/>
          <w:szCs w:val="30"/>
        </w:rPr>
      </w:pPr>
      <w:bookmarkStart w:id="243" w:name="_Ref4426641"/>
      <w:bookmarkStart w:id="244" w:name="_Ref531952211"/>
      <w:r>
        <w:rPr>
          <w:rFonts w:hint="eastAsia" w:ascii="仿宋_GB2312" w:eastAsia="仿宋_GB2312"/>
          <w:sz w:val="30"/>
          <w:szCs w:val="30"/>
        </w:rPr>
        <w:t>4</w:t>
      </w:r>
      <w:r>
        <w:rPr>
          <w:rFonts w:ascii="仿宋_GB2312" w:eastAsia="仿宋_GB2312"/>
          <w:sz w:val="30"/>
          <w:szCs w:val="30"/>
        </w:rPr>
        <w:t xml:space="preserve">.4.2 </w:t>
      </w:r>
      <w:r>
        <w:rPr>
          <w:rFonts w:hint="eastAsia" w:ascii="仿宋_GB2312" w:eastAsia="仿宋_GB2312"/>
          <w:sz w:val="30"/>
          <w:szCs w:val="30"/>
        </w:rPr>
        <w:t>关键人员更换</w:t>
      </w:r>
      <w:bookmarkEnd w:id="243"/>
      <w:bookmarkEnd w:id="244"/>
    </w:p>
    <w:p w14:paraId="001FAADA">
      <w:pPr>
        <w:wordWrap/>
        <w:topLinePunct w:val="0"/>
        <w:spacing w:after="120"/>
        <w:ind w:firstLine="600"/>
        <w:rPr>
          <w:rFonts w:ascii="仿宋_GB2312" w:eastAsia="仿宋_GB2312"/>
          <w:sz w:val="30"/>
          <w:szCs w:val="30"/>
        </w:rPr>
      </w:pPr>
      <w:r>
        <w:rPr>
          <w:rFonts w:hint="eastAsia" w:ascii="仿宋_GB2312" w:eastAsia="仿宋_GB2312"/>
          <w:sz w:val="30"/>
          <w:szCs w:val="30"/>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117BC1D0">
      <w:pPr>
        <w:wordWrap/>
        <w:topLinePunct w:val="0"/>
        <w:spacing w:after="120"/>
        <w:ind w:firstLine="600"/>
        <w:rPr>
          <w:rFonts w:ascii="仿宋_GB2312" w:eastAsia="仿宋_GB2312"/>
          <w:sz w:val="30"/>
          <w:szCs w:val="30"/>
        </w:rPr>
      </w:pPr>
      <w:r>
        <w:rPr>
          <w:rFonts w:hint="eastAsia" w:ascii="仿宋_GB2312" w:eastAsia="仿宋_GB2312"/>
          <w:sz w:val="30"/>
          <w:szCs w:val="30"/>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3D595185">
      <w:pPr>
        <w:spacing w:after="120"/>
        <w:ind w:firstLine="600"/>
        <w:rPr>
          <w:rFonts w:ascii="仿宋_GB2312" w:eastAsia="仿宋_GB2312"/>
          <w:sz w:val="30"/>
          <w:szCs w:val="30"/>
        </w:rPr>
      </w:pPr>
      <w:bookmarkStart w:id="245" w:name="_Ref531952227"/>
      <w:r>
        <w:rPr>
          <w:rFonts w:hint="eastAsia" w:ascii="仿宋_GB2312" w:eastAsia="仿宋_GB2312"/>
          <w:sz w:val="30"/>
          <w:szCs w:val="30"/>
        </w:rPr>
        <w:t>4</w:t>
      </w:r>
      <w:r>
        <w:rPr>
          <w:rFonts w:ascii="仿宋_GB2312" w:eastAsia="仿宋_GB2312"/>
          <w:sz w:val="30"/>
          <w:szCs w:val="30"/>
        </w:rPr>
        <w:t xml:space="preserve">.4.3 </w:t>
      </w:r>
      <w:r>
        <w:rPr>
          <w:rFonts w:hint="eastAsia" w:ascii="仿宋_GB2312" w:eastAsia="仿宋_GB2312"/>
          <w:sz w:val="30"/>
          <w:szCs w:val="30"/>
        </w:rPr>
        <w:t>现场管理关键人员在岗要求</w:t>
      </w:r>
      <w:bookmarkEnd w:id="245"/>
    </w:p>
    <w:p w14:paraId="7E48A6B9">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3F9090D6">
      <w:pPr>
        <w:wordWrap/>
        <w:topLinePunct w:val="0"/>
        <w:spacing w:after="120"/>
        <w:ind w:firstLine="600"/>
        <w:rPr>
          <w:rFonts w:ascii="仿宋_GB2312" w:eastAsia="仿宋_GB2312"/>
          <w:sz w:val="30"/>
          <w:szCs w:val="30"/>
        </w:rPr>
      </w:pPr>
      <w:bookmarkStart w:id="246" w:name="_Ref531952262"/>
      <w:bookmarkStart w:id="247" w:name="_Ref531952259"/>
      <w:bookmarkStart w:id="248" w:name="_Toc54862216"/>
      <w:r>
        <w:rPr>
          <w:rFonts w:hint="eastAsia" w:ascii="仿宋_GB2312" w:eastAsia="仿宋_GB2312"/>
          <w:sz w:val="30"/>
          <w:szCs w:val="30"/>
        </w:rPr>
        <w:t>4.5 分包</w:t>
      </w:r>
      <w:bookmarkEnd w:id="246"/>
      <w:bookmarkEnd w:id="247"/>
      <w:bookmarkEnd w:id="248"/>
    </w:p>
    <w:p w14:paraId="3E668FC0">
      <w:pPr>
        <w:spacing w:after="120"/>
        <w:ind w:firstLine="600"/>
        <w:rPr>
          <w:rFonts w:ascii="仿宋_GB2312" w:eastAsia="仿宋_GB2312"/>
          <w:sz w:val="30"/>
          <w:szCs w:val="30"/>
        </w:rPr>
      </w:pPr>
      <w:bookmarkStart w:id="249" w:name="_Ref531952273"/>
      <w:r>
        <w:rPr>
          <w:rFonts w:hint="eastAsia" w:ascii="仿宋_GB2312" w:eastAsia="仿宋_GB2312"/>
          <w:sz w:val="30"/>
          <w:szCs w:val="30"/>
        </w:rPr>
        <w:t>4</w:t>
      </w:r>
      <w:r>
        <w:rPr>
          <w:rFonts w:ascii="仿宋_GB2312" w:eastAsia="仿宋_GB2312"/>
          <w:sz w:val="30"/>
          <w:szCs w:val="30"/>
        </w:rPr>
        <w:t xml:space="preserve">.5.1 </w:t>
      </w:r>
      <w:r>
        <w:rPr>
          <w:rFonts w:hint="eastAsia" w:ascii="仿宋_GB2312" w:eastAsia="仿宋_GB2312"/>
          <w:sz w:val="30"/>
          <w:szCs w:val="30"/>
        </w:rPr>
        <w:t>一般约定</w:t>
      </w:r>
      <w:bookmarkEnd w:id="249"/>
    </w:p>
    <w:p w14:paraId="48877F14">
      <w:pPr>
        <w:wordWrap/>
        <w:topLinePunct w:val="0"/>
        <w:spacing w:after="120"/>
        <w:ind w:firstLine="600"/>
        <w:rPr>
          <w:rFonts w:ascii="仿宋_GB2312" w:eastAsia="仿宋_GB2312"/>
          <w:sz w:val="30"/>
          <w:szCs w:val="30"/>
        </w:rPr>
      </w:pPr>
      <w:r>
        <w:rPr>
          <w:rFonts w:hint="eastAsia" w:ascii="仿宋_GB2312" w:eastAsia="仿宋_GB2312"/>
          <w:sz w:val="30"/>
          <w:szCs w:val="30"/>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23F575AA">
      <w:pPr>
        <w:spacing w:after="120"/>
        <w:ind w:firstLine="600"/>
        <w:rPr>
          <w:rFonts w:ascii="仿宋_GB2312" w:eastAsia="仿宋_GB2312"/>
          <w:sz w:val="30"/>
          <w:szCs w:val="30"/>
        </w:rPr>
      </w:pPr>
      <w:bookmarkStart w:id="250" w:name="_Ref531952286"/>
      <w:r>
        <w:rPr>
          <w:rFonts w:hint="eastAsia" w:ascii="仿宋_GB2312" w:eastAsia="仿宋_GB2312"/>
          <w:sz w:val="30"/>
          <w:szCs w:val="30"/>
        </w:rPr>
        <w:t>4</w:t>
      </w:r>
      <w:r>
        <w:rPr>
          <w:rFonts w:ascii="仿宋_GB2312" w:eastAsia="仿宋_GB2312"/>
          <w:sz w:val="30"/>
          <w:szCs w:val="30"/>
        </w:rPr>
        <w:t xml:space="preserve">.5.2 </w:t>
      </w:r>
      <w:r>
        <w:rPr>
          <w:rFonts w:hint="eastAsia" w:ascii="仿宋_GB2312" w:eastAsia="仿宋_GB2312"/>
          <w:sz w:val="30"/>
          <w:szCs w:val="30"/>
        </w:rPr>
        <w:t>分包的确定</w:t>
      </w:r>
      <w:bookmarkEnd w:id="250"/>
    </w:p>
    <w:p w14:paraId="03063CE0">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承包人应按照专用合同条件约定对工作事项进行分包，确定分包人。</w:t>
      </w:r>
    </w:p>
    <w:p w14:paraId="3A7F09B5">
      <w:pPr>
        <w:wordWrap/>
        <w:topLinePunct w:val="0"/>
        <w:spacing w:after="120"/>
        <w:ind w:firstLine="600"/>
        <w:rPr>
          <w:rFonts w:ascii="仿宋_GB2312" w:eastAsia="仿宋_GB2312"/>
          <w:sz w:val="30"/>
          <w:szCs w:val="30"/>
        </w:rPr>
      </w:pPr>
      <w:r>
        <w:rPr>
          <w:rFonts w:hint="eastAsia" w:ascii="仿宋_GB2312" w:eastAsia="仿宋_GB2312"/>
          <w:sz w:val="30"/>
          <w:szCs w:val="30"/>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63F20D51">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.5.3 </w:t>
      </w:r>
      <w:r>
        <w:rPr>
          <w:rFonts w:hint="eastAsia" w:ascii="仿宋_GB2312" w:eastAsia="仿宋_GB2312"/>
          <w:sz w:val="30"/>
          <w:szCs w:val="30"/>
        </w:rPr>
        <w:t>分包人资质</w:t>
      </w:r>
    </w:p>
    <w:p w14:paraId="38C3EAA6">
      <w:pPr>
        <w:wordWrap/>
        <w:topLinePunct w:val="0"/>
        <w:spacing w:after="120"/>
        <w:ind w:firstLine="600"/>
        <w:rPr>
          <w:rFonts w:ascii="仿宋_GB2312" w:eastAsia="仿宋_GB2312"/>
          <w:sz w:val="30"/>
          <w:szCs w:val="30"/>
        </w:rPr>
      </w:pPr>
      <w:r>
        <w:rPr>
          <w:rFonts w:hint="eastAsia" w:ascii="仿宋_GB2312" w:eastAsia="仿宋_GB2312"/>
          <w:sz w:val="30"/>
          <w:szCs w:val="30"/>
        </w:rPr>
        <w:t>分包人应符合国家法律规定的资质等级，否则不能作为分包人。承包人有义务对分包人的资质进行审查。</w:t>
      </w:r>
    </w:p>
    <w:p w14:paraId="5F4AFDB8">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.5.4 </w:t>
      </w:r>
      <w:r>
        <w:rPr>
          <w:rFonts w:hint="eastAsia" w:ascii="仿宋_GB2312" w:eastAsia="仿宋_GB2312"/>
          <w:sz w:val="30"/>
          <w:szCs w:val="30"/>
        </w:rPr>
        <w:t>分包管理</w:t>
      </w:r>
    </w:p>
    <w:p w14:paraId="155F6EB4">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332E65F3">
      <w:pPr>
        <w:spacing w:after="120"/>
        <w:ind w:firstLine="600"/>
        <w:rPr>
          <w:rFonts w:ascii="仿宋_GB2312" w:eastAsia="仿宋_GB2312"/>
          <w:sz w:val="30"/>
          <w:szCs w:val="30"/>
        </w:rPr>
      </w:pPr>
      <w:bookmarkStart w:id="251" w:name="_Ref531952298"/>
      <w:r>
        <w:rPr>
          <w:rFonts w:hint="eastAsia" w:ascii="仿宋_GB2312" w:eastAsia="仿宋_GB2312"/>
          <w:sz w:val="30"/>
          <w:szCs w:val="30"/>
        </w:rPr>
        <w:t>4</w:t>
      </w:r>
      <w:r>
        <w:rPr>
          <w:rFonts w:ascii="仿宋_GB2312" w:eastAsia="仿宋_GB2312"/>
          <w:sz w:val="30"/>
          <w:szCs w:val="30"/>
        </w:rPr>
        <w:t xml:space="preserve">.5.5 </w:t>
      </w:r>
      <w:r>
        <w:rPr>
          <w:rFonts w:hint="eastAsia" w:ascii="仿宋_GB2312" w:eastAsia="仿宋_GB2312"/>
          <w:sz w:val="30"/>
          <w:szCs w:val="30"/>
        </w:rPr>
        <w:t>分包合同价款支付</w:t>
      </w:r>
      <w:bookmarkEnd w:id="251"/>
    </w:p>
    <w:p w14:paraId="04C293A0">
      <w:pPr>
        <w:wordWrap/>
        <w:topLinePunct w:val="0"/>
        <w:spacing w:after="120"/>
        <w:ind w:firstLine="600"/>
        <w:rPr>
          <w:rFonts w:ascii="仿宋_GB2312" w:eastAsia="仿宋_GB2312"/>
          <w:sz w:val="30"/>
          <w:szCs w:val="30"/>
        </w:rPr>
      </w:pPr>
      <w:r>
        <w:rPr>
          <w:rFonts w:hint="eastAsia" w:ascii="仿宋_GB2312" w:eastAsia="仿宋_GB2312"/>
          <w:sz w:val="30"/>
          <w:szCs w:val="30"/>
        </w:rPr>
        <w:t>（1） 除本项第（2）目约定的情况或专用合同条件另有约定外，分包合同价款由承包人与分包人结算，未经承包人同意，发包人不得向分包人支付分包合同价款；</w:t>
      </w:r>
    </w:p>
    <w:p w14:paraId="592E6DCF">
      <w:pPr>
        <w:wordWrap/>
        <w:topLinePunct w:val="0"/>
        <w:spacing w:after="120"/>
        <w:ind w:firstLine="600"/>
        <w:rPr>
          <w:rFonts w:ascii="仿宋_GB2312" w:eastAsia="仿宋_GB2312"/>
          <w:sz w:val="30"/>
          <w:szCs w:val="30"/>
        </w:rPr>
      </w:pPr>
      <w:bookmarkStart w:id="252" w:name="_Ref4613798"/>
      <w:r>
        <w:rPr>
          <w:rFonts w:hint="eastAsia" w:ascii="仿宋_GB2312" w:eastAsia="仿宋_GB2312"/>
          <w:sz w:val="30"/>
          <w:szCs w:val="30"/>
        </w:rPr>
        <w:t>（2） 生效法律文书要求发包人向分包人支付分包合同价款的，发包人有权从应付承包人工程款中扣除该部分款项</w:t>
      </w:r>
      <w:bookmarkEnd w:id="252"/>
      <w:r>
        <w:rPr>
          <w:rFonts w:hint="eastAsia" w:ascii="仿宋_GB2312" w:eastAsia="仿宋_GB2312"/>
          <w:sz w:val="30"/>
          <w:szCs w:val="30"/>
        </w:rPr>
        <w:t>，将扣款直接支付给分包人，并书面通知承包人。</w:t>
      </w:r>
    </w:p>
    <w:p w14:paraId="089D8106">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.5.6 </w:t>
      </w:r>
      <w:r>
        <w:rPr>
          <w:rFonts w:hint="eastAsia" w:ascii="仿宋_GB2312" w:eastAsia="仿宋_GB2312"/>
          <w:sz w:val="30"/>
          <w:szCs w:val="30"/>
        </w:rPr>
        <w:t>责任承担</w:t>
      </w:r>
    </w:p>
    <w:p w14:paraId="1AD959DD">
      <w:pPr>
        <w:wordWrap/>
        <w:topLinePunct w:val="0"/>
        <w:spacing w:after="120"/>
        <w:ind w:firstLine="600"/>
        <w:rPr>
          <w:rFonts w:ascii="仿宋_GB2312" w:eastAsia="仿宋_GB2312"/>
          <w:sz w:val="30"/>
          <w:szCs w:val="30"/>
        </w:rPr>
      </w:pPr>
      <w:r>
        <w:rPr>
          <w:rFonts w:hint="eastAsia" w:ascii="仿宋_GB2312" w:eastAsia="仿宋_GB2312"/>
          <w:sz w:val="30"/>
          <w:szCs w:val="30"/>
        </w:rPr>
        <w:t>承包人对分包人的行为向发包人负责，承包人和分包人就分包工作向发包人承担连带责任。</w:t>
      </w:r>
    </w:p>
    <w:p w14:paraId="1F202960">
      <w:pPr>
        <w:wordWrap/>
        <w:topLinePunct w:val="0"/>
        <w:spacing w:after="120"/>
        <w:ind w:firstLine="600"/>
        <w:rPr>
          <w:rFonts w:ascii="仿宋_GB2312" w:eastAsia="仿宋_GB2312"/>
          <w:sz w:val="30"/>
          <w:szCs w:val="30"/>
        </w:rPr>
      </w:pPr>
      <w:bookmarkStart w:id="253" w:name="_Toc54862217"/>
      <w:bookmarkStart w:id="254" w:name="_Ref4426916"/>
      <w:bookmarkStart w:id="255" w:name="_Ref531952317"/>
      <w:bookmarkStart w:id="256" w:name="_Ref4768805"/>
      <w:bookmarkStart w:id="257" w:name="_Ref531952321"/>
      <w:r>
        <w:rPr>
          <w:rFonts w:hint="eastAsia" w:ascii="仿宋_GB2312" w:eastAsia="仿宋_GB2312"/>
          <w:sz w:val="30"/>
          <w:szCs w:val="30"/>
        </w:rPr>
        <w:t>4.6 联合体</w:t>
      </w:r>
      <w:bookmarkEnd w:id="253"/>
      <w:bookmarkEnd w:id="254"/>
    </w:p>
    <w:p w14:paraId="765CC736">
      <w:pPr>
        <w:spacing w:after="120"/>
        <w:ind w:firstLine="600"/>
        <w:rPr>
          <w:rFonts w:ascii="仿宋_GB2312" w:eastAsia="仿宋_GB2312"/>
          <w:sz w:val="30"/>
          <w:szCs w:val="30"/>
        </w:rPr>
      </w:pPr>
      <w:bookmarkStart w:id="258" w:name="_Hlk16235129"/>
      <w:r>
        <w:rPr>
          <w:rFonts w:hint="eastAsia" w:ascii="仿宋_GB2312" w:eastAsia="仿宋_GB2312"/>
          <w:sz w:val="30"/>
          <w:szCs w:val="30"/>
        </w:rPr>
        <w:t>4</w:t>
      </w:r>
      <w:r>
        <w:rPr>
          <w:rFonts w:ascii="仿宋_GB2312" w:eastAsia="仿宋_GB2312"/>
          <w:sz w:val="30"/>
          <w:szCs w:val="30"/>
        </w:rPr>
        <w:t xml:space="preserve">.6.1 </w:t>
      </w:r>
      <w:r>
        <w:rPr>
          <w:rFonts w:hint="eastAsia" w:ascii="仿宋_GB2312" w:eastAsia="仿宋_GB2312"/>
          <w:sz w:val="30"/>
          <w:szCs w:val="30"/>
        </w:rPr>
        <w:t>经发包人同意，</w:t>
      </w:r>
      <w:bookmarkEnd w:id="258"/>
      <w:r>
        <w:rPr>
          <w:rFonts w:hint="eastAsia" w:ascii="仿宋_GB2312" w:eastAsia="仿宋_GB2312"/>
          <w:sz w:val="30"/>
          <w:szCs w:val="30"/>
        </w:rPr>
        <w:t>以联合体方式承包工程的，联合体各方应共同与发包人订立合同协议书。联合体各方应为履行合同向发包人承担连带责任。</w:t>
      </w:r>
    </w:p>
    <w:p w14:paraId="62E11016">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.6.2 </w:t>
      </w:r>
      <w:r>
        <w:rPr>
          <w:rFonts w:hint="eastAsia" w:ascii="仿宋_GB2312" w:eastAsia="仿宋_GB2312"/>
          <w:sz w:val="30"/>
          <w:szCs w:val="30"/>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5E08D4D">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.6.3 </w:t>
      </w:r>
      <w:r>
        <w:rPr>
          <w:rFonts w:hint="eastAsia" w:ascii="仿宋_GB2312" w:eastAsia="仿宋_GB2312"/>
          <w:sz w:val="30"/>
          <w:szCs w:val="30"/>
        </w:rPr>
        <w:t>联合体协议经发包人确认后作为合同附件。在履行合同过程中，未经发包人同意，不得变更联合体成员和其负责的工作范围，或者修改联合体协议中与本合同履行相关的内容。</w:t>
      </w:r>
    </w:p>
    <w:p w14:paraId="7B1F762E">
      <w:pPr>
        <w:wordWrap/>
        <w:topLinePunct w:val="0"/>
        <w:spacing w:after="120"/>
        <w:ind w:firstLine="600"/>
        <w:rPr>
          <w:rFonts w:ascii="仿宋_GB2312" w:eastAsia="仿宋_GB2312"/>
          <w:sz w:val="30"/>
          <w:szCs w:val="30"/>
        </w:rPr>
      </w:pPr>
      <w:bookmarkStart w:id="259" w:name="_Ref11926629"/>
      <w:bookmarkStart w:id="260" w:name="_Toc54862218"/>
      <w:bookmarkStart w:id="261" w:name="_Ref11926631"/>
      <w:r>
        <w:rPr>
          <w:rFonts w:hint="eastAsia" w:ascii="仿宋_GB2312" w:eastAsia="仿宋_GB2312"/>
          <w:sz w:val="30"/>
          <w:szCs w:val="30"/>
        </w:rPr>
        <w:t>4.7 承包人现场查勘</w:t>
      </w:r>
      <w:bookmarkEnd w:id="259"/>
      <w:bookmarkEnd w:id="260"/>
      <w:bookmarkEnd w:id="261"/>
    </w:p>
    <w:p w14:paraId="2D7B4624">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.7.1 </w:t>
      </w:r>
      <w:r>
        <w:rPr>
          <w:rFonts w:hint="eastAsia" w:ascii="仿宋_GB2312" w:eastAsia="仿宋_GB2312"/>
          <w:sz w:val="30"/>
          <w:szCs w:val="30"/>
        </w:rPr>
        <w:t>除专用合同条件另有约定外，承包人应对基于发包人提交的基础资料所做出的解释和推断负责，因基础资料存在错误、遗漏导致承包人解释或推断失实的，按照第</w:t>
      </w:r>
      <w:r>
        <w:rPr>
          <w:rFonts w:ascii="仿宋_GB2312" w:eastAsia="仿宋_GB2312"/>
          <w:sz w:val="30"/>
          <w:szCs w:val="30"/>
        </w:rPr>
        <w:t>2.3</w:t>
      </w:r>
      <w:r>
        <w:rPr>
          <w:rFonts w:hint="eastAsia" w:ascii="仿宋_GB2312" w:eastAsia="仿宋_GB2312"/>
          <w:sz w:val="30"/>
          <w:szCs w:val="30"/>
        </w:rPr>
        <w:t>项[</w:t>
      </w:r>
      <w:r>
        <w:rPr>
          <w:rFonts w:ascii="仿宋_GB2312" w:eastAsia="仿宋_GB2312"/>
          <w:sz w:val="30"/>
          <w:szCs w:val="30"/>
        </w:rPr>
        <w:t>提供基础资料</w:t>
      </w:r>
      <w:r>
        <w:rPr>
          <w:rFonts w:hint="eastAsia" w:ascii="仿宋_GB2312" w:eastAsia="仿宋_GB2312"/>
          <w:sz w:val="30"/>
          <w:szCs w:val="30"/>
        </w:rPr>
        <w:t>]的规定承担责任。承包人发现基础资料中存在明显错误或疏忽的，应及时书面通知发包人。</w:t>
      </w:r>
    </w:p>
    <w:p w14:paraId="07C42416">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.7.2 </w:t>
      </w:r>
      <w:r>
        <w:rPr>
          <w:rFonts w:hint="eastAsia" w:ascii="仿宋_GB2312" w:eastAsia="仿宋_GB2312"/>
          <w:sz w:val="30"/>
          <w:szCs w:val="30"/>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rFonts w:ascii="仿宋_GB2312" w:eastAsia="仿宋_GB2312"/>
          <w:sz w:val="30"/>
          <w:szCs w:val="30"/>
        </w:rPr>
        <w:t>4.8</w:t>
      </w:r>
      <w:r>
        <w:rPr>
          <w:rFonts w:hint="eastAsia" w:ascii="仿宋_GB2312" w:eastAsia="仿宋_GB2312"/>
          <w:sz w:val="30"/>
          <w:szCs w:val="30"/>
        </w:rPr>
        <w:t>款</w:t>
      </w:r>
      <w:r>
        <w:rPr>
          <w:rFonts w:ascii="仿宋_GB2312" w:eastAsia="仿宋_GB2312"/>
          <w:sz w:val="30"/>
          <w:szCs w:val="30"/>
        </w:rPr>
        <w:t>[</w:t>
      </w:r>
      <w:r>
        <w:rPr>
          <w:rFonts w:hint="eastAsia" w:ascii="仿宋_GB2312" w:eastAsia="仿宋_GB2312"/>
          <w:sz w:val="30"/>
          <w:szCs w:val="30"/>
        </w:rPr>
        <w:t>不可预见的困难</w:t>
      </w:r>
      <w:r>
        <w:rPr>
          <w:rFonts w:ascii="仿宋_GB2312" w:eastAsia="仿宋_GB2312"/>
          <w:sz w:val="30"/>
          <w:szCs w:val="30"/>
        </w:rPr>
        <w:t>]约定的情形除外</w:t>
      </w:r>
      <w:r>
        <w:rPr>
          <w:rFonts w:hint="eastAsia" w:ascii="仿宋_GB2312" w:eastAsia="仿宋_GB2312"/>
          <w:sz w:val="30"/>
          <w:szCs w:val="30"/>
        </w:rPr>
        <w:t>。</w:t>
      </w:r>
    </w:p>
    <w:p w14:paraId="77E7BE74">
      <w:pPr>
        <w:wordWrap/>
        <w:topLinePunct w:val="0"/>
        <w:spacing w:after="120"/>
        <w:ind w:firstLine="600"/>
        <w:rPr>
          <w:rFonts w:ascii="仿宋_GB2312" w:eastAsia="仿宋_GB2312"/>
          <w:sz w:val="30"/>
          <w:szCs w:val="30"/>
        </w:rPr>
      </w:pPr>
      <w:bookmarkStart w:id="262" w:name="_Toc54862219"/>
      <w:bookmarkStart w:id="263" w:name="_Ref11918789"/>
      <w:bookmarkStart w:id="264" w:name="_Ref11918626"/>
      <w:bookmarkStart w:id="265" w:name="不可预见的困难"/>
      <w:bookmarkStart w:id="266" w:name="_Ref11918693"/>
      <w:r>
        <w:rPr>
          <w:rFonts w:hint="eastAsia" w:ascii="仿宋_GB2312" w:eastAsia="仿宋_GB2312"/>
          <w:sz w:val="30"/>
          <w:szCs w:val="30"/>
        </w:rPr>
        <w:t>4.8 不可预见的困难</w:t>
      </w:r>
      <w:bookmarkEnd w:id="255"/>
      <w:bookmarkEnd w:id="256"/>
      <w:bookmarkEnd w:id="257"/>
      <w:bookmarkEnd w:id="262"/>
      <w:bookmarkEnd w:id="263"/>
      <w:bookmarkEnd w:id="264"/>
      <w:bookmarkEnd w:id="265"/>
      <w:bookmarkEnd w:id="266"/>
    </w:p>
    <w:p w14:paraId="3B922808">
      <w:pPr>
        <w:wordWrap/>
        <w:topLinePunct w:val="0"/>
        <w:spacing w:after="120"/>
        <w:ind w:firstLine="600"/>
        <w:rPr>
          <w:rFonts w:ascii="仿宋_GB2312" w:eastAsia="仿宋_GB2312"/>
          <w:sz w:val="30"/>
          <w:szCs w:val="30"/>
        </w:rPr>
      </w:pPr>
      <w:r>
        <w:rPr>
          <w:rFonts w:hint="eastAsia" w:ascii="仿宋_GB2312" w:eastAsia="仿宋_GB2312"/>
          <w:sz w:val="30"/>
          <w:szCs w:val="30"/>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504AF066">
      <w:pPr>
        <w:wordWrap/>
        <w:topLinePunct w:val="0"/>
        <w:spacing w:after="120"/>
        <w:ind w:firstLine="600"/>
        <w:rPr>
          <w:rFonts w:ascii="仿宋_GB2312" w:eastAsia="仿宋_GB2312"/>
          <w:sz w:val="30"/>
          <w:szCs w:val="30"/>
        </w:rPr>
      </w:pPr>
      <w:r>
        <w:rPr>
          <w:rFonts w:hint="eastAsia" w:ascii="仿宋_GB2312" w:eastAsia="仿宋_GB2312"/>
          <w:sz w:val="30"/>
          <w:szCs w:val="30"/>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w:t>
      </w:r>
      <w:r>
        <w:rPr>
          <w:rFonts w:ascii="仿宋_GB2312" w:eastAsia="仿宋_GB2312"/>
          <w:sz w:val="30"/>
          <w:szCs w:val="30"/>
        </w:rPr>
        <w:t>13条</w:t>
      </w:r>
      <w:r>
        <w:rPr>
          <w:rFonts w:hint="eastAsia" w:ascii="仿宋_GB2312" w:eastAsia="仿宋_GB2312"/>
          <w:sz w:val="30"/>
          <w:szCs w:val="30"/>
        </w:rPr>
        <w:t>[变更与调整]约定执行。承包人因采取合理措施而增加的费用和（或）延误的工期由发包人承担。</w:t>
      </w:r>
    </w:p>
    <w:p w14:paraId="508C6FD8">
      <w:pPr>
        <w:wordWrap/>
        <w:topLinePunct w:val="0"/>
        <w:spacing w:after="120"/>
        <w:ind w:firstLine="600"/>
        <w:rPr>
          <w:rFonts w:ascii="仿宋_GB2312" w:eastAsia="仿宋_GB2312"/>
          <w:sz w:val="30"/>
          <w:szCs w:val="30"/>
        </w:rPr>
      </w:pPr>
      <w:bookmarkStart w:id="267" w:name="_Ref11926566"/>
      <w:bookmarkStart w:id="268" w:name="_Toc54862220"/>
      <w:bookmarkStart w:id="269" w:name="_Ref11926570"/>
      <w:r>
        <w:rPr>
          <w:rFonts w:hint="eastAsia" w:ascii="仿宋_GB2312" w:eastAsia="仿宋_GB2312"/>
          <w:sz w:val="30"/>
          <w:szCs w:val="30"/>
        </w:rPr>
        <w:t>4.9 工程质量管理</w:t>
      </w:r>
      <w:bookmarkEnd w:id="267"/>
      <w:bookmarkEnd w:id="268"/>
      <w:bookmarkEnd w:id="269"/>
    </w:p>
    <w:p w14:paraId="04C85523">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.9.1 </w:t>
      </w:r>
      <w:r>
        <w:rPr>
          <w:rFonts w:hint="eastAsia" w:ascii="仿宋_GB2312" w:eastAsia="仿宋_GB2312"/>
          <w:sz w:val="30"/>
          <w:szCs w:val="30"/>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688ECDAB">
      <w:pPr>
        <w:spacing w:after="120"/>
        <w:ind w:firstLine="600"/>
        <w:rPr>
          <w:rFonts w:ascii="仿宋_GB2312" w:eastAsia="仿宋_GB2312"/>
          <w:sz w:val="30"/>
          <w:szCs w:val="30"/>
        </w:rPr>
      </w:pPr>
      <w:r>
        <w:rPr>
          <w:rFonts w:ascii="仿宋_GB2312" w:eastAsia="仿宋_GB2312"/>
          <w:sz w:val="30"/>
          <w:szCs w:val="30"/>
        </w:rPr>
        <w:t xml:space="preserve">4.9.2 </w:t>
      </w:r>
      <w:r>
        <w:rPr>
          <w:rFonts w:hint="eastAsia" w:ascii="仿宋_GB2312" w:eastAsia="仿宋_GB2312"/>
          <w:sz w:val="30"/>
          <w:szCs w:val="30"/>
        </w:rPr>
        <w:t>承包人按照第</w:t>
      </w:r>
      <w:r>
        <w:rPr>
          <w:rFonts w:ascii="仿宋_GB2312" w:eastAsia="仿宋_GB2312"/>
          <w:sz w:val="30"/>
          <w:szCs w:val="30"/>
        </w:rPr>
        <w:t>8.4</w:t>
      </w:r>
      <w:r>
        <w:rPr>
          <w:rFonts w:hint="eastAsia" w:ascii="仿宋_GB2312" w:eastAsia="仿宋_GB2312"/>
          <w:sz w:val="30"/>
          <w:szCs w:val="30"/>
        </w:rPr>
        <w:t>款[项目进度计划]约定向工程师提交工程质量保证体系及措施文件，建立完善的质量检查制度，并提交相应的工程质量文件。对于发包人和工程师违反法律规定和合同约定的错误指示，承包人有权拒绝实施。</w:t>
      </w:r>
    </w:p>
    <w:p w14:paraId="366ACB37">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.9.3 </w:t>
      </w:r>
      <w:r>
        <w:rPr>
          <w:rFonts w:hint="eastAsia" w:ascii="仿宋_GB2312" w:eastAsia="仿宋_GB2312"/>
          <w:sz w:val="30"/>
          <w:szCs w:val="30"/>
        </w:rPr>
        <w:t>承包人应对其人员进行质量教育和技术培训，定期考核人员的劳动技能，严格执行相关规范和操作规程。</w:t>
      </w:r>
    </w:p>
    <w:p w14:paraId="4BA6E3C3">
      <w:pPr>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.9.4 </w:t>
      </w:r>
      <w:r>
        <w:rPr>
          <w:rFonts w:hint="eastAsia" w:ascii="仿宋_GB2312" w:eastAsia="仿宋_GB2312"/>
          <w:sz w:val="30"/>
          <w:szCs w:val="30"/>
        </w:rPr>
        <w:t>承包人应按照法律规定和合同约定，对设计、材料、工程设备以及全部工程内容及其施工工艺进行全过程的质量检查和检验，并作详细记录，编制工程质量报表，报送工程师审查。此外，承包人还应按照法律规定和合同约定，进行施工现场取样试验、工程复核测量和设备性能检测，提供试验样品、提交试验报告和测量成果以及其他工作。</w:t>
      </w:r>
    </w:p>
    <w:p w14:paraId="2A87DC6A">
      <w:pPr>
        <w:wordWrap/>
        <w:topLinePunct w:val="0"/>
        <w:spacing w:after="120"/>
        <w:ind w:firstLine="0" w:firstLineChars="0"/>
        <w:rPr>
          <w:rFonts w:ascii="仿宋_GB2312" w:eastAsia="仿宋_GB2312"/>
          <w:sz w:val="32"/>
          <w:szCs w:val="32"/>
        </w:rPr>
      </w:pPr>
      <w:bookmarkStart w:id="270" w:name="_Toc23926"/>
      <w:bookmarkStart w:id="271" w:name="_Toc6089"/>
      <w:bookmarkStart w:id="272" w:name="_Toc26054"/>
      <w:bookmarkStart w:id="273" w:name="_Ref531952837"/>
      <w:bookmarkStart w:id="274" w:name="_Toc54862221"/>
      <w:r>
        <w:rPr>
          <w:rFonts w:hint="eastAsia" w:ascii="仿宋_GB2312" w:eastAsia="仿宋_GB2312"/>
          <w:sz w:val="32"/>
          <w:szCs w:val="32"/>
        </w:rPr>
        <w:t>第5条 设计</w:t>
      </w:r>
      <w:bookmarkEnd w:id="270"/>
      <w:bookmarkEnd w:id="271"/>
      <w:bookmarkEnd w:id="272"/>
      <w:bookmarkEnd w:id="273"/>
      <w:bookmarkEnd w:id="274"/>
    </w:p>
    <w:p w14:paraId="23ECBDC0">
      <w:pPr>
        <w:wordWrap/>
        <w:topLinePunct w:val="0"/>
        <w:spacing w:after="120"/>
        <w:ind w:firstLine="600"/>
        <w:rPr>
          <w:rFonts w:ascii="仿宋_GB2312" w:eastAsia="仿宋_GB2312"/>
          <w:sz w:val="30"/>
          <w:szCs w:val="30"/>
        </w:rPr>
      </w:pPr>
      <w:bookmarkStart w:id="275" w:name="_Toc54862222"/>
      <w:bookmarkStart w:id="276" w:name="_Ref531952863"/>
      <w:bookmarkStart w:id="277" w:name="_Ref531952860"/>
      <w:r>
        <w:rPr>
          <w:rFonts w:hint="eastAsia" w:ascii="仿宋_GB2312" w:eastAsia="仿宋_GB2312"/>
          <w:sz w:val="30"/>
          <w:szCs w:val="30"/>
        </w:rPr>
        <w:t>5.1 承包人的设计义务</w:t>
      </w:r>
      <w:bookmarkEnd w:id="275"/>
      <w:bookmarkEnd w:id="276"/>
      <w:bookmarkEnd w:id="277"/>
    </w:p>
    <w:p w14:paraId="43E06DAC">
      <w:pPr>
        <w:spacing w:after="120"/>
        <w:ind w:firstLine="600"/>
        <w:rPr>
          <w:rFonts w:ascii="仿宋_GB2312" w:eastAsia="仿宋_GB2312"/>
          <w:sz w:val="30"/>
          <w:szCs w:val="30"/>
        </w:rPr>
      </w:pPr>
      <w:bookmarkStart w:id="278" w:name="_Ref531952881"/>
      <w:r>
        <w:rPr>
          <w:rFonts w:hint="eastAsia" w:ascii="仿宋_GB2312" w:eastAsia="仿宋_GB2312"/>
          <w:sz w:val="30"/>
          <w:szCs w:val="30"/>
        </w:rPr>
        <w:t>5</w:t>
      </w:r>
      <w:r>
        <w:rPr>
          <w:rFonts w:ascii="仿宋_GB2312" w:eastAsia="仿宋_GB2312"/>
          <w:sz w:val="30"/>
          <w:szCs w:val="30"/>
        </w:rPr>
        <w:t xml:space="preserve">.1.1 </w:t>
      </w:r>
      <w:r>
        <w:rPr>
          <w:rFonts w:hint="eastAsia" w:ascii="仿宋_GB2312" w:eastAsia="仿宋_GB2312"/>
          <w:sz w:val="30"/>
          <w:szCs w:val="30"/>
        </w:rPr>
        <w:t>设计义务的一般要求</w:t>
      </w:r>
      <w:bookmarkEnd w:id="278"/>
    </w:p>
    <w:p w14:paraId="003D6BA3">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61DCBD76">
      <w:pPr>
        <w:spacing w:after="120"/>
        <w:ind w:firstLine="600"/>
        <w:rPr>
          <w:rFonts w:ascii="仿宋_GB2312" w:eastAsia="仿宋_GB2312"/>
          <w:sz w:val="30"/>
          <w:szCs w:val="30"/>
        </w:rPr>
      </w:pPr>
      <w:bookmarkStart w:id="279" w:name="_Ref531952952"/>
      <w:bookmarkStart w:id="280" w:name="_Ref531952899"/>
      <w:r>
        <w:rPr>
          <w:rFonts w:hint="eastAsia" w:ascii="仿宋_GB2312" w:eastAsia="仿宋_GB2312"/>
          <w:sz w:val="30"/>
          <w:szCs w:val="30"/>
        </w:rPr>
        <w:t>5</w:t>
      </w:r>
      <w:r>
        <w:rPr>
          <w:rFonts w:ascii="仿宋_GB2312" w:eastAsia="仿宋_GB2312"/>
          <w:sz w:val="30"/>
          <w:szCs w:val="30"/>
        </w:rPr>
        <w:t xml:space="preserve">.1.2 </w:t>
      </w:r>
      <w:r>
        <w:rPr>
          <w:rFonts w:hint="eastAsia" w:ascii="仿宋_GB2312" w:eastAsia="仿宋_GB2312"/>
          <w:sz w:val="30"/>
          <w:szCs w:val="30"/>
        </w:rPr>
        <w:t>对设计人员的要求</w:t>
      </w:r>
      <w:bookmarkEnd w:id="279"/>
    </w:p>
    <w:p w14:paraId="49C7A7FA">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280"/>
    <w:p w14:paraId="71C51CA3">
      <w:pPr>
        <w:spacing w:after="120"/>
        <w:ind w:firstLine="600"/>
        <w:rPr>
          <w:rFonts w:ascii="仿宋_GB2312" w:eastAsia="仿宋_GB2312"/>
          <w:sz w:val="30"/>
          <w:szCs w:val="30"/>
        </w:rPr>
      </w:pPr>
      <w:r>
        <w:rPr>
          <w:rFonts w:hint="eastAsia" w:ascii="仿宋_GB2312" w:eastAsia="仿宋_GB2312"/>
          <w:sz w:val="30"/>
          <w:szCs w:val="30"/>
        </w:rPr>
        <w:t>5</w:t>
      </w:r>
      <w:r>
        <w:rPr>
          <w:rFonts w:ascii="仿宋_GB2312" w:eastAsia="仿宋_GB2312"/>
          <w:sz w:val="30"/>
          <w:szCs w:val="30"/>
        </w:rPr>
        <w:t xml:space="preserve">.1.3 </w:t>
      </w:r>
      <w:r>
        <w:rPr>
          <w:rFonts w:hint="eastAsia" w:ascii="仿宋_GB2312" w:eastAsia="仿宋_GB2312"/>
          <w:sz w:val="30"/>
          <w:szCs w:val="30"/>
        </w:rPr>
        <w:t>法律和标准的变化</w:t>
      </w:r>
    </w:p>
    <w:p w14:paraId="0FEE5B92">
      <w:pPr>
        <w:wordWrap/>
        <w:topLinePunct w:val="0"/>
        <w:spacing w:after="120"/>
        <w:ind w:firstLine="600"/>
        <w:rPr>
          <w:rFonts w:ascii="仿宋_GB2312" w:eastAsia="仿宋_GB2312"/>
          <w:sz w:val="30"/>
          <w:szCs w:val="30"/>
        </w:rPr>
      </w:pPr>
      <w:r>
        <w:rPr>
          <w:rFonts w:hint="eastAsia" w:ascii="仿宋_GB2312" w:eastAsia="仿宋_GB2312"/>
          <w:sz w:val="30"/>
          <w:szCs w:val="30"/>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仿宋_GB2312" w:eastAsia="仿宋_GB2312"/>
          <w:sz w:val="30"/>
          <w:szCs w:val="30"/>
        </w:rPr>
        <w:t>13.2</w:t>
      </w:r>
      <w:r>
        <w:rPr>
          <w:rFonts w:hint="eastAsia" w:ascii="仿宋_GB2312" w:eastAsia="仿宋_GB2312"/>
          <w:sz w:val="30"/>
          <w:szCs w:val="30"/>
        </w:rPr>
        <w:t>款[承包人的合理化建议]的约定执行。</w:t>
      </w:r>
    </w:p>
    <w:p w14:paraId="7AC16126">
      <w:pPr>
        <w:wordWrap/>
        <w:topLinePunct w:val="0"/>
        <w:spacing w:after="120"/>
        <w:ind w:firstLine="600"/>
        <w:rPr>
          <w:rFonts w:ascii="仿宋_GB2312" w:eastAsia="仿宋_GB2312"/>
          <w:sz w:val="30"/>
          <w:szCs w:val="30"/>
        </w:rPr>
      </w:pPr>
      <w:r>
        <w:rPr>
          <w:rFonts w:hint="eastAsia" w:ascii="仿宋_GB2312" w:eastAsia="仿宋_GB2312"/>
          <w:sz w:val="30"/>
          <w:szCs w:val="30"/>
        </w:rPr>
        <w:t>在基准日期之后，因国家颁布新的强制性规范、标准导致承包人的费用变化的，发包人应合理调整合同价格；导致工期延误的，发包人应合理延长工期。</w:t>
      </w:r>
    </w:p>
    <w:p w14:paraId="55F95517">
      <w:pPr>
        <w:wordWrap/>
        <w:topLinePunct w:val="0"/>
        <w:spacing w:after="120"/>
        <w:ind w:firstLine="600"/>
        <w:rPr>
          <w:rFonts w:ascii="仿宋_GB2312" w:eastAsia="仿宋_GB2312"/>
          <w:sz w:val="30"/>
          <w:szCs w:val="30"/>
        </w:rPr>
      </w:pPr>
      <w:bookmarkStart w:id="281" w:name="_Ref531953054"/>
      <w:bookmarkStart w:id="282" w:name="_Ref531953051"/>
      <w:bookmarkStart w:id="283" w:name="_Toc54862223"/>
      <w:r>
        <w:rPr>
          <w:rFonts w:hint="eastAsia" w:ascii="仿宋_GB2312" w:eastAsia="仿宋_GB2312"/>
          <w:sz w:val="30"/>
          <w:szCs w:val="30"/>
        </w:rPr>
        <w:t>5.2 承包人文件审查</w:t>
      </w:r>
      <w:bookmarkEnd w:id="281"/>
      <w:bookmarkEnd w:id="282"/>
      <w:bookmarkEnd w:id="283"/>
    </w:p>
    <w:p w14:paraId="6781496C">
      <w:pPr>
        <w:spacing w:after="120"/>
        <w:ind w:firstLine="600"/>
        <w:rPr>
          <w:rFonts w:ascii="仿宋_GB2312" w:eastAsia="仿宋_GB2312"/>
          <w:sz w:val="30"/>
          <w:szCs w:val="30"/>
        </w:rPr>
      </w:pPr>
      <w:bookmarkStart w:id="284" w:name="_Ref531953064"/>
      <w:r>
        <w:rPr>
          <w:rFonts w:hint="eastAsia" w:ascii="仿宋_GB2312" w:eastAsia="仿宋_GB2312"/>
          <w:sz w:val="30"/>
          <w:szCs w:val="30"/>
        </w:rPr>
        <w:t>5</w:t>
      </w:r>
      <w:r>
        <w:rPr>
          <w:rFonts w:ascii="仿宋_GB2312" w:eastAsia="仿宋_GB2312"/>
          <w:sz w:val="30"/>
          <w:szCs w:val="30"/>
        </w:rPr>
        <w:t xml:space="preserve">.2.1 </w:t>
      </w:r>
      <w:r>
        <w:rPr>
          <w:rFonts w:hint="eastAsia" w:ascii="仿宋_GB2312" w:eastAsia="仿宋_GB2312"/>
          <w:sz w:val="30"/>
          <w:szCs w:val="30"/>
        </w:rPr>
        <w:t>根据《发包人要求》应当通过工程师报发包人审查同意的承包人文件，承包人应当按照《发包人要求》约定的范围和内容及时报送审查。</w:t>
      </w:r>
      <w:bookmarkEnd w:id="284"/>
    </w:p>
    <w:p w14:paraId="2BC9FC6B">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7814E036">
      <w:pPr>
        <w:wordWrap/>
        <w:topLinePunct w:val="0"/>
        <w:spacing w:after="120"/>
        <w:ind w:firstLine="600"/>
        <w:rPr>
          <w:rFonts w:ascii="仿宋_GB2312" w:eastAsia="仿宋_GB2312"/>
          <w:sz w:val="30"/>
          <w:szCs w:val="30"/>
        </w:rPr>
      </w:pPr>
      <w:r>
        <w:rPr>
          <w:rFonts w:hint="eastAsia" w:ascii="仿宋_GB2312" w:eastAsia="仿宋_GB2312"/>
          <w:sz w:val="30"/>
          <w:szCs w:val="30"/>
        </w:rPr>
        <w:t>发包人同意承包人文件的，应及时通知承包人，发包人不同意承包人文件的，应在审查期限内通过工程师以书面形式通知承包人，并说明不同意的具体内容和理由。</w:t>
      </w:r>
    </w:p>
    <w:p w14:paraId="7D7234B6">
      <w:pPr>
        <w:wordWrap/>
        <w:topLinePunct w:val="0"/>
        <w:spacing w:after="120"/>
        <w:ind w:firstLine="600"/>
        <w:rPr>
          <w:rFonts w:ascii="仿宋_GB2312" w:eastAsia="仿宋_GB2312"/>
          <w:sz w:val="30"/>
          <w:szCs w:val="30"/>
        </w:rPr>
      </w:pPr>
      <w:r>
        <w:rPr>
          <w:rFonts w:hint="eastAsia" w:ascii="仿宋_GB2312" w:eastAsia="仿宋_GB2312"/>
          <w:sz w:val="30"/>
          <w:szCs w:val="30"/>
        </w:rPr>
        <w:t>承包人对发包人的意见按以下方式处理：</w:t>
      </w:r>
    </w:p>
    <w:p w14:paraId="623485B1">
      <w:pPr>
        <w:wordWrap/>
        <w:topLinePunct w:val="0"/>
        <w:spacing w:after="120"/>
        <w:ind w:firstLine="600"/>
        <w:rPr>
          <w:rFonts w:ascii="仿宋_GB2312" w:eastAsia="仿宋_GB2312"/>
          <w:sz w:val="30"/>
          <w:szCs w:val="30"/>
        </w:rPr>
      </w:pPr>
      <w:r>
        <w:rPr>
          <w:rFonts w:hint="eastAsia" w:ascii="仿宋_GB2312" w:eastAsia="仿宋_GB2312"/>
          <w:sz w:val="30"/>
          <w:szCs w:val="30"/>
        </w:rPr>
        <w:t>（1） 发包人的意见构成变更的，承包人应在7天内通知发包人按照第1</w:t>
      </w:r>
      <w:r>
        <w:rPr>
          <w:rFonts w:ascii="仿宋_GB2312" w:eastAsia="仿宋_GB2312"/>
          <w:sz w:val="30"/>
          <w:szCs w:val="30"/>
        </w:rPr>
        <w:t>3</w:t>
      </w:r>
      <w:r>
        <w:rPr>
          <w:rFonts w:hint="eastAsia" w:ascii="仿宋_GB2312" w:eastAsia="仿宋_GB2312"/>
          <w:sz w:val="30"/>
          <w:szCs w:val="30"/>
        </w:rPr>
        <w:t>条</w:t>
      </w:r>
      <w:r>
        <w:rPr>
          <w:rFonts w:ascii="仿宋_GB2312" w:eastAsia="仿宋_GB2312"/>
          <w:sz w:val="30"/>
          <w:szCs w:val="30"/>
        </w:rPr>
        <w:t>[</w:t>
      </w:r>
      <w:r>
        <w:rPr>
          <w:rFonts w:hint="eastAsia" w:ascii="仿宋_GB2312" w:eastAsia="仿宋_GB2312"/>
          <w:sz w:val="30"/>
          <w:szCs w:val="30"/>
        </w:rPr>
        <w:t>变更与调整</w:t>
      </w:r>
      <w:r>
        <w:rPr>
          <w:rFonts w:ascii="仿宋_GB2312" w:eastAsia="仿宋_GB2312"/>
          <w:sz w:val="30"/>
          <w:szCs w:val="30"/>
        </w:rPr>
        <w:t>]</w:t>
      </w:r>
      <w:r>
        <w:rPr>
          <w:rFonts w:hint="eastAsia" w:ascii="仿宋_GB2312" w:eastAsia="仿宋_GB2312"/>
          <w:sz w:val="30"/>
          <w:szCs w:val="30"/>
        </w:rPr>
        <w:t>中关于发包人指示变更的约定执行，双方对是否构成变更无法达成一致的，按照第</w:t>
      </w:r>
      <w:r>
        <w:rPr>
          <w:rFonts w:ascii="仿宋_GB2312" w:eastAsia="仿宋_GB2312"/>
          <w:sz w:val="30"/>
          <w:szCs w:val="30"/>
        </w:rPr>
        <w:t>20条[</w:t>
      </w:r>
      <w:r>
        <w:rPr>
          <w:rFonts w:hint="eastAsia" w:ascii="仿宋_GB2312" w:eastAsia="仿宋_GB2312"/>
          <w:sz w:val="30"/>
          <w:szCs w:val="30"/>
        </w:rPr>
        <w:t>争议解决</w:t>
      </w:r>
      <w:r>
        <w:rPr>
          <w:rFonts w:ascii="仿宋_GB2312" w:eastAsia="仿宋_GB2312"/>
          <w:sz w:val="30"/>
          <w:szCs w:val="30"/>
        </w:rPr>
        <w:t>]</w:t>
      </w:r>
      <w:r>
        <w:rPr>
          <w:rFonts w:hint="eastAsia" w:ascii="仿宋_GB2312" w:eastAsia="仿宋_GB2312"/>
          <w:sz w:val="30"/>
          <w:szCs w:val="30"/>
        </w:rPr>
        <w:t>的约定执行；</w:t>
      </w:r>
    </w:p>
    <w:p w14:paraId="71EE629C">
      <w:pPr>
        <w:wordWrap/>
        <w:topLinePunct w:val="0"/>
        <w:spacing w:after="120"/>
        <w:ind w:firstLine="600"/>
        <w:rPr>
          <w:rFonts w:ascii="仿宋_GB2312" w:eastAsia="仿宋_GB2312"/>
          <w:sz w:val="30"/>
          <w:szCs w:val="30"/>
        </w:rPr>
      </w:pPr>
      <w:r>
        <w:rPr>
          <w:rFonts w:hint="eastAsia" w:ascii="仿宋_GB2312" w:eastAsia="仿宋_GB2312"/>
          <w:sz w:val="30"/>
          <w:szCs w:val="30"/>
        </w:rPr>
        <w:t>（2） 因承包人原因导致无法通过审查的，承包人应根据发包人的书面说明，对承包人文件进行修改后重新报送发包人审查，审查期重新起算。因此引起的工期延长和必要的工程费用增加，由承包人负责。</w:t>
      </w:r>
    </w:p>
    <w:p w14:paraId="461C1700">
      <w:pPr>
        <w:wordWrap/>
        <w:topLinePunct w:val="0"/>
        <w:spacing w:after="120"/>
        <w:ind w:firstLine="600"/>
        <w:rPr>
          <w:rFonts w:ascii="仿宋_GB2312" w:eastAsia="仿宋_GB2312"/>
          <w:sz w:val="30"/>
          <w:szCs w:val="30"/>
        </w:rPr>
      </w:pPr>
      <w:r>
        <w:rPr>
          <w:rFonts w:hint="eastAsia" w:ascii="仿宋_GB2312" w:eastAsia="仿宋_GB2312"/>
          <w:sz w:val="30"/>
          <w:szCs w:val="30"/>
        </w:rPr>
        <w:t>合同约定的审查期满，发包人没有做出审查结论也没有提出异议的，视为承包人文件已获发包人同意。</w:t>
      </w:r>
    </w:p>
    <w:p w14:paraId="53BDA64C">
      <w:pPr>
        <w:wordWrap/>
        <w:topLinePunct w:val="0"/>
        <w:spacing w:after="120"/>
        <w:ind w:firstLine="600"/>
        <w:rPr>
          <w:rFonts w:ascii="仿宋_GB2312" w:eastAsia="仿宋_GB2312"/>
          <w:sz w:val="30"/>
          <w:szCs w:val="30"/>
        </w:rPr>
      </w:pPr>
      <w:r>
        <w:rPr>
          <w:rFonts w:hint="eastAsia" w:ascii="仿宋_GB2312" w:eastAsia="仿宋_GB2312"/>
          <w:sz w:val="30"/>
          <w:szCs w:val="30"/>
        </w:rPr>
        <w:t>发包人对承包人文件的审查和同意不得被理解为对合同的修改或改变，也并不减轻或免除承包人任何的责任和义务。</w:t>
      </w:r>
    </w:p>
    <w:p w14:paraId="243700C3">
      <w:pPr>
        <w:spacing w:after="120"/>
        <w:ind w:firstLine="600"/>
        <w:rPr>
          <w:rFonts w:ascii="仿宋_GB2312" w:eastAsia="仿宋_GB2312"/>
          <w:sz w:val="30"/>
          <w:szCs w:val="30"/>
        </w:rPr>
      </w:pPr>
      <w:r>
        <w:rPr>
          <w:rFonts w:hint="eastAsia" w:ascii="仿宋_GB2312" w:eastAsia="仿宋_GB2312"/>
          <w:sz w:val="30"/>
          <w:szCs w:val="30"/>
        </w:rPr>
        <w:t>5</w:t>
      </w:r>
      <w:r>
        <w:rPr>
          <w:rFonts w:ascii="仿宋_GB2312" w:eastAsia="仿宋_GB2312"/>
          <w:sz w:val="30"/>
          <w:szCs w:val="30"/>
        </w:rPr>
        <w:t xml:space="preserve">.2.2 </w:t>
      </w:r>
      <w:r>
        <w:rPr>
          <w:rFonts w:hint="eastAsia" w:ascii="仿宋_GB2312" w:eastAsia="仿宋_GB2312"/>
          <w:sz w:val="30"/>
          <w:szCs w:val="30"/>
        </w:rPr>
        <w:t>承包人文件不需要政府有关部门或专用合同条件约定的第三方审查单位审查或批准的，承包人应当严格按照经发包人审查同意的承包人文件设计和实施工程。</w:t>
      </w:r>
    </w:p>
    <w:p w14:paraId="43D303A7">
      <w:pPr>
        <w:wordWrap/>
        <w:topLinePunct w:val="0"/>
        <w:spacing w:after="120"/>
        <w:ind w:firstLine="600"/>
        <w:rPr>
          <w:rFonts w:ascii="仿宋_GB2312" w:eastAsia="仿宋_GB2312"/>
          <w:sz w:val="30"/>
          <w:szCs w:val="30"/>
        </w:rPr>
      </w:pPr>
      <w:r>
        <w:rPr>
          <w:rFonts w:hint="eastAsia" w:ascii="仿宋_GB2312" w:eastAsia="仿宋_GB2312"/>
          <w:sz w:val="30"/>
          <w:szCs w:val="30"/>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77857CF7">
      <w:pPr>
        <w:wordWrap/>
        <w:topLinePunct w:val="0"/>
        <w:spacing w:after="120"/>
        <w:ind w:firstLine="600"/>
        <w:rPr>
          <w:rFonts w:ascii="仿宋_GB2312" w:eastAsia="仿宋_GB2312"/>
          <w:sz w:val="30"/>
          <w:szCs w:val="30"/>
        </w:rPr>
      </w:pPr>
      <w:r>
        <w:rPr>
          <w:rFonts w:hint="eastAsia" w:ascii="仿宋_GB2312" w:eastAsia="仿宋_GB2312"/>
          <w:sz w:val="30"/>
          <w:szCs w:val="30"/>
        </w:rPr>
        <w:t>发包人有义务向承包人提供审查会议的批准文件和纪要。承包人有义务按照相关审查会议批准的文件和纪要，并依据合同约定及相关技术标准，对承包人文件进行修改、补充和完善。</w:t>
      </w:r>
    </w:p>
    <w:p w14:paraId="1B659A76">
      <w:pPr>
        <w:spacing w:after="120"/>
        <w:ind w:firstLine="600"/>
        <w:rPr>
          <w:rFonts w:ascii="仿宋_GB2312" w:eastAsia="仿宋_GB2312"/>
          <w:sz w:val="30"/>
          <w:szCs w:val="30"/>
        </w:rPr>
      </w:pPr>
      <w:bookmarkStart w:id="285" w:name="_Ref531953074"/>
      <w:r>
        <w:rPr>
          <w:rFonts w:hint="eastAsia" w:ascii="仿宋_GB2312" w:eastAsia="仿宋_GB2312"/>
          <w:sz w:val="30"/>
          <w:szCs w:val="30"/>
        </w:rPr>
        <w:t>5</w:t>
      </w:r>
      <w:r>
        <w:rPr>
          <w:rFonts w:ascii="仿宋_GB2312" w:eastAsia="仿宋_GB2312"/>
          <w:sz w:val="30"/>
          <w:szCs w:val="30"/>
        </w:rPr>
        <w:t xml:space="preserve">.2.3 </w:t>
      </w:r>
      <w:r>
        <w:rPr>
          <w:rFonts w:hint="eastAsia" w:ascii="仿宋_GB2312" w:eastAsia="仿宋_GB2312"/>
          <w:sz w:val="30"/>
          <w:szCs w:val="30"/>
        </w:rPr>
        <w:t>承包人文件需政府有关部门或专用合同条件约定的第三方审查单位审查或批准的，发包人应在发包人审查同意承包人文件后7天内，向政府有关部门或第三方报送承包人文件，承包人应予以协助。</w:t>
      </w:r>
      <w:bookmarkEnd w:id="285"/>
    </w:p>
    <w:p w14:paraId="71577165">
      <w:pPr>
        <w:wordWrap/>
        <w:topLinePunct w:val="0"/>
        <w:spacing w:after="120"/>
        <w:ind w:firstLine="600"/>
        <w:rPr>
          <w:rFonts w:ascii="仿宋_GB2312" w:eastAsia="仿宋_GB2312"/>
          <w:sz w:val="30"/>
          <w:szCs w:val="30"/>
        </w:rPr>
      </w:pPr>
      <w:r>
        <w:rPr>
          <w:rFonts w:hint="eastAsia" w:ascii="仿宋_GB2312" w:eastAsia="仿宋_GB2312"/>
          <w:sz w:val="30"/>
          <w:szCs w:val="30"/>
        </w:rPr>
        <w:t>对于政府有关部门或第三方审查单位的审查意见，不需要修改《发包人要求》的，承包人需按该审查意见修改承包人的设计文件；需要修改《发包人要求》的，承包人应按第</w:t>
      </w:r>
      <w:r>
        <w:rPr>
          <w:rFonts w:ascii="仿宋_GB2312" w:eastAsia="仿宋_GB2312"/>
          <w:sz w:val="30"/>
          <w:szCs w:val="30"/>
        </w:rPr>
        <w:t>13.2</w:t>
      </w:r>
      <w:r>
        <w:rPr>
          <w:rFonts w:hint="eastAsia" w:ascii="仿宋_GB2312" w:eastAsia="仿宋_GB2312"/>
          <w:sz w:val="30"/>
          <w:szCs w:val="30"/>
        </w:rPr>
        <w:t>款[承包人的合理化建议]的约定执行。上述情形还应适用第</w:t>
      </w:r>
      <w:r>
        <w:rPr>
          <w:rFonts w:ascii="仿宋_GB2312" w:eastAsia="仿宋_GB2312"/>
          <w:sz w:val="30"/>
          <w:szCs w:val="30"/>
        </w:rPr>
        <w:t>5.1</w:t>
      </w:r>
      <w:r>
        <w:rPr>
          <w:rFonts w:hint="eastAsia" w:ascii="仿宋_GB2312" w:eastAsia="仿宋_GB2312"/>
          <w:sz w:val="30"/>
          <w:szCs w:val="30"/>
        </w:rPr>
        <w:t>款[承包人的设计义务]和第</w:t>
      </w:r>
      <w:r>
        <w:rPr>
          <w:rFonts w:ascii="仿宋_GB2312" w:eastAsia="仿宋_GB2312"/>
          <w:sz w:val="30"/>
          <w:szCs w:val="30"/>
        </w:rPr>
        <w:t>13条</w:t>
      </w:r>
      <w:r>
        <w:rPr>
          <w:rFonts w:hint="eastAsia" w:ascii="仿宋_GB2312" w:eastAsia="仿宋_GB2312"/>
          <w:sz w:val="30"/>
          <w:szCs w:val="30"/>
        </w:rPr>
        <w:t>[变更与调整]的有关约定。</w:t>
      </w:r>
    </w:p>
    <w:p w14:paraId="6F6D87B3">
      <w:pPr>
        <w:wordWrap/>
        <w:topLinePunct w:val="0"/>
        <w:spacing w:after="120"/>
        <w:ind w:firstLine="600"/>
        <w:rPr>
          <w:rFonts w:ascii="仿宋_GB2312" w:eastAsia="仿宋_GB2312"/>
          <w:sz w:val="30"/>
          <w:szCs w:val="30"/>
        </w:rPr>
      </w:pPr>
      <w:r>
        <w:rPr>
          <w:rFonts w:hint="eastAsia" w:ascii="仿宋_GB2312" w:eastAsia="仿宋_GB2312"/>
          <w:sz w:val="30"/>
          <w:szCs w:val="30"/>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08CBCCB0">
      <w:pPr>
        <w:wordWrap/>
        <w:topLinePunct w:val="0"/>
        <w:spacing w:after="120"/>
        <w:ind w:firstLine="600"/>
        <w:rPr>
          <w:rFonts w:ascii="仿宋_GB2312" w:eastAsia="仿宋_GB2312"/>
          <w:sz w:val="30"/>
          <w:szCs w:val="30"/>
        </w:rPr>
      </w:pPr>
      <w:bookmarkStart w:id="286" w:name="_Ref531953097"/>
      <w:bookmarkStart w:id="287" w:name="_Toc54862224"/>
      <w:bookmarkStart w:id="288" w:name="_Ref531953095"/>
      <w:r>
        <w:rPr>
          <w:rFonts w:hint="eastAsia" w:ascii="仿宋_GB2312" w:eastAsia="仿宋_GB2312"/>
          <w:sz w:val="30"/>
          <w:szCs w:val="30"/>
        </w:rPr>
        <w:t>5.3 培训</w:t>
      </w:r>
      <w:bookmarkEnd w:id="286"/>
      <w:bookmarkEnd w:id="287"/>
      <w:bookmarkEnd w:id="288"/>
    </w:p>
    <w:p w14:paraId="689B4301">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承包人应按照《发包人要求》，对发包人的雇员或其它发包人指定的人员进行工程操作、维修或其它合同中约定的培训。合同约定接收之前进行培训的，应在第</w:t>
      </w:r>
      <w:r>
        <w:rPr>
          <w:rFonts w:ascii="仿宋_GB2312" w:eastAsia="仿宋_GB2312"/>
          <w:sz w:val="30"/>
          <w:szCs w:val="30"/>
        </w:rPr>
        <w:t>10.1</w:t>
      </w:r>
      <w:r>
        <w:rPr>
          <w:rFonts w:hint="eastAsia" w:ascii="仿宋_GB2312" w:eastAsia="仿宋_GB2312"/>
          <w:sz w:val="30"/>
          <w:szCs w:val="30"/>
        </w:rPr>
        <w:t>款[</w:t>
      </w:r>
      <w:r>
        <w:rPr>
          <w:rFonts w:ascii="仿宋_GB2312" w:eastAsia="仿宋_GB2312"/>
          <w:sz w:val="30"/>
          <w:szCs w:val="30"/>
        </w:rPr>
        <w:t>竣工验收</w:t>
      </w:r>
      <w:r>
        <w:rPr>
          <w:rFonts w:hint="eastAsia" w:ascii="仿宋_GB2312" w:eastAsia="仿宋_GB2312"/>
          <w:sz w:val="30"/>
          <w:szCs w:val="30"/>
        </w:rPr>
        <w:t>]约定的竣工验收前或试运行结束前完成培训。</w:t>
      </w:r>
    </w:p>
    <w:p w14:paraId="02E5A219">
      <w:pPr>
        <w:wordWrap/>
        <w:topLinePunct w:val="0"/>
        <w:spacing w:after="120"/>
        <w:ind w:firstLine="600"/>
        <w:rPr>
          <w:rFonts w:ascii="仿宋_GB2312" w:eastAsia="仿宋_GB2312"/>
          <w:sz w:val="30"/>
          <w:szCs w:val="30"/>
        </w:rPr>
      </w:pPr>
      <w:r>
        <w:rPr>
          <w:rFonts w:hint="eastAsia" w:ascii="仿宋_GB2312" w:eastAsia="仿宋_GB2312"/>
          <w:sz w:val="30"/>
          <w:szCs w:val="30"/>
        </w:rPr>
        <w:t>培训的时长应由双方在专用合同条件中约定，承包人应为培训提供有经验的人员、设施和其它必要条件。</w:t>
      </w:r>
    </w:p>
    <w:p w14:paraId="25CA1BE9">
      <w:pPr>
        <w:wordWrap/>
        <w:topLinePunct w:val="0"/>
        <w:spacing w:after="120"/>
        <w:ind w:firstLine="600"/>
        <w:rPr>
          <w:rFonts w:ascii="仿宋_GB2312" w:eastAsia="仿宋_GB2312"/>
          <w:sz w:val="30"/>
          <w:szCs w:val="30"/>
        </w:rPr>
      </w:pPr>
      <w:bookmarkStart w:id="289" w:name="_Ref531953105"/>
      <w:bookmarkStart w:id="290" w:name="_Ref531953108"/>
      <w:bookmarkStart w:id="291" w:name="_Toc54862225"/>
      <w:r>
        <w:rPr>
          <w:rFonts w:hint="eastAsia" w:ascii="仿宋_GB2312" w:eastAsia="仿宋_GB2312"/>
          <w:sz w:val="30"/>
          <w:szCs w:val="30"/>
        </w:rPr>
        <w:t>5.4 竣工文件</w:t>
      </w:r>
      <w:bookmarkEnd w:id="289"/>
      <w:bookmarkEnd w:id="290"/>
      <w:bookmarkEnd w:id="291"/>
    </w:p>
    <w:p w14:paraId="4886F22D">
      <w:pPr>
        <w:spacing w:after="120"/>
        <w:ind w:firstLine="600"/>
        <w:rPr>
          <w:rFonts w:ascii="仿宋_GB2312" w:eastAsia="仿宋_GB2312"/>
          <w:sz w:val="30"/>
          <w:szCs w:val="30"/>
        </w:rPr>
      </w:pPr>
      <w:bookmarkStart w:id="292" w:name="_Ref531953134"/>
      <w:r>
        <w:rPr>
          <w:rFonts w:hint="eastAsia" w:ascii="仿宋_GB2312" w:eastAsia="仿宋_GB2312"/>
          <w:sz w:val="30"/>
          <w:szCs w:val="30"/>
        </w:rPr>
        <w:t>5</w:t>
      </w:r>
      <w:r>
        <w:rPr>
          <w:rFonts w:ascii="仿宋_GB2312" w:eastAsia="仿宋_GB2312"/>
          <w:sz w:val="30"/>
          <w:szCs w:val="30"/>
        </w:rPr>
        <w:t xml:space="preserve">.4.1 </w:t>
      </w:r>
      <w:r>
        <w:rPr>
          <w:rFonts w:hint="eastAsia" w:ascii="仿宋_GB2312" w:eastAsia="仿宋_GB2312"/>
          <w:sz w:val="30"/>
          <w:szCs w:val="30"/>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292"/>
    </w:p>
    <w:p w14:paraId="41084078">
      <w:pPr>
        <w:spacing w:after="120"/>
        <w:ind w:firstLine="600"/>
        <w:rPr>
          <w:rFonts w:ascii="仿宋_GB2312" w:eastAsia="仿宋_GB2312"/>
          <w:sz w:val="30"/>
          <w:szCs w:val="30"/>
        </w:rPr>
      </w:pPr>
      <w:r>
        <w:rPr>
          <w:rFonts w:hint="eastAsia" w:ascii="仿宋_GB2312" w:eastAsia="仿宋_GB2312"/>
          <w:sz w:val="30"/>
          <w:szCs w:val="30"/>
        </w:rPr>
        <w:t>5</w:t>
      </w:r>
      <w:r>
        <w:rPr>
          <w:rFonts w:ascii="仿宋_GB2312" w:eastAsia="仿宋_GB2312"/>
          <w:sz w:val="30"/>
          <w:szCs w:val="30"/>
        </w:rPr>
        <w:t xml:space="preserve">.4.2 </w:t>
      </w:r>
      <w:r>
        <w:rPr>
          <w:rFonts w:hint="eastAsia" w:ascii="仿宋_GB2312" w:eastAsia="仿宋_GB2312"/>
          <w:sz w:val="30"/>
          <w:szCs w:val="30"/>
        </w:rPr>
        <w:t>在颁发工程接收证书之前，承包人应按照《发包人要求》的份数和形式向工程师提交相应竣工图纸，并取得工程师对尺寸、参照系统及其他有关细节的认可。工程师应按照第</w:t>
      </w:r>
      <w:r>
        <w:rPr>
          <w:rFonts w:ascii="仿宋_GB2312" w:eastAsia="仿宋_GB2312"/>
          <w:sz w:val="30"/>
          <w:szCs w:val="30"/>
        </w:rPr>
        <w:t>5.2</w:t>
      </w:r>
      <w:r>
        <w:rPr>
          <w:rFonts w:hint="eastAsia" w:ascii="仿宋_GB2312" w:eastAsia="仿宋_GB2312"/>
          <w:sz w:val="30"/>
          <w:szCs w:val="30"/>
        </w:rPr>
        <w:t>款[</w:t>
      </w:r>
      <w:r>
        <w:rPr>
          <w:rFonts w:ascii="仿宋_GB2312" w:eastAsia="仿宋_GB2312"/>
          <w:sz w:val="30"/>
          <w:szCs w:val="30"/>
        </w:rPr>
        <w:t>承包人文件审查</w:t>
      </w:r>
      <w:r>
        <w:rPr>
          <w:rFonts w:hint="eastAsia" w:ascii="仿宋_GB2312" w:eastAsia="仿宋_GB2312"/>
          <w:sz w:val="30"/>
          <w:szCs w:val="30"/>
        </w:rPr>
        <w:t>]的约定进行审查。</w:t>
      </w:r>
    </w:p>
    <w:p w14:paraId="069D2000">
      <w:pPr>
        <w:spacing w:after="120"/>
        <w:ind w:firstLine="600"/>
        <w:rPr>
          <w:rFonts w:ascii="仿宋_GB2312" w:eastAsia="仿宋_GB2312"/>
          <w:sz w:val="30"/>
          <w:szCs w:val="30"/>
        </w:rPr>
      </w:pPr>
      <w:r>
        <w:rPr>
          <w:rFonts w:hint="eastAsia" w:ascii="仿宋_GB2312" w:eastAsia="仿宋_GB2312"/>
          <w:sz w:val="30"/>
          <w:szCs w:val="30"/>
        </w:rPr>
        <w:t>5</w:t>
      </w:r>
      <w:r>
        <w:rPr>
          <w:rFonts w:ascii="仿宋_GB2312" w:eastAsia="仿宋_GB2312"/>
          <w:sz w:val="30"/>
          <w:szCs w:val="30"/>
        </w:rPr>
        <w:t xml:space="preserve">.4.3 </w:t>
      </w:r>
      <w:r>
        <w:rPr>
          <w:rFonts w:hint="eastAsia" w:ascii="仿宋_GB2312" w:eastAsia="仿宋_GB2312"/>
          <w:sz w:val="30"/>
          <w:szCs w:val="30"/>
        </w:rPr>
        <w:t>除专用合同条件另有约定外，在工程师收到本款下的文件前，不应认为工程已根据第</w:t>
      </w:r>
      <w:r>
        <w:rPr>
          <w:rFonts w:ascii="仿宋_GB2312" w:eastAsia="仿宋_GB2312"/>
          <w:sz w:val="30"/>
          <w:szCs w:val="30"/>
        </w:rPr>
        <w:t>10.1</w:t>
      </w:r>
      <w:r>
        <w:rPr>
          <w:rFonts w:hint="eastAsia" w:ascii="仿宋_GB2312" w:eastAsia="仿宋_GB2312"/>
          <w:sz w:val="30"/>
          <w:szCs w:val="30"/>
        </w:rPr>
        <w:t>款[竣工验收]和第</w:t>
      </w:r>
      <w:r>
        <w:rPr>
          <w:rFonts w:ascii="仿宋_GB2312" w:eastAsia="仿宋_GB2312"/>
          <w:sz w:val="30"/>
          <w:szCs w:val="30"/>
        </w:rPr>
        <w:t>10.2</w:t>
      </w:r>
      <w:r>
        <w:rPr>
          <w:rFonts w:hint="eastAsia" w:ascii="仿宋_GB2312" w:eastAsia="仿宋_GB2312"/>
          <w:sz w:val="30"/>
          <w:szCs w:val="30"/>
        </w:rPr>
        <w:t>款[</w:t>
      </w:r>
      <w:r>
        <w:rPr>
          <w:rFonts w:ascii="仿宋_GB2312" w:eastAsia="仿宋_GB2312"/>
          <w:sz w:val="30"/>
          <w:szCs w:val="30"/>
        </w:rPr>
        <w:t>单位/区段工程的验收</w:t>
      </w:r>
      <w:r>
        <w:rPr>
          <w:rFonts w:hint="eastAsia" w:ascii="仿宋_GB2312" w:eastAsia="仿宋_GB2312"/>
          <w:sz w:val="30"/>
          <w:szCs w:val="30"/>
        </w:rPr>
        <w:t>]的约定完成验收。</w:t>
      </w:r>
    </w:p>
    <w:p w14:paraId="5B6C05C7">
      <w:pPr>
        <w:wordWrap/>
        <w:topLinePunct w:val="0"/>
        <w:spacing w:after="120"/>
        <w:ind w:firstLine="600"/>
        <w:rPr>
          <w:rFonts w:ascii="仿宋_GB2312" w:eastAsia="仿宋_GB2312"/>
          <w:sz w:val="30"/>
          <w:szCs w:val="30"/>
        </w:rPr>
      </w:pPr>
      <w:bookmarkStart w:id="293" w:name="_Ref531953117"/>
      <w:bookmarkStart w:id="294" w:name="_Toc54862226"/>
      <w:bookmarkStart w:id="295" w:name="_Ref531953119"/>
      <w:r>
        <w:rPr>
          <w:rFonts w:hint="eastAsia" w:ascii="仿宋_GB2312" w:eastAsia="仿宋_GB2312"/>
          <w:sz w:val="30"/>
          <w:szCs w:val="30"/>
        </w:rPr>
        <w:t>5.5 操作和维修手册</w:t>
      </w:r>
      <w:bookmarkEnd w:id="293"/>
      <w:bookmarkEnd w:id="294"/>
      <w:bookmarkEnd w:id="295"/>
    </w:p>
    <w:p w14:paraId="141D7144">
      <w:pPr>
        <w:spacing w:after="120"/>
        <w:ind w:firstLine="600"/>
        <w:rPr>
          <w:rFonts w:ascii="仿宋_GB2312" w:eastAsia="仿宋_GB2312"/>
          <w:sz w:val="30"/>
          <w:szCs w:val="30"/>
        </w:rPr>
      </w:pPr>
      <w:bookmarkStart w:id="296" w:name="_Ref531953145"/>
      <w:r>
        <w:rPr>
          <w:rFonts w:hint="eastAsia" w:ascii="仿宋_GB2312" w:eastAsia="仿宋_GB2312"/>
          <w:sz w:val="30"/>
          <w:szCs w:val="30"/>
        </w:rPr>
        <w:t>5</w:t>
      </w:r>
      <w:r>
        <w:rPr>
          <w:rFonts w:ascii="仿宋_GB2312" w:eastAsia="仿宋_GB2312"/>
          <w:sz w:val="30"/>
          <w:szCs w:val="30"/>
        </w:rPr>
        <w:t xml:space="preserve">.5.1 </w:t>
      </w:r>
      <w:r>
        <w:rPr>
          <w:rFonts w:hint="eastAsia" w:ascii="仿宋_GB2312" w:eastAsia="仿宋_GB2312"/>
          <w:sz w:val="30"/>
          <w:szCs w:val="30"/>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296"/>
    </w:p>
    <w:p w14:paraId="0971A618">
      <w:pPr>
        <w:spacing w:after="120"/>
        <w:ind w:firstLine="600"/>
        <w:rPr>
          <w:rFonts w:ascii="仿宋_GB2312" w:eastAsia="仿宋_GB2312"/>
          <w:sz w:val="30"/>
          <w:szCs w:val="30"/>
        </w:rPr>
      </w:pPr>
      <w:r>
        <w:rPr>
          <w:rFonts w:hint="eastAsia" w:ascii="仿宋_GB2312" w:eastAsia="仿宋_GB2312"/>
          <w:sz w:val="30"/>
          <w:szCs w:val="30"/>
        </w:rPr>
        <w:t>5</w:t>
      </w:r>
      <w:r>
        <w:rPr>
          <w:rFonts w:ascii="仿宋_GB2312" w:eastAsia="仿宋_GB2312"/>
          <w:sz w:val="30"/>
          <w:szCs w:val="30"/>
        </w:rPr>
        <w:t xml:space="preserve">.5.2 </w:t>
      </w:r>
      <w:r>
        <w:rPr>
          <w:rFonts w:hint="eastAsia" w:ascii="仿宋_GB2312" w:eastAsia="仿宋_GB2312"/>
          <w:sz w:val="30"/>
          <w:szCs w:val="30"/>
        </w:rPr>
        <w:t>工程师收到承包人提交的文件后，应依据第</w:t>
      </w:r>
      <w:r>
        <w:rPr>
          <w:rFonts w:ascii="仿宋_GB2312" w:eastAsia="仿宋_GB2312"/>
          <w:sz w:val="30"/>
          <w:szCs w:val="30"/>
        </w:rPr>
        <w:t>5.2</w:t>
      </w:r>
      <w:r>
        <w:rPr>
          <w:rFonts w:hint="eastAsia" w:ascii="仿宋_GB2312" w:eastAsia="仿宋_GB2312"/>
          <w:sz w:val="30"/>
          <w:szCs w:val="30"/>
        </w:rPr>
        <w:t>款[</w:t>
      </w:r>
      <w:r>
        <w:rPr>
          <w:rFonts w:ascii="仿宋_GB2312" w:eastAsia="仿宋_GB2312"/>
          <w:sz w:val="30"/>
          <w:szCs w:val="30"/>
        </w:rPr>
        <w:t>承包人文件审查</w:t>
      </w:r>
      <w:r>
        <w:rPr>
          <w:rFonts w:hint="eastAsia" w:ascii="仿宋_GB2312" w:eastAsia="仿宋_GB2312"/>
          <w:sz w:val="30"/>
          <w:szCs w:val="30"/>
        </w:rPr>
        <w:t>]的约定对操作和维修手册进行审查，竣工试验工程中，承包人应为任何因操作和维修手册错误或遗漏引起的风险或损失承担责任。</w:t>
      </w:r>
    </w:p>
    <w:p w14:paraId="659AD0F3">
      <w:pPr>
        <w:wordWrap/>
        <w:topLinePunct w:val="0"/>
        <w:spacing w:after="120"/>
        <w:ind w:firstLine="600"/>
        <w:rPr>
          <w:rFonts w:ascii="仿宋_GB2312" w:eastAsia="仿宋_GB2312"/>
          <w:sz w:val="30"/>
          <w:szCs w:val="30"/>
        </w:rPr>
      </w:pPr>
      <w:r>
        <w:rPr>
          <w:rFonts w:hint="eastAsia" w:ascii="仿宋_GB2312" w:eastAsia="仿宋_GB2312"/>
          <w:sz w:val="30"/>
          <w:szCs w:val="30"/>
        </w:rPr>
        <w:t>5</w:t>
      </w:r>
      <w:r>
        <w:rPr>
          <w:rFonts w:ascii="仿宋_GB2312" w:eastAsia="仿宋_GB2312"/>
          <w:sz w:val="30"/>
          <w:szCs w:val="30"/>
        </w:rPr>
        <w:t xml:space="preserve">.5.3 </w:t>
      </w:r>
      <w:r>
        <w:rPr>
          <w:rFonts w:hint="eastAsia" w:ascii="仿宋_GB2312" w:eastAsia="仿宋_GB2312"/>
          <w:sz w:val="30"/>
          <w:szCs w:val="30"/>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rFonts w:ascii="仿宋_GB2312" w:eastAsia="仿宋_GB2312"/>
          <w:sz w:val="30"/>
          <w:szCs w:val="30"/>
        </w:rPr>
        <w:t>10.1</w:t>
      </w:r>
      <w:r>
        <w:rPr>
          <w:rFonts w:hint="eastAsia" w:ascii="仿宋_GB2312" w:eastAsia="仿宋_GB2312"/>
          <w:sz w:val="30"/>
          <w:szCs w:val="30"/>
        </w:rPr>
        <w:t>款[竣工验收]和第</w:t>
      </w:r>
      <w:r>
        <w:rPr>
          <w:rFonts w:ascii="仿宋_GB2312" w:eastAsia="仿宋_GB2312"/>
          <w:sz w:val="30"/>
          <w:szCs w:val="30"/>
        </w:rPr>
        <w:t>10.2</w:t>
      </w:r>
      <w:r>
        <w:rPr>
          <w:rFonts w:hint="eastAsia" w:ascii="仿宋_GB2312" w:eastAsia="仿宋_GB2312"/>
          <w:sz w:val="30"/>
          <w:szCs w:val="30"/>
        </w:rPr>
        <w:t>款[</w:t>
      </w:r>
      <w:r>
        <w:rPr>
          <w:rFonts w:ascii="仿宋_GB2312" w:eastAsia="仿宋_GB2312"/>
          <w:sz w:val="30"/>
          <w:szCs w:val="30"/>
        </w:rPr>
        <w:t>单位/区段工程的验收</w:t>
      </w:r>
      <w:r>
        <w:rPr>
          <w:rFonts w:hint="eastAsia" w:ascii="仿宋_GB2312" w:eastAsia="仿宋_GB2312"/>
          <w:sz w:val="30"/>
          <w:szCs w:val="30"/>
        </w:rPr>
        <w:t>]的约定完成验收。</w:t>
      </w:r>
    </w:p>
    <w:p w14:paraId="740978B7">
      <w:pPr>
        <w:wordWrap/>
        <w:topLinePunct w:val="0"/>
        <w:spacing w:after="120"/>
        <w:ind w:firstLine="600"/>
        <w:rPr>
          <w:rFonts w:ascii="仿宋_GB2312" w:eastAsia="仿宋_GB2312"/>
          <w:sz w:val="30"/>
          <w:szCs w:val="30"/>
        </w:rPr>
      </w:pPr>
      <w:bookmarkStart w:id="297" w:name="_Toc54862227"/>
      <w:r>
        <w:rPr>
          <w:rFonts w:hint="eastAsia" w:ascii="仿宋_GB2312" w:eastAsia="仿宋_GB2312"/>
          <w:sz w:val="30"/>
          <w:szCs w:val="30"/>
        </w:rPr>
        <w:t>5.6 承包人文件错误</w:t>
      </w:r>
      <w:bookmarkEnd w:id="297"/>
    </w:p>
    <w:p w14:paraId="23F5176D">
      <w:pPr>
        <w:wordWrap/>
        <w:topLinePunct w:val="0"/>
        <w:spacing w:after="120"/>
        <w:ind w:firstLine="600"/>
        <w:rPr>
          <w:rFonts w:ascii="仿宋_GB2312" w:eastAsia="仿宋_GB2312"/>
          <w:sz w:val="30"/>
          <w:szCs w:val="30"/>
        </w:rPr>
      </w:pPr>
      <w:r>
        <w:rPr>
          <w:rFonts w:hint="eastAsia" w:ascii="仿宋_GB2312" w:eastAsia="仿宋_GB2312"/>
          <w:sz w:val="30"/>
          <w:szCs w:val="30"/>
        </w:rPr>
        <w:t>承包人文件存在错误、遗漏、含混、矛盾、不充分之处或其他缺陷，无论承包人是否根据本款获得了同意，承包人均应自费对前述问题带来的缺陷和工程问题进行改正，并按照第</w:t>
      </w:r>
      <w:r>
        <w:rPr>
          <w:rFonts w:ascii="仿宋_GB2312" w:eastAsia="仿宋_GB2312"/>
          <w:sz w:val="30"/>
          <w:szCs w:val="30"/>
        </w:rPr>
        <w:t>5.2</w:t>
      </w:r>
      <w:r>
        <w:rPr>
          <w:rFonts w:hint="eastAsia" w:ascii="仿宋_GB2312" w:eastAsia="仿宋_GB2312"/>
          <w:sz w:val="30"/>
          <w:szCs w:val="30"/>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7EBBC48B">
      <w:pPr>
        <w:wordWrap/>
        <w:topLinePunct w:val="0"/>
        <w:spacing w:after="120"/>
        <w:ind w:firstLine="0" w:firstLineChars="0"/>
        <w:rPr>
          <w:rFonts w:ascii="仿宋_GB2312" w:eastAsia="仿宋_GB2312"/>
          <w:sz w:val="32"/>
          <w:szCs w:val="32"/>
        </w:rPr>
      </w:pPr>
      <w:bookmarkStart w:id="298" w:name="_Toc18845"/>
      <w:bookmarkStart w:id="299" w:name="_Toc24058"/>
      <w:bookmarkStart w:id="300" w:name="_Ref531953765"/>
      <w:bookmarkStart w:id="301" w:name="_Ref531953761"/>
      <w:bookmarkStart w:id="302" w:name="_Toc54862228"/>
      <w:bookmarkStart w:id="303" w:name="_Toc3628"/>
      <w:r>
        <w:rPr>
          <w:rFonts w:hint="eastAsia" w:ascii="仿宋_GB2312" w:eastAsia="仿宋_GB2312"/>
          <w:sz w:val="32"/>
          <w:szCs w:val="32"/>
        </w:rPr>
        <w:t>第6条 材料、工程设备</w:t>
      </w:r>
      <w:bookmarkEnd w:id="298"/>
      <w:bookmarkEnd w:id="299"/>
      <w:bookmarkEnd w:id="300"/>
      <w:bookmarkEnd w:id="301"/>
      <w:bookmarkEnd w:id="302"/>
      <w:bookmarkEnd w:id="303"/>
    </w:p>
    <w:p w14:paraId="16A7D80D">
      <w:pPr>
        <w:wordWrap/>
        <w:topLinePunct w:val="0"/>
        <w:spacing w:after="120"/>
        <w:ind w:firstLine="600"/>
        <w:rPr>
          <w:rFonts w:ascii="仿宋_GB2312" w:eastAsia="仿宋_GB2312"/>
          <w:sz w:val="30"/>
          <w:szCs w:val="30"/>
        </w:rPr>
      </w:pPr>
      <w:bookmarkStart w:id="304" w:name="_Ref531953832"/>
      <w:bookmarkStart w:id="305" w:name="_Toc54862229"/>
      <w:bookmarkStart w:id="306" w:name="_Ref531953828"/>
      <w:r>
        <w:rPr>
          <w:rFonts w:hint="eastAsia" w:ascii="仿宋_GB2312" w:eastAsia="仿宋_GB2312"/>
          <w:sz w:val="30"/>
          <w:szCs w:val="30"/>
        </w:rPr>
        <w:t>6.1 实施方法</w:t>
      </w:r>
      <w:bookmarkEnd w:id="304"/>
      <w:bookmarkEnd w:id="305"/>
      <w:bookmarkEnd w:id="306"/>
    </w:p>
    <w:p w14:paraId="7273C170">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承包人应按以下方法进行材料的加工、工程设备的采购、制造和安装、以及工程的所有其他实施作业：</w:t>
      </w:r>
    </w:p>
    <w:p w14:paraId="307D8297">
      <w:pPr>
        <w:wordWrap/>
        <w:topLinePunct w:val="0"/>
        <w:spacing w:after="120"/>
        <w:ind w:firstLine="600"/>
        <w:rPr>
          <w:rFonts w:ascii="仿宋_GB2312" w:eastAsia="仿宋_GB2312"/>
          <w:sz w:val="30"/>
          <w:szCs w:val="30"/>
        </w:rPr>
      </w:pPr>
      <w:bookmarkStart w:id="307" w:name="_Ref531953847"/>
      <w:r>
        <w:rPr>
          <w:rFonts w:hint="eastAsia" w:ascii="仿宋_GB2312" w:eastAsia="仿宋_GB2312"/>
          <w:sz w:val="30"/>
          <w:szCs w:val="30"/>
        </w:rPr>
        <w:t>（1） 按照法律规定和合同约定的方法；</w:t>
      </w:r>
      <w:bookmarkEnd w:id="307"/>
    </w:p>
    <w:p w14:paraId="4783A4DF">
      <w:pPr>
        <w:wordWrap/>
        <w:topLinePunct w:val="0"/>
        <w:spacing w:after="120"/>
        <w:ind w:firstLine="600"/>
        <w:rPr>
          <w:rFonts w:ascii="仿宋_GB2312" w:eastAsia="仿宋_GB2312"/>
          <w:sz w:val="30"/>
          <w:szCs w:val="30"/>
        </w:rPr>
      </w:pPr>
      <w:r>
        <w:rPr>
          <w:rFonts w:hint="eastAsia" w:ascii="仿宋_GB2312" w:eastAsia="仿宋_GB2312"/>
          <w:sz w:val="30"/>
          <w:szCs w:val="30"/>
        </w:rPr>
        <w:t>（2） 按照公认的良好行业习惯，使用恰当、审慎、先进的方法；</w:t>
      </w:r>
    </w:p>
    <w:p w14:paraId="749E6178">
      <w:pPr>
        <w:wordWrap/>
        <w:topLinePunct w:val="0"/>
        <w:spacing w:after="120"/>
        <w:ind w:firstLine="600"/>
        <w:rPr>
          <w:rFonts w:ascii="仿宋_GB2312" w:eastAsia="仿宋_GB2312"/>
          <w:sz w:val="30"/>
          <w:szCs w:val="30"/>
        </w:rPr>
      </w:pPr>
      <w:r>
        <w:rPr>
          <w:rFonts w:hint="eastAsia" w:ascii="仿宋_GB2312" w:eastAsia="仿宋_GB2312"/>
          <w:sz w:val="30"/>
          <w:szCs w:val="30"/>
        </w:rPr>
        <w:t>（3） 除专用合同条件另有规定外，应使用适当配备的实施方法、设备、设施和无危险的材料。</w:t>
      </w:r>
    </w:p>
    <w:p w14:paraId="5C16E780">
      <w:pPr>
        <w:wordWrap/>
        <w:topLinePunct w:val="0"/>
        <w:spacing w:after="120"/>
        <w:ind w:firstLine="600"/>
        <w:rPr>
          <w:rFonts w:ascii="仿宋_GB2312" w:eastAsia="仿宋_GB2312"/>
          <w:sz w:val="30"/>
          <w:szCs w:val="30"/>
        </w:rPr>
      </w:pPr>
      <w:bookmarkStart w:id="308" w:name="_Toc54862230"/>
      <w:bookmarkStart w:id="309" w:name="_Ref11926422"/>
      <w:bookmarkStart w:id="310" w:name="_Ref4427594"/>
      <w:r>
        <w:rPr>
          <w:rFonts w:hint="eastAsia" w:ascii="仿宋_GB2312" w:eastAsia="仿宋_GB2312"/>
          <w:sz w:val="30"/>
          <w:szCs w:val="30"/>
        </w:rPr>
        <w:t>6.2 材料和工程设备</w:t>
      </w:r>
      <w:bookmarkEnd w:id="308"/>
      <w:bookmarkEnd w:id="309"/>
    </w:p>
    <w:p w14:paraId="04BA9574">
      <w:pPr>
        <w:spacing w:after="120"/>
        <w:ind w:firstLine="600"/>
        <w:rPr>
          <w:rFonts w:ascii="仿宋_GB2312" w:eastAsia="仿宋_GB2312"/>
          <w:sz w:val="30"/>
          <w:szCs w:val="30"/>
        </w:rPr>
      </w:pPr>
      <w:bookmarkStart w:id="311" w:name="_Ref11960295"/>
      <w:r>
        <w:rPr>
          <w:rFonts w:hint="eastAsia" w:ascii="仿宋_GB2312" w:eastAsia="仿宋_GB2312"/>
          <w:sz w:val="30"/>
          <w:szCs w:val="30"/>
        </w:rPr>
        <w:t>6</w:t>
      </w:r>
      <w:r>
        <w:rPr>
          <w:rFonts w:ascii="仿宋_GB2312" w:eastAsia="仿宋_GB2312"/>
          <w:sz w:val="30"/>
          <w:szCs w:val="30"/>
        </w:rPr>
        <w:t xml:space="preserve">.2.1 </w:t>
      </w:r>
      <w:r>
        <w:rPr>
          <w:rFonts w:hint="eastAsia" w:ascii="仿宋_GB2312" w:eastAsia="仿宋_GB2312"/>
          <w:sz w:val="30"/>
          <w:szCs w:val="30"/>
        </w:rPr>
        <w:t>发包人提供的材料和工程设备</w:t>
      </w:r>
      <w:bookmarkEnd w:id="310"/>
      <w:bookmarkEnd w:id="311"/>
    </w:p>
    <w:p w14:paraId="0BF8C460">
      <w:pPr>
        <w:spacing w:after="120"/>
        <w:ind w:firstLine="600"/>
        <w:rPr>
          <w:rFonts w:ascii="仿宋_GB2312" w:eastAsia="仿宋_GB2312"/>
          <w:sz w:val="30"/>
          <w:szCs w:val="30"/>
        </w:rPr>
      </w:pPr>
      <w:r>
        <w:rPr>
          <w:rFonts w:hint="eastAsia" w:ascii="仿宋_GB2312" w:eastAsia="仿宋_GB2312"/>
          <w:sz w:val="30"/>
          <w:szCs w:val="30"/>
        </w:rPr>
        <w:t>发包人自行供应材料、工程设备的，应在订立合同时在专用合同条件的附件《发包人供应材料设备一览表》中明确材料、工程设备的品种、规格、型号、主要参数、数量、单价、质量等级和交接地点等。</w:t>
      </w:r>
    </w:p>
    <w:p w14:paraId="04BA12F3">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承包人应根据项目进度计划的安排，提前28天以书面形式通知工程师供应材料与工程设备的进场计划。承包人按照第</w:t>
      </w:r>
      <w:r>
        <w:rPr>
          <w:rFonts w:ascii="仿宋_GB2312" w:eastAsia="仿宋_GB2312"/>
          <w:sz w:val="30"/>
          <w:szCs w:val="30"/>
        </w:rPr>
        <w:t>8.4</w:t>
      </w:r>
      <w:r>
        <w:rPr>
          <w:rFonts w:hint="eastAsia" w:ascii="仿宋_GB2312" w:eastAsia="仿宋_GB2312"/>
          <w:sz w:val="30"/>
          <w:szCs w:val="30"/>
        </w:rPr>
        <w:t>款[项目进度计划]约定修订项目进度计划时，需同时提交经修订后的发包人供应材料与工程设备的进场计划。发包人应按照上述进场计划，向承包人提交材料和工程设备。</w:t>
      </w:r>
    </w:p>
    <w:p w14:paraId="7711E122">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5CC0077E">
      <w:pPr>
        <w:wordWrap/>
        <w:topLinePunct w:val="0"/>
        <w:spacing w:after="120"/>
        <w:ind w:firstLine="600"/>
        <w:rPr>
          <w:rFonts w:ascii="仿宋_GB2312" w:eastAsia="仿宋_GB2312"/>
          <w:sz w:val="30"/>
          <w:szCs w:val="30"/>
        </w:rPr>
      </w:pPr>
      <w:r>
        <w:rPr>
          <w:rFonts w:hint="eastAsia" w:ascii="仿宋_GB2312" w:eastAsia="仿宋_GB2312"/>
          <w:sz w:val="30"/>
          <w:szCs w:val="30"/>
        </w:rPr>
        <w:t>发包人需要对进场计划进行变更的，承包人不得拒绝，应根据第1</w:t>
      </w:r>
      <w:r>
        <w:rPr>
          <w:rFonts w:ascii="仿宋_GB2312" w:eastAsia="仿宋_GB2312"/>
          <w:sz w:val="30"/>
          <w:szCs w:val="30"/>
        </w:rPr>
        <w:t>3</w:t>
      </w:r>
      <w:r>
        <w:rPr>
          <w:rFonts w:hint="eastAsia" w:ascii="仿宋_GB2312" w:eastAsia="仿宋_GB2312"/>
          <w:sz w:val="30"/>
          <w:szCs w:val="30"/>
        </w:rPr>
        <w:t>条[变更与调整]的规定执行，并由发包人承担承包人由此增加的费用，以及引起的工期延误。承包人需要对进场计划进行变更的，应事先报请工程师批准，由此增加的费用和（或）工期延误由承包人承担。</w:t>
      </w:r>
    </w:p>
    <w:p w14:paraId="042E2794">
      <w:pPr>
        <w:wordWrap/>
        <w:topLinePunct w:val="0"/>
        <w:spacing w:after="120"/>
        <w:ind w:firstLine="600"/>
        <w:rPr>
          <w:rFonts w:ascii="仿宋_GB2312" w:eastAsia="仿宋_GB2312"/>
          <w:sz w:val="30"/>
          <w:szCs w:val="30"/>
        </w:rPr>
      </w:pPr>
      <w:r>
        <w:rPr>
          <w:rFonts w:hint="eastAsia" w:ascii="仿宋_GB2312" w:eastAsia="仿宋_GB2312"/>
          <w:sz w:val="30"/>
          <w:szCs w:val="30"/>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3154861E">
      <w:pPr>
        <w:wordWrap/>
        <w:topLinePunct w:val="0"/>
        <w:spacing w:after="120"/>
        <w:ind w:firstLine="600"/>
        <w:rPr>
          <w:rFonts w:ascii="仿宋_GB2312" w:eastAsia="仿宋_GB2312"/>
          <w:sz w:val="30"/>
          <w:szCs w:val="30"/>
        </w:rPr>
      </w:pPr>
      <w:bookmarkStart w:id="312" w:name="_Ref531953918"/>
      <w:r>
        <w:rPr>
          <w:rFonts w:hint="eastAsia" w:ascii="仿宋_GB2312" w:eastAsia="仿宋_GB2312"/>
          <w:sz w:val="30"/>
          <w:szCs w:val="30"/>
        </w:rPr>
        <w:t>6.2.2 承包人提供的材料和工程设备</w:t>
      </w:r>
      <w:bookmarkEnd w:id="312"/>
    </w:p>
    <w:p w14:paraId="43587491">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32F149A7">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承包人应按照已被批准的第</w:t>
      </w:r>
      <w:r>
        <w:rPr>
          <w:rFonts w:ascii="仿宋_GB2312" w:eastAsia="仿宋_GB2312"/>
          <w:sz w:val="30"/>
          <w:szCs w:val="30"/>
        </w:rPr>
        <w:t>8.4</w:t>
      </w:r>
      <w:r>
        <w:rPr>
          <w:rFonts w:hint="eastAsia" w:ascii="仿宋_GB2312" w:eastAsia="仿宋_GB2312"/>
          <w:sz w:val="30"/>
          <w:szCs w:val="30"/>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094C88CE">
      <w:pPr>
        <w:wordWrap/>
        <w:topLinePunct w:val="0"/>
        <w:spacing w:after="120"/>
        <w:ind w:firstLine="600"/>
        <w:rPr>
          <w:rFonts w:ascii="仿宋_GB2312" w:eastAsia="仿宋_GB2312"/>
          <w:sz w:val="30"/>
          <w:szCs w:val="30"/>
        </w:rPr>
      </w:pPr>
      <w:r>
        <w:rPr>
          <w:rFonts w:hint="eastAsia" w:ascii="仿宋_GB2312" w:eastAsia="仿宋_GB2312"/>
          <w:sz w:val="30"/>
          <w:szCs w:val="30"/>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55A5D797">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2A98D9F7">
      <w:pPr>
        <w:spacing w:after="120"/>
        <w:ind w:firstLine="600"/>
        <w:rPr>
          <w:rFonts w:ascii="仿宋_GB2312" w:eastAsia="仿宋_GB2312"/>
          <w:sz w:val="30"/>
          <w:szCs w:val="30"/>
        </w:rPr>
      </w:pPr>
      <w:bookmarkStart w:id="313" w:name="_Ref531953999"/>
      <w:bookmarkStart w:id="314" w:name="_Ref531953991"/>
      <w:r>
        <w:rPr>
          <w:rFonts w:hint="eastAsia" w:ascii="仿宋_GB2312" w:eastAsia="仿宋_GB2312"/>
          <w:sz w:val="30"/>
          <w:szCs w:val="30"/>
        </w:rPr>
        <w:t>6</w:t>
      </w:r>
      <w:r>
        <w:rPr>
          <w:rFonts w:ascii="仿宋_GB2312" w:eastAsia="仿宋_GB2312"/>
          <w:sz w:val="30"/>
          <w:szCs w:val="30"/>
        </w:rPr>
        <w:t xml:space="preserve">.2.3 </w:t>
      </w:r>
      <w:r>
        <w:rPr>
          <w:rFonts w:hint="eastAsia" w:ascii="仿宋_GB2312" w:eastAsia="仿宋_GB2312"/>
          <w:sz w:val="30"/>
          <w:szCs w:val="30"/>
        </w:rPr>
        <w:t>材料和工程设备的保管</w:t>
      </w:r>
      <w:bookmarkEnd w:id="313"/>
      <w:bookmarkEnd w:id="314"/>
    </w:p>
    <w:p w14:paraId="0C747810">
      <w:pPr>
        <w:wordWrap/>
        <w:topLinePunct w:val="0"/>
        <w:spacing w:after="120"/>
        <w:ind w:firstLine="600"/>
        <w:rPr>
          <w:rFonts w:ascii="仿宋_GB2312" w:eastAsia="仿宋_GB2312"/>
          <w:sz w:val="30"/>
          <w:szCs w:val="30"/>
        </w:rPr>
      </w:pPr>
      <w:r>
        <w:rPr>
          <w:rFonts w:hint="eastAsia" w:ascii="仿宋_GB2312" w:eastAsia="仿宋_GB2312"/>
          <w:sz w:val="30"/>
          <w:szCs w:val="30"/>
        </w:rPr>
        <w:t>（1） 发包人供应材料与工程设备的保管与使用</w:t>
      </w:r>
    </w:p>
    <w:p w14:paraId="7052D307">
      <w:pPr>
        <w:wordWrap/>
        <w:topLinePunct w:val="0"/>
        <w:spacing w:after="120"/>
        <w:ind w:firstLine="600"/>
        <w:rPr>
          <w:rFonts w:ascii="仿宋_GB2312" w:eastAsia="仿宋_GB2312"/>
          <w:sz w:val="30"/>
          <w:szCs w:val="30"/>
        </w:rPr>
      </w:pPr>
      <w:r>
        <w:rPr>
          <w:rFonts w:hint="eastAsia" w:ascii="仿宋_GB2312" w:eastAsia="仿宋_GB2312"/>
          <w:sz w:val="30"/>
          <w:szCs w:val="30"/>
        </w:rPr>
        <w:t>发包人供应的材料和工程设备，承包人清点并接收后由承包人妥善保管，保管费用由承包人承担，但专用合同条件另有约定除外。因承包人原因发生丢失毁损的，由承包人负责赔偿。</w:t>
      </w:r>
    </w:p>
    <w:p w14:paraId="0D749E8C">
      <w:pPr>
        <w:wordWrap/>
        <w:topLinePunct w:val="0"/>
        <w:spacing w:after="120"/>
        <w:ind w:firstLine="600"/>
        <w:rPr>
          <w:rFonts w:ascii="仿宋_GB2312" w:eastAsia="仿宋_GB2312"/>
          <w:sz w:val="30"/>
          <w:szCs w:val="30"/>
        </w:rPr>
      </w:pPr>
      <w:r>
        <w:rPr>
          <w:rFonts w:hint="eastAsia" w:ascii="仿宋_GB2312" w:eastAsia="仿宋_GB2312"/>
          <w:sz w:val="30"/>
          <w:szCs w:val="30"/>
        </w:rPr>
        <w:t>发包人供应的材料和工程设备使用前，由承包人负责必要的检验，检验费用由发包人承担，不合格的不得使用。</w:t>
      </w:r>
    </w:p>
    <w:p w14:paraId="21555B71">
      <w:pPr>
        <w:wordWrap/>
        <w:topLinePunct w:val="0"/>
        <w:spacing w:after="120"/>
        <w:ind w:firstLine="600"/>
        <w:rPr>
          <w:rFonts w:ascii="仿宋_GB2312" w:eastAsia="仿宋_GB2312"/>
          <w:sz w:val="30"/>
          <w:szCs w:val="30"/>
        </w:rPr>
      </w:pPr>
      <w:r>
        <w:rPr>
          <w:rFonts w:hint="eastAsia" w:ascii="仿宋_GB2312" w:eastAsia="仿宋_GB2312"/>
          <w:sz w:val="30"/>
          <w:szCs w:val="30"/>
        </w:rPr>
        <w:t>（2） 承包人采购材料与工程设备的保管与使用</w:t>
      </w:r>
    </w:p>
    <w:p w14:paraId="23EC87F6">
      <w:pPr>
        <w:wordWrap/>
        <w:topLinePunct w:val="0"/>
        <w:spacing w:after="120"/>
        <w:ind w:firstLine="600"/>
        <w:rPr>
          <w:rFonts w:ascii="仿宋_GB2312" w:eastAsia="仿宋_GB2312"/>
          <w:sz w:val="30"/>
          <w:szCs w:val="30"/>
        </w:rPr>
      </w:pPr>
      <w:r>
        <w:rPr>
          <w:rFonts w:hint="eastAsia" w:ascii="仿宋_GB2312" w:eastAsia="仿宋_GB2312"/>
          <w:sz w:val="30"/>
          <w:szCs w:val="30"/>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47FBBE95">
      <w:pPr>
        <w:wordWrap/>
        <w:topLinePunct w:val="0"/>
        <w:spacing w:after="120"/>
        <w:ind w:firstLine="600"/>
        <w:rPr>
          <w:rFonts w:ascii="仿宋_GB2312" w:eastAsia="仿宋_GB2312"/>
          <w:sz w:val="30"/>
          <w:szCs w:val="30"/>
        </w:rPr>
      </w:pPr>
      <w:r>
        <w:rPr>
          <w:rFonts w:hint="eastAsia" w:ascii="仿宋_GB2312" w:eastAsia="仿宋_GB2312"/>
          <w:sz w:val="30"/>
          <w:szCs w:val="30"/>
        </w:rPr>
        <w:t>工程师发现承包人使用不符合设计或有关标准要求的材料和工程设备时，有权要求承包人进行修复、拆除或重新采购，由此增加的费用和（或）延误的工期，由承包人承担。</w:t>
      </w:r>
    </w:p>
    <w:p w14:paraId="3A834F73">
      <w:pPr>
        <w:spacing w:after="120"/>
        <w:ind w:firstLine="600"/>
        <w:rPr>
          <w:rFonts w:ascii="仿宋_GB2312" w:eastAsia="仿宋_GB2312"/>
          <w:sz w:val="30"/>
          <w:szCs w:val="30"/>
        </w:rPr>
      </w:pPr>
      <w:r>
        <w:rPr>
          <w:rFonts w:hint="eastAsia" w:ascii="仿宋_GB2312" w:eastAsia="仿宋_GB2312"/>
          <w:sz w:val="30"/>
          <w:szCs w:val="30"/>
        </w:rPr>
        <w:t>6</w:t>
      </w:r>
      <w:r>
        <w:rPr>
          <w:rFonts w:ascii="仿宋_GB2312" w:eastAsia="仿宋_GB2312"/>
          <w:sz w:val="30"/>
          <w:szCs w:val="30"/>
        </w:rPr>
        <w:t xml:space="preserve">.2.4 </w:t>
      </w:r>
      <w:r>
        <w:rPr>
          <w:rFonts w:hint="eastAsia" w:ascii="仿宋_GB2312" w:eastAsia="仿宋_GB2312"/>
          <w:sz w:val="30"/>
          <w:szCs w:val="30"/>
        </w:rPr>
        <w:t>材料和工程设备的所有权</w:t>
      </w:r>
    </w:p>
    <w:p w14:paraId="599AF2A4">
      <w:pPr>
        <w:wordWrap/>
        <w:topLinePunct w:val="0"/>
        <w:spacing w:after="120"/>
        <w:ind w:firstLine="600"/>
        <w:rPr>
          <w:rFonts w:ascii="仿宋_GB2312" w:eastAsia="仿宋_GB2312"/>
          <w:sz w:val="30"/>
          <w:szCs w:val="30"/>
        </w:rPr>
      </w:pPr>
      <w:r>
        <w:rPr>
          <w:rFonts w:hint="eastAsia" w:ascii="仿宋_GB2312" w:eastAsia="仿宋_GB2312"/>
          <w:sz w:val="30"/>
          <w:szCs w:val="30"/>
        </w:rPr>
        <w:t>除本合同另有约定外，承包人根据第</w:t>
      </w:r>
      <w:r>
        <w:rPr>
          <w:rFonts w:ascii="仿宋_GB2312" w:eastAsia="仿宋_GB2312"/>
          <w:sz w:val="30"/>
          <w:szCs w:val="30"/>
        </w:rPr>
        <w:t>6.2.2</w:t>
      </w:r>
      <w:r>
        <w:rPr>
          <w:rFonts w:hint="eastAsia" w:ascii="仿宋_GB2312" w:eastAsia="仿宋_GB2312"/>
          <w:sz w:val="30"/>
          <w:szCs w:val="30"/>
        </w:rPr>
        <w:t>项[承包人提供的材料和工程设备]约定提供的材料和工程设备后，材料及工程设备的价款应列入第1</w:t>
      </w:r>
      <w:r>
        <w:rPr>
          <w:rFonts w:ascii="仿宋_GB2312" w:eastAsia="仿宋_GB2312"/>
          <w:sz w:val="30"/>
          <w:szCs w:val="30"/>
        </w:rPr>
        <w:t>4.3.1</w:t>
      </w:r>
      <w:r>
        <w:rPr>
          <w:rFonts w:hint="eastAsia" w:ascii="仿宋_GB2312" w:eastAsia="仿宋_GB2312"/>
          <w:sz w:val="30"/>
          <w:szCs w:val="30"/>
        </w:rPr>
        <w:t>项第（2）目的进度款金额中，发包人支付当期进度款之后，其所有权转为发包人所有（周转性材料除外）；在发包人接收工程前，承包人有义务对材料和工程设备进行保管、维护和保养，未经发包人批准不得运出现场。</w:t>
      </w:r>
    </w:p>
    <w:p w14:paraId="6B84399E">
      <w:pPr>
        <w:wordWrap/>
        <w:topLinePunct w:val="0"/>
        <w:spacing w:after="120"/>
        <w:ind w:firstLine="600"/>
        <w:rPr>
          <w:rFonts w:ascii="仿宋_GB2312" w:eastAsia="仿宋_GB2312"/>
          <w:sz w:val="30"/>
          <w:szCs w:val="30"/>
        </w:rPr>
      </w:pPr>
      <w:r>
        <w:rPr>
          <w:rFonts w:hint="eastAsia" w:ascii="仿宋_GB2312" w:eastAsia="仿宋_GB2312"/>
          <w:sz w:val="30"/>
          <w:szCs w:val="30"/>
        </w:rPr>
        <w:t>承包人按第</w:t>
      </w:r>
      <w:r>
        <w:rPr>
          <w:rFonts w:ascii="仿宋_GB2312" w:eastAsia="仿宋_GB2312"/>
          <w:sz w:val="30"/>
          <w:szCs w:val="30"/>
        </w:rPr>
        <w:t>6.2.2项提供的材料和工程设备</w:t>
      </w:r>
      <w:r>
        <w:rPr>
          <w:rFonts w:hint="eastAsia" w:ascii="仿宋_GB2312" w:eastAsia="仿宋_GB2312"/>
          <w:sz w:val="30"/>
          <w:szCs w:val="30"/>
        </w:rPr>
        <w:t>，承包人应确保发包人取得无权利负担的材料及工程设备所有权，因承包人与第三人的物权争议导致的增加的费用和（或）延误的工期，由承包人承担。</w:t>
      </w:r>
    </w:p>
    <w:p w14:paraId="1521FBAC">
      <w:pPr>
        <w:spacing w:after="120"/>
        <w:ind w:firstLine="600"/>
        <w:rPr>
          <w:rFonts w:ascii="仿宋_GB2312" w:eastAsia="仿宋_GB2312"/>
          <w:sz w:val="30"/>
          <w:szCs w:val="30"/>
        </w:rPr>
      </w:pPr>
      <w:bookmarkStart w:id="315" w:name="_Toc54862231"/>
      <w:bookmarkStart w:id="316" w:name="_Ref4428239"/>
      <w:bookmarkStart w:id="317" w:name="_Toc351203565"/>
      <w:bookmarkStart w:id="318" w:name="_Toc337558785"/>
      <w:r>
        <w:rPr>
          <w:rFonts w:hint="eastAsia" w:ascii="仿宋_GB2312" w:eastAsia="仿宋_GB2312"/>
          <w:sz w:val="30"/>
          <w:szCs w:val="30"/>
        </w:rPr>
        <w:t>6.3 样品</w:t>
      </w:r>
      <w:bookmarkEnd w:id="315"/>
      <w:bookmarkEnd w:id="316"/>
    </w:p>
    <w:p w14:paraId="22B59C1C">
      <w:pPr>
        <w:spacing w:after="120"/>
        <w:ind w:firstLine="600"/>
        <w:rPr>
          <w:rFonts w:ascii="仿宋_GB2312" w:eastAsia="仿宋_GB2312"/>
          <w:sz w:val="30"/>
          <w:szCs w:val="30"/>
        </w:rPr>
      </w:pPr>
      <w:r>
        <w:rPr>
          <w:rFonts w:hint="eastAsia" w:ascii="仿宋_GB2312" w:eastAsia="仿宋_GB2312"/>
          <w:sz w:val="30"/>
          <w:szCs w:val="30"/>
        </w:rPr>
        <w:t>6</w:t>
      </w:r>
      <w:r>
        <w:rPr>
          <w:rFonts w:ascii="仿宋_GB2312" w:eastAsia="仿宋_GB2312"/>
          <w:sz w:val="30"/>
          <w:szCs w:val="30"/>
        </w:rPr>
        <w:t xml:space="preserve">.3.1 </w:t>
      </w:r>
      <w:r>
        <w:rPr>
          <w:rFonts w:hint="eastAsia" w:ascii="仿宋_GB2312" w:eastAsia="仿宋_GB2312"/>
          <w:sz w:val="30"/>
          <w:szCs w:val="30"/>
        </w:rPr>
        <w:t>样品的报送与封存</w:t>
      </w:r>
    </w:p>
    <w:p w14:paraId="213E99A4">
      <w:pPr>
        <w:wordWrap/>
        <w:topLinePunct w:val="0"/>
        <w:spacing w:after="120"/>
        <w:ind w:firstLine="600"/>
        <w:rPr>
          <w:rFonts w:ascii="仿宋_GB2312" w:eastAsia="仿宋_GB2312"/>
          <w:sz w:val="30"/>
          <w:szCs w:val="30"/>
        </w:rPr>
      </w:pPr>
      <w:r>
        <w:rPr>
          <w:rFonts w:hint="eastAsia" w:ascii="仿宋_GB2312" w:eastAsia="仿宋_GB2312"/>
          <w:sz w:val="30"/>
          <w:szCs w:val="30"/>
        </w:rPr>
        <w:t>需要承包人报送样品的材料或工程设备，样品的种类、名称、规格、数量等要求均应在专用合同条件中约定。样品的报送程序如下：</w:t>
      </w:r>
    </w:p>
    <w:p w14:paraId="6CEFDD14">
      <w:pPr>
        <w:wordWrap/>
        <w:topLinePunct w:val="0"/>
        <w:spacing w:after="120"/>
        <w:ind w:firstLine="600"/>
        <w:rPr>
          <w:rFonts w:ascii="仿宋_GB2312" w:eastAsia="仿宋_GB2312"/>
          <w:sz w:val="30"/>
          <w:szCs w:val="30"/>
        </w:rPr>
      </w:pPr>
      <w:r>
        <w:rPr>
          <w:rFonts w:hint="eastAsia" w:ascii="仿宋_GB2312" w:eastAsia="仿宋_GB2312"/>
          <w:sz w:val="30"/>
          <w:szCs w:val="30"/>
        </w:rPr>
        <w:t>（1） 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7389780B">
      <w:pPr>
        <w:wordWrap/>
        <w:topLinePunct w:val="0"/>
        <w:spacing w:after="120"/>
        <w:ind w:firstLine="600"/>
        <w:rPr>
          <w:rFonts w:ascii="仿宋_GB2312" w:eastAsia="仿宋_GB2312"/>
          <w:sz w:val="30"/>
          <w:szCs w:val="30"/>
        </w:rPr>
      </w:pPr>
      <w:r>
        <w:rPr>
          <w:rFonts w:hint="eastAsia" w:ascii="仿宋_GB2312" w:eastAsia="仿宋_GB2312"/>
          <w:sz w:val="30"/>
          <w:szCs w:val="30"/>
        </w:rPr>
        <w:t>（2） 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118862F0">
      <w:pPr>
        <w:wordWrap/>
        <w:topLinePunct w:val="0"/>
        <w:spacing w:after="120"/>
        <w:ind w:firstLine="600"/>
        <w:rPr>
          <w:rFonts w:ascii="仿宋_GB2312" w:eastAsia="仿宋_GB2312"/>
          <w:sz w:val="30"/>
          <w:szCs w:val="30"/>
        </w:rPr>
      </w:pPr>
      <w:r>
        <w:rPr>
          <w:rFonts w:hint="eastAsia" w:ascii="仿宋_GB2312" w:eastAsia="仿宋_GB2312"/>
          <w:sz w:val="30"/>
          <w:szCs w:val="30"/>
        </w:rPr>
        <w:t>（3） 经工程师审批确认的样品应按约定的方法封样，封存的样品作为检验工程相关部分的标准之一。承包人在施工过程中不得使用与样品不符的材料或工程设备。</w:t>
      </w:r>
    </w:p>
    <w:p w14:paraId="2C1FDD78">
      <w:pPr>
        <w:wordWrap/>
        <w:topLinePunct w:val="0"/>
        <w:spacing w:after="120"/>
        <w:ind w:firstLine="600"/>
        <w:rPr>
          <w:rFonts w:ascii="仿宋_GB2312" w:eastAsia="仿宋_GB2312"/>
          <w:sz w:val="30"/>
          <w:szCs w:val="30"/>
        </w:rPr>
      </w:pPr>
      <w:r>
        <w:rPr>
          <w:rFonts w:hint="eastAsia" w:ascii="仿宋_GB2312" w:eastAsia="仿宋_GB2312"/>
          <w:sz w:val="30"/>
          <w:szCs w:val="30"/>
        </w:rPr>
        <w:t>（4） 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B675BEB">
      <w:pPr>
        <w:spacing w:after="120"/>
        <w:ind w:firstLine="600"/>
        <w:rPr>
          <w:rFonts w:ascii="仿宋_GB2312" w:eastAsia="仿宋_GB2312"/>
          <w:sz w:val="30"/>
          <w:szCs w:val="30"/>
        </w:rPr>
      </w:pPr>
      <w:r>
        <w:rPr>
          <w:rFonts w:hint="eastAsia" w:ascii="仿宋_GB2312" w:eastAsia="仿宋_GB2312"/>
          <w:sz w:val="30"/>
          <w:szCs w:val="30"/>
        </w:rPr>
        <w:t>6</w:t>
      </w:r>
      <w:r>
        <w:rPr>
          <w:rFonts w:ascii="仿宋_GB2312" w:eastAsia="仿宋_GB2312"/>
          <w:sz w:val="30"/>
          <w:szCs w:val="30"/>
        </w:rPr>
        <w:t xml:space="preserve">.3.2 </w:t>
      </w:r>
      <w:r>
        <w:rPr>
          <w:rFonts w:hint="eastAsia" w:ascii="仿宋_GB2312" w:eastAsia="仿宋_GB2312"/>
          <w:sz w:val="30"/>
          <w:szCs w:val="30"/>
        </w:rPr>
        <w:t>样品的保管</w:t>
      </w:r>
    </w:p>
    <w:p w14:paraId="1E85B8E9">
      <w:pPr>
        <w:wordWrap/>
        <w:topLinePunct w:val="0"/>
        <w:spacing w:after="120"/>
        <w:ind w:firstLine="600"/>
        <w:rPr>
          <w:rFonts w:ascii="仿宋_GB2312" w:eastAsia="仿宋_GB2312"/>
          <w:sz w:val="30"/>
          <w:szCs w:val="30"/>
        </w:rPr>
      </w:pPr>
      <w:r>
        <w:rPr>
          <w:rFonts w:hint="eastAsia" w:ascii="仿宋_GB2312" w:eastAsia="仿宋_GB2312"/>
          <w:sz w:val="30"/>
          <w:szCs w:val="30"/>
        </w:rPr>
        <w:t>经批准的样品应由工程师负责封存于现场，承包人应在现场为保存样品提供适当和固定的场所并保持适当和良好的存储环境条件。</w:t>
      </w:r>
    </w:p>
    <w:p w14:paraId="5A91C347">
      <w:pPr>
        <w:spacing w:after="120"/>
        <w:ind w:firstLine="600"/>
        <w:rPr>
          <w:rFonts w:ascii="仿宋_GB2312" w:eastAsia="仿宋_GB2312"/>
          <w:sz w:val="30"/>
          <w:szCs w:val="30"/>
        </w:rPr>
      </w:pPr>
      <w:bookmarkStart w:id="319" w:name="_Ref11959204"/>
      <w:bookmarkStart w:id="320" w:name="_Toc54862232"/>
      <w:bookmarkStart w:id="321" w:name="_Ref11959210"/>
      <w:r>
        <w:rPr>
          <w:rFonts w:hint="eastAsia" w:ascii="仿宋_GB2312" w:eastAsia="仿宋_GB2312"/>
          <w:sz w:val="30"/>
          <w:szCs w:val="30"/>
        </w:rPr>
        <w:t>6.4 质量检查</w:t>
      </w:r>
      <w:bookmarkEnd w:id="319"/>
      <w:bookmarkEnd w:id="320"/>
      <w:bookmarkEnd w:id="321"/>
    </w:p>
    <w:p w14:paraId="22299C4C">
      <w:pPr>
        <w:spacing w:after="120"/>
        <w:ind w:firstLine="600"/>
        <w:rPr>
          <w:rFonts w:ascii="仿宋_GB2312" w:eastAsia="仿宋_GB2312"/>
          <w:sz w:val="30"/>
          <w:szCs w:val="30"/>
        </w:rPr>
      </w:pPr>
      <w:bookmarkStart w:id="322" w:name="_Ref18990699"/>
      <w:r>
        <w:rPr>
          <w:rFonts w:hint="eastAsia" w:ascii="仿宋_GB2312" w:eastAsia="仿宋_GB2312"/>
          <w:sz w:val="30"/>
          <w:szCs w:val="30"/>
        </w:rPr>
        <w:t>6</w:t>
      </w:r>
      <w:r>
        <w:rPr>
          <w:rFonts w:ascii="仿宋_GB2312" w:eastAsia="仿宋_GB2312"/>
          <w:sz w:val="30"/>
          <w:szCs w:val="30"/>
        </w:rPr>
        <w:t xml:space="preserve">.4.1 </w:t>
      </w:r>
      <w:r>
        <w:rPr>
          <w:rFonts w:hint="eastAsia" w:ascii="仿宋_GB2312" w:eastAsia="仿宋_GB2312"/>
          <w:sz w:val="30"/>
          <w:szCs w:val="30"/>
        </w:rPr>
        <w:t>工程质量要求</w:t>
      </w:r>
      <w:bookmarkEnd w:id="322"/>
    </w:p>
    <w:p w14:paraId="3B867A1C">
      <w:pPr>
        <w:wordWrap/>
        <w:topLinePunct w:val="0"/>
        <w:spacing w:after="120"/>
        <w:ind w:firstLine="600"/>
        <w:rPr>
          <w:rFonts w:ascii="仿宋_GB2312" w:eastAsia="仿宋_GB2312"/>
          <w:sz w:val="30"/>
          <w:szCs w:val="30"/>
        </w:rPr>
      </w:pPr>
      <w:r>
        <w:rPr>
          <w:rFonts w:hint="eastAsia" w:ascii="仿宋_GB2312" w:eastAsia="仿宋_GB2312"/>
          <w:sz w:val="30"/>
          <w:szCs w:val="30"/>
        </w:rPr>
        <w:t>工程质量标准必须符合现行国家有关工程施工质量验收规范和标准的要求。有关工程质量的特殊标准或要求由合同当事人在专用合同条件中约定。</w:t>
      </w:r>
    </w:p>
    <w:p w14:paraId="3CA8471D">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2FBD87E6">
      <w:pPr>
        <w:spacing w:after="120"/>
        <w:ind w:firstLine="600"/>
        <w:rPr>
          <w:rFonts w:ascii="仿宋_GB2312" w:eastAsia="仿宋_GB2312"/>
          <w:sz w:val="30"/>
          <w:szCs w:val="30"/>
        </w:rPr>
      </w:pPr>
      <w:bookmarkStart w:id="323" w:name="_Ref18990717"/>
      <w:r>
        <w:rPr>
          <w:rFonts w:hint="eastAsia" w:ascii="仿宋_GB2312" w:eastAsia="仿宋_GB2312"/>
          <w:sz w:val="30"/>
          <w:szCs w:val="30"/>
        </w:rPr>
        <w:t>6</w:t>
      </w:r>
      <w:r>
        <w:rPr>
          <w:rFonts w:ascii="仿宋_GB2312" w:eastAsia="仿宋_GB2312"/>
          <w:sz w:val="30"/>
          <w:szCs w:val="30"/>
        </w:rPr>
        <w:t xml:space="preserve">.4.2 </w:t>
      </w:r>
      <w:r>
        <w:rPr>
          <w:rFonts w:hint="eastAsia" w:ascii="仿宋_GB2312" w:eastAsia="仿宋_GB2312"/>
          <w:sz w:val="30"/>
          <w:szCs w:val="30"/>
        </w:rPr>
        <w:t>质量检查</w:t>
      </w:r>
      <w:bookmarkEnd w:id="323"/>
    </w:p>
    <w:p w14:paraId="079DDE7C">
      <w:pPr>
        <w:wordWrap/>
        <w:topLinePunct w:val="0"/>
        <w:spacing w:after="120"/>
        <w:ind w:firstLine="600"/>
        <w:rPr>
          <w:rFonts w:ascii="仿宋_GB2312" w:eastAsia="仿宋_GB2312"/>
          <w:sz w:val="30"/>
          <w:szCs w:val="30"/>
        </w:rPr>
      </w:pPr>
      <w:r>
        <w:rPr>
          <w:rFonts w:hint="eastAsia" w:ascii="仿宋_GB2312" w:eastAsia="仿宋_GB2312"/>
          <w:sz w:val="30"/>
          <w:szCs w:val="30"/>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7F8BFCD5">
      <w:pPr>
        <w:spacing w:after="120"/>
        <w:ind w:firstLine="600"/>
        <w:rPr>
          <w:rFonts w:ascii="仿宋_GB2312" w:eastAsia="仿宋_GB2312"/>
          <w:sz w:val="30"/>
          <w:szCs w:val="30"/>
        </w:rPr>
      </w:pPr>
      <w:bookmarkStart w:id="324" w:name="_Ref11959222"/>
      <w:r>
        <w:rPr>
          <w:rFonts w:hint="eastAsia" w:ascii="仿宋_GB2312" w:eastAsia="仿宋_GB2312"/>
          <w:sz w:val="30"/>
          <w:szCs w:val="30"/>
        </w:rPr>
        <w:t>6</w:t>
      </w:r>
      <w:r>
        <w:rPr>
          <w:rFonts w:ascii="仿宋_GB2312" w:eastAsia="仿宋_GB2312"/>
          <w:sz w:val="30"/>
          <w:szCs w:val="30"/>
        </w:rPr>
        <w:t xml:space="preserve">.4.3 </w:t>
      </w:r>
      <w:r>
        <w:rPr>
          <w:rFonts w:hint="eastAsia" w:ascii="仿宋_GB2312" w:eastAsia="仿宋_GB2312"/>
          <w:sz w:val="30"/>
          <w:szCs w:val="30"/>
        </w:rPr>
        <w:t>隐蔽工程检查</w:t>
      </w:r>
      <w:bookmarkEnd w:id="324"/>
    </w:p>
    <w:p w14:paraId="21696034">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020E6533">
      <w:pPr>
        <w:wordWrap/>
        <w:topLinePunct w:val="0"/>
        <w:spacing w:after="120"/>
        <w:ind w:firstLine="600"/>
        <w:rPr>
          <w:rFonts w:ascii="仿宋_GB2312" w:eastAsia="仿宋_GB2312"/>
          <w:sz w:val="30"/>
          <w:szCs w:val="30"/>
        </w:rPr>
      </w:pPr>
      <w:r>
        <w:rPr>
          <w:rFonts w:hint="eastAsia" w:ascii="仿宋_GB2312" w:eastAsia="仿宋_GB2312"/>
          <w:sz w:val="30"/>
          <w:szCs w:val="30"/>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6DA2C996">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除专用合同条件另有约定外，工程师不能按时进行检查的，应提前向承包人提交书面延期要求，顺延时间不得超过</w:t>
      </w:r>
      <w:r>
        <w:rPr>
          <w:rFonts w:ascii="仿宋_GB2312" w:eastAsia="仿宋_GB2312"/>
          <w:sz w:val="30"/>
          <w:szCs w:val="30"/>
        </w:rPr>
        <w:t>48小时，</w:t>
      </w:r>
      <w:r>
        <w:rPr>
          <w:rFonts w:hint="eastAsia" w:ascii="仿宋_GB2312" w:eastAsia="仿宋_GB2312"/>
          <w:sz w:val="30"/>
          <w:szCs w:val="30"/>
        </w:rPr>
        <w:t>由此导致工期延误的，工期应予以顺延，顺延超过</w:t>
      </w:r>
      <w:r>
        <w:rPr>
          <w:rFonts w:ascii="仿宋_GB2312" w:eastAsia="仿宋_GB2312"/>
          <w:sz w:val="30"/>
          <w:szCs w:val="30"/>
        </w:rPr>
        <w:t>48小时的，由此导致的工期延误及费用增加由发包人承担</w:t>
      </w:r>
      <w:r>
        <w:rPr>
          <w:rFonts w:hint="eastAsia" w:ascii="仿宋_GB2312" w:eastAsia="仿宋_GB2312"/>
          <w:sz w:val="30"/>
          <w:szCs w:val="30"/>
        </w:rPr>
        <w:t>。工程师未按时进行检查，也未提出延期要求的，视为隐蔽工程检查合格，承包人可自行完成覆盖工作，并作相应记录报送工程师，工程师应签字确认。工程师事后对检查记录有疑问的，可按下列约定重新检查。</w:t>
      </w:r>
    </w:p>
    <w:p w14:paraId="49A78B45">
      <w:pPr>
        <w:wordWrap/>
        <w:topLinePunct w:val="0"/>
        <w:spacing w:after="120"/>
        <w:ind w:firstLine="600"/>
        <w:rPr>
          <w:rFonts w:ascii="仿宋_GB2312" w:eastAsia="仿宋_GB2312"/>
          <w:sz w:val="30"/>
          <w:szCs w:val="30"/>
        </w:rPr>
      </w:pPr>
      <w:r>
        <w:rPr>
          <w:rFonts w:hint="eastAsia" w:ascii="仿宋_GB2312" w:eastAsia="仿宋_GB2312"/>
          <w:sz w:val="30"/>
          <w:szCs w:val="30"/>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239721E9">
      <w:pPr>
        <w:wordWrap/>
        <w:topLinePunct w:val="0"/>
        <w:spacing w:after="120"/>
        <w:ind w:firstLine="600"/>
        <w:rPr>
          <w:rFonts w:ascii="仿宋_GB2312" w:eastAsia="仿宋_GB2312"/>
          <w:sz w:val="30"/>
          <w:szCs w:val="30"/>
        </w:rPr>
      </w:pPr>
      <w:r>
        <w:rPr>
          <w:rFonts w:hint="eastAsia" w:ascii="仿宋_GB2312" w:eastAsia="仿宋_GB2312"/>
          <w:sz w:val="30"/>
          <w:szCs w:val="30"/>
        </w:rPr>
        <w:t>承包人未通知工程师到场检查，私自将工程隐蔽部位覆盖的，工程师有权指示承包人钻孔探测或揭开检查，无论工程隐蔽部位质量是否合格，由此增加的费用和（或）延误的工期均由承包人承担。</w:t>
      </w:r>
    </w:p>
    <w:bookmarkEnd w:id="317"/>
    <w:p w14:paraId="0EC5D077">
      <w:pPr>
        <w:spacing w:after="120"/>
        <w:ind w:firstLine="600"/>
        <w:rPr>
          <w:rFonts w:ascii="仿宋_GB2312" w:eastAsia="仿宋_GB2312"/>
          <w:sz w:val="30"/>
          <w:szCs w:val="30"/>
        </w:rPr>
      </w:pPr>
      <w:bookmarkStart w:id="325" w:name="_Ref11927389"/>
      <w:bookmarkStart w:id="326" w:name="_Ref11927403"/>
      <w:bookmarkStart w:id="327" w:name="_Ref11927398"/>
      <w:bookmarkStart w:id="328" w:name="_Ref11959158"/>
      <w:bookmarkStart w:id="329" w:name="_Ref11959175"/>
      <w:bookmarkStart w:id="330" w:name="_Toc54862233"/>
      <w:r>
        <w:rPr>
          <w:rFonts w:hint="eastAsia" w:ascii="仿宋_GB2312" w:eastAsia="仿宋_GB2312"/>
          <w:sz w:val="30"/>
          <w:szCs w:val="30"/>
        </w:rPr>
        <w:t>6.5 由承包人试验</w:t>
      </w:r>
      <w:bookmarkEnd w:id="325"/>
      <w:bookmarkEnd w:id="326"/>
      <w:bookmarkEnd w:id="327"/>
      <w:r>
        <w:rPr>
          <w:rFonts w:hint="eastAsia" w:ascii="仿宋_GB2312" w:eastAsia="仿宋_GB2312"/>
          <w:sz w:val="30"/>
          <w:szCs w:val="30"/>
        </w:rPr>
        <w:t>和检验</w:t>
      </w:r>
      <w:bookmarkEnd w:id="328"/>
      <w:bookmarkEnd w:id="329"/>
      <w:bookmarkEnd w:id="330"/>
    </w:p>
    <w:bookmarkEnd w:id="318"/>
    <w:p w14:paraId="23039660">
      <w:pPr>
        <w:spacing w:after="120"/>
        <w:ind w:firstLine="600"/>
        <w:rPr>
          <w:rFonts w:ascii="仿宋_GB2312" w:eastAsia="仿宋_GB2312"/>
          <w:sz w:val="30"/>
          <w:szCs w:val="30"/>
        </w:rPr>
      </w:pPr>
      <w:r>
        <w:rPr>
          <w:rFonts w:hint="eastAsia" w:ascii="仿宋_GB2312" w:eastAsia="仿宋_GB2312"/>
          <w:sz w:val="30"/>
          <w:szCs w:val="30"/>
        </w:rPr>
        <w:t>6</w:t>
      </w:r>
      <w:r>
        <w:rPr>
          <w:rFonts w:ascii="仿宋_GB2312" w:eastAsia="仿宋_GB2312"/>
          <w:sz w:val="30"/>
          <w:szCs w:val="30"/>
        </w:rPr>
        <w:t xml:space="preserve">.5.1 </w:t>
      </w:r>
      <w:r>
        <w:rPr>
          <w:rFonts w:hint="eastAsia" w:ascii="仿宋_GB2312" w:eastAsia="仿宋_GB2312"/>
          <w:sz w:val="30"/>
          <w:szCs w:val="30"/>
        </w:rPr>
        <w:t>试验设备与试验人员</w:t>
      </w:r>
    </w:p>
    <w:p w14:paraId="39EBF273">
      <w:pPr>
        <w:wordWrap/>
        <w:topLinePunct w:val="0"/>
        <w:spacing w:after="120"/>
        <w:ind w:firstLine="600"/>
        <w:rPr>
          <w:rFonts w:ascii="仿宋_GB2312" w:eastAsia="仿宋_GB2312"/>
          <w:sz w:val="30"/>
          <w:szCs w:val="30"/>
        </w:rPr>
      </w:pPr>
      <w:r>
        <w:rPr>
          <w:rFonts w:hint="eastAsia" w:ascii="仿宋_GB2312" w:eastAsia="仿宋_GB2312"/>
          <w:sz w:val="30"/>
          <w:szCs w:val="30"/>
        </w:rPr>
        <w:t>（1） 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60A73DF4">
      <w:pPr>
        <w:wordWrap/>
        <w:topLinePunct w:val="0"/>
        <w:spacing w:after="120"/>
        <w:ind w:firstLine="600"/>
        <w:rPr>
          <w:rFonts w:ascii="仿宋_GB2312" w:eastAsia="仿宋_GB2312"/>
          <w:sz w:val="30"/>
          <w:szCs w:val="30"/>
        </w:rPr>
      </w:pPr>
      <w:r>
        <w:rPr>
          <w:rFonts w:hint="eastAsia" w:ascii="仿宋_GB2312" w:eastAsia="仿宋_GB2312"/>
          <w:sz w:val="30"/>
          <w:szCs w:val="30"/>
        </w:rPr>
        <w:t>（2） 承包人应按专用合同条件约定的试验内容、时间和地点提供试验设备、取样装置、试验场所和试验条件，并向工程师提交相应进场计划表。</w:t>
      </w:r>
    </w:p>
    <w:p w14:paraId="092854E0">
      <w:pPr>
        <w:wordWrap/>
        <w:topLinePunct w:val="0"/>
        <w:spacing w:after="120"/>
        <w:ind w:firstLine="600"/>
        <w:rPr>
          <w:rFonts w:ascii="仿宋_GB2312" w:eastAsia="仿宋_GB2312"/>
          <w:sz w:val="30"/>
          <w:szCs w:val="30"/>
        </w:rPr>
      </w:pPr>
      <w:r>
        <w:rPr>
          <w:rFonts w:hint="eastAsia" w:ascii="仿宋_GB2312" w:eastAsia="仿宋_GB2312"/>
          <w:sz w:val="30"/>
          <w:szCs w:val="30"/>
        </w:rPr>
        <w:t>承包人配置的试验设备要符合相应试验规程的要求并经过具有资质的检测单位检测，且在正式使用该试验设备前，需要经过工程师与承包人共同校定。</w:t>
      </w:r>
    </w:p>
    <w:p w14:paraId="6CE4E109">
      <w:pPr>
        <w:wordWrap/>
        <w:topLinePunct w:val="0"/>
        <w:spacing w:after="120"/>
        <w:ind w:firstLine="600"/>
        <w:rPr>
          <w:rFonts w:ascii="仿宋_GB2312" w:eastAsia="仿宋_GB2312"/>
          <w:sz w:val="30"/>
          <w:szCs w:val="30"/>
        </w:rPr>
      </w:pPr>
      <w:r>
        <w:rPr>
          <w:rFonts w:hint="eastAsia" w:ascii="仿宋_GB2312" w:eastAsia="仿宋_GB2312"/>
          <w:sz w:val="30"/>
          <w:szCs w:val="30"/>
        </w:rPr>
        <w:t>（3） 承包人应向工程师提交试验人员的名单及其岗位、资格等证明资料，试验人员必须能够熟练进行相应的检测试验，承包人对试验人员的试验程序和试验结果的正确性负责。</w:t>
      </w:r>
    </w:p>
    <w:p w14:paraId="52444BE4">
      <w:pPr>
        <w:spacing w:after="120"/>
        <w:ind w:firstLine="600"/>
        <w:rPr>
          <w:rFonts w:ascii="仿宋_GB2312" w:eastAsia="仿宋_GB2312"/>
          <w:sz w:val="30"/>
          <w:szCs w:val="30"/>
        </w:rPr>
      </w:pPr>
      <w:r>
        <w:rPr>
          <w:rFonts w:hint="eastAsia" w:ascii="仿宋_GB2312" w:eastAsia="仿宋_GB2312"/>
          <w:sz w:val="30"/>
          <w:szCs w:val="30"/>
        </w:rPr>
        <w:t>6.5.2 取样</w:t>
      </w:r>
    </w:p>
    <w:p w14:paraId="058B5F09">
      <w:pPr>
        <w:wordWrap/>
        <w:topLinePunct w:val="0"/>
        <w:spacing w:after="120"/>
        <w:ind w:firstLine="600"/>
        <w:rPr>
          <w:rFonts w:ascii="仿宋_GB2312" w:eastAsia="仿宋_GB2312"/>
          <w:sz w:val="30"/>
          <w:szCs w:val="30"/>
        </w:rPr>
      </w:pPr>
      <w:r>
        <w:rPr>
          <w:rFonts w:hint="eastAsia" w:ascii="仿宋_GB2312" w:eastAsia="仿宋_GB2312"/>
          <w:sz w:val="30"/>
          <w:szCs w:val="30"/>
        </w:rPr>
        <w:t>试验属于自检性质的，承包人可以单独取样。试验属于工程师抽检性质的，可由工程师取样，也可由承包人的试验人员在工程师的监督下取样。</w:t>
      </w:r>
    </w:p>
    <w:p w14:paraId="2FEDCC6C">
      <w:pPr>
        <w:spacing w:after="120"/>
        <w:ind w:firstLine="600"/>
        <w:rPr>
          <w:rFonts w:ascii="仿宋_GB2312" w:eastAsia="仿宋_GB2312"/>
          <w:sz w:val="30"/>
          <w:szCs w:val="30"/>
        </w:rPr>
      </w:pPr>
      <w:r>
        <w:rPr>
          <w:rFonts w:hint="eastAsia" w:ascii="仿宋_GB2312" w:eastAsia="仿宋_GB2312"/>
          <w:sz w:val="30"/>
          <w:szCs w:val="30"/>
        </w:rPr>
        <w:t>6</w:t>
      </w:r>
      <w:r>
        <w:rPr>
          <w:rFonts w:ascii="仿宋_GB2312" w:eastAsia="仿宋_GB2312"/>
          <w:sz w:val="30"/>
          <w:szCs w:val="30"/>
        </w:rPr>
        <w:t xml:space="preserve">.5.3 </w:t>
      </w:r>
      <w:r>
        <w:rPr>
          <w:rFonts w:hint="eastAsia" w:ascii="仿宋_GB2312" w:eastAsia="仿宋_GB2312"/>
          <w:sz w:val="30"/>
          <w:szCs w:val="30"/>
        </w:rPr>
        <w:t>材料、工程设备和工程的试验和检验</w:t>
      </w:r>
    </w:p>
    <w:p w14:paraId="3E7D6372">
      <w:pPr>
        <w:wordWrap/>
        <w:topLinePunct w:val="0"/>
        <w:spacing w:after="120"/>
        <w:ind w:firstLine="600"/>
        <w:rPr>
          <w:rFonts w:ascii="仿宋_GB2312" w:eastAsia="仿宋_GB2312"/>
          <w:sz w:val="30"/>
          <w:szCs w:val="30"/>
        </w:rPr>
      </w:pPr>
      <w:r>
        <w:rPr>
          <w:rFonts w:hint="eastAsia" w:ascii="仿宋_GB2312" w:eastAsia="仿宋_GB2312"/>
          <w:sz w:val="30"/>
          <w:szCs w:val="30"/>
        </w:rPr>
        <w:t>（1） 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44326A62">
      <w:pPr>
        <w:wordWrap/>
        <w:topLinePunct w:val="0"/>
        <w:spacing w:after="120"/>
        <w:ind w:firstLine="600"/>
        <w:rPr>
          <w:rFonts w:ascii="仿宋_GB2312" w:eastAsia="仿宋_GB2312"/>
          <w:sz w:val="30"/>
          <w:szCs w:val="30"/>
        </w:rPr>
      </w:pPr>
      <w:r>
        <w:rPr>
          <w:rFonts w:hint="eastAsia" w:ascii="仿宋_GB2312" w:eastAsia="仿宋_GB2312"/>
          <w:sz w:val="30"/>
          <w:szCs w:val="30"/>
        </w:rPr>
        <w:t>（2） 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45307C6E">
      <w:pPr>
        <w:wordWrap/>
        <w:topLinePunct w:val="0"/>
        <w:spacing w:after="120"/>
        <w:ind w:firstLine="600"/>
        <w:rPr>
          <w:rFonts w:ascii="仿宋_GB2312" w:eastAsia="仿宋_GB2312"/>
          <w:sz w:val="30"/>
          <w:szCs w:val="30"/>
        </w:rPr>
      </w:pPr>
      <w:r>
        <w:rPr>
          <w:rFonts w:hint="eastAsia" w:ascii="仿宋_GB2312" w:eastAsia="仿宋_GB2312"/>
          <w:sz w:val="30"/>
          <w:szCs w:val="30"/>
        </w:rPr>
        <w:t>（3） 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56EDF118">
      <w:pPr>
        <w:spacing w:after="120"/>
        <w:ind w:firstLine="600"/>
        <w:rPr>
          <w:rFonts w:ascii="仿宋_GB2312" w:eastAsia="仿宋_GB2312"/>
          <w:sz w:val="30"/>
          <w:szCs w:val="30"/>
        </w:rPr>
      </w:pPr>
      <w:bookmarkStart w:id="331" w:name="_Toc351203566"/>
      <w:bookmarkStart w:id="332" w:name="_Toc337558786"/>
      <w:r>
        <w:rPr>
          <w:rFonts w:hint="eastAsia" w:ascii="仿宋_GB2312" w:eastAsia="仿宋_GB2312"/>
          <w:sz w:val="30"/>
          <w:szCs w:val="30"/>
        </w:rPr>
        <w:t>6</w:t>
      </w:r>
      <w:r>
        <w:rPr>
          <w:rFonts w:ascii="仿宋_GB2312" w:eastAsia="仿宋_GB2312"/>
          <w:sz w:val="30"/>
          <w:szCs w:val="30"/>
        </w:rPr>
        <w:t xml:space="preserve">.5.4 </w:t>
      </w:r>
      <w:r>
        <w:rPr>
          <w:rFonts w:hint="eastAsia" w:ascii="仿宋_GB2312" w:eastAsia="仿宋_GB2312"/>
          <w:sz w:val="30"/>
          <w:szCs w:val="30"/>
        </w:rPr>
        <w:t>现场工艺试验</w:t>
      </w:r>
      <w:bookmarkEnd w:id="331"/>
    </w:p>
    <w:bookmarkEnd w:id="332"/>
    <w:p w14:paraId="3B779A94">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承包人应按合同约定进行现场工艺试验。对大型的现场工艺试验，发包人认为必要时，承包人应根据发包人提出的工艺试验要求，编制工艺试验措施计划，报送发包人审查。</w:t>
      </w:r>
    </w:p>
    <w:p w14:paraId="70ED967A">
      <w:pPr>
        <w:spacing w:after="120"/>
        <w:ind w:firstLine="600"/>
        <w:rPr>
          <w:rFonts w:ascii="仿宋_GB2312" w:eastAsia="仿宋_GB2312"/>
          <w:sz w:val="30"/>
          <w:szCs w:val="30"/>
        </w:rPr>
      </w:pPr>
      <w:bookmarkStart w:id="333" w:name="_Ref532592784"/>
      <w:bookmarkStart w:id="334" w:name="_Ref532592787"/>
      <w:bookmarkStart w:id="335" w:name="_Toc54862234"/>
      <w:r>
        <w:rPr>
          <w:rFonts w:hint="eastAsia" w:ascii="仿宋_GB2312" w:eastAsia="仿宋_GB2312"/>
          <w:sz w:val="30"/>
          <w:szCs w:val="30"/>
        </w:rPr>
        <w:t>6.6 缺陷和修补</w:t>
      </w:r>
      <w:bookmarkEnd w:id="333"/>
      <w:bookmarkEnd w:id="334"/>
      <w:bookmarkEnd w:id="335"/>
    </w:p>
    <w:p w14:paraId="7937A093">
      <w:pPr>
        <w:spacing w:after="120"/>
        <w:ind w:firstLine="600"/>
        <w:rPr>
          <w:rFonts w:ascii="仿宋_GB2312" w:eastAsia="仿宋_GB2312"/>
          <w:sz w:val="30"/>
          <w:szCs w:val="30"/>
        </w:rPr>
      </w:pPr>
      <w:bookmarkStart w:id="336" w:name="_Ref16875551"/>
      <w:r>
        <w:rPr>
          <w:rFonts w:hint="eastAsia" w:ascii="仿宋_GB2312" w:eastAsia="仿宋_GB2312"/>
          <w:sz w:val="30"/>
          <w:szCs w:val="30"/>
        </w:rPr>
        <w:t>6</w:t>
      </w:r>
      <w:r>
        <w:rPr>
          <w:rFonts w:ascii="仿宋_GB2312" w:eastAsia="仿宋_GB2312"/>
          <w:sz w:val="30"/>
          <w:szCs w:val="30"/>
        </w:rPr>
        <w:t xml:space="preserve">.6.1 </w:t>
      </w:r>
      <w:r>
        <w:rPr>
          <w:rFonts w:hint="eastAsia" w:ascii="仿宋_GB2312" w:eastAsia="仿宋_GB2312"/>
          <w:sz w:val="30"/>
          <w:szCs w:val="30"/>
        </w:rPr>
        <w:t>发包人可在颁发接收证书前随时指示承包人：</w:t>
      </w:r>
      <w:bookmarkEnd w:id="336"/>
    </w:p>
    <w:p w14:paraId="42098402">
      <w:pPr>
        <w:wordWrap/>
        <w:topLinePunct w:val="0"/>
        <w:spacing w:after="120"/>
        <w:ind w:firstLine="600"/>
        <w:rPr>
          <w:rFonts w:ascii="仿宋_GB2312" w:eastAsia="仿宋_GB2312"/>
          <w:sz w:val="30"/>
          <w:szCs w:val="30"/>
        </w:rPr>
      </w:pPr>
      <w:r>
        <w:rPr>
          <w:rFonts w:hint="eastAsia" w:ascii="仿宋_GB2312" w:eastAsia="仿宋_GB2312"/>
          <w:sz w:val="30"/>
          <w:szCs w:val="30"/>
        </w:rPr>
        <w:t>（1） 对不符合合同要求的任何工程设备或材料进行修补，或者将其移出现场并进行更换；</w:t>
      </w:r>
    </w:p>
    <w:p w14:paraId="687BBA3D">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（2） 对不符合合同的其他工作进行修补，或者将其去除并重新实施； </w:t>
      </w:r>
    </w:p>
    <w:p w14:paraId="36EB57FA">
      <w:pPr>
        <w:wordWrap/>
        <w:topLinePunct w:val="0"/>
        <w:spacing w:after="120"/>
        <w:ind w:firstLine="600"/>
        <w:rPr>
          <w:rFonts w:ascii="仿宋_GB2312" w:eastAsia="仿宋_GB2312"/>
          <w:sz w:val="30"/>
          <w:szCs w:val="30"/>
        </w:rPr>
      </w:pPr>
      <w:bookmarkStart w:id="337" w:name="_Ref4708991"/>
      <w:r>
        <w:rPr>
          <w:rFonts w:hint="eastAsia" w:ascii="仿宋_GB2312" w:eastAsia="仿宋_GB2312"/>
          <w:sz w:val="30"/>
          <w:szCs w:val="30"/>
        </w:rPr>
        <w:t>（3） 实施因意外、不可预见的事件或其他原因引起的、为工程的安全迫切需要的任何修补工作。</w:t>
      </w:r>
      <w:bookmarkEnd w:id="337"/>
    </w:p>
    <w:p w14:paraId="37F9A9F2">
      <w:pPr>
        <w:spacing w:after="120"/>
        <w:ind w:firstLine="600"/>
        <w:rPr>
          <w:rFonts w:ascii="仿宋_GB2312" w:eastAsia="仿宋_GB2312"/>
          <w:sz w:val="30"/>
          <w:szCs w:val="30"/>
        </w:rPr>
      </w:pPr>
      <w:bookmarkStart w:id="338" w:name="_Ref11956964"/>
      <w:r>
        <w:rPr>
          <w:rFonts w:hint="eastAsia" w:ascii="仿宋_GB2312" w:eastAsia="仿宋_GB2312"/>
          <w:sz w:val="30"/>
          <w:szCs w:val="30"/>
        </w:rPr>
        <w:t>6</w:t>
      </w:r>
      <w:r>
        <w:rPr>
          <w:rFonts w:ascii="仿宋_GB2312" w:eastAsia="仿宋_GB2312"/>
          <w:sz w:val="30"/>
          <w:szCs w:val="30"/>
        </w:rPr>
        <w:t xml:space="preserve">.6.2 </w:t>
      </w:r>
      <w:r>
        <w:rPr>
          <w:rFonts w:hint="eastAsia" w:ascii="仿宋_GB2312" w:eastAsia="仿宋_GB2312"/>
          <w:sz w:val="30"/>
          <w:szCs w:val="30"/>
        </w:rPr>
        <w:t>承包人应遵守第</w:t>
      </w:r>
      <w:r>
        <w:rPr>
          <w:rFonts w:ascii="仿宋_GB2312" w:eastAsia="仿宋_GB2312"/>
          <w:sz w:val="30"/>
          <w:szCs w:val="30"/>
        </w:rPr>
        <w:t>6.6.1项下</w:t>
      </w:r>
      <w:r>
        <w:rPr>
          <w:rFonts w:hint="eastAsia" w:ascii="仿宋_GB2312" w:eastAsia="仿宋_GB2312"/>
          <w:sz w:val="30"/>
          <w:szCs w:val="30"/>
        </w:rPr>
        <w:t>指示，并在合理可行的情况下，根据上述指示中规定的时间完成修补工作。除因下列原因引起的第</w:t>
      </w:r>
      <w:r>
        <w:rPr>
          <w:rFonts w:ascii="仿宋_GB2312" w:eastAsia="仿宋_GB2312"/>
          <w:sz w:val="30"/>
          <w:szCs w:val="30"/>
        </w:rPr>
        <w:t>6.6.1</w:t>
      </w:r>
      <w:r>
        <w:rPr>
          <w:rFonts w:hint="eastAsia" w:ascii="仿宋_GB2312" w:eastAsia="仿宋_GB2312"/>
          <w:sz w:val="30"/>
          <w:szCs w:val="30"/>
        </w:rPr>
        <w:t>项第（3）目下的情形外，承包人应承担所有修补工作的费用：</w:t>
      </w:r>
      <w:bookmarkEnd w:id="338"/>
    </w:p>
    <w:p w14:paraId="7CFDDEE6">
      <w:pPr>
        <w:spacing w:after="120"/>
        <w:ind w:firstLine="600"/>
        <w:rPr>
          <w:rFonts w:ascii="仿宋_GB2312" w:eastAsia="仿宋_GB2312"/>
          <w:sz w:val="30"/>
          <w:szCs w:val="30"/>
        </w:rPr>
      </w:pPr>
      <w:r>
        <w:rPr>
          <w:rFonts w:hint="eastAsia" w:ascii="仿宋_GB2312" w:eastAsia="仿宋_GB2312"/>
          <w:sz w:val="30"/>
          <w:szCs w:val="30"/>
        </w:rPr>
        <w:t>（1） 因发包人或其人员的任何行为导致的情形，且在此情况下发包人应承担因此引起的工期延误和承包人费用损失，并向承包人支付合理的利润。</w:t>
      </w:r>
    </w:p>
    <w:p w14:paraId="24E74C0D">
      <w:pPr>
        <w:spacing w:after="120"/>
        <w:ind w:firstLine="600"/>
        <w:rPr>
          <w:rFonts w:ascii="仿宋_GB2312" w:eastAsia="仿宋_GB2312"/>
          <w:sz w:val="30"/>
          <w:szCs w:val="30"/>
        </w:rPr>
      </w:pPr>
      <w:r>
        <w:rPr>
          <w:rFonts w:hint="eastAsia" w:ascii="仿宋_GB2312" w:eastAsia="仿宋_GB2312"/>
          <w:sz w:val="30"/>
          <w:szCs w:val="30"/>
        </w:rPr>
        <w:t>（2） 第</w:t>
      </w:r>
      <w:r>
        <w:rPr>
          <w:rFonts w:ascii="仿宋_GB2312" w:eastAsia="仿宋_GB2312"/>
          <w:sz w:val="30"/>
          <w:szCs w:val="30"/>
        </w:rPr>
        <w:t>17.4</w:t>
      </w:r>
      <w:r>
        <w:rPr>
          <w:rFonts w:hint="eastAsia" w:ascii="仿宋_GB2312" w:eastAsia="仿宋_GB2312"/>
          <w:sz w:val="30"/>
          <w:szCs w:val="30"/>
        </w:rPr>
        <w:t>款[</w:t>
      </w:r>
      <w:r>
        <w:rPr>
          <w:rFonts w:ascii="仿宋_GB2312" w:eastAsia="仿宋_GB2312"/>
          <w:sz w:val="30"/>
          <w:szCs w:val="30"/>
        </w:rPr>
        <w:t>不可抗力后果</w:t>
      </w:r>
      <w:r>
        <w:rPr>
          <w:rFonts w:hint="eastAsia" w:ascii="仿宋_GB2312" w:eastAsia="仿宋_GB2312"/>
          <w:sz w:val="30"/>
          <w:szCs w:val="30"/>
        </w:rPr>
        <w:t>的</w:t>
      </w:r>
      <w:r>
        <w:rPr>
          <w:rFonts w:ascii="仿宋_GB2312" w:eastAsia="仿宋_GB2312"/>
          <w:sz w:val="30"/>
          <w:szCs w:val="30"/>
        </w:rPr>
        <w:t>承担</w:t>
      </w:r>
      <w:r>
        <w:rPr>
          <w:rFonts w:hint="eastAsia" w:ascii="仿宋_GB2312" w:eastAsia="仿宋_GB2312"/>
          <w:sz w:val="30"/>
          <w:szCs w:val="30"/>
        </w:rPr>
        <w:t>]中适用的不可抗力事件的情形。</w:t>
      </w:r>
    </w:p>
    <w:p w14:paraId="2A487FE2">
      <w:pPr>
        <w:spacing w:after="120"/>
        <w:ind w:firstLine="600"/>
        <w:rPr>
          <w:rFonts w:ascii="仿宋_GB2312" w:eastAsia="仿宋_GB2312"/>
          <w:sz w:val="30"/>
          <w:szCs w:val="30"/>
        </w:rPr>
      </w:pPr>
      <w:r>
        <w:rPr>
          <w:rFonts w:hint="eastAsia" w:ascii="仿宋_GB2312" w:eastAsia="仿宋_GB2312"/>
          <w:sz w:val="30"/>
          <w:szCs w:val="30"/>
        </w:rPr>
        <w:t>6</w:t>
      </w:r>
      <w:r>
        <w:rPr>
          <w:rFonts w:ascii="仿宋_GB2312" w:eastAsia="仿宋_GB2312"/>
          <w:sz w:val="30"/>
          <w:szCs w:val="30"/>
        </w:rPr>
        <w:t xml:space="preserve">.6.3 </w:t>
      </w:r>
      <w:r>
        <w:rPr>
          <w:rFonts w:hint="eastAsia" w:ascii="仿宋_GB2312" w:eastAsia="仿宋_GB2312"/>
          <w:sz w:val="30"/>
          <w:szCs w:val="30"/>
        </w:rPr>
        <w:t>如果承包人未能遵守发包人的指示，发包人可以自行决定请第三方完成上述修补工作，并有权要求承包人支付因未履行指示而产生的所有费用，但承包人根据第</w:t>
      </w:r>
      <w:r>
        <w:rPr>
          <w:rFonts w:ascii="仿宋_GB2312" w:eastAsia="仿宋_GB2312"/>
          <w:sz w:val="30"/>
          <w:szCs w:val="30"/>
        </w:rPr>
        <w:t>6.6.2</w:t>
      </w:r>
      <w:r>
        <w:rPr>
          <w:rFonts w:hint="eastAsia" w:ascii="仿宋_GB2312" w:eastAsia="仿宋_GB2312"/>
          <w:sz w:val="30"/>
          <w:szCs w:val="30"/>
        </w:rPr>
        <w:t>项有权就修补工作获得支付的情况除外。</w:t>
      </w:r>
    </w:p>
    <w:p w14:paraId="47BE68C2">
      <w:pPr>
        <w:spacing w:after="120"/>
        <w:ind w:firstLine="0" w:firstLineChars="0"/>
        <w:rPr>
          <w:rFonts w:ascii="仿宋_GB2312" w:eastAsia="仿宋_GB2312"/>
          <w:sz w:val="32"/>
          <w:szCs w:val="32"/>
        </w:rPr>
      </w:pPr>
      <w:bookmarkStart w:id="339" w:name="_Toc54862235"/>
      <w:bookmarkStart w:id="340" w:name="_Toc13138"/>
      <w:bookmarkStart w:id="341" w:name="_Toc26409"/>
      <w:bookmarkStart w:id="342" w:name="_Toc26512"/>
      <w:bookmarkStart w:id="343" w:name="_Ref531954214"/>
      <w:r>
        <w:rPr>
          <w:rFonts w:hint="eastAsia" w:ascii="仿宋_GB2312" w:eastAsia="仿宋_GB2312"/>
          <w:sz w:val="32"/>
          <w:szCs w:val="32"/>
        </w:rPr>
        <w:t>第7条 施工</w:t>
      </w:r>
      <w:bookmarkEnd w:id="339"/>
      <w:bookmarkEnd w:id="340"/>
      <w:bookmarkEnd w:id="341"/>
      <w:bookmarkEnd w:id="342"/>
      <w:bookmarkEnd w:id="343"/>
    </w:p>
    <w:p w14:paraId="36DF7811">
      <w:pPr>
        <w:spacing w:after="120"/>
        <w:ind w:firstLine="600"/>
        <w:rPr>
          <w:rFonts w:ascii="仿宋_GB2312" w:eastAsia="仿宋_GB2312"/>
          <w:sz w:val="30"/>
          <w:szCs w:val="30"/>
        </w:rPr>
      </w:pPr>
      <w:bookmarkStart w:id="344" w:name="_Toc54862236"/>
      <w:bookmarkStart w:id="345" w:name="_Ref531954276"/>
      <w:bookmarkStart w:id="346" w:name="_Ref531954272"/>
      <w:bookmarkStart w:id="347" w:name="_Ref531954260"/>
      <w:bookmarkStart w:id="348" w:name="_Ref531954246"/>
      <w:r>
        <w:rPr>
          <w:rFonts w:hint="eastAsia" w:ascii="仿宋_GB2312" w:eastAsia="仿宋_GB2312"/>
          <w:sz w:val="30"/>
          <w:szCs w:val="30"/>
        </w:rPr>
        <w:t>7.1 交通运输</w:t>
      </w:r>
      <w:bookmarkEnd w:id="344"/>
      <w:bookmarkEnd w:id="345"/>
      <w:bookmarkEnd w:id="346"/>
    </w:p>
    <w:p w14:paraId="08B5A9C5">
      <w:pPr>
        <w:spacing w:after="120"/>
        <w:ind w:firstLine="600"/>
        <w:rPr>
          <w:rFonts w:ascii="仿宋_GB2312" w:eastAsia="仿宋_GB2312"/>
          <w:sz w:val="30"/>
          <w:szCs w:val="30"/>
        </w:rPr>
      </w:pPr>
      <w:bookmarkStart w:id="349" w:name="_Ref4422645"/>
      <w:r>
        <w:rPr>
          <w:rFonts w:hint="eastAsia" w:ascii="仿宋_GB2312" w:eastAsia="仿宋_GB2312"/>
          <w:sz w:val="30"/>
          <w:szCs w:val="30"/>
        </w:rPr>
        <w:t>7</w:t>
      </w:r>
      <w:r>
        <w:rPr>
          <w:rFonts w:ascii="仿宋_GB2312" w:eastAsia="仿宋_GB2312"/>
          <w:sz w:val="30"/>
          <w:szCs w:val="30"/>
        </w:rPr>
        <w:t xml:space="preserve">.1.1 </w:t>
      </w:r>
      <w:r>
        <w:rPr>
          <w:rFonts w:hint="eastAsia" w:ascii="仿宋_GB2312" w:eastAsia="仿宋_GB2312"/>
          <w:sz w:val="30"/>
          <w:szCs w:val="30"/>
        </w:rPr>
        <w:t>出入现场的权利</w:t>
      </w:r>
      <w:bookmarkEnd w:id="349"/>
    </w:p>
    <w:p w14:paraId="751DACAC">
      <w:pPr>
        <w:spacing w:after="120"/>
        <w:ind w:firstLine="600"/>
        <w:rPr>
          <w:rFonts w:ascii="仿宋_GB2312" w:eastAsia="仿宋_GB2312"/>
          <w:sz w:val="30"/>
          <w:szCs w:val="30"/>
        </w:rPr>
      </w:pPr>
      <w:r>
        <w:rPr>
          <w:rFonts w:hint="eastAsia" w:ascii="仿宋_GB2312" w:eastAsia="仿宋_GB2312"/>
          <w:sz w:val="30"/>
          <w:szCs w:val="30"/>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70039E7F">
      <w:pPr>
        <w:spacing w:after="120"/>
        <w:ind w:firstLine="600"/>
        <w:rPr>
          <w:rFonts w:ascii="仿宋_GB2312" w:eastAsia="仿宋_GB2312"/>
          <w:sz w:val="30"/>
          <w:szCs w:val="30"/>
        </w:rPr>
      </w:pPr>
      <w:bookmarkStart w:id="350" w:name="_Ref18957045"/>
      <w:r>
        <w:rPr>
          <w:rFonts w:hint="eastAsia" w:ascii="仿宋_GB2312" w:eastAsia="仿宋_GB2312"/>
          <w:sz w:val="30"/>
          <w:szCs w:val="30"/>
        </w:rPr>
        <w:t>7</w:t>
      </w:r>
      <w:r>
        <w:rPr>
          <w:rFonts w:ascii="仿宋_GB2312" w:eastAsia="仿宋_GB2312"/>
          <w:sz w:val="30"/>
          <w:szCs w:val="30"/>
        </w:rPr>
        <w:t xml:space="preserve">.1.2 </w:t>
      </w:r>
      <w:r>
        <w:rPr>
          <w:rFonts w:hint="eastAsia" w:ascii="仿宋_GB2312" w:eastAsia="仿宋_GB2312"/>
          <w:sz w:val="30"/>
          <w:szCs w:val="30"/>
        </w:rPr>
        <w:t>场外交通</w:t>
      </w:r>
      <w:bookmarkEnd w:id="350"/>
    </w:p>
    <w:p w14:paraId="3007FBB8">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0C5E5D9B">
      <w:pPr>
        <w:spacing w:after="120"/>
        <w:ind w:firstLine="600"/>
        <w:rPr>
          <w:rFonts w:ascii="仿宋_GB2312" w:eastAsia="仿宋_GB2312"/>
          <w:sz w:val="30"/>
          <w:szCs w:val="30"/>
        </w:rPr>
      </w:pPr>
      <w:bookmarkStart w:id="351" w:name="_Ref4622358"/>
      <w:r>
        <w:rPr>
          <w:rFonts w:hint="eastAsia" w:ascii="仿宋_GB2312" w:eastAsia="仿宋_GB2312"/>
          <w:sz w:val="30"/>
          <w:szCs w:val="30"/>
        </w:rPr>
        <w:t>7</w:t>
      </w:r>
      <w:r>
        <w:rPr>
          <w:rFonts w:ascii="仿宋_GB2312" w:eastAsia="仿宋_GB2312"/>
          <w:sz w:val="30"/>
          <w:szCs w:val="30"/>
        </w:rPr>
        <w:t xml:space="preserve">.1.3 </w:t>
      </w:r>
      <w:r>
        <w:rPr>
          <w:rFonts w:hint="eastAsia" w:ascii="仿宋_GB2312" w:eastAsia="仿宋_GB2312"/>
          <w:sz w:val="30"/>
          <w:szCs w:val="30"/>
        </w:rPr>
        <w:t>场内交通</w:t>
      </w:r>
      <w:bookmarkEnd w:id="351"/>
    </w:p>
    <w:p w14:paraId="6E67185A">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088ED08B">
      <w:pPr>
        <w:spacing w:after="120"/>
        <w:ind w:firstLine="600"/>
        <w:rPr>
          <w:rFonts w:ascii="仿宋_GB2312" w:eastAsia="仿宋_GB2312"/>
          <w:sz w:val="30"/>
          <w:szCs w:val="30"/>
        </w:rPr>
      </w:pPr>
      <w:bookmarkStart w:id="352" w:name="_Ref4622376"/>
      <w:r>
        <w:rPr>
          <w:rFonts w:hint="eastAsia" w:ascii="仿宋_GB2312" w:eastAsia="仿宋_GB2312"/>
          <w:sz w:val="30"/>
          <w:szCs w:val="30"/>
        </w:rPr>
        <w:t>7</w:t>
      </w:r>
      <w:r>
        <w:rPr>
          <w:rFonts w:ascii="仿宋_GB2312" w:eastAsia="仿宋_GB2312"/>
          <w:sz w:val="30"/>
          <w:szCs w:val="30"/>
        </w:rPr>
        <w:t xml:space="preserve">.1.4 </w:t>
      </w:r>
      <w:r>
        <w:rPr>
          <w:rFonts w:hint="eastAsia" w:ascii="仿宋_GB2312" w:eastAsia="仿宋_GB2312"/>
          <w:sz w:val="30"/>
          <w:szCs w:val="30"/>
        </w:rPr>
        <w:t>超大件和超重件的运输</w:t>
      </w:r>
      <w:bookmarkEnd w:id="352"/>
    </w:p>
    <w:p w14:paraId="2540771A">
      <w:pPr>
        <w:wordWrap/>
        <w:topLinePunct w:val="0"/>
        <w:spacing w:after="120"/>
        <w:ind w:firstLine="600"/>
        <w:rPr>
          <w:rFonts w:ascii="仿宋_GB2312" w:eastAsia="仿宋_GB2312"/>
          <w:sz w:val="30"/>
          <w:szCs w:val="30"/>
        </w:rPr>
      </w:pPr>
      <w:r>
        <w:rPr>
          <w:rFonts w:hint="eastAsia" w:ascii="仿宋_GB2312" w:eastAsia="仿宋_GB2312"/>
          <w:sz w:val="30"/>
          <w:szCs w:val="30"/>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71622FB5">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.1.5 </w:t>
      </w:r>
      <w:r>
        <w:rPr>
          <w:rFonts w:hint="eastAsia" w:ascii="仿宋_GB2312" w:eastAsia="仿宋_GB2312"/>
          <w:sz w:val="30"/>
          <w:szCs w:val="30"/>
        </w:rPr>
        <w:t>道路和桥梁的损坏责任</w:t>
      </w:r>
    </w:p>
    <w:p w14:paraId="02F512AC">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因承包人运输造成施工现场内外公共道路和桥梁损坏的，由承包人承担修复损坏的全部费用和可能引起的赔偿。</w:t>
      </w:r>
    </w:p>
    <w:p w14:paraId="00413A47">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.1.6 </w:t>
      </w:r>
      <w:r>
        <w:rPr>
          <w:rFonts w:hint="eastAsia" w:ascii="仿宋_GB2312" w:eastAsia="仿宋_GB2312"/>
          <w:sz w:val="30"/>
          <w:szCs w:val="30"/>
        </w:rPr>
        <w:t>水路和航空运输</w:t>
      </w:r>
    </w:p>
    <w:p w14:paraId="70B8CF17">
      <w:pPr>
        <w:wordWrap/>
        <w:topLinePunct w:val="0"/>
        <w:spacing w:after="120"/>
        <w:ind w:firstLine="600"/>
        <w:rPr>
          <w:rFonts w:ascii="仿宋_GB2312" w:eastAsia="仿宋_GB2312"/>
          <w:sz w:val="30"/>
          <w:szCs w:val="30"/>
        </w:rPr>
      </w:pPr>
      <w:r>
        <w:rPr>
          <w:rFonts w:hint="eastAsia" w:ascii="仿宋_GB2312" w:eastAsia="仿宋_GB2312"/>
          <w:sz w:val="30"/>
          <w:szCs w:val="30"/>
        </w:rPr>
        <w:t>本条上述各款的内容适用于水路运输和航空运输，其中“道路”一词的涵义包括河道、航线、船闸、机场、码头、堤防以及水路或航空运输中其他相似结构物；“车辆”一词的涵义包括船舶和飞机等。</w:t>
      </w:r>
    </w:p>
    <w:p w14:paraId="2A22B3E5">
      <w:pPr>
        <w:spacing w:after="120"/>
        <w:ind w:firstLine="600"/>
        <w:rPr>
          <w:rFonts w:ascii="仿宋_GB2312" w:eastAsia="仿宋_GB2312"/>
          <w:sz w:val="30"/>
          <w:szCs w:val="30"/>
        </w:rPr>
      </w:pPr>
      <w:bookmarkStart w:id="353" w:name="_Ref11919459"/>
      <w:bookmarkStart w:id="354" w:name="_Ref11919294"/>
      <w:bookmarkStart w:id="355" w:name="_Toc54862237"/>
      <w:r>
        <w:rPr>
          <w:rFonts w:hint="eastAsia" w:ascii="仿宋_GB2312" w:eastAsia="仿宋_GB2312"/>
          <w:sz w:val="30"/>
          <w:szCs w:val="30"/>
        </w:rPr>
        <w:t>7.2 施工设备和临时设施</w:t>
      </w:r>
      <w:bookmarkEnd w:id="347"/>
      <w:bookmarkEnd w:id="348"/>
      <w:bookmarkEnd w:id="353"/>
      <w:bookmarkEnd w:id="354"/>
      <w:bookmarkEnd w:id="355"/>
    </w:p>
    <w:p w14:paraId="177F1CD6">
      <w:pPr>
        <w:spacing w:after="120"/>
        <w:ind w:firstLine="600"/>
        <w:rPr>
          <w:rFonts w:ascii="仿宋_GB2312" w:eastAsia="仿宋_GB2312"/>
          <w:sz w:val="30"/>
          <w:szCs w:val="30"/>
        </w:rPr>
      </w:pPr>
      <w:bookmarkStart w:id="356" w:name="_Ref18990767"/>
      <w:bookmarkStart w:id="357" w:name="_Ref509043186"/>
      <w:r>
        <w:rPr>
          <w:rFonts w:hint="eastAsia" w:ascii="仿宋_GB2312" w:eastAsia="仿宋_GB2312"/>
          <w:sz w:val="30"/>
          <w:szCs w:val="30"/>
        </w:rPr>
        <w:t>7</w:t>
      </w:r>
      <w:r>
        <w:rPr>
          <w:rFonts w:ascii="仿宋_GB2312" w:eastAsia="仿宋_GB2312"/>
          <w:sz w:val="30"/>
          <w:szCs w:val="30"/>
        </w:rPr>
        <w:t xml:space="preserve">.2.1 </w:t>
      </w:r>
      <w:r>
        <w:rPr>
          <w:rFonts w:hint="eastAsia" w:ascii="仿宋_GB2312" w:eastAsia="仿宋_GB2312"/>
          <w:sz w:val="30"/>
          <w:szCs w:val="30"/>
        </w:rPr>
        <w:t>承包人提供的施工设备和临时设施</w:t>
      </w:r>
      <w:bookmarkEnd w:id="356"/>
    </w:p>
    <w:p w14:paraId="1D6A39D2">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69DAB97A">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除专用合同条件另有约定外，承包人应自行承担修建临时设施的费用，需要临时占地的，应由发包人办理申请手续并承担相应费用。承包人应在专用合同条件</w:t>
      </w:r>
      <w:r>
        <w:rPr>
          <w:rFonts w:ascii="仿宋_GB2312" w:eastAsia="仿宋_GB2312"/>
          <w:sz w:val="30"/>
          <w:szCs w:val="30"/>
        </w:rPr>
        <w:t>7.2</w:t>
      </w:r>
      <w:r>
        <w:rPr>
          <w:rFonts w:hint="eastAsia" w:ascii="仿宋_GB2312" w:eastAsia="仿宋_GB2312"/>
          <w:sz w:val="30"/>
          <w:szCs w:val="30"/>
        </w:rPr>
        <w:t>款</w:t>
      </w:r>
      <w:r>
        <w:rPr>
          <w:rFonts w:ascii="仿宋_GB2312" w:eastAsia="仿宋_GB2312"/>
          <w:sz w:val="30"/>
          <w:szCs w:val="30"/>
        </w:rPr>
        <w:t>约定的时间内向发包人提交临时占地资料，因承包人未能按时提交资料，导致工期延误的，由此增加的费用和（或）竣工日期延误，由承包人负责。</w:t>
      </w:r>
    </w:p>
    <w:bookmarkEnd w:id="357"/>
    <w:p w14:paraId="1B6F6847">
      <w:pPr>
        <w:spacing w:after="120"/>
        <w:ind w:firstLine="600"/>
        <w:rPr>
          <w:rFonts w:ascii="仿宋_GB2312" w:eastAsia="仿宋_GB2312"/>
          <w:sz w:val="30"/>
          <w:szCs w:val="30"/>
        </w:rPr>
      </w:pPr>
      <w:bookmarkStart w:id="358" w:name="_Ref18990784"/>
      <w:r>
        <w:rPr>
          <w:rFonts w:hint="eastAsia" w:ascii="仿宋_GB2312" w:eastAsia="仿宋_GB2312"/>
          <w:sz w:val="30"/>
          <w:szCs w:val="30"/>
        </w:rPr>
        <w:t>7</w:t>
      </w:r>
      <w:r>
        <w:rPr>
          <w:rFonts w:ascii="仿宋_GB2312" w:eastAsia="仿宋_GB2312"/>
          <w:sz w:val="30"/>
          <w:szCs w:val="30"/>
        </w:rPr>
        <w:t xml:space="preserve">.2.2 </w:t>
      </w:r>
      <w:r>
        <w:rPr>
          <w:rFonts w:hint="eastAsia" w:ascii="仿宋_GB2312" w:eastAsia="仿宋_GB2312"/>
          <w:sz w:val="30"/>
          <w:szCs w:val="30"/>
        </w:rPr>
        <w:t>发包人提供的施工设备和临时设施</w:t>
      </w:r>
      <w:bookmarkEnd w:id="358"/>
    </w:p>
    <w:p w14:paraId="2ED7CDA5">
      <w:pPr>
        <w:wordWrap/>
        <w:topLinePunct w:val="0"/>
        <w:spacing w:after="120"/>
        <w:ind w:firstLine="600"/>
        <w:rPr>
          <w:rFonts w:ascii="仿宋_GB2312" w:eastAsia="仿宋_GB2312"/>
          <w:sz w:val="30"/>
          <w:szCs w:val="30"/>
        </w:rPr>
      </w:pPr>
      <w:r>
        <w:rPr>
          <w:rFonts w:hint="eastAsia" w:ascii="仿宋_GB2312" w:eastAsia="仿宋_GB2312"/>
          <w:sz w:val="30"/>
          <w:szCs w:val="30"/>
        </w:rPr>
        <w:t>发包人提供的施工设备或临时设施在专用合同条件中约定。</w:t>
      </w:r>
    </w:p>
    <w:p w14:paraId="556B0031">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.2.3 </w:t>
      </w:r>
      <w:r>
        <w:rPr>
          <w:rFonts w:hint="eastAsia" w:ascii="仿宋_GB2312" w:eastAsia="仿宋_GB2312"/>
          <w:sz w:val="30"/>
          <w:szCs w:val="30"/>
        </w:rPr>
        <w:t>要求承包人增加或更换施工设备</w:t>
      </w:r>
    </w:p>
    <w:p w14:paraId="5D6E2854">
      <w:pPr>
        <w:wordWrap/>
        <w:topLinePunct w:val="0"/>
        <w:spacing w:after="120"/>
        <w:ind w:firstLine="600"/>
        <w:rPr>
          <w:rFonts w:ascii="仿宋_GB2312" w:eastAsia="仿宋_GB2312"/>
          <w:sz w:val="30"/>
          <w:szCs w:val="30"/>
        </w:rPr>
      </w:pPr>
      <w:r>
        <w:rPr>
          <w:rFonts w:hint="eastAsia" w:ascii="仿宋_GB2312" w:eastAsia="仿宋_GB2312"/>
          <w:sz w:val="30"/>
          <w:szCs w:val="30"/>
        </w:rPr>
        <w:t>承包人使用的施工设备不能满足项目进度计划和（或）质量要求时，工程师有权要求承包人增加或更换施工设备，承包人应及时增加或更换，由此增加的费用和（或）延误的工期由承包人承担。</w:t>
      </w:r>
    </w:p>
    <w:p w14:paraId="33F37B0E">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.2.4 </w:t>
      </w:r>
      <w:r>
        <w:rPr>
          <w:rFonts w:hint="eastAsia" w:ascii="仿宋_GB2312" w:eastAsia="仿宋_GB2312"/>
          <w:sz w:val="30"/>
          <w:szCs w:val="30"/>
        </w:rPr>
        <w:t>施工设备和临时设施专用于合同工程</w:t>
      </w:r>
    </w:p>
    <w:p w14:paraId="7B8CC1CC">
      <w:pPr>
        <w:wordWrap/>
        <w:topLinePunct w:val="0"/>
        <w:spacing w:after="120"/>
        <w:ind w:firstLine="600"/>
        <w:rPr>
          <w:rFonts w:ascii="仿宋_GB2312" w:eastAsia="仿宋_GB2312"/>
          <w:sz w:val="30"/>
          <w:szCs w:val="30"/>
        </w:rPr>
      </w:pPr>
      <w:r>
        <w:rPr>
          <w:rFonts w:hint="eastAsia" w:ascii="仿宋_GB2312" w:eastAsia="仿宋_GB2312"/>
          <w:sz w:val="30"/>
          <w:szCs w:val="30"/>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54F15006">
      <w:pPr>
        <w:spacing w:after="120"/>
        <w:ind w:firstLine="600"/>
        <w:rPr>
          <w:rFonts w:ascii="仿宋_GB2312" w:eastAsia="仿宋_GB2312"/>
          <w:sz w:val="30"/>
          <w:szCs w:val="30"/>
        </w:rPr>
      </w:pPr>
      <w:bookmarkStart w:id="359" w:name="_Toc54862238"/>
      <w:bookmarkStart w:id="360" w:name="_Ref11874352"/>
      <w:r>
        <w:rPr>
          <w:rFonts w:hint="eastAsia" w:ascii="仿宋_GB2312" w:eastAsia="仿宋_GB2312"/>
          <w:sz w:val="30"/>
          <w:szCs w:val="30"/>
        </w:rPr>
        <w:t>7.3 现场合作</w:t>
      </w:r>
      <w:bookmarkEnd w:id="359"/>
      <w:bookmarkEnd w:id="360"/>
    </w:p>
    <w:p w14:paraId="4D3D89A5">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承包人应按合同约定或发包人的指示，与发包人人员、发包人的其他承包人等人员就在现场或附近实施与工程有关的各项工作进行合作并提供适当条件，包括使用承包人设备、临时工程或进入现场等。</w:t>
      </w:r>
    </w:p>
    <w:p w14:paraId="37E73F7B">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承包人应对其在现场的施工活动负责，并应尽合理努力按合同约定或发包人的指示，协调自身与发包人人员、发包人的其他承包人等人员的活动。</w:t>
      </w:r>
    </w:p>
    <w:p w14:paraId="550F98D5">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3F603A6D">
      <w:pPr>
        <w:spacing w:after="120"/>
        <w:ind w:firstLine="600"/>
        <w:rPr>
          <w:rFonts w:ascii="仿宋_GB2312" w:eastAsia="仿宋_GB2312"/>
          <w:sz w:val="30"/>
          <w:szCs w:val="30"/>
        </w:rPr>
      </w:pPr>
      <w:bookmarkStart w:id="361" w:name="_Ref531954285"/>
      <w:bookmarkStart w:id="362" w:name="_Toc54862239"/>
      <w:bookmarkStart w:id="363" w:name="_Ref531954287"/>
      <w:r>
        <w:rPr>
          <w:rFonts w:hint="eastAsia" w:ascii="仿宋_GB2312" w:eastAsia="仿宋_GB2312"/>
          <w:sz w:val="30"/>
          <w:szCs w:val="30"/>
        </w:rPr>
        <w:t>7.4 测量放线</w:t>
      </w:r>
      <w:bookmarkEnd w:id="361"/>
      <w:bookmarkEnd w:id="362"/>
      <w:bookmarkEnd w:id="363"/>
    </w:p>
    <w:p w14:paraId="6D2AC454">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.4.1 </w:t>
      </w:r>
      <w:r>
        <w:rPr>
          <w:rFonts w:hint="eastAsia" w:ascii="仿宋_GB2312" w:eastAsia="仿宋_GB2312"/>
          <w:sz w:val="30"/>
          <w:szCs w:val="30"/>
        </w:rPr>
        <w:t>除专用合同条件另有约定外，承包人应根据国家测绘基准、测绘系统和工程测量技术规范，按基准点（线）以及合同工程精度要求，测设施工控制网，并在专用合同条件约定的期限内，将施工控制网资料报送工程师。</w:t>
      </w:r>
    </w:p>
    <w:p w14:paraId="1E6A7927">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.4.2 </w:t>
      </w:r>
      <w:r>
        <w:rPr>
          <w:rFonts w:hint="eastAsia" w:ascii="仿宋_GB2312" w:eastAsia="仿宋_GB2312"/>
          <w:sz w:val="30"/>
          <w:szCs w:val="30"/>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1D3339DD">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.4.3 </w:t>
      </w:r>
      <w:r>
        <w:rPr>
          <w:rFonts w:hint="eastAsia" w:ascii="仿宋_GB2312" w:eastAsia="仿宋_GB2312"/>
          <w:sz w:val="30"/>
          <w:szCs w:val="30"/>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054B7077">
      <w:pPr>
        <w:spacing w:after="120"/>
        <w:ind w:firstLine="600"/>
        <w:rPr>
          <w:rFonts w:ascii="仿宋_GB2312" w:eastAsia="仿宋_GB2312"/>
          <w:sz w:val="30"/>
          <w:szCs w:val="30"/>
        </w:rPr>
      </w:pPr>
      <w:bookmarkStart w:id="364" w:name="_Toc54862240"/>
      <w:bookmarkStart w:id="365" w:name="_Ref531954323"/>
      <w:bookmarkStart w:id="366" w:name="_Ref531954329"/>
      <w:bookmarkStart w:id="367" w:name="_Ref4770992"/>
      <w:r>
        <w:rPr>
          <w:rFonts w:hint="eastAsia" w:ascii="仿宋_GB2312" w:eastAsia="仿宋_GB2312"/>
          <w:sz w:val="30"/>
          <w:szCs w:val="30"/>
        </w:rPr>
        <w:t>7.5 现场劳动用工</w:t>
      </w:r>
      <w:bookmarkEnd w:id="364"/>
    </w:p>
    <w:p w14:paraId="4A49F457">
      <w:pPr>
        <w:spacing w:after="120"/>
        <w:ind w:firstLine="600"/>
        <w:rPr>
          <w:rFonts w:ascii="仿宋_GB2312" w:eastAsia="仿宋_GB2312"/>
          <w:sz w:val="30"/>
          <w:szCs w:val="30"/>
        </w:rPr>
      </w:pPr>
      <w:r>
        <w:rPr>
          <w:rFonts w:ascii="仿宋_GB2312" w:eastAsia="仿宋_GB2312"/>
          <w:sz w:val="30"/>
          <w:szCs w:val="30"/>
        </w:rPr>
        <w:t>7.5.1 承包人及其分包人招用建筑工人的，</w:t>
      </w:r>
      <w:r>
        <w:rPr>
          <w:rFonts w:hint="eastAsia" w:ascii="仿宋_GB2312" w:eastAsia="仿宋_GB2312"/>
          <w:sz w:val="30"/>
          <w:szCs w:val="30"/>
        </w:rPr>
        <w:t>应当依法与所招用的建筑工人订立</w:t>
      </w:r>
      <w:r>
        <w:rPr>
          <w:rFonts w:ascii="仿宋_GB2312" w:eastAsia="仿宋_GB2312"/>
          <w:sz w:val="30"/>
          <w:szCs w:val="30"/>
        </w:rPr>
        <w:t>劳动合同，实行建筑工人劳动用工实名制管理，</w:t>
      </w:r>
      <w:r>
        <w:rPr>
          <w:rFonts w:hint="eastAsia" w:ascii="仿宋_GB2312" w:eastAsia="仿宋_GB2312"/>
          <w:sz w:val="30"/>
          <w:szCs w:val="30"/>
        </w:rPr>
        <w:t>承包人</w:t>
      </w:r>
      <w:r>
        <w:rPr>
          <w:rFonts w:ascii="仿宋_GB2312" w:eastAsia="仿宋_GB2312"/>
          <w:sz w:val="30"/>
          <w:szCs w:val="30"/>
        </w:rPr>
        <w:t>应当按照有关规定开设建筑工人工资专用账户、存储工资保证金，专项用于支付和保障该工程建设项目建筑工人工资。</w:t>
      </w:r>
    </w:p>
    <w:p w14:paraId="5766A142">
      <w:pPr>
        <w:spacing w:after="120"/>
        <w:ind w:firstLine="600"/>
        <w:rPr>
          <w:rFonts w:ascii="仿宋_GB2312" w:eastAsia="仿宋_GB2312"/>
          <w:sz w:val="30"/>
          <w:szCs w:val="30"/>
        </w:rPr>
      </w:pPr>
      <w:r>
        <w:rPr>
          <w:rFonts w:ascii="仿宋_GB2312" w:eastAsia="仿宋_GB2312"/>
          <w:sz w:val="30"/>
          <w:szCs w:val="30"/>
        </w:rPr>
        <w:t>7.5.2 承包人应当在工程项目部配备劳资专管员，对分包单位劳动用工及工资发放实施监督管理。</w:t>
      </w:r>
      <w:r>
        <w:rPr>
          <w:rFonts w:hint="eastAsia" w:ascii="仿宋_GB2312" w:eastAsia="仿宋_GB2312"/>
          <w:sz w:val="30"/>
          <w:szCs w:val="30"/>
        </w:rPr>
        <w:t>承包人拖欠建筑工人工资的</w:t>
      </w:r>
      <w:r>
        <w:rPr>
          <w:rFonts w:ascii="仿宋_GB2312" w:eastAsia="仿宋_GB2312"/>
          <w:sz w:val="30"/>
          <w:szCs w:val="30"/>
        </w:rPr>
        <w:t>,应当依法予以清偿。分包人拖欠建筑工人工资的,由承包人先行清偿,再依法进行追偿。</w:t>
      </w:r>
      <w:r>
        <w:rPr>
          <w:rFonts w:hint="eastAsia" w:ascii="仿宋_GB2312" w:eastAsia="仿宋_GB2312"/>
          <w:sz w:val="30"/>
          <w:szCs w:val="30"/>
        </w:rPr>
        <w:t>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2970B75">
      <w:pPr>
        <w:spacing w:after="120"/>
        <w:ind w:firstLine="600"/>
        <w:rPr>
          <w:rFonts w:ascii="仿宋_GB2312" w:eastAsia="仿宋_GB2312"/>
          <w:sz w:val="30"/>
          <w:szCs w:val="30"/>
        </w:rPr>
      </w:pPr>
      <w:r>
        <w:rPr>
          <w:rFonts w:hint="eastAsia" w:ascii="仿宋_GB2312" w:eastAsia="仿宋_GB2312"/>
          <w:sz w:val="30"/>
          <w:szCs w:val="30"/>
        </w:rPr>
        <w:t>7.5.3 承包人应当按照相关法律法规的要求，进行劳动用工管理和建筑工人工资支付。</w:t>
      </w:r>
    </w:p>
    <w:p w14:paraId="741BE94E">
      <w:pPr>
        <w:spacing w:after="120"/>
        <w:ind w:firstLine="600"/>
        <w:rPr>
          <w:rFonts w:ascii="仿宋_GB2312" w:eastAsia="仿宋_GB2312"/>
          <w:sz w:val="30"/>
          <w:szCs w:val="30"/>
        </w:rPr>
      </w:pPr>
      <w:bookmarkStart w:id="368" w:name="_Toc54862241"/>
      <w:bookmarkStart w:id="369" w:name="_Ref41554059"/>
      <w:r>
        <w:rPr>
          <w:rFonts w:hint="eastAsia" w:ascii="仿宋_GB2312" w:eastAsia="仿宋_GB2312"/>
          <w:sz w:val="30"/>
          <w:szCs w:val="30"/>
        </w:rPr>
        <w:t>7.6 安全文明施工</w:t>
      </w:r>
      <w:bookmarkEnd w:id="365"/>
      <w:bookmarkEnd w:id="366"/>
      <w:bookmarkEnd w:id="367"/>
      <w:bookmarkEnd w:id="368"/>
      <w:bookmarkEnd w:id="369"/>
    </w:p>
    <w:p w14:paraId="2C8E7EB6">
      <w:pPr>
        <w:spacing w:after="120"/>
        <w:ind w:firstLine="600"/>
        <w:rPr>
          <w:rFonts w:ascii="仿宋_GB2312" w:eastAsia="仿宋_GB2312"/>
          <w:sz w:val="30"/>
          <w:szCs w:val="30"/>
        </w:rPr>
      </w:pPr>
      <w:bookmarkStart w:id="370" w:name="_Ref18990822"/>
      <w:r>
        <w:rPr>
          <w:rFonts w:hint="eastAsia" w:ascii="仿宋_GB2312" w:eastAsia="仿宋_GB2312"/>
          <w:sz w:val="30"/>
          <w:szCs w:val="30"/>
        </w:rPr>
        <w:t>7</w:t>
      </w:r>
      <w:r>
        <w:rPr>
          <w:rFonts w:ascii="仿宋_GB2312" w:eastAsia="仿宋_GB2312"/>
          <w:sz w:val="30"/>
          <w:szCs w:val="30"/>
        </w:rPr>
        <w:t xml:space="preserve">.6.1 </w:t>
      </w:r>
      <w:r>
        <w:rPr>
          <w:rFonts w:hint="eastAsia" w:ascii="仿宋_GB2312" w:eastAsia="仿宋_GB2312"/>
          <w:sz w:val="30"/>
          <w:szCs w:val="30"/>
        </w:rPr>
        <w:t>安全生产要求</w:t>
      </w:r>
      <w:bookmarkEnd w:id="370"/>
    </w:p>
    <w:p w14:paraId="0EDB1747">
      <w:pPr>
        <w:wordWrap/>
        <w:topLinePunct w:val="0"/>
        <w:spacing w:after="120"/>
        <w:ind w:firstLine="600"/>
        <w:rPr>
          <w:rFonts w:ascii="仿宋_GB2312" w:eastAsia="仿宋_GB2312"/>
          <w:sz w:val="30"/>
          <w:szCs w:val="30"/>
        </w:rPr>
      </w:pPr>
      <w:r>
        <w:rPr>
          <w:rFonts w:hint="eastAsia" w:ascii="仿宋_GB2312" w:eastAsia="仿宋_GB2312"/>
          <w:sz w:val="30"/>
          <w:szCs w:val="30"/>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3CCBF220">
      <w:pPr>
        <w:wordWrap/>
        <w:topLinePunct w:val="0"/>
        <w:spacing w:after="120"/>
        <w:ind w:firstLine="600"/>
        <w:rPr>
          <w:rFonts w:ascii="仿宋_GB2312" w:eastAsia="仿宋_GB2312"/>
          <w:sz w:val="30"/>
          <w:szCs w:val="30"/>
        </w:rPr>
      </w:pPr>
      <w:r>
        <w:rPr>
          <w:rFonts w:hint="eastAsia" w:ascii="仿宋_GB2312" w:eastAsia="仿宋_GB2312"/>
          <w:sz w:val="30"/>
          <w:szCs w:val="30"/>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6B8CCB7F">
      <w:pPr>
        <w:wordWrap/>
        <w:topLinePunct w:val="0"/>
        <w:spacing w:after="120"/>
        <w:ind w:firstLine="600"/>
        <w:rPr>
          <w:rFonts w:ascii="仿宋_GB2312" w:eastAsia="仿宋_GB2312"/>
          <w:sz w:val="30"/>
          <w:szCs w:val="30"/>
        </w:rPr>
      </w:pPr>
      <w:r>
        <w:rPr>
          <w:rFonts w:hint="eastAsia" w:ascii="仿宋_GB2312" w:eastAsia="仿宋_GB2312"/>
          <w:sz w:val="30"/>
          <w:szCs w:val="30"/>
        </w:rPr>
        <w:t>因安全生产需要暂停施工的，按照第</w:t>
      </w:r>
      <w:r>
        <w:rPr>
          <w:rFonts w:ascii="仿宋_GB2312" w:eastAsia="仿宋_GB2312"/>
          <w:sz w:val="30"/>
          <w:szCs w:val="30"/>
        </w:rPr>
        <w:t>8.9</w:t>
      </w:r>
      <w:r>
        <w:rPr>
          <w:rFonts w:hint="eastAsia" w:ascii="仿宋_GB2312" w:eastAsia="仿宋_GB2312"/>
          <w:sz w:val="30"/>
          <w:szCs w:val="30"/>
        </w:rPr>
        <w:t>款[暂停工作]的约定执行。</w:t>
      </w:r>
    </w:p>
    <w:p w14:paraId="549E1F82">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.6.2 </w:t>
      </w:r>
      <w:r>
        <w:rPr>
          <w:rFonts w:hint="eastAsia" w:ascii="仿宋_GB2312" w:eastAsia="仿宋_GB2312"/>
          <w:sz w:val="30"/>
          <w:szCs w:val="30"/>
        </w:rPr>
        <w:t>安全生产保证措施</w:t>
      </w:r>
    </w:p>
    <w:p w14:paraId="7385ADF7">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6C6D3124">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069AE1DE">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4037A26E">
      <w:pPr>
        <w:spacing w:after="120"/>
        <w:ind w:firstLine="600"/>
        <w:rPr>
          <w:rFonts w:ascii="仿宋_GB2312" w:eastAsia="仿宋_GB2312"/>
          <w:sz w:val="30"/>
          <w:szCs w:val="30"/>
        </w:rPr>
      </w:pPr>
      <w:bookmarkStart w:id="371" w:name="_Ref18990840"/>
      <w:r>
        <w:rPr>
          <w:rFonts w:hint="eastAsia" w:ascii="仿宋_GB2312" w:eastAsia="仿宋_GB2312"/>
          <w:sz w:val="30"/>
          <w:szCs w:val="30"/>
        </w:rPr>
        <w:t>7.6.3 文明施工</w:t>
      </w:r>
      <w:bookmarkEnd w:id="371"/>
    </w:p>
    <w:p w14:paraId="7D54EF8B">
      <w:pPr>
        <w:wordWrap/>
        <w:topLinePunct w:val="0"/>
        <w:spacing w:after="120"/>
        <w:ind w:firstLine="600"/>
        <w:rPr>
          <w:rFonts w:ascii="仿宋_GB2312" w:eastAsia="仿宋_GB2312"/>
          <w:sz w:val="30"/>
          <w:szCs w:val="30"/>
        </w:rPr>
      </w:pPr>
      <w:r>
        <w:rPr>
          <w:rFonts w:hint="eastAsia" w:ascii="仿宋_GB2312" w:eastAsia="仿宋_GB2312"/>
          <w:sz w:val="30"/>
          <w:szCs w:val="30"/>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7453B4E">
      <w:pPr>
        <w:wordWrap/>
        <w:topLinePunct w:val="0"/>
        <w:spacing w:after="120"/>
        <w:ind w:firstLine="600"/>
        <w:rPr>
          <w:rFonts w:ascii="仿宋_GB2312" w:eastAsia="仿宋_GB2312"/>
          <w:sz w:val="30"/>
          <w:szCs w:val="30"/>
        </w:rPr>
      </w:pPr>
      <w:r>
        <w:rPr>
          <w:rFonts w:hint="eastAsia" w:ascii="仿宋_GB2312" w:eastAsia="仿宋_GB2312"/>
          <w:sz w:val="30"/>
          <w:szCs w:val="30"/>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946443C">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.6.4 </w:t>
      </w:r>
      <w:r>
        <w:rPr>
          <w:rFonts w:hint="eastAsia" w:ascii="仿宋_GB2312" w:eastAsia="仿宋_GB2312"/>
          <w:sz w:val="30"/>
          <w:szCs w:val="30"/>
        </w:rPr>
        <w:t>事故处理</w:t>
      </w:r>
    </w:p>
    <w:p w14:paraId="7357069C">
      <w:pPr>
        <w:wordWrap/>
        <w:topLinePunct w:val="0"/>
        <w:spacing w:after="120"/>
        <w:ind w:firstLine="600"/>
        <w:rPr>
          <w:rFonts w:ascii="仿宋_GB2312" w:eastAsia="仿宋_GB2312"/>
          <w:sz w:val="30"/>
          <w:szCs w:val="30"/>
        </w:rPr>
      </w:pPr>
      <w:r>
        <w:rPr>
          <w:rFonts w:hint="eastAsia" w:ascii="仿宋_GB2312" w:eastAsia="仿宋_GB2312"/>
          <w:sz w:val="30"/>
          <w:szCs w:val="30"/>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76AC3DCF">
      <w:pPr>
        <w:wordWrap/>
        <w:topLinePunct w:val="0"/>
        <w:spacing w:after="120"/>
        <w:ind w:firstLine="600"/>
        <w:rPr>
          <w:rFonts w:ascii="仿宋_GB2312" w:eastAsia="仿宋_GB2312"/>
          <w:sz w:val="30"/>
          <w:szCs w:val="30"/>
        </w:rPr>
      </w:pPr>
      <w:r>
        <w:rPr>
          <w:rFonts w:hint="eastAsia" w:ascii="仿宋_GB2312" w:eastAsia="仿宋_GB2312"/>
          <w:sz w:val="30"/>
          <w:szCs w:val="30"/>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6F752C12">
      <w:pPr>
        <w:spacing w:after="120"/>
        <w:ind w:firstLine="600"/>
        <w:rPr>
          <w:rFonts w:ascii="仿宋_GB2312" w:eastAsia="仿宋_GB2312"/>
          <w:sz w:val="30"/>
          <w:szCs w:val="30"/>
        </w:rPr>
      </w:pPr>
      <w:r>
        <w:rPr>
          <w:rFonts w:hint="eastAsia" w:ascii="仿宋_GB2312" w:eastAsia="仿宋_GB2312"/>
          <w:sz w:val="30"/>
          <w:szCs w:val="30"/>
        </w:rPr>
        <w:t>7.6.5 安全生产责任</w:t>
      </w:r>
    </w:p>
    <w:p w14:paraId="79F0BADA">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发包人应负责赔偿以下各种情况造成的损失：</w:t>
      </w:r>
    </w:p>
    <w:p w14:paraId="7E1D47F8">
      <w:pPr>
        <w:wordWrap/>
        <w:topLinePunct w:val="0"/>
        <w:spacing w:after="120"/>
        <w:ind w:firstLine="600"/>
        <w:rPr>
          <w:rFonts w:ascii="仿宋_GB2312" w:eastAsia="仿宋_GB2312"/>
          <w:sz w:val="30"/>
          <w:szCs w:val="30"/>
        </w:rPr>
      </w:pPr>
      <w:r>
        <w:rPr>
          <w:rFonts w:hint="eastAsia" w:ascii="仿宋_GB2312" w:eastAsia="仿宋_GB2312"/>
          <w:sz w:val="30"/>
          <w:szCs w:val="30"/>
        </w:rPr>
        <w:t>（1） 工程或工程的任何部分对土地的占用所造成的第三者财产损失；</w:t>
      </w:r>
    </w:p>
    <w:p w14:paraId="3A8B5D3B">
      <w:pPr>
        <w:wordWrap/>
        <w:topLinePunct w:val="0"/>
        <w:spacing w:after="120"/>
        <w:ind w:firstLine="600"/>
        <w:rPr>
          <w:rFonts w:ascii="仿宋_GB2312" w:eastAsia="仿宋_GB2312"/>
          <w:sz w:val="30"/>
          <w:szCs w:val="30"/>
        </w:rPr>
      </w:pPr>
      <w:r>
        <w:rPr>
          <w:rFonts w:hint="eastAsia" w:ascii="仿宋_GB2312" w:eastAsia="仿宋_GB2312"/>
          <w:sz w:val="30"/>
          <w:szCs w:val="30"/>
        </w:rPr>
        <w:t>（2） 由于发包人原因在施工现场及其毗邻地带、履行合同工作中造成的第三者人身伤亡和财产损失；</w:t>
      </w:r>
    </w:p>
    <w:p w14:paraId="30C0E1E8">
      <w:pPr>
        <w:wordWrap/>
        <w:topLinePunct w:val="0"/>
        <w:spacing w:after="120"/>
        <w:ind w:firstLine="600"/>
        <w:rPr>
          <w:rFonts w:ascii="仿宋_GB2312" w:eastAsia="仿宋_GB2312"/>
          <w:sz w:val="30"/>
          <w:szCs w:val="30"/>
        </w:rPr>
      </w:pPr>
      <w:r>
        <w:rPr>
          <w:rFonts w:hint="eastAsia" w:ascii="仿宋_GB2312" w:eastAsia="仿宋_GB2312"/>
          <w:sz w:val="30"/>
          <w:szCs w:val="30"/>
        </w:rPr>
        <w:t>（3） 由于发包人原因对发包人自身、承包人、工程师造成的人身伤害和财产损失。</w:t>
      </w:r>
    </w:p>
    <w:p w14:paraId="105564B4">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承包人应负责赔偿由于承包人原因在施工现场及其毗邻地带、履行合同工作中造成的第三者人身伤亡和财产损失。</w:t>
      </w:r>
    </w:p>
    <w:p w14:paraId="38706850">
      <w:pPr>
        <w:spacing w:after="120"/>
        <w:ind w:firstLine="600"/>
        <w:rPr>
          <w:rFonts w:ascii="仿宋_GB2312" w:eastAsia="仿宋_GB2312"/>
          <w:sz w:val="30"/>
          <w:szCs w:val="30"/>
        </w:rPr>
      </w:pPr>
      <w:r>
        <w:rPr>
          <w:rFonts w:hint="eastAsia" w:ascii="仿宋_GB2312" w:eastAsia="仿宋_GB2312"/>
          <w:sz w:val="30"/>
          <w:szCs w:val="30"/>
        </w:rPr>
        <w:t>如果上述损失是由于发包人和承包人共同原因导致的，则双方应根据过错情况按比例承担。</w:t>
      </w:r>
    </w:p>
    <w:p w14:paraId="3C7822B3">
      <w:pPr>
        <w:spacing w:after="120"/>
        <w:ind w:firstLine="600"/>
        <w:rPr>
          <w:rFonts w:ascii="仿宋_GB2312" w:eastAsia="仿宋_GB2312"/>
          <w:sz w:val="30"/>
          <w:szCs w:val="30"/>
        </w:rPr>
      </w:pPr>
      <w:bookmarkStart w:id="372" w:name="_Ref41554069"/>
      <w:bookmarkStart w:id="373" w:name="_Ref11874562"/>
      <w:bookmarkStart w:id="374" w:name="_Toc54862242"/>
      <w:r>
        <w:rPr>
          <w:rFonts w:hint="eastAsia" w:ascii="仿宋_GB2312" w:eastAsia="仿宋_GB2312"/>
          <w:sz w:val="30"/>
          <w:szCs w:val="30"/>
        </w:rPr>
        <w:t>7.7 职业健康</w:t>
      </w:r>
      <w:bookmarkEnd w:id="372"/>
      <w:bookmarkEnd w:id="373"/>
      <w:bookmarkEnd w:id="374"/>
    </w:p>
    <w:p w14:paraId="74FAEDE7">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承包人应遵守适用的职业健康的法律和合同约定（包括对雇用、职业健康、安全、福利等方面的规定），负责现场实施过程中其人员的职业健康和保护，包括：</w:t>
      </w:r>
    </w:p>
    <w:p w14:paraId="007FAC2E">
      <w:pPr>
        <w:wordWrap/>
        <w:topLinePunct w:val="0"/>
        <w:spacing w:after="120"/>
        <w:ind w:firstLine="600"/>
        <w:rPr>
          <w:rFonts w:ascii="仿宋_GB2312" w:eastAsia="仿宋_GB2312"/>
          <w:sz w:val="30"/>
          <w:szCs w:val="30"/>
        </w:rPr>
      </w:pPr>
      <w:r>
        <w:rPr>
          <w:rFonts w:hint="eastAsia" w:ascii="仿宋_GB2312" w:eastAsia="仿宋_GB2312"/>
          <w:sz w:val="30"/>
          <w:szCs w:val="30"/>
        </w:rPr>
        <w:t>（1） 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2603760C">
      <w:pPr>
        <w:wordWrap/>
        <w:topLinePunct w:val="0"/>
        <w:spacing w:after="120"/>
        <w:ind w:firstLine="600"/>
        <w:rPr>
          <w:rFonts w:ascii="仿宋_GB2312" w:eastAsia="仿宋_GB2312"/>
          <w:sz w:val="30"/>
          <w:szCs w:val="30"/>
        </w:rPr>
      </w:pPr>
      <w:r>
        <w:rPr>
          <w:rFonts w:hint="eastAsia" w:ascii="仿宋_GB2312" w:eastAsia="仿宋_GB2312"/>
          <w:sz w:val="30"/>
          <w:szCs w:val="30"/>
        </w:rPr>
        <w:t>（2） 承包人应依法为承包人</w:t>
      </w:r>
      <w:bookmarkStart w:id="375" w:name="_Hlk46339538"/>
      <w:r>
        <w:rPr>
          <w:rFonts w:hint="eastAsia" w:ascii="仿宋_GB2312" w:eastAsia="仿宋_GB2312"/>
          <w:sz w:val="30"/>
          <w:szCs w:val="30"/>
        </w:rPr>
        <w:t>员工及承包人聘用的第三方人员</w:t>
      </w:r>
      <w:bookmarkEnd w:id="375"/>
      <w:r>
        <w:rPr>
          <w:rFonts w:hint="eastAsia" w:ascii="仿宋_GB2312" w:eastAsia="仿宋_GB2312"/>
          <w:sz w:val="30"/>
          <w:szCs w:val="30"/>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2273E0BF">
      <w:pPr>
        <w:wordWrap/>
        <w:topLinePunct w:val="0"/>
        <w:spacing w:after="120"/>
        <w:ind w:firstLine="600"/>
        <w:rPr>
          <w:rFonts w:ascii="仿宋_GB2312" w:eastAsia="仿宋_GB2312"/>
          <w:sz w:val="30"/>
          <w:szCs w:val="30"/>
        </w:rPr>
      </w:pPr>
      <w:r>
        <w:rPr>
          <w:rFonts w:hint="eastAsia" w:ascii="仿宋_GB2312" w:eastAsia="仿宋_GB2312"/>
          <w:sz w:val="30"/>
          <w:szCs w:val="30"/>
        </w:rPr>
        <w:t>（3） 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0C819510">
      <w:pPr>
        <w:wordWrap/>
        <w:topLinePunct w:val="0"/>
        <w:spacing w:after="120"/>
        <w:ind w:firstLine="600"/>
        <w:rPr>
          <w:rFonts w:ascii="仿宋_GB2312" w:eastAsia="仿宋_GB2312"/>
          <w:sz w:val="30"/>
          <w:szCs w:val="30"/>
        </w:rPr>
      </w:pPr>
      <w:r>
        <w:rPr>
          <w:rFonts w:hint="eastAsia" w:ascii="仿宋_GB2312" w:eastAsia="仿宋_GB2312"/>
          <w:sz w:val="30"/>
          <w:szCs w:val="30"/>
        </w:rPr>
        <w:t>（4） 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4B56745C">
      <w:pPr>
        <w:wordWrap/>
        <w:topLinePunct w:val="0"/>
        <w:spacing w:after="120"/>
        <w:ind w:firstLine="600"/>
        <w:rPr>
          <w:rFonts w:ascii="仿宋_GB2312" w:eastAsia="仿宋_GB2312"/>
          <w:sz w:val="30"/>
          <w:szCs w:val="30"/>
        </w:rPr>
      </w:pPr>
      <w:r>
        <w:rPr>
          <w:rFonts w:hint="eastAsia" w:ascii="仿宋_GB2312" w:eastAsia="仿宋_GB2312"/>
          <w:sz w:val="30"/>
          <w:szCs w:val="30"/>
        </w:rPr>
        <w:t>（5） 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24D45AC0">
      <w:pPr>
        <w:spacing w:after="120"/>
        <w:ind w:firstLine="600"/>
        <w:rPr>
          <w:rFonts w:ascii="仿宋_GB2312" w:eastAsia="仿宋_GB2312"/>
          <w:sz w:val="30"/>
          <w:szCs w:val="30"/>
        </w:rPr>
      </w:pPr>
      <w:bookmarkStart w:id="376" w:name="_Ref11874570"/>
      <w:bookmarkStart w:id="377" w:name="_Toc54862243"/>
      <w:r>
        <w:rPr>
          <w:rFonts w:hint="eastAsia" w:ascii="仿宋_GB2312" w:eastAsia="仿宋_GB2312"/>
          <w:sz w:val="30"/>
          <w:szCs w:val="30"/>
        </w:rPr>
        <w:t>7.8 环境保护</w:t>
      </w:r>
      <w:bookmarkEnd w:id="376"/>
      <w:bookmarkEnd w:id="377"/>
    </w:p>
    <w:p w14:paraId="779796A8">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.8.1 </w:t>
      </w:r>
      <w:r>
        <w:rPr>
          <w:rFonts w:hint="eastAsia" w:ascii="仿宋_GB2312" w:eastAsia="仿宋_GB2312"/>
          <w:sz w:val="30"/>
          <w:szCs w:val="30"/>
        </w:rPr>
        <w:t>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6F5D2F39">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.8.2 </w:t>
      </w:r>
      <w:r>
        <w:rPr>
          <w:rFonts w:hint="eastAsia" w:ascii="仿宋_GB2312" w:eastAsia="仿宋_GB2312"/>
          <w:sz w:val="30"/>
          <w:szCs w:val="30"/>
        </w:rPr>
        <w:t>承包人应采取措施，并负责控制和（或）处理现场的粉尘、废气、废水、固体废物和噪声对环境的污染和危害。因此发生的伤害、赔偿、罚款等费用增加，和（或）竣工日期延误，由承包人负责。</w:t>
      </w:r>
    </w:p>
    <w:p w14:paraId="742273CD">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.8.3 </w:t>
      </w:r>
      <w:r>
        <w:rPr>
          <w:rFonts w:hint="eastAsia" w:ascii="仿宋_GB2312" w:eastAsia="仿宋_GB2312"/>
          <w:sz w:val="30"/>
          <w:szCs w:val="30"/>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4F477244">
      <w:pPr>
        <w:spacing w:after="120"/>
        <w:ind w:firstLine="600"/>
        <w:rPr>
          <w:rFonts w:ascii="仿宋_GB2312" w:eastAsia="仿宋_GB2312"/>
          <w:sz w:val="30"/>
          <w:szCs w:val="30"/>
        </w:rPr>
      </w:pPr>
      <w:bookmarkStart w:id="378" w:name="_Ref4771116"/>
      <w:bookmarkStart w:id="379" w:name="_Ref531954340"/>
      <w:bookmarkStart w:id="380" w:name="_Ref531954344"/>
      <w:bookmarkStart w:id="381" w:name="_Toc54862244"/>
      <w:r>
        <w:rPr>
          <w:rFonts w:hint="eastAsia" w:ascii="仿宋_GB2312" w:eastAsia="仿宋_GB2312"/>
          <w:sz w:val="30"/>
          <w:szCs w:val="30"/>
        </w:rPr>
        <w:t>7.9 临时性公用设施</w:t>
      </w:r>
      <w:bookmarkEnd w:id="378"/>
      <w:bookmarkEnd w:id="379"/>
      <w:bookmarkEnd w:id="380"/>
      <w:bookmarkEnd w:id="381"/>
    </w:p>
    <w:p w14:paraId="0A928D5C">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.9.1 </w:t>
      </w:r>
      <w:r>
        <w:rPr>
          <w:rFonts w:hint="eastAsia" w:ascii="仿宋_GB2312" w:eastAsia="仿宋_GB2312"/>
          <w:sz w:val="30"/>
          <w:szCs w:val="30"/>
        </w:rPr>
        <w:t>提供临时用水、用电等和节点铺设</w:t>
      </w:r>
    </w:p>
    <w:p w14:paraId="2CD95630">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7E92AA32">
      <w:pPr>
        <w:wordWrap/>
        <w:topLinePunct w:val="0"/>
        <w:spacing w:after="120"/>
        <w:ind w:firstLine="600"/>
        <w:rPr>
          <w:rFonts w:ascii="仿宋_GB2312" w:eastAsia="仿宋_GB2312"/>
          <w:sz w:val="30"/>
          <w:szCs w:val="30"/>
        </w:rPr>
      </w:pPr>
      <w:r>
        <w:rPr>
          <w:rFonts w:hint="eastAsia" w:ascii="仿宋_GB2312" w:eastAsia="仿宋_GB2312"/>
          <w:sz w:val="30"/>
          <w:szCs w:val="30"/>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7FFD6774">
      <w:pPr>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.9.2 </w:t>
      </w:r>
      <w:r>
        <w:rPr>
          <w:rFonts w:hint="eastAsia" w:ascii="仿宋_GB2312" w:eastAsia="仿宋_GB2312"/>
          <w:sz w:val="30"/>
          <w:szCs w:val="30"/>
        </w:rPr>
        <w:t>临时用水、用电等</w:t>
      </w:r>
    </w:p>
    <w:p w14:paraId="78C9352D">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73DE474C">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因承包人未能按合同约定提交上述资料，造成发包人费用增加和竣工日期延误时，由承包人负责。</w:t>
      </w:r>
      <w:bookmarkStart w:id="382" w:name="_Ref508893743"/>
    </w:p>
    <w:p w14:paraId="2A9D8EA9">
      <w:pPr>
        <w:spacing w:after="120"/>
        <w:ind w:firstLine="600"/>
        <w:rPr>
          <w:rFonts w:ascii="仿宋_GB2312" w:eastAsia="仿宋_GB2312"/>
          <w:sz w:val="30"/>
          <w:szCs w:val="30"/>
        </w:rPr>
      </w:pPr>
      <w:bookmarkStart w:id="383" w:name="_Ref531952239"/>
      <w:bookmarkStart w:id="384" w:name="_Ref531952248"/>
      <w:bookmarkStart w:id="385" w:name="_Toc54862245"/>
      <w:r>
        <w:rPr>
          <w:rFonts w:hint="eastAsia" w:ascii="仿宋_GB2312" w:eastAsia="仿宋_GB2312"/>
          <w:sz w:val="30"/>
          <w:szCs w:val="30"/>
        </w:rPr>
        <w:t>7.10 现场安保</w:t>
      </w:r>
      <w:bookmarkEnd w:id="383"/>
      <w:bookmarkEnd w:id="384"/>
      <w:bookmarkEnd w:id="385"/>
    </w:p>
    <w:p w14:paraId="4D0C588D">
      <w:pPr>
        <w:wordWrap/>
        <w:topLinePunct w:val="0"/>
        <w:spacing w:after="120"/>
        <w:ind w:firstLine="600"/>
        <w:rPr>
          <w:rFonts w:ascii="仿宋_GB2312" w:eastAsia="仿宋_GB2312"/>
          <w:sz w:val="30"/>
          <w:szCs w:val="30"/>
        </w:rPr>
      </w:pPr>
      <w:r>
        <w:rPr>
          <w:rFonts w:hint="eastAsia" w:ascii="仿宋_GB2312" w:eastAsia="仿宋_GB2312"/>
          <w:sz w:val="30"/>
          <w:szCs w:val="30"/>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3C836DF9">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承包人应将其作业限制在现场区域、合同约定的区域或为履行合同所需的区域内。承包人应采取一切必要的预防措施，以保持承包人的设备和人员处于现场区域内，避免其进入邻近地区。</w:t>
      </w:r>
    </w:p>
    <w:p w14:paraId="672291BD">
      <w:pPr>
        <w:wordWrap/>
        <w:topLinePunct w:val="0"/>
        <w:spacing w:after="120"/>
        <w:ind w:firstLine="600"/>
        <w:rPr>
          <w:rFonts w:ascii="仿宋_GB2312" w:eastAsia="仿宋_GB2312"/>
          <w:sz w:val="30"/>
          <w:szCs w:val="30"/>
        </w:rPr>
      </w:pPr>
      <w:r>
        <w:rPr>
          <w:rFonts w:hint="eastAsia" w:ascii="仿宋_GB2312" w:eastAsia="仿宋_GB2312"/>
          <w:sz w:val="30"/>
          <w:szCs w:val="30"/>
        </w:rPr>
        <w:t>承包人为履行合同义务而占用的其他场所（如预制加工场所、办公及生活营区） 的安保适用本款前述关于现场安保的规定。</w:t>
      </w:r>
    </w:p>
    <w:p w14:paraId="6BC6D9FC">
      <w:pPr>
        <w:spacing w:after="120"/>
        <w:ind w:firstLine="600"/>
        <w:rPr>
          <w:rFonts w:ascii="仿宋_GB2312" w:eastAsia="仿宋_GB2312"/>
          <w:sz w:val="30"/>
          <w:szCs w:val="30"/>
        </w:rPr>
      </w:pPr>
      <w:bookmarkStart w:id="386" w:name="_Toc54862246"/>
      <w:r>
        <w:rPr>
          <w:rFonts w:hint="eastAsia" w:ascii="仿宋_GB2312" w:eastAsia="仿宋_GB2312"/>
          <w:sz w:val="30"/>
          <w:szCs w:val="30"/>
        </w:rPr>
        <w:t>7.11 工程照管</w:t>
      </w:r>
      <w:bookmarkEnd w:id="386"/>
    </w:p>
    <w:p w14:paraId="672F52AD">
      <w:pPr>
        <w:wordWrap/>
        <w:topLinePunct w:val="0"/>
        <w:spacing w:after="120"/>
        <w:ind w:firstLine="600"/>
        <w:rPr>
          <w:rFonts w:ascii="仿宋_GB2312" w:eastAsia="仿宋_GB2312"/>
          <w:sz w:val="30"/>
          <w:szCs w:val="30"/>
        </w:rPr>
      </w:pPr>
      <w:r>
        <w:rPr>
          <w:rFonts w:hint="eastAsia" w:ascii="仿宋_GB2312" w:eastAsia="仿宋_GB2312"/>
          <w:sz w:val="30"/>
          <w:szCs w:val="30"/>
        </w:rPr>
        <w:t>自开始现场施工日期起至发包人应当接收工程之日止，承包人应承担工程现场、材料、设备及承包人文件的照管和维护工作。</w:t>
      </w:r>
    </w:p>
    <w:p w14:paraId="2B6B7B1F">
      <w:pPr>
        <w:wordWrap/>
        <w:topLinePunct w:val="0"/>
        <w:spacing w:after="120"/>
        <w:ind w:firstLine="600"/>
        <w:rPr>
          <w:rFonts w:ascii="仿宋_GB2312" w:eastAsia="仿宋_GB2312"/>
          <w:sz w:val="30"/>
          <w:szCs w:val="30"/>
        </w:rPr>
      </w:pPr>
      <w:r>
        <w:rPr>
          <w:rFonts w:hint="eastAsia" w:ascii="仿宋_GB2312" w:eastAsia="仿宋_GB2312"/>
          <w:sz w:val="30"/>
          <w:szCs w:val="30"/>
        </w:rPr>
        <w:t>如部分工程于竣工验收前提前交付发包人的，则自交付之日起，该部分工程照管及维护职责由发包人承担。</w:t>
      </w:r>
    </w:p>
    <w:p w14:paraId="1BE64BD1">
      <w:pPr>
        <w:wordWrap/>
        <w:topLinePunct w:val="0"/>
        <w:spacing w:after="120"/>
        <w:ind w:firstLine="600"/>
        <w:rPr>
          <w:rFonts w:ascii="仿宋_GB2312" w:eastAsia="仿宋_GB2312"/>
          <w:sz w:val="30"/>
          <w:szCs w:val="30"/>
        </w:rPr>
      </w:pPr>
      <w:r>
        <w:rPr>
          <w:rFonts w:hint="eastAsia" w:ascii="仿宋_GB2312" w:eastAsia="仿宋_GB2312"/>
          <w:sz w:val="30"/>
          <w:szCs w:val="30"/>
        </w:rPr>
        <w:t>如发包人及承包人进行竣工验收时尚有部分未竣工工程的，承包人应负责该未竣工工程的照管和维护工作，直至竣工后移交给发包人。</w:t>
      </w:r>
    </w:p>
    <w:p w14:paraId="39504BF1">
      <w:pPr>
        <w:wordWrap/>
        <w:topLinePunct w:val="0"/>
        <w:spacing w:after="120"/>
        <w:ind w:firstLine="600"/>
        <w:rPr>
          <w:rFonts w:ascii="仿宋_GB2312" w:eastAsia="仿宋_GB2312"/>
          <w:sz w:val="30"/>
          <w:szCs w:val="30"/>
        </w:rPr>
      </w:pPr>
      <w:r>
        <w:rPr>
          <w:rFonts w:hint="eastAsia" w:ascii="仿宋_GB2312" w:eastAsia="仿宋_GB2312"/>
          <w:sz w:val="30"/>
          <w:szCs w:val="30"/>
        </w:rPr>
        <w:t>如合同解除或终止的，承包人自合同解除或终止之日起不再对工程承担照管和维护义务。</w:t>
      </w:r>
    </w:p>
    <w:p w14:paraId="29ACC7C0">
      <w:pPr>
        <w:spacing w:after="120"/>
        <w:ind w:firstLine="0" w:firstLineChars="0"/>
        <w:rPr>
          <w:rFonts w:ascii="仿宋_GB2312" w:eastAsia="仿宋_GB2312"/>
          <w:sz w:val="32"/>
          <w:szCs w:val="32"/>
        </w:rPr>
      </w:pPr>
      <w:bookmarkStart w:id="387" w:name="_Toc31083"/>
      <w:bookmarkStart w:id="388" w:name="_Toc7400"/>
      <w:bookmarkStart w:id="389" w:name="_Ref508998009"/>
      <w:bookmarkStart w:id="390" w:name="_Toc54862247"/>
      <w:bookmarkStart w:id="391" w:name="_Toc17649"/>
      <w:bookmarkStart w:id="392" w:name="_Ref531954505"/>
      <w:bookmarkStart w:id="393" w:name="_Ref531954518"/>
      <w:r>
        <w:rPr>
          <w:rFonts w:hint="eastAsia" w:ascii="仿宋_GB2312" w:eastAsia="仿宋_GB2312"/>
          <w:sz w:val="32"/>
          <w:szCs w:val="32"/>
        </w:rPr>
        <w:t>第8条 工期和进度</w:t>
      </w:r>
      <w:bookmarkEnd w:id="387"/>
      <w:bookmarkEnd w:id="388"/>
      <w:bookmarkEnd w:id="389"/>
      <w:bookmarkEnd w:id="390"/>
      <w:bookmarkEnd w:id="391"/>
    </w:p>
    <w:p w14:paraId="037021D9">
      <w:pPr>
        <w:spacing w:after="120"/>
        <w:ind w:firstLine="600"/>
        <w:rPr>
          <w:rFonts w:ascii="仿宋_GB2312" w:eastAsia="仿宋_GB2312"/>
          <w:sz w:val="30"/>
          <w:szCs w:val="30"/>
        </w:rPr>
      </w:pPr>
      <w:bookmarkStart w:id="394" w:name="_Ref532362075"/>
      <w:bookmarkStart w:id="395" w:name="_Ref532362072"/>
      <w:bookmarkStart w:id="396" w:name="_Ref532362777"/>
      <w:bookmarkStart w:id="397" w:name="_Ref532362774"/>
      <w:bookmarkStart w:id="398" w:name="_Toc54862248"/>
      <w:r>
        <w:rPr>
          <w:rFonts w:hint="eastAsia" w:ascii="仿宋_GB2312" w:eastAsia="仿宋_GB2312"/>
          <w:sz w:val="30"/>
          <w:szCs w:val="30"/>
        </w:rPr>
        <w:t>8.1 开始工作</w:t>
      </w:r>
      <w:bookmarkEnd w:id="394"/>
      <w:bookmarkEnd w:id="395"/>
      <w:bookmarkEnd w:id="396"/>
      <w:bookmarkEnd w:id="397"/>
      <w:bookmarkEnd w:id="398"/>
    </w:p>
    <w:p w14:paraId="080CEBEF">
      <w:pPr>
        <w:spacing w:after="120"/>
        <w:ind w:firstLine="600"/>
        <w:rPr>
          <w:rFonts w:ascii="仿宋_GB2312" w:eastAsia="仿宋_GB2312"/>
          <w:sz w:val="30"/>
          <w:szCs w:val="30"/>
        </w:rPr>
      </w:pPr>
      <w:bookmarkStart w:id="399" w:name="_Ref4428890"/>
      <w:r>
        <w:rPr>
          <w:rFonts w:hint="eastAsia" w:ascii="仿宋_GB2312" w:eastAsia="仿宋_GB2312"/>
          <w:sz w:val="30"/>
          <w:szCs w:val="30"/>
        </w:rPr>
        <w:t>8</w:t>
      </w:r>
      <w:r>
        <w:rPr>
          <w:rFonts w:ascii="仿宋_GB2312" w:eastAsia="仿宋_GB2312"/>
          <w:sz w:val="30"/>
          <w:szCs w:val="30"/>
        </w:rPr>
        <w:t xml:space="preserve">.1.1 </w:t>
      </w:r>
      <w:r>
        <w:rPr>
          <w:rFonts w:hint="eastAsia" w:ascii="仿宋_GB2312" w:eastAsia="仿宋_GB2312"/>
          <w:sz w:val="30"/>
          <w:szCs w:val="30"/>
        </w:rPr>
        <w:t>开始工作准备</w:t>
      </w:r>
      <w:bookmarkEnd w:id="399"/>
    </w:p>
    <w:p w14:paraId="182B9F18">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合同当事人应按专用合同条件约定完成开始工作准备工作。</w:t>
      </w:r>
    </w:p>
    <w:p w14:paraId="25DC85FF">
      <w:pPr>
        <w:spacing w:after="120"/>
        <w:ind w:firstLine="600"/>
        <w:rPr>
          <w:rFonts w:ascii="仿宋_GB2312" w:eastAsia="仿宋_GB2312"/>
          <w:sz w:val="30"/>
          <w:szCs w:val="30"/>
        </w:rPr>
      </w:pPr>
      <w:bookmarkStart w:id="400" w:name="_Ref536790534"/>
      <w:bookmarkStart w:id="401" w:name="_Hlk51506490"/>
      <w:r>
        <w:rPr>
          <w:rFonts w:hint="eastAsia" w:ascii="仿宋_GB2312" w:eastAsia="仿宋_GB2312"/>
          <w:sz w:val="30"/>
          <w:szCs w:val="30"/>
        </w:rPr>
        <w:t>8</w:t>
      </w:r>
      <w:r>
        <w:rPr>
          <w:rFonts w:ascii="仿宋_GB2312" w:eastAsia="仿宋_GB2312"/>
          <w:sz w:val="30"/>
          <w:szCs w:val="30"/>
        </w:rPr>
        <w:t xml:space="preserve">.1.2 </w:t>
      </w:r>
      <w:r>
        <w:rPr>
          <w:rFonts w:hint="eastAsia" w:ascii="仿宋_GB2312" w:eastAsia="仿宋_GB2312"/>
          <w:sz w:val="30"/>
          <w:szCs w:val="30"/>
        </w:rPr>
        <w:t>开始工作通知</w:t>
      </w:r>
      <w:bookmarkEnd w:id="400"/>
    </w:p>
    <w:bookmarkEnd w:id="401"/>
    <w:p w14:paraId="767869F1">
      <w:pPr>
        <w:wordWrap/>
        <w:topLinePunct w:val="0"/>
        <w:spacing w:after="120"/>
        <w:ind w:firstLine="600"/>
        <w:rPr>
          <w:rFonts w:ascii="仿宋_GB2312" w:eastAsia="仿宋_GB2312"/>
          <w:sz w:val="30"/>
          <w:szCs w:val="30"/>
        </w:rPr>
      </w:pPr>
      <w:r>
        <w:rPr>
          <w:rFonts w:hint="eastAsia" w:ascii="仿宋_GB2312" w:eastAsia="仿宋_GB2312"/>
          <w:sz w:val="30"/>
          <w:szCs w:val="30"/>
        </w:rPr>
        <w:t>经发包人同意后，工程师应提前7天向承包人发出经发包人签认的开始工作通知，工期自开始工作通知中载明的开始工作日期起算。</w:t>
      </w:r>
    </w:p>
    <w:p w14:paraId="36BDC32B">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除专用合同条件另有约定外，因发包人原因造成实际开始现场施工日期迟于</w:t>
      </w:r>
      <w:bookmarkStart w:id="402" w:name="_Hlk51506566"/>
      <w:r>
        <w:rPr>
          <w:rFonts w:hint="eastAsia" w:ascii="仿宋_GB2312" w:eastAsia="仿宋_GB2312"/>
          <w:sz w:val="30"/>
          <w:szCs w:val="30"/>
        </w:rPr>
        <w:t>计划开始现场施工日期</w:t>
      </w:r>
      <w:bookmarkEnd w:id="402"/>
      <w:r>
        <w:rPr>
          <w:rFonts w:hint="eastAsia" w:ascii="仿宋_GB2312" w:eastAsia="仿宋_GB2312"/>
          <w:sz w:val="30"/>
          <w:szCs w:val="30"/>
        </w:rPr>
        <w:t>后第</w:t>
      </w:r>
      <w:r>
        <w:rPr>
          <w:rFonts w:ascii="仿宋_GB2312" w:eastAsia="仿宋_GB2312"/>
          <w:sz w:val="30"/>
          <w:szCs w:val="30"/>
        </w:rPr>
        <w:t>84</w:t>
      </w:r>
      <w:r>
        <w:rPr>
          <w:rFonts w:hint="eastAsia" w:ascii="仿宋_GB2312" w:eastAsia="仿宋_GB2312"/>
          <w:sz w:val="30"/>
          <w:szCs w:val="30"/>
        </w:rPr>
        <w:t>天的，承包人有权提出价格调整要求，或者解除合同。发包人应当承担由此增加的费用和（或）延误的工期，并向承包人支付合理利润。</w:t>
      </w:r>
    </w:p>
    <w:p w14:paraId="236DB910">
      <w:pPr>
        <w:spacing w:after="120"/>
        <w:ind w:firstLine="600"/>
        <w:rPr>
          <w:rFonts w:ascii="仿宋_GB2312" w:eastAsia="仿宋_GB2312"/>
          <w:sz w:val="30"/>
          <w:szCs w:val="30"/>
        </w:rPr>
      </w:pPr>
      <w:bookmarkStart w:id="403" w:name="_Toc54862249"/>
      <w:bookmarkStart w:id="404" w:name="_Ref532362124"/>
      <w:r>
        <w:rPr>
          <w:rFonts w:hint="eastAsia" w:ascii="仿宋_GB2312" w:eastAsia="仿宋_GB2312"/>
          <w:sz w:val="30"/>
          <w:szCs w:val="30"/>
        </w:rPr>
        <w:t>8.2 竣工日期</w:t>
      </w:r>
      <w:bookmarkEnd w:id="403"/>
      <w:bookmarkEnd w:id="404"/>
    </w:p>
    <w:p w14:paraId="6DA66416">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承包人应在合同协议书约定的工期内完成合同工作。除专用合同条件另有约定外，工程的竣工日期以第</w:t>
      </w:r>
      <w:r>
        <w:rPr>
          <w:rFonts w:ascii="仿宋_GB2312" w:eastAsia="仿宋_GB2312"/>
          <w:sz w:val="30"/>
          <w:szCs w:val="30"/>
        </w:rPr>
        <w:t>10.1</w:t>
      </w:r>
      <w:r>
        <w:rPr>
          <w:rFonts w:hint="eastAsia" w:ascii="仿宋_GB2312" w:eastAsia="仿宋_GB2312"/>
          <w:sz w:val="30"/>
          <w:szCs w:val="30"/>
        </w:rPr>
        <w:t>条[竣工验收]的约定为准，并在工程接收证书中写明。</w:t>
      </w:r>
    </w:p>
    <w:p w14:paraId="370FB099">
      <w:pPr>
        <w:wordWrap/>
        <w:topLinePunct w:val="0"/>
        <w:spacing w:after="120"/>
        <w:ind w:firstLine="600"/>
        <w:rPr>
          <w:rFonts w:ascii="仿宋_GB2312" w:eastAsia="仿宋_GB2312"/>
          <w:sz w:val="30"/>
          <w:szCs w:val="30"/>
        </w:rPr>
      </w:pPr>
      <w:r>
        <w:rPr>
          <w:rFonts w:hint="eastAsia" w:ascii="仿宋_GB2312" w:eastAsia="仿宋_GB2312"/>
          <w:sz w:val="30"/>
          <w:szCs w:val="30"/>
        </w:rPr>
        <w:t>因发包人原因，在工程师收到承包人竣工验收申请报告</w:t>
      </w:r>
      <w:r>
        <w:rPr>
          <w:rFonts w:ascii="仿宋_GB2312" w:eastAsia="仿宋_GB2312"/>
          <w:sz w:val="30"/>
          <w:szCs w:val="30"/>
        </w:rPr>
        <w:t>42</w:t>
      </w:r>
      <w:r>
        <w:rPr>
          <w:rFonts w:hint="eastAsia" w:ascii="仿宋_GB2312" w:eastAsia="仿宋_GB2312"/>
          <w:sz w:val="30"/>
          <w:szCs w:val="30"/>
        </w:rPr>
        <w:t>天后未进行验收的，视为验收合格，实际竣工日期以提交竣工验收申请报告的日期为准，但发包人由于不可抗力不能进行验收的除外。</w:t>
      </w:r>
    </w:p>
    <w:p w14:paraId="737AFAEC">
      <w:pPr>
        <w:spacing w:after="120"/>
        <w:ind w:firstLine="600"/>
        <w:rPr>
          <w:rFonts w:ascii="仿宋_GB2312" w:eastAsia="仿宋_GB2312"/>
          <w:sz w:val="30"/>
          <w:szCs w:val="30"/>
        </w:rPr>
      </w:pPr>
      <w:bookmarkStart w:id="405" w:name="_Toc54862250"/>
      <w:bookmarkStart w:id="406" w:name="_Ref11863334"/>
      <w:bookmarkStart w:id="407" w:name="_Ref532362207"/>
      <w:bookmarkStart w:id="408" w:name="_Ref532362204"/>
      <w:bookmarkStart w:id="409" w:name="_Ref532352856"/>
      <w:bookmarkStart w:id="410" w:name="_Ref532352853"/>
      <w:r>
        <w:rPr>
          <w:rFonts w:hint="eastAsia" w:ascii="仿宋_GB2312" w:eastAsia="仿宋_GB2312"/>
          <w:sz w:val="30"/>
          <w:szCs w:val="30"/>
        </w:rPr>
        <w:t>8.3 项目实施计划</w:t>
      </w:r>
      <w:bookmarkEnd w:id="405"/>
      <w:bookmarkEnd w:id="406"/>
    </w:p>
    <w:p w14:paraId="36FCEECC">
      <w:pPr>
        <w:spacing w:after="120"/>
        <w:ind w:firstLine="600"/>
        <w:rPr>
          <w:rFonts w:ascii="仿宋_GB2312" w:eastAsia="仿宋_GB2312"/>
          <w:sz w:val="30"/>
          <w:szCs w:val="30"/>
        </w:rPr>
      </w:pPr>
      <w:bookmarkStart w:id="411" w:name="_Ref18990904"/>
      <w:r>
        <w:rPr>
          <w:rFonts w:hint="eastAsia" w:ascii="仿宋_GB2312" w:eastAsia="仿宋_GB2312"/>
          <w:sz w:val="30"/>
          <w:szCs w:val="30"/>
        </w:rPr>
        <w:t>8</w:t>
      </w:r>
      <w:r>
        <w:rPr>
          <w:rFonts w:ascii="仿宋_GB2312" w:eastAsia="仿宋_GB2312"/>
          <w:sz w:val="30"/>
          <w:szCs w:val="30"/>
        </w:rPr>
        <w:t xml:space="preserve">.3.1 </w:t>
      </w:r>
      <w:r>
        <w:rPr>
          <w:rFonts w:hint="eastAsia" w:ascii="仿宋_GB2312" w:eastAsia="仿宋_GB2312"/>
          <w:sz w:val="30"/>
          <w:szCs w:val="30"/>
        </w:rPr>
        <w:t>项目实施计划的内容</w:t>
      </w:r>
      <w:bookmarkEnd w:id="411"/>
    </w:p>
    <w:p w14:paraId="0BD87353">
      <w:pPr>
        <w:wordWrap/>
        <w:topLinePunct w:val="0"/>
        <w:spacing w:after="120"/>
        <w:ind w:firstLine="600"/>
        <w:rPr>
          <w:rFonts w:ascii="仿宋_GB2312" w:eastAsia="仿宋_GB2312"/>
          <w:sz w:val="30"/>
          <w:szCs w:val="30"/>
        </w:rPr>
      </w:pPr>
      <w:r>
        <w:rPr>
          <w:rFonts w:hint="eastAsia" w:ascii="仿宋_GB2312" w:eastAsia="仿宋_GB2312"/>
          <w:sz w:val="30"/>
          <w:szCs w:val="30"/>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6345E855">
      <w:pPr>
        <w:spacing w:after="120"/>
        <w:ind w:firstLine="600"/>
        <w:rPr>
          <w:rFonts w:ascii="仿宋_GB2312" w:eastAsia="仿宋_GB2312"/>
          <w:sz w:val="30"/>
          <w:szCs w:val="30"/>
        </w:rPr>
      </w:pPr>
      <w:bookmarkStart w:id="412" w:name="_Ref18990921"/>
      <w:r>
        <w:rPr>
          <w:rFonts w:hint="eastAsia" w:ascii="仿宋_GB2312" w:eastAsia="仿宋_GB2312"/>
          <w:sz w:val="30"/>
          <w:szCs w:val="30"/>
        </w:rPr>
        <w:t>8</w:t>
      </w:r>
      <w:r>
        <w:rPr>
          <w:rFonts w:ascii="仿宋_GB2312" w:eastAsia="仿宋_GB2312"/>
          <w:sz w:val="30"/>
          <w:szCs w:val="30"/>
        </w:rPr>
        <w:t xml:space="preserve">.3.2 </w:t>
      </w:r>
      <w:r>
        <w:rPr>
          <w:rFonts w:hint="eastAsia" w:ascii="仿宋_GB2312" w:eastAsia="仿宋_GB2312"/>
          <w:sz w:val="30"/>
          <w:szCs w:val="30"/>
        </w:rPr>
        <w:t>项目实施计划的提交和修改</w:t>
      </w:r>
      <w:bookmarkEnd w:id="412"/>
    </w:p>
    <w:p w14:paraId="1D624D6F">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5A4AAEEC">
      <w:pPr>
        <w:wordWrap/>
        <w:topLinePunct w:val="0"/>
        <w:spacing w:after="120"/>
        <w:ind w:firstLine="600"/>
        <w:rPr>
          <w:rFonts w:ascii="仿宋_GB2312" w:eastAsia="仿宋_GB2312"/>
          <w:sz w:val="30"/>
          <w:szCs w:val="30"/>
        </w:rPr>
      </w:pPr>
      <w:r>
        <w:rPr>
          <w:rFonts w:hint="eastAsia" w:ascii="仿宋_GB2312" w:eastAsia="仿宋_GB2312"/>
          <w:sz w:val="30"/>
          <w:szCs w:val="30"/>
        </w:rPr>
        <w:t>项目进度计划的编制和修改按照第</w:t>
      </w:r>
      <w:r>
        <w:rPr>
          <w:rFonts w:ascii="仿宋_GB2312" w:eastAsia="仿宋_GB2312"/>
          <w:sz w:val="30"/>
          <w:szCs w:val="30"/>
        </w:rPr>
        <w:t>8.4</w:t>
      </w:r>
      <w:r>
        <w:rPr>
          <w:rFonts w:hint="eastAsia" w:ascii="仿宋_GB2312" w:eastAsia="仿宋_GB2312"/>
          <w:sz w:val="30"/>
          <w:szCs w:val="30"/>
        </w:rPr>
        <w:t>款[项目进度计划]执行。</w:t>
      </w:r>
    </w:p>
    <w:p w14:paraId="10524D03">
      <w:pPr>
        <w:spacing w:after="120"/>
        <w:ind w:firstLine="600"/>
        <w:rPr>
          <w:rFonts w:ascii="仿宋_GB2312" w:eastAsia="仿宋_GB2312"/>
          <w:sz w:val="30"/>
          <w:szCs w:val="30"/>
        </w:rPr>
      </w:pPr>
      <w:bookmarkStart w:id="413" w:name="_Ref11865507"/>
      <w:bookmarkStart w:id="414" w:name="_Toc54862251"/>
      <w:r>
        <w:rPr>
          <w:rFonts w:hint="eastAsia" w:ascii="仿宋_GB2312" w:eastAsia="仿宋_GB2312"/>
          <w:sz w:val="30"/>
          <w:szCs w:val="30"/>
        </w:rPr>
        <w:t>8.4 项目进度计划</w:t>
      </w:r>
      <w:bookmarkEnd w:id="407"/>
      <w:bookmarkEnd w:id="408"/>
      <w:bookmarkEnd w:id="409"/>
      <w:bookmarkEnd w:id="410"/>
      <w:bookmarkEnd w:id="413"/>
      <w:bookmarkEnd w:id="414"/>
    </w:p>
    <w:p w14:paraId="7E2FA561">
      <w:pPr>
        <w:spacing w:after="120"/>
        <w:ind w:firstLine="600"/>
        <w:rPr>
          <w:rFonts w:ascii="仿宋_GB2312" w:eastAsia="仿宋_GB2312"/>
          <w:sz w:val="30"/>
          <w:szCs w:val="30"/>
        </w:rPr>
      </w:pPr>
      <w:bookmarkStart w:id="415" w:name="_Ref4681217"/>
      <w:r>
        <w:rPr>
          <w:rFonts w:hint="eastAsia" w:ascii="仿宋_GB2312" w:eastAsia="仿宋_GB2312"/>
          <w:sz w:val="30"/>
          <w:szCs w:val="30"/>
        </w:rPr>
        <w:t>8</w:t>
      </w:r>
      <w:r>
        <w:rPr>
          <w:rFonts w:ascii="仿宋_GB2312" w:eastAsia="仿宋_GB2312"/>
          <w:sz w:val="30"/>
          <w:szCs w:val="30"/>
        </w:rPr>
        <w:t xml:space="preserve">.4.1 </w:t>
      </w:r>
      <w:r>
        <w:rPr>
          <w:rFonts w:hint="eastAsia" w:ascii="仿宋_GB2312" w:eastAsia="仿宋_GB2312"/>
          <w:sz w:val="30"/>
          <w:szCs w:val="30"/>
        </w:rPr>
        <w:t>项目进度计划的提交和修改</w:t>
      </w:r>
      <w:bookmarkEnd w:id="415"/>
    </w:p>
    <w:p w14:paraId="76EC094C">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承包人应按照第</w:t>
      </w:r>
      <w:r>
        <w:rPr>
          <w:rFonts w:ascii="仿宋_GB2312" w:eastAsia="仿宋_GB2312"/>
          <w:sz w:val="30"/>
          <w:szCs w:val="30"/>
        </w:rPr>
        <w:t>8.3</w:t>
      </w:r>
      <w:r>
        <w:rPr>
          <w:rFonts w:hint="eastAsia" w:ascii="仿宋_GB2312" w:eastAsia="仿宋_GB2312"/>
          <w:sz w:val="30"/>
          <w:szCs w:val="30"/>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054602E7">
      <w:pPr>
        <w:wordWrap/>
        <w:topLinePunct w:val="0"/>
        <w:spacing w:after="120"/>
        <w:ind w:firstLine="600"/>
        <w:rPr>
          <w:rFonts w:ascii="仿宋_GB2312" w:eastAsia="仿宋_GB2312"/>
          <w:sz w:val="30"/>
          <w:szCs w:val="30"/>
        </w:rPr>
      </w:pPr>
      <w:r>
        <w:rPr>
          <w:rFonts w:hint="eastAsia" w:ascii="仿宋_GB2312" w:eastAsia="仿宋_GB2312"/>
          <w:sz w:val="30"/>
          <w:szCs w:val="30"/>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20ADF2D0">
      <w:pPr>
        <w:spacing w:after="120"/>
        <w:ind w:firstLine="600"/>
        <w:rPr>
          <w:rFonts w:ascii="仿宋_GB2312" w:eastAsia="仿宋_GB2312"/>
          <w:sz w:val="30"/>
          <w:szCs w:val="30"/>
        </w:rPr>
      </w:pPr>
      <w:bookmarkStart w:id="416" w:name="_Ref4429079"/>
      <w:r>
        <w:rPr>
          <w:rFonts w:hint="eastAsia" w:ascii="仿宋_GB2312" w:eastAsia="仿宋_GB2312"/>
          <w:sz w:val="30"/>
          <w:szCs w:val="30"/>
        </w:rPr>
        <w:t>8.4.2 项目进度计划的内容</w:t>
      </w:r>
      <w:bookmarkEnd w:id="416"/>
    </w:p>
    <w:p w14:paraId="32EE220A">
      <w:pPr>
        <w:wordWrap/>
        <w:topLinePunct w:val="0"/>
        <w:spacing w:after="120"/>
        <w:ind w:firstLine="600"/>
        <w:rPr>
          <w:rFonts w:ascii="仿宋_GB2312" w:eastAsia="仿宋_GB2312"/>
          <w:sz w:val="30"/>
          <w:szCs w:val="30"/>
        </w:rPr>
      </w:pPr>
      <w:r>
        <w:rPr>
          <w:rFonts w:hint="eastAsia" w:ascii="仿宋_GB2312" w:eastAsia="仿宋_GB2312"/>
          <w:sz w:val="30"/>
          <w:szCs w:val="30"/>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6187A19B">
      <w:pPr>
        <w:spacing w:after="120"/>
        <w:ind w:firstLine="600"/>
        <w:rPr>
          <w:rFonts w:ascii="仿宋_GB2312" w:eastAsia="仿宋_GB2312"/>
          <w:sz w:val="30"/>
          <w:szCs w:val="30"/>
        </w:rPr>
      </w:pPr>
      <w:bookmarkStart w:id="417" w:name="_Ref3848203"/>
      <w:r>
        <w:rPr>
          <w:rFonts w:hint="eastAsia" w:ascii="仿宋_GB2312" w:eastAsia="仿宋_GB2312"/>
          <w:sz w:val="30"/>
          <w:szCs w:val="30"/>
        </w:rPr>
        <w:t>8</w:t>
      </w:r>
      <w:r>
        <w:rPr>
          <w:rFonts w:ascii="仿宋_GB2312" w:eastAsia="仿宋_GB2312"/>
          <w:sz w:val="30"/>
          <w:szCs w:val="30"/>
        </w:rPr>
        <w:t xml:space="preserve">.4.3 </w:t>
      </w:r>
      <w:r>
        <w:rPr>
          <w:rFonts w:hint="eastAsia" w:ascii="仿宋_GB2312" w:eastAsia="仿宋_GB2312"/>
          <w:sz w:val="30"/>
          <w:szCs w:val="30"/>
        </w:rPr>
        <w:t>项目进度计划的修订</w:t>
      </w:r>
      <w:bookmarkEnd w:id="417"/>
    </w:p>
    <w:p w14:paraId="1E726C2E">
      <w:pPr>
        <w:wordWrap/>
        <w:topLinePunct w:val="0"/>
        <w:spacing w:after="120"/>
        <w:ind w:firstLine="600"/>
        <w:rPr>
          <w:rFonts w:ascii="仿宋_GB2312" w:eastAsia="仿宋_GB2312"/>
          <w:sz w:val="30"/>
          <w:szCs w:val="30"/>
        </w:rPr>
      </w:pPr>
      <w:r>
        <w:rPr>
          <w:rFonts w:hint="eastAsia" w:ascii="仿宋_GB2312" w:eastAsia="仿宋_GB2312"/>
          <w:sz w:val="30"/>
          <w:szCs w:val="30"/>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6EFEF8CC">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04B7129D">
      <w:pPr>
        <w:wordWrap/>
        <w:topLinePunct w:val="0"/>
        <w:spacing w:after="120"/>
        <w:ind w:firstLine="600"/>
        <w:rPr>
          <w:rFonts w:ascii="仿宋_GB2312" w:eastAsia="仿宋_GB2312"/>
          <w:sz w:val="30"/>
          <w:szCs w:val="30"/>
        </w:rPr>
      </w:pPr>
      <w:r>
        <w:rPr>
          <w:rFonts w:hint="eastAsia" w:ascii="仿宋_GB2312" w:eastAsia="仿宋_GB2312"/>
          <w:sz w:val="30"/>
          <w:szCs w:val="30"/>
        </w:rPr>
        <w:t>除合同当事人另有约定外，项目进度计划的修订并不能减轻或者免除双方按第</w:t>
      </w:r>
      <w:r>
        <w:rPr>
          <w:rFonts w:ascii="仿宋_GB2312" w:eastAsia="仿宋_GB2312"/>
          <w:sz w:val="30"/>
          <w:szCs w:val="30"/>
        </w:rPr>
        <w:t>8.7</w:t>
      </w:r>
      <w:r>
        <w:rPr>
          <w:rFonts w:hint="eastAsia" w:ascii="仿宋_GB2312" w:eastAsia="仿宋_GB2312"/>
          <w:sz w:val="30"/>
          <w:szCs w:val="30"/>
        </w:rPr>
        <w:t>款[工期延误]、第</w:t>
      </w:r>
      <w:r>
        <w:rPr>
          <w:rFonts w:ascii="仿宋_GB2312" w:eastAsia="仿宋_GB2312"/>
          <w:sz w:val="30"/>
          <w:szCs w:val="30"/>
        </w:rPr>
        <w:t>8.8</w:t>
      </w:r>
      <w:r>
        <w:rPr>
          <w:rFonts w:hint="eastAsia" w:ascii="仿宋_GB2312" w:eastAsia="仿宋_GB2312"/>
          <w:sz w:val="30"/>
          <w:szCs w:val="30"/>
        </w:rPr>
        <w:t>款[工期提前]、第</w:t>
      </w:r>
      <w:r>
        <w:rPr>
          <w:rFonts w:ascii="仿宋_GB2312" w:eastAsia="仿宋_GB2312"/>
          <w:sz w:val="30"/>
          <w:szCs w:val="30"/>
        </w:rPr>
        <w:t>8.9</w:t>
      </w:r>
      <w:r>
        <w:rPr>
          <w:rFonts w:hint="eastAsia" w:ascii="仿宋_GB2312" w:eastAsia="仿宋_GB2312"/>
          <w:sz w:val="30"/>
          <w:szCs w:val="30"/>
        </w:rPr>
        <w:t>款[暂停工作]应承担的合同责任。</w:t>
      </w:r>
    </w:p>
    <w:p w14:paraId="4B67B720">
      <w:pPr>
        <w:spacing w:after="120"/>
        <w:ind w:firstLine="600"/>
        <w:rPr>
          <w:rFonts w:ascii="仿宋_GB2312" w:eastAsia="仿宋_GB2312"/>
          <w:sz w:val="30"/>
          <w:szCs w:val="30"/>
        </w:rPr>
      </w:pPr>
      <w:bookmarkStart w:id="418" w:name="_Ref532362276"/>
      <w:bookmarkStart w:id="419" w:name="_Ref532362278"/>
      <w:bookmarkStart w:id="420" w:name="_Toc54862252"/>
      <w:r>
        <w:rPr>
          <w:rFonts w:hint="eastAsia" w:ascii="仿宋_GB2312" w:eastAsia="仿宋_GB2312"/>
          <w:sz w:val="30"/>
          <w:szCs w:val="30"/>
        </w:rPr>
        <w:t>8.5 进度报告</w:t>
      </w:r>
      <w:bookmarkEnd w:id="418"/>
      <w:bookmarkEnd w:id="419"/>
      <w:bookmarkEnd w:id="420"/>
    </w:p>
    <w:p w14:paraId="0C470073">
      <w:pPr>
        <w:wordWrap/>
        <w:topLinePunct w:val="0"/>
        <w:spacing w:after="120"/>
        <w:ind w:firstLine="600"/>
        <w:rPr>
          <w:rFonts w:ascii="仿宋_GB2312" w:eastAsia="仿宋_GB2312"/>
          <w:sz w:val="30"/>
          <w:szCs w:val="30"/>
        </w:rPr>
      </w:pPr>
      <w:r>
        <w:rPr>
          <w:rFonts w:hint="eastAsia" w:ascii="仿宋_GB2312" w:eastAsia="仿宋_GB2312"/>
          <w:sz w:val="30"/>
          <w:szCs w:val="30"/>
        </w:rPr>
        <w:t>项目实施过程中，承包人应进行实际进度记录，并根据工程师的要求编制月进度报告，并提交给工程师。进度报告应包含以下主要内容：</w:t>
      </w:r>
    </w:p>
    <w:p w14:paraId="1B3B444A">
      <w:pPr>
        <w:wordWrap/>
        <w:topLinePunct w:val="0"/>
        <w:spacing w:after="120"/>
        <w:ind w:firstLine="600"/>
        <w:rPr>
          <w:rFonts w:ascii="仿宋_GB2312" w:eastAsia="仿宋_GB2312"/>
          <w:sz w:val="30"/>
          <w:szCs w:val="30"/>
        </w:rPr>
      </w:pPr>
      <w:r>
        <w:rPr>
          <w:rFonts w:hint="eastAsia" w:ascii="仿宋_GB2312" w:eastAsia="仿宋_GB2312"/>
          <w:sz w:val="30"/>
          <w:szCs w:val="30"/>
        </w:rPr>
        <w:t>（1） 工程设计、采购、施工等各个工作内容的进展报告；</w:t>
      </w:r>
    </w:p>
    <w:p w14:paraId="2F1DADC3">
      <w:pPr>
        <w:wordWrap/>
        <w:topLinePunct w:val="0"/>
        <w:spacing w:after="120"/>
        <w:ind w:firstLine="600"/>
        <w:rPr>
          <w:rFonts w:ascii="仿宋_GB2312" w:eastAsia="仿宋_GB2312"/>
          <w:sz w:val="30"/>
          <w:szCs w:val="30"/>
        </w:rPr>
      </w:pPr>
      <w:r>
        <w:rPr>
          <w:rFonts w:hint="eastAsia" w:ascii="仿宋_GB2312" w:eastAsia="仿宋_GB2312"/>
          <w:sz w:val="30"/>
          <w:szCs w:val="30"/>
        </w:rPr>
        <w:t>（2） 工程施工方法的一般说明；</w:t>
      </w:r>
    </w:p>
    <w:p w14:paraId="6BBA8DE5">
      <w:pPr>
        <w:wordWrap/>
        <w:topLinePunct w:val="0"/>
        <w:spacing w:after="120"/>
        <w:ind w:firstLine="600"/>
        <w:rPr>
          <w:rFonts w:ascii="仿宋_GB2312" w:eastAsia="仿宋_GB2312"/>
          <w:sz w:val="30"/>
          <w:szCs w:val="30"/>
        </w:rPr>
      </w:pPr>
      <w:r>
        <w:rPr>
          <w:rFonts w:hint="eastAsia" w:ascii="仿宋_GB2312" w:eastAsia="仿宋_GB2312"/>
          <w:sz w:val="30"/>
          <w:szCs w:val="30"/>
        </w:rPr>
        <w:t>（3） 当月工程实施介入的项目人员、设备和材料的预估明细报告；</w:t>
      </w:r>
    </w:p>
    <w:p w14:paraId="034241BE">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（4） 当月实际进度与进度计划对比分析，以及提出未来可能引起工期延误的情形，同时提出应对措施；需要修订项目进度计划的，应对项目进度计划的修订部分进行说明； </w:t>
      </w:r>
    </w:p>
    <w:p w14:paraId="18BB45C9">
      <w:pPr>
        <w:wordWrap/>
        <w:topLinePunct w:val="0"/>
        <w:spacing w:after="120"/>
        <w:ind w:firstLine="600"/>
        <w:rPr>
          <w:rFonts w:ascii="仿宋_GB2312" w:eastAsia="仿宋_GB2312"/>
          <w:sz w:val="30"/>
          <w:szCs w:val="30"/>
        </w:rPr>
      </w:pPr>
      <w:r>
        <w:rPr>
          <w:rFonts w:hint="eastAsia" w:ascii="仿宋_GB2312" w:eastAsia="仿宋_GB2312"/>
          <w:sz w:val="30"/>
          <w:szCs w:val="30"/>
        </w:rPr>
        <w:t>（5） 承包人对于解决工期延误所提出的建议；</w:t>
      </w:r>
    </w:p>
    <w:p w14:paraId="3DBAD7F0">
      <w:pPr>
        <w:wordWrap/>
        <w:topLinePunct w:val="0"/>
        <w:spacing w:after="120"/>
        <w:ind w:firstLine="600"/>
        <w:rPr>
          <w:rFonts w:ascii="仿宋_GB2312" w:eastAsia="仿宋_GB2312"/>
          <w:sz w:val="30"/>
          <w:szCs w:val="30"/>
        </w:rPr>
      </w:pPr>
      <w:r>
        <w:rPr>
          <w:rFonts w:hint="eastAsia" w:ascii="仿宋_GB2312" w:eastAsia="仿宋_GB2312"/>
          <w:sz w:val="30"/>
          <w:szCs w:val="30"/>
        </w:rPr>
        <w:t>（6） 其他与工程有关的重大事项。</w:t>
      </w:r>
    </w:p>
    <w:p w14:paraId="3A2CC805">
      <w:pPr>
        <w:wordWrap/>
        <w:topLinePunct w:val="0"/>
        <w:spacing w:after="120"/>
        <w:ind w:firstLine="600"/>
        <w:rPr>
          <w:rFonts w:ascii="仿宋_GB2312" w:eastAsia="仿宋_GB2312"/>
          <w:sz w:val="30"/>
          <w:szCs w:val="30"/>
        </w:rPr>
      </w:pPr>
      <w:r>
        <w:rPr>
          <w:rFonts w:hint="eastAsia" w:ascii="仿宋_GB2312" w:eastAsia="仿宋_GB2312"/>
          <w:sz w:val="30"/>
          <w:szCs w:val="30"/>
        </w:rPr>
        <w:t>进度报告的具体要求等，在专用合同条件约定。</w:t>
      </w:r>
    </w:p>
    <w:p w14:paraId="73571FCF">
      <w:pPr>
        <w:spacing w:after="120"/>
        <w:ind w:firstLine="600"/>
        <w:rPr>
          <w:rFonts w:ascii="仿宋_GB2312" w:eastAsia="仿宋_GB2312"/>
          <w:sz w:val="30"/>
          <w:szCs w:val="30"/>
        </w:rPr>
      </w:pPr>
      <w:bookmarkStart w:id="421" w:name="_Toc54862253"/>
      <w:r>
        <w:rPr>
          <w:rFonts w:hint="eastAsia" w:ascii="仿宋_GB2312" w:eastAsia="仿宋_GB2312"/>
          <w:sz w:val="30"/>
          <w:szCs w:val="30"/>
        </w:rPr>
        <w:t>8.6 提前预警</w:t>
      </w:r>
      <w:bookmarkEnd w:id="421"/>
    </w:p>
    <w:p w14:paraId="06692056">
      <w:pPr>
        <w:spacing w:after="120"/>
        <w:ind w:firstLine="600"/>
        <w:rPr>
          <w:rFonts w:ascii="仿宋_GB2312" w:eastAsia="仿宋_GB2312"/>
          <w:sz w:val="30"/>
          <w:szCs w:val="30"/>
        </w:rPr>
      </w:pPr>
      <w:r>
        <w:rPr>
          <w:rFonts w:hint="eastAsia" w:ascii="仿宋_GB2312" w:eastAsia="仿宋_GB2312"/>
          <w:sz w:val="30"/>
          <w:szCs w:val="30"/>
        </w:rPr>
        <w:t>任何一方应当在下列情形发生时尽快书面通知另一方：</w:t>
      </w:r>
    </w:p>
    <w:p w14:paraId="76D507D7">
      <w:pPr>
        <w:spacing w:after="120"/>
        <w:ind w:firstLine="600"/>
        <w:rPr>
          <w:rFonts w:ascii="仿宋_GB2312" w:eastAsia="仿宋_GB2312"/>
          <w:sz w:val="30"/>
          <w:szCs w:val="30"/>
        </w:rPr>
      </w:pPr>
      <w:r>
        <w:rPr>
          <w:rFonts w:hint="eastAsia" w:ascii="仿宋_GB2312" w:eastAsia="仿宋_GB2312"/>
          <w:sz w:val="30"/>
          <w:szCs w:val="30"/>
        </w:rPr>
        <w:t>（1） 该情形可能对合同的履行或实现合同目的产生不利影响；</w:t>
      </w:r>
    </w:p>
    <w:p w14:paraId="65231CA3">
      <w:pPr>
        <w:spacing w:after="120"/>
        <w:ind w:firstLine="600"/>
        <w:rPr>
          <w:rFonts w:ascii="仿宋_GB2312" w:eastAsia="仿宋_GB2312"/>
          <w:sz w:val="30"/>
          <w:szCs w:val="30"/>
        </w:rPr>
      </w:pPr>
      <w:r>
        <w:rPr>
          <w:rFonts w:hint="eastAsia" w:ascii="仿宋_GB2312" w:eastAsia="仿宋_GB2312"/>
          <w:sz w:val="30"/>
          <w:szCs w:val="30"/>
        </w:rPr>
        <w:t>（2） 该情形可能对工程完成后的使用产生不利影响；</w:t>
      </w:r>
    </w:p>
    <w:p w14:paraId="4C8D5404">
      <w:pPr>
        <w:spacing w:after="120"/>
        <w:ind w:firstLine="600"/>
        <w:rPr>
          <w:rFonts w:ascii="仿宋_GB2312" w:eastAsia="仿宋_GB2312"/>
          <w:sz w:val="30"/>
          <w:szCs w:val="30"/>
        </w:rPr>
      </w:pPr>
      <w:r>
        <w:rPr>
          <w:rFonts w:hint="eastAsia" w:ascii="仿宋_GB2312" w:eastAsia="仿宋_GB2312"/>
          <w:sz w:val="30"/>
          <w:szCs w:val="30"/>
        </w:rPr>
        <w:t>（3） 该情形可能导致合同价款增加；</w:t>
      </w:r>
    </w:p>
    <w:p w14:paraId="0DB6F387">
      <w:pPr>
        <w:spacing w:after="120"/>
        <w:ind w:firstLine="600"/>
        <w:rPr>
          <w:rFonts w:ascii="仿宋_GB2312" w:eastAsia="仿宋_GB2312"/>
          <w:sz w:val="30"/>
          <w:szCs w:val="30"/>
        </w:rPr>
      </w:pPr>
      <w:r>
        <w:rPr>
          <w:rFonts w:hint="eastAsia" w:ascii="仿宋_GB2312" w:eastAsia="仿宋_GB2312"/>
          <w:sz w:val="30"/>
          <w:szCs w:val="30"/>
        </w:rPr>
        <w:t>（4） 该情形可能导致整个工程或单位/区段工程的工期延长。</w:t>
      </w:r>
    </w:p>
    <w:p w14:paraId="3E5CB5CA">
      <w:pPr>
        <w:spacing w:after="120"/>
        <w:ind w:firstLine="600"/>
        <w:rPr>
          <w:rFonts w:ascii="仿宋_GB2312" w:eastAsia="仿宋_GB2312"/>
          <w:sz w:val="30"/>
          <w:szCs w:val="30"/>
        </w:rPr>
      </w:pPr>
      <w:r>
        <w:rPr>
          <w:rFonts w:hint="eastAsia" w:ascii="仿宋_GB2312" w:eastAsia="仿宋_GB2312"/>
          <w:sz w:val="30"/>
          <w:szCs w:val="30"/>
        </w:rPr>
        <w:t>发包人有权要求承包人根据第13.2款[承包人的合理化建议]的约定提交变更建议，采取措施尽量避免或最小化上述情形的发生或影响。</w:t>
      </w:r>
    </w:p>
    <w:p w14:paraId="21645EAB">
      <w:pPr>
        <w:spacing w:after="120"/>
        <w:ind w:firstLine="600"/>
        <w:rPr>
          <w:rFonts w:ascii="仿宋_GB2312" w:eastAsia="仿宋_GB2312"/>
          <w:sz w:val="30"/>
          <w:szCs w:val="30"/>
        </w:rPr>
      </w:pPr>
      <w:bookmarkStart w:id="422" w:name="_Toc4784155"/>
      <w:bookmarkEnd w:id="422"/>
      <w:bookmarkStart w:id="423" w:name="_Toc4784154"/>
      <w:bookmarkEnd w:id="423"/>
      <w:bookmarkStart w:id="424" w:name="_Toc4784162"/>
      <w:bookmarkEnd w:id="424"/>
      <w:bookmarkStart w:id="425" w:name="_Toc4784166"/>
      <w:bookmarkEnd w:id="425"/>
      <w:bookmarkStart w:id="426" w:name="_Toc4784170"/>
      <w:bookmarkEnd w:id="426"/>
      <w:bookmarkStart w:id="427" w:name="_Toc4784161"/>
      <w:bookmarkEnd w:id="427"/>
      <w:bookmarkStart w:id="428" w:name="_Toc4784156"/>
      <w:bookmarkEnd w:id="428"/>
      <w:bookmarkStart w:id="429" w:name="_Toc4784163"/>
      <w:bookmarkEnd w:id="429"/>
      <w:bookmarkStart w:id="430" w:name="_Toc4784175"/>
      <w:bookmarkEnd w:id="430"/>
      <w:bookmarkStart w:id="431" w:name="_Toc4784169"/>
      <w:bookmarkEnd w:id="431"/>
      <w:bookmarkStart w:id="432" w:name="_Toc4784165"/>
      <w:bookmarkEnd w:id="432"/>
      <w:bookmarkStart w:id="433" w:name="_Toc4784164"/>
      <w:bookmarkEnd w:id="433"/>
      <w:bookmarkStart w:id="434" w:name="_Toc4784171"/>
      <w:bookmarkEnd w:id="434"/>
      <w:bookmarkStart w:id="435" w:name="_Toc4784159"/>
      <w:bookmarkEnd w:id="435"/>
      <w:bookmarkStart w:id="436" w:name="_Toc4784158"/>
      <w:bookmarkEnd w:id="436"/>
      <w:bookmarkStart w:id="437" w:name="_Toc4784173"/>
      <w:bookmarkEnd w:id="437"/>
      <w:bookmarkStart w:id="438" w:name="_Toc4784157"/>
      <w:bookmarkEnd w:id="438"/>
      <w:bookmarkStart w:id="439" w:name="_Toc4784174"/>
      <w:bookmarkEnd w:id="439"/>
      <w:bookmarkStart w:id="440" w:name="_Toc4784160"/>
      <w:bookmarkEnd w:id="440"/>
      <w:bookmarkStart w:id="441" w:name="_Toc4784172"/>
      <w:bookmarkEnd w:id="441"/>
      <w:bookmarkStart w:id="442" w:name="_Toc4784167"/>
      <w:bookmarkEnd w:id="442"/>
      <w:bookmarkStart w:id="443" w:name="_Toc4784168"/>
      <w:bookmarkEnd w:id="443"/>
      <w:bookmarkStart w:id="444" w:name="_Ref4770106"/>
      <w:bookmarkStart w:id="445" w:name="_Toc54862254"/>
      <w:bookmarkStart w:id="446" w:name="_Ref532362359"/>
      <w:bookmarkStart w:id="447" w:name="_Ref532362356"/>
      <w:r>
        <w:rPr>
          <w:rFonts w:hint="eastAsia" w:ascii="仿宋_GB2312" w:eastAsia="仿宋_GB2312"/>
          <w:sz w:val="30"/>
          <w:szCs w:val="30"/>
        </w:rPr>
        <w:t>8.7 工期延误</w:t>
      </w:r>
      <w:bookmarkEnd w:id="444"/>
      <w:bookmarkEnd w:id="445"/>
    </w:p>
    <w:p w14:paraId="7A4196C9">
      <w:pPr>
        <w:spacing w:after="120"/>
        <w:ind w:firstLine="600"/>
        <w:rPr>
          <w:rFonts w:ascii="仿宋_GB2312" w:eastAsia="仿宋_GB2312"/>
          <w:sz w:val="30"/>
          <w:szCs w:val="30"/>
        </w:rPr>
      </w:pPr>
      <w:bookmarkStart w:id="448" w:name="_Ref4796050"/>
      <w:r>
        <w:rPr>
          <w:rFonts w:hint="eastAsia" w:ascii="仿宋_GB2312" w:eastAsia="仿宋_GB2312"/>
          <w:sz w:val="30"/>
          <w:szCs w:val="30"/>
        </w:rPr>
        <w:t>8</w:t>
      </w:r>
      <w:r>
        <w:rPr>
          <w:rFonts w:ascii="仿宋_GB2312" w:eastAsia="仿宋_GB2312"/>
          <w:sz w:val="30"/>
          <w:szCs w:val="30"/>
        </w:rPr>
        <w:t xml:space="preserve">.7.1 </w:t>
      </w:r>
      <w:r>
        <w:rPr>
          <w:rFonts w:hint="eastAsia" w:ascii="仿宋_GB2312" w:eastAsia="仿宋_GB2312"/>
          <w:sz w:val="30"/>
          <w:szCs w:val="30"/>
        </w:rPr>
        <w:t>因发包人原因导致工期延误</w:t>
      </w:r>
      <w:bookmarkEnd w:id="448"/>
    </w:p>
    <w:p w14:paraId="1E711B0A">
      <w:pPr>
        <w:wordWrap/>
        <w:topLinePunct w:val="0"/>
        <w:spacing w:after="120"/>
        <w:ind w:firstLine="600"/>
        <w:rPr>
          <w:rFonts w:ascii="仿宋_GB2312" w:eastAsia="仿宋_GB2312"/>
          <w:sz w:val="30"/>
          <w:szCs w:val="30"/>
        </w:rPr>
      </w:pPr>
      <w:r>
        <w:rPr>
          <w:rFonts w:hint="eastAsia" w:ascii="仿宋_GB2312" w:eastAsia="仿宋_GB2312"/>
          <w:sz w:val="30"/>
          <w:szCs w:val="30"/>
        </w:rPr>
        <w:t>在合同履行过程中，因下列情况导致工期延误和（或）费用增加的，由发包人承担由此延误的工期和（或）增加的费用，且发包人应支付承包人合理的利润：</w:t>
      </w:r>
    </w:p>
    <w:p w14:paraId="650C7821">
      <w:pPr>
        <w:wordWrap/>
        <w:topLinePunct w:val="0"/>
        <w:spacing w:after="120"/>
        <w:ind w:firstLine="600"/>
        <w:rPr>
          <w:rFonts w:ascii="仿宋_GB2312" w:eastAsia="仿宋_GB2312"/>
          <w:sz w:val="30"/>
          <w:szCs w:val="30"/>
        </w:rPr>
      </w:pPr>
      <w:r>
        <w:rPr>
          <w:rFonts w:hint="eastAsia" w:ascii="仿宋_GB2312" w:eastAsia="仿宋_GB2312"/>
          <w:sz w:val="30"/>
          <w:szCs w:val="30"/>
        </w:rPr>
        <w:t>（1） 根据第</w:t>
      </w:r>
      <w:r>
        <w:rPr>
          <w:rFonts w:ascii="仿宋_GB2312" w:eastAsia="仿宋_GB2312"/>
          <w:sz w:val="30"/>
          <w:szCs w:val="30"/>
        </w:rPr>
        <w:t>13条</w:t>
      </w:r>
      <w:r>
        <w:rPr>
          <w:rFonts w:hint="eastAsia" w:ascii="仿宋_GB2312" w:eastAsia="仿宋_GB2312"/>
          <w:sz w:val="30"/>
          <w:szCs w:val="30"/>
        </w:rPr>
        <w:t>[变更与调整]的约定构成一项变更的；</w:t>
      </w:r>
    </w:p>
    <w:p w14:paraId="5304148B">
      <w:pPr>
        <w:wordWrap/>
        <w:topLinePunct w:val="0"/>
        <w:spacing w:after="120"/>
        <w:ind w:firstLine="600"/>
        <w:rPr>
          <w:rFonts w:ascii="仿宋_GB2312" w:eastAsia="仿宋_GB2312"/>
          <w:sz w:val="30"/>
          <w:szCs w:val="30"/>
        </w:rPr>
      </w:pPr>
      <w:r>
        <w:rPr>
          <w:rFonts w:hint="eastAsia" w:ascii="仿宋_GB2312" w:eastAsia="仿宋_GB2312"/>
          <w:sz w:val="30"/>
          <w:szCs w:val="30"/>
        </w:rPr>
        <w:t>（2） 发包人违反本合同约定，导致工期延误和（或）费用增加的；</w:t>
      </w:r>
    </w:p>
    <w:p w14:paraId="167D14E2">
      <w:pPr>
        <w:wordWrap/>
        <w:topLinePunct w:val="0"/>
        <w:spacing w:after="120"/>
        <w:ind w:firstLine="600"/>
        <w:rPr>
          <w:rFonts w:ascii="仿宋_GB2312" w:eastAsia="仿宋_GB2312"/>
          <w:sz w:val="30"/>
          <w:szCs w:val="30"/>
        </w:rPr>
      </w:pPr>
      <w:r>
        <w:rPr>
          <w:rFonts w:hint="eastAsia" w:ascii="仿宋_GB2312" w:eastAsia="仿宋_GB2312"/>
          <w:sz w:val="30"/>
          <w:szCs w:val="30"/>
        </w:rPr>
        <w:t>（3） 发包人、发包人代表、工程师或发包人聘请的任意第三方造成或引起的任何延误、妨碍和阻碍；</w:t>
      </w:r>
    </w:p>
    <w:p w14:paraId="4D0261E2">
      <w:pPr>
        <w:wordWrap/>
        <w:topLinePunct w:val="0"/>
        <w:spacing w:after="120"/>
        <w:ind w:firstLine="600"/>
        <w:rPr>
          <w:rFonts w:ascii="仿宋_GB2312" w:eastAsia="仿宋_GB2312"/>
          <w:sz w:val="30"/>
          <w:szCs w:val="30"/>
        </w:rPr>
      </w:pPr>
      <w:r>
        <w:rPr>
          <w:rFonts w:hint="eastAsia" w:ascii="仿宋_GB2312" w:eastAsia="仿宋_GB2312"/>
          <w:sz w:val="30"/>
          <w:szCs w:val="30"/>
        </w:rPr>
        <w:t>（4） 发包人未能依据第</w:t>
      </w:r>
      <w:r>
        <w:rPr>
          <w:rFonts w:ascii="仿宋_GB2312" w:eastAsia="仿宋_GB2312"/>
          <w:sz w:val="30"/>
          <w:szCs w:val="30"/>
        </w:rPr>
        <w:t>6.2.1</w:t>
      </w:r>
      <w:r>
        <w:rPr>
          <w:rFonts w:hint="eastAsia" w:ascii="仿宋_GB2312" w:eastAsia="仿宋_GB2312"/>
          <w:sz w:val="30"/>
          <w:szCs w:val="30"/>
        </w:rPr>
        <w:t>项[发包人提供的材料和工程设备]的约定提供材料和工程设备导致工期延误和（或）费用增加的；</w:t>
      </w:r>
    </w:p>
    <w:p w14:paraId="79883B9D">
      <w:pPr>
        <w:wordWrap/>
        <w:topLinePunct w:val="0"/>
        <w:spacing w:after="120"/>
        <w:ind w:firstLine="600"/>
        <w:rPr>
          <w:rFonts w:ascii="仿宋_GB2312" w:eastAsia="仿宋_GB2312"/>
          <w:sz w:val="30"/>
          <w:szCs w:val="30"/>
        </w:rPr>
      </w:pPr>
      <w:r>
        <w:rPr>
          <w:rFonts w:hint="eastAsia" w:ascii="仿宋_GB2312" w:eastAsia="仿宋_GB2312"/>
          <w:sz w:val="30"/>
          <w:szCs w:val="30"/>
        </w:rPr>
        <w:t>（5） 因发包人原因导致的暂停施工；</w:t>
      </w:r>
    </w:p>
    <w:p w14:paraId="57F2DF66">
      <w:pPr>
        <w:wordWrap/>
        <w:topLinePunct w:val="0"/>
        <w:spacing w:after="120"/>
        <w:ind w:firstLine="600"/>
        <w:rPr>
          <w:rFonts w:ascii="仿宋_GB2312" w:eastAsia="仿宋_GB2312"/>
          <w:sz w:val="30"/>
          <w:szCs w:val="30"/>
        </w:rPr>
      </w:pPr>
      <w:r>
        <w:rPr>
          <w:rFonts w:hint="eastAsia" w:ascii="仿宋_GB2312" w:eastAsia="仿宋_GB2312"/>
          <w:sz w:val="30"/>
          <w:szCs w:val="30"/>
        </w:rPr>
        <w:t>（6） 发包人未及时履行相关合同义务，造成工期延误的其他原因。</w:t>
      </w:r>
    </w:p>
    <w:p w14:paraId="708F3A7A">
      <w:pPr>
        <w:spacing w:after="120"/>
        <w:ind w:firstLine="600"/>
        <w:rPr>
          <w:rFonts w:ascii="仿宋_GB2312" w:eastAsia="仿宋_GB2312"/>
          <w:sz w:val="30"/>
          <w:szCs w:val="30"/>
        </w:rPr>
      </w:pPr>
      <w:bookmarkStart w:id="449" w:name="_Ref4770209"/>
      <w:r>
        <w:rPr>
          <w:rFonts w:hint="eastAsia" w:ascii="仿宋_GB2312" w:eastAsia="仿宋_GB2312"/>
          <w:sz w:val="30"/>
          <w:szCs w:val="30"/>
        </w:rPr>
        <w:t>8</w:t>
      </w:r>
      <w:r>
        <w:rPr>
          <w:rFonts w:ascii="仿宋_GB2312" w:eastAsia="仿宋_GB2312"/>
          <w:sz w:val="30"/>
          <w:szCs w:val="30"/>
        </w:rPr>
        <w:t xml:space="preserve">.7.2 </w:t>
      </w:r>
      <w:r>
        <w:rPr>
          <w:rFonts w:hint="eastAsia" w:ascii="仿宋_GB2312" w:eastAsia="仿宋_GB2312"/>
          <w:sz w:val="30"/>
          <w:szCs w:val="30"/>
        </w:rPr>
        <w:t>因承包人原因导致工期延误</w:t>
      </w:r>
      <w:bookmarkEnd w:id="449"/>
    </w:p>
    <w:p w14:paraId="32693280">
      <w:pPr>
        <w:wordWrap/>
        <w:topLinePunct w:val="0"/>
        <w:spacing w:after="120"/>
        <w:ind w:firstLine="600"/>
        <w:rPr>
          <w:rFonts w:ascii="仿宋_GB2312" w:eastAsia="仿宋_GB2312"/>
          <w:sz w:val="30"/>
          <w:szCs w:val="30"/>
        </w:rPr>
      </w:pPr>
      <w:r>
        <w:rPr>
          <w:rFonts w:hint="eastAsia" w:ascii="仿宋_GB2312" w:eastAsia="仿宋_GB2312"/>
          <w:sz w:val="30"/>
          <w:szCs w:val="30"/>
        </w:rPr>
        <w:t>由于承包人的原因，未能按项目进度计划完成工作，承包人应采取措施加快进度，并承担加快进度所增加的费用。</w:t>
      </w:r>
    </w:p>
    <w:p w14:paraId="4826529E">
      <w:pPr>
        <w:wordWrap/>
        <w:topLinePunct w:val="0"/>
        <w:spacing w:after="120"/>
        <w:ind w:firstLine="600"/>
        <w:rPr>
          <w:rFonts w:ascii="仿宋_GB2312" w:eastAsia="仿宋_GB2312"/>
          <w:sz w:val="30"/>
          <w:szCs w:val="30"/>
        </w:rPr>
      </w:pPr>
      <w:r>
        <w:rPr>
          <w:rFonts w:hint="eastAsia" w:ascii="仿宋_GB2312" w:eastAsia="仿宋_GB2312"/>
          <w:sz w:val="30"/>
          <w:szCs w:val="30"/>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3CE42AA6">
      <w:pPr>
        <w:spacing w:after="120"/>
        <w:ind w:firstLine="600"/>
        <w:rPr>
          <w:rFonts w:ascii="仿宋_GB2312" w:eastAsia="仿宋_GB2312"/>
          <w:sz w:val="30"/>
          <w:szCs w:val="30"/>
        </w:rPr>
      </w:pPr>
      <w:bookmarkStart w:id="450" w:name="_Ref4770872"/>
      <w:r>
        <w:rPr>
          <w:rFonts w:hint="eastAsia" w:ascii="仿宋_GB2312" w:eastAsia="仿宋_GB2312"/>
          <w:sz w:val="30"/>
          <w:szCs w:val="30"/>
        </w:rPr>
        <w:t>8</w:t>
      </w:r>
      <w:r>
        <w:rPr>
          <w:rFonts w:ascii="仿宋_GB2312" w:eastAsia="仿宋_GB2312"/>
          <w:sz w:val="30"/>
          <w:szCs w:val="30"/>
        </w:rPr>
        <w:t xml:space="preserve">.7.3 </w:t>
      </w:r>
      <w:r>
        <w:rPr>
          <w:rFonts w:hint="eastAsia" w:ascii="仿宋_GB2312" w:eastAsia="仿宋_GB2312"/>
          <w:sz w:val="30"/>
          <w:szCs w:val="30"/>
        </w:rPr>
        <w:t>行政审批迟延</w:t>
      </w:r>
      <w:bookmarkEnd w:id="450"/>
    </w:p>
    <w:p w14:paraId="4A5AE79D">
      <w:pPr>
        <w:wordWrap/>
        <w:topLinePunct w:val="0"/>
        <w:spacing w:after="120"/>
        <w:ind w:firstLine="600"/>
        <w:rPr>
          <w:rFonts w:ascii="仿宋_GB2312" w:eastAsia="仿宋_GB2312"/>
          <w:sz w:val="30"/>
          <w:szCs w:val="30"/>
        </w:rPr>
      </w:pPr>
      <w:r>
        <w:rPr>
          <w:rFonts w:hint="eastAsia" w:ascii="仿宋_GB2312" w:eastAsia="仿宋_GB2312"/>
          <w:sz w:val="30"/>
          <w:szCs w:val="30"/>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4BA9CAA8">
      <w:pPr>
        <w:spacing w:after="120"/>
        <w:ind w:firstLine="600"/>
        <w:rPr>
          <w:rFonts w:ascii="仿宋_GB2312" w:eastAsia="仿宋_GB2312"/>
          <w:sz w:val="30"/>
          <w:szCs w:val="30"/>
        </w:rPr>
      </w:pPr>
      <w:bookmarkStart w:id="451" w:name="_Ref4770933"/>
      <w:r>
        <w:rPr>
          <w:rFonts w:hint="eastAsia" w:ascii="仿宋_GB2312" w:eastAsia="仿宋_GB2312"/>
          <w:sz w:val="30"/>
          <w:szCs w:val="30"/>
        </w:rPr>
        <w:t>8</w:t>
      </w:r>
      <w:r>
        <w:rPr>
          <w:rFonts w:ascii="仿宋_GB2312" w:eastAsia="仿宋_GB2312"/>
          <w:sz w:val="30"/>
          <w:szCs w:val="30"/>
        </w:rPr>
        <w:t xml:space="preserve">.7.4 </w:t>
      </w:r>
      <w:r>
        <w:rPr>
          <w:rFonts w:hint="eastAsia" w:ascii="仿宋_GB2312" w:eastAsia="仿宋_GB2312"/>
          <w:sz w:val="30"/>
          <w:szCs w:val="30"/>
        </w:rPr>
        <w:t>异常恶劣的气候条件</w:t>
      </w:r>
      <w:bookmarkEnd w:id="451"/>
    </w:p>
    <w:p w14:paraId="10CDBCBF">
      <w:pPr>
        <w:wordWrap/>
        <w:topLinePunct w:val="0"/>
        <w:spacing w:after="120"/>
        <w:ind w:firstLine="600"/>
        <w:rPr>
          <w:rFonts w:ascii="仿宋_GB2312" w:eastAsia="仿宋_GB2312"/>
          <w:sz w:val="30"/>
          <w:szCs w:val="30"/>
        </w:rPr>
      </w:pPr>
      <w:r>
        <w:rPr>
          <w:rFonts w:hint="eastAsia" w:ascii="仿宋_GB2312" w:eastAsia="仿宋_GB2312"/>
          <w:sz w:val="30"/>
          <w:szCs w:val="30"/>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67CB1DF0">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承包人应采取克服异常恶劣的气候条件的合理措施继续施工，并及时通知工程师。工程师应当及时发出指示，指示构成变更的，按第</w:t>
      </w:r>
      <w:r>
        <w:rPr>
          <w:rFonts w:ascii="仿宋_GB2312" w:eastAsia="仿宋_GB2312"/>
          <w:sz w:val="30"/>
          <w:szCs w:val="30"/>
        </w:rPr>
        <w:t>13条</w:t>
      </w:r>
      <w:r>
        <w:rPr>
          <w:rFonts w:hint="eastAsia" w:ascii="仿宋_GB2312" w:eastAsia="仿宋_GB2312"/>
          <w:sz w:val="30"/>
          <w:szCs w:val="30"/>
        </w:rPr>
        <w:t>[变更与调整]约定办理。承包人因采取合理措施而延误的工期由发包人承担。</w:t>
      </w:r>
    </w:p>
    <w:p w14:paraId="2548A68D">
      <w:pPr>
        <w:spacing w:after="120"/>
        <w:ind w:firstLine="600"/>
        <w:rPr>
          <w:rFonts w:ascii="仿宋_GB2312" w:eastAsia="仿宋_GB2312"/>
          <w:sz w:val="30"/>
          <w:szCs w:val="30"/>
        </w:rPr>
      </w:pPr>
      <w:bookmarkStart w:id="452" w:name="_Toc54862255"/>
      <w:bookmarkStart w:id="453" w:name="_Ref4781828"/>
      <w:r>
        <w:rPr>
          <w:rFonts w:hint="eastAsia" w:ascii="仿宋_GB2312" w:eastAsia="仿宋_GB2312"/>
          <w:sz w:val="30"/>
          <w:szCs w:val="30"/>
        </w:rPr>
        <w:t>8.8 工期提前</w:t>
      </w:r>
      <w:bookmarkEnd w:id="446"/>
      <w:bookmarkEnd w:id="447"/>
      <w:bookmarkEnd w:id="452"/>
      <w:bookmarkEnd w:id="453"/>
    </w:p>
    <w:p w14:paraId="3664D6ED">
      <w:pPr>
        <w:spacing w:after="120"/>
        <w:ind w:firstLine="600"/>
        <w:rPr>
          <w:rFonts w:ascii="仿宋_GB2312" w:eastAsia="仿宋_GB2312"/>
          <w:sz w:val="30"/>
          <w:szCs w:val="30"/>
        </w:rPr>
      </w:pPr>
      <w:r>
        <w:rPr>
          <w:rFonts w:hint="eastAsia" w:ascii="仿宋_GB2312" w:eastAsia="仿宋_GB2312"/>
          <w:sz w:val="30"/>
          <w:szCs w:val="30"/>
        </w:rPr>
        <w:t>8</w:t>
      </w:r>
      <w:r>
        <w:rPr>
          <w:rFonts w:ascii="仿宋_GB2312" w:eastAsia="仿宋_GB2312"/>
          <w:sz w:val="30"/>
          <w:szCs w:val="30"/>
        </w:rPr>
        <w:t xml:space="preserve">.8.1 </w:t>
      </w:r>
      <w:r>
        <w:rPr>
          <w:rFonts w:hint="eastAsia" w:ascii="仿宋_GB2312" w:eastAsia="仿宋_GB2312"/>
          <w:sz w:val="30"/>
          <w:szCs w:val="30"/>
        </w:rPr>
        <w:t>发包人指示承包人提前竣工且被承包人接受的，应与承包人共同协商采取加快工程进度的措施和修订项目进度计划。发包人应承担承包人由此增加的费用，增加的费用按第</w:t>
      </w:r>
      <w:r>
        <w:rPr>
          <w:rFonts w:ascii="仿宋_GB2312" w:eastAsia="仿宋_GB2312"/>
          <w:sz w:val="30"/>
          <w:szCs w:val="30"/>
        </w:rPr>
        <w:t>13条</w:t>
      </w:r>
      <w:r>
        <w:rPr>
          <w:rFonts w:hint="eastAsia" w:ascii="仿宋_GB2312" w:eastAsia="仿宋_GB2312"/>
          <w:sz w:val="30"/>
          <w:szCs w:val="30"/>
        </w:rPr>
        <w:t>[</w:t>
      </w:r>
      <w:r>
        <w:rPr>
          <w:rFonts w:ascii="仿宋_GB2312" w:eastAsia="仿宋_GB2312"/>
          <w:sz w:val="30"/>
          <w:szCs w:val="30"/>
        </w:rPr>
        <w:t>变更与调整</w:t>
      </w:r>
      <w:r>
        <w:rPr>
          <w:rFonts w:hint="eastAsia" w:ascii="仿宋_GB2312" w:eastAsia="仿宋_GB2312"/>
          <w:sz w:val="30"/>
          <w:szCs w:val="30"/>
        </w:rPr>
        <w:t>]的约定执行；发包人不得以任何理由要求承包人超过合理限度压缩工期。承包人有权不接受提前竣工的指示，工期按照合同约定执行。</w:t>
      </w:r>
    </w:p>
    <w:p w14:paraId="68EA82DD">
      <w:pPr>
        <w:spacing w:after="120"/>
        <w:ind w:firstLine="600"/>
        <w:rPr>
          <w:rFonts w:ascii="仿宋_GB2312" w:eastAsia="仿宋_GB2312"/>
          <w:sz w:val="30"/>
          <w:szCs w:val="30"/>
        </w:rPr>
      </w:pPr>
      <w:bookmarkStart w:id="454" w:name="_Ref4429347"/>
      <w:r>
        <w:rPr>
          <w:rFonts w:hint="eastAsia" w:ascii="仿宋_GB2312" w:eastAsia="仿宋_GB2312"/>
          <w:sz w:val="30"/>
          <w:szCs w:val="30"/>
        </w:rPr>
        <w:t>8</w:t>
      </w:r>
      <w:r>
        <w:rPr>
          <w:rFonts w:ascii="仿宋_GB2312" w:eastAsia="仿宋_GB2312"/>
          <w:sz w:val="30"/>
          <w:szCs w:val="30"/>
        </w:rPr>
        <w:t xml:space="preserve">.8.2 </w:t>
      </w:r>
      <w:r>
        <w:rPr>
          <w:rFonts w:hint="eastAsia" w:ascii="仿宋_GB2312" w:eastAsia="仿宋_GB2312"/>
          <w:sz w:val="30"/>
          <w:szCs w:val="30"/>
        </w:rPr>
        <w:t>承包人提出提前竣工的建议且发包人接受的，应与发包人共同协商采取加快工程进度的措施和修订项目进度计划。发包人应承担承包人由此增加的费用，增加的费用按第</w:t>
      </w:r>
      <w:r>
        <w:rPr>
          <w:rFonts w:ascii="仿宋_GB2312" w:eastAsia="仿宋_GB2312"/>
          <w:sz w:val="30"/>
          <w:szCs w:val="30"/>
        </w:rPr>
        <w:t>13条</w:t>
      </w:r>
      <w:r>
        <w:rPr>
          <w:rFonts w:hint="eastAsia" w:ascii="仿宋_GB2312" w:eastAsia="仿宋_GB2312"/>
          <w:sz w:val="30"/>
          <w:szCs w:val="30"/>
        </w:rPr>
        <w:t>[</w:t>
      </w:r>
      <w:r>
        <w:rPr>
          <w:rFonts w:ascii="仿宋_GB2312" w:eastAsia="仿宋_GB2312"/>
          <w:sz w:val="30"/>
          <w:szCs w:val="30"/>
        </w:rPr>
        <w:t>变更与调整</w:t>
      </w:r>
      <w:r>
        <w:rPr>
          <w:rFonts w:hint="eastAsia" w:ascii="仿宋_GB2312" w:eastAsia="仿宋_GB2312"/>
          <w:sz w:val="30"/>
          <w:szCs w:val="30"/>
        </w:rPr>
        <w:t>]的约定执行，并向承包人支付专用合同条件约定的相应奖励金。</w:t>
      </w:r>
      <w:bookmarkEnd w:id="454"/>
    </w:p>
    <w:p w14:paraId="19D726F0">
      <w:pPr>
        <w:spacing w:after="120"/>
        <w:ind w:firstLine="600"/>
        <w:rPr>
          <w:rFonts w:ascii="仿宋_GB2312" w:eastAsia="仿宋_GB2312"/>
          <w:sz w:val="30"/>
          <w:szCs w:val="30"/>
        </w:rPr>
      </w:pPr>
      <w:bookmarkStart w:id="455" w:name="_Toc54862256"/>
      <w:bookmarkStart w:id="456" w:name="_Ref4615040"/>
      <w:bookmarkStart w:id="457" w:name="_Ref4615031"/>
      <w:r>
        <w:rPr>
          <w:rFonts w:hint="eastAsia" w:ascii="仿宋_GB2312" w:eastAsia="仿宋_GB2312"/>
          <w:sz w:val="30"/>
          <w:szCs w:val="30"/>
        </w:rPr>
        <w:t>8.9 暂停工作</w:t>
      </w:r>
      <w:bookmarkEnd w:id="455"/>
      <w:bookmarkEnd w:id="456"/>
      <w:bookmarkEnd w:id="457"/>
    </w:p>
    <w:p w14:paraId="03115B96">
      <w:pPr>
        <w:spacing w:after="120"/>
        <w:ind w:firstLine="600"/>
        <w:rPr>
          <w:rFonts w:ascii="仿宋_GB2312" w:eastAsia="仿宋_GB2312"/>
          <w:sz w:val="30"/>
          <w:szCs w:val="30"/>
        </w:rPr>
      </w:pPr>
      <w:bookmarkStart w:id="458" w:name="_Ref4709151"/>
      <w:r>
        <w:rPr>
          <w:rFonts w:hint="eastAsia" w:ascii="仿宋_GB2312" w:eastAsia="仿宋_GB2312"/>
          <w:sz w:val="30"/>
          <w:szCs w:val="30"/>
        </w:rPr>
        <w:t>8</w:t>
      </w:r>
      <w:r>
        <w:rPr>
          <w:rFonts w:ascii="仿宋_GB2312" w:eastAsia="仿宋_GB2312"/>
          <w:sz w:val="30"/>
          <w:szCs w:val="30"/>
        </w:rPr>
        <w:t xml:space="preserve">.9.1 </w:t>
      </w:r>
      <w:r>
        <w:rPr>
          <w:rFonts w:hint="eastAsia" w:ascii="仿宋_GB2312" w:eastAsia="仿宋_GB2312"/>
          <w:sz w:val="30"/>
          <w:szCs w:val="30"/>
        </w:rPr>
        <w:t>由发包人暂停工作</w:t>
      </w:r>
      <w:bookmarkEnd w:id="458"/>
    </w:p>
    <w:p w14:paraId="08B06F66">
      <w:pPr>
        <w:wordWrap/>
        <w:topLinePunct w:val="0"/>
        <w:spacing w:after="120"/>
        <w:ind w:firstLine="600"/>
        <w:rPr>
          <w:rFonts w:ascii="仿宋_GB2312" w:eastAsia="仿宋_GB2312"/>
          <w:sz w:val="30"/>
          <w:szCs w:val="30"/>
        </w:rPr>
      </w:pPr>
      <w:r>
        <w:rPr>
          <w:rFonts w:hint="eastAsia" w:ascii="仿宋_GB2312" w:eastAsia="仿宋_GB2312"/>
          <w:sz w:val="30"/>
          <w:szCs w:val="30"/>
        </w:rPr>
        <w:t>发包人认为必要时，可通过工程师向承包人发出经发包人签认的暂停工作通知，应列明暂停原因、暂停的日期及预计暂停的期限。承包人应按该通知暂停工作。</w:t>
      </w:r>
      <w:bookmarkStart w:id="459" w:name="_Ref4709233"/>
    </w:p>
    <w:p w14:paraId="4CD76DB0">
      <w:pPr>
        <w:wordWrap/>
        <w:topLinePunct w:val="0"/>
        <w:spacing w:after="120"/>
        <w:ind w:firstLine="600"/>
        <w:rPr>
          <w:rFonts w:ascii="仿宋_GB2312" w:eastAsia="仿宋_GB2312"/>
          <w:sz w:val="30"/>
          <w:szCs w:val="30"/>
        </w:rPr>
      </w:pPr>
      <w:r>
        <w:rPr>
          <w:rFonts w:hint="eastAsia" w:ascii="仿宋_GB2312" w:eastAsia="仿宋_GB2312"/>
          <w:sz w:val="30"/>
          <w:szCs w:val="30"/>
        </w:rPr>
        <w:t>承包人因执行暂停工作通知而造成费用的增加和（或）工期延误由发包人承担，并有权要求发包人支付合理利润，但</w:t>
      </w:r>
      <w:bookmarkEnd w:id="459"/>
      <w:r>
        <w:rPr>
          <w:rFonts w:hint="eastAsia" w:ascii="仿宋_GB2312" w:eastAsia="仿宋_GB2312"/>
          <w:sz w:val="30"/>
          <w:szCs w:val="30"/>
        </w:rPr>
        <w:t>由于承包人原因造成发包人暂停工作的除外。</w:t>
      </w:r>
    </w:p>
    <w:p w14:paraId="011D855D">
      <w:pPr>
        <w:spacing w:after="120"/>
        <w:ind w:firstLine="600"/>
        <w:rPr>
          <w:rFonts w:ascii="仿宋_GB2312" w:eastAsia="仿宋_GB2312"/>
          <w:sz w:val="30"/>
          <w:szCs w:val="30"/>
        </w:rPr>
      </w:pPr>
      <w:bookmarkStart w:id="460" w:name="_Ref18972173"/>
      <w:r>
        <w:rPr>
          <w:rFonts w:hint="eastAsia" w:ascii="仿宋_GB2312" w:eastAsia="仿宋_GB2312"/>
          <w:sz w:val="30"/>
          <w:szCs w:val="30"/>
        </w:rPr>
        <w:t>8</w:t>
      </w:r>
      <w:r>
        <w:rPr>
          <w:rFonts w:ascii="仿宋_GB2312" w:eastAsia="仿宋_GB2312"/>
          <w:sz w:val="30"/>
          <w:szCs w:val="30"/>
        </w:rPr>
        <w:t xml:space="preserve">.9.2 </w:t>
      </w:r>
      <w:r>
        <w:rPr>
          <w:rFonts w:hint="eastAsia" w:ascii="仿宋_GB2312" w:eastAsia="仿宋_GB2312"/>
          <w:sz w:val="30"/>
          <w:szCs w:val="30"/>
        </w:rPr>
        <w:t>由承包人暂停工作</w:t>
      </w:r>
      <w:bookmarkEnd w:id="460"/>
    </w:p>
    <w:p w14:paraId="11F1EE8A">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因承包人原因所造成部分或全部工程的暂停，承包人应采取措施尽快复工并赶上进度，由此造成费用的增加或工期延误由承包人承担。因此造成逾期竣工的，承包人应按第</w:t>
      </w:r>
      <w:r>
        <w:rPr>
          <w:rFonts w:ascii="仿宋_GB2312" w:eastAsia="仿宋_GB2312"/>
          <w:sz w:val="30"/>
          <w:szCs w:val="30"/>
        </w:rPr>
        <w:t>8.7.2</w:t>
      </w:r>
      <w:r>
        <w:rPr>
          <w:rFonts w:hint="eastAsia" w:ascii="仿宋_GB2312" w:eastAsia="仿宋_GB2312"/>
          <w:sz w:val="30"/>
          <w:szCs w:val="30"/>
        </w:rPr>
        <w:t>项[</w:t>
      </w:r>
      <w:r>
        <w:rPr>
          <w:rFonts w:ascii="仿宋_GB2312" w:eastAsia="仿宋_GB2312"/>
          <w:sz w:val="30"/>
          <w:szCs w:val="30"/>
        </w:rPr>
        <w:t>因承包人原因导致工期延误</w:t>
      </w:r>
      <w:r>
        <w:rPr>
          <w:rFonts w:hint="eastAsia" w:ascii="仿宋_GB2312" w:eastAsia="仿宋_GB2312"/>
          <w:sz w:val="30"/>
          <w:szCs w:val="30"/>
        </w:rPr>
        <w:t>]承担逾期竣工违约责任。</w:t>
      </w:r>
    </w:p>
    <w:p w14:paraId="08C1FFED">
      <w:pPr>
        <w:wordWrap/>
        <w:topLinePunct w:val="0"/>
        <w:spacing w:after="120"/>
        <w:ind w:firstLine="600"/>
        <w:rPr>
          <w:rFonts w:ascii="仿宋_GB2312" w:eastAsia="仿宋_GB2312"/>
          <w:sz w:val="30"/>
          <w:szCs w:val="30"/>
        </w:rPr>
      </w:pPr>
      <w:r>
        <w:rPr>
          <w:rFonts w:hint="eastAsia" w:ascii="仿宋_GB2312" w:eastAsia="仿宋_GB2312"/>
          <w:sz w:val="30"/>
          <w:szCs w:val="30"/>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2810BD61">
      <w:pPr>
        <w:wordWrap/>
        <w:topLinePunct w:val="0"/>
        <w:spacing w:after="120"/>
        <w:ind w:firstLine="600"/>
        <w:rPr>
          <w:rFonts w:ascii="仿宋_GB2312" w:eastAsia="仿宋_GB2312"/>
          <w:sz w:val="30"/>
          <w:szCs w:val="30"/>
        </w:rPr>
      </w:pPr>
      <w:bookmarkStart w:id="461" w:name="_Ref4709224"/>
      <w:r>
        <w:rPr>
          <w:rFonts w:hint="eastAsia" w:ascii="仿宋_GB2312" w:eastAsia="仿宋_GB2312"/>
          <w:sz w:val="30"/>
          <w:szCs w:val="30"/>
        </w:rPr>
        <w:t>（1） 发包人拖延、拒绝批准付款申请和支付证书，或未能按合同约定支付价款，导致付款延误的；</w:t>
      </w:r>
      <w:bookmarkEnd w:id="461"/>
    </w:p>
    <w:p w14:paraId="58C5522B">
      <w:pPr>
        <w:wordWrap/>
        <w:topLinePunct w:val="0"/>
        <w:spacing w:after="120"/>
        <w:ind w:firstLine="600"/>
        <w:rPr>
          <w:rFonts w:ascii="仿宋_GB2312" w:eastAsia="仿宋_GB2312"/>
          <w:sz w:val="30"/>
          <w:szCs w:val="30"/>
        </w:rPr>
      </w:pPr>
      <w:r>
        <w:rPr>
          <w:rFonts w:hint="eastAsia" w:ascii="仿宋_GB2312" w:eastAsia="仿宋_GB2312"/>
          <w:sz w:val="30"/>
          <w:szCs w:val="30"/>
        </w:rPr>
        <w:t>（2） 发包人未按约定履行合同其他义务导致承包人无法继续履行合同的，或者发包人明确表示暂停或实质上已暂停履行合同的。</w:t>
      </w:r>
    </w:p>
    <w:p w14:paraId="3ACD20A3">
      <w:pPr>
        <w:spacing w:after="120"/>
        <w:ind w:firstLine="600"/>
        <w:rPr>
          <w:rFonts w:ascii="仿宋_GB2312" w:eastAsia="仿宋_GB2312"/>
          <w:sz w:val="30"/>
          <w:szCs w:val="30"/>
        </w:rPr>
      </w:pPr>
      <w:r>
        <w:rPr>
          <w:rFonts w:hint="eastAsia" w:ascii="仿宋_GB2312" w:eastAsia="仿宋_GB2312"/>
          <w:sz w:val="30"/>
          <w:szCs w:val="30"/>
        </w:rPr>
        <w:t>8</w:t>
      </w:r>
      <w:r>
        <w:rPr>
          <w:rFonts w:ascii="仿宋_GB2312" w:eastAsia="仿宋_GB2312"/>
          <w:sz w:val="30"/>
          <w:szCs w:val="30"/>
        </w:rPr>
        <w:t xml:space="preserve">.9.3 </w:t>
      </w:r>
      <w:r>
        <w:rPr>
          <w:rFonts w:hint="eastAsia" w:ascii="仿宋_GB2312" w:eastAsia="仿宋_GB2312"/>
          <w:sz w:val="30"/>
          <w:szCs w:val="30"/>
        </w:rPr>
        <w:t>除上述原因以外的暂停工作，双方应遵守第1</w:t>
      </w:r>
      <w:r>
        <w:rPr>
          <w:rFonts w:ascii="仿宋_GB2312" w:eastAsia="仿宋_GB2312"/>
          <w:sz w:val="30"/>
          <w:szCs w:val="30"/>
        </w:rPr>
        <w:t>7</w:t>
      </w:r>
      <w:r>
        <w:rPr>
          <w:rFonts w:hint="eastAsia" w:ascii="仿宋_GB2312" w:eastAsia="仿宋_GB2312"/>
          <w:sz w:val="30"/>
          <w:szCs w:val="30"/>
        </w:rPr>
        <w:t>条[不可抗力]的相关约定。</w:t>
      </w:r>
    </w:p>
    <w:p w14:paraId="7E835B39">
      <w:pPr>
        <w:spacing w:after="120"/>
        <w:ind w:firstLine="600"/>
        <w:rPr>
          <w:rFonts w:ascii="仿宋_GB2312" w:eastAsia="仿宋_GB2312"/>
          <w:sz w:val="30"/>
          <w:szCs w:val="30"/>
        </w:rPr>
      </w:pPr>
      <w:bookmarkStart w:id="462" w:name="_Ref4709158"/>
      <w:r>
        <w:rPr>
          <w:rFonts w:hint="eastAsia" w:ascii="仿宋_GB2312" w:eastAsia="仿宋_GB2312"/>
          <w:sz w:val="30"/>
          <w:szCs w:val="30"/>
        </w:rPr>
        <w:t>8</w:t>
      </w:r>
      <w:r>
        <w:rPr>
          <w:rFonts w:ascii="仿宋_GB2312" w:eastAsia="仿宋_GB2312"/>
          <w:sz w:val="30"/>
          <w:szCs w:val="30"/>
        </w:rPr>
        <w:t xml:space="preserve">.9.4 </w:t>
      </w:r>
      <w:r>
        <w:rPr>
          <w:rFonts w:hint="eastAsia" w:ascii="仿宋_GB2312" w:eastAsia="仿宋_GB2312"/>
          <w:sz w:val="30"/>
          <w:szCs w:val="30"/>
        </w:rPr>
        <w:t>暂停工作期间的工程照管</w:t>
      </w:r>
      <w:bookmarkEnd w:id="462"/>
    </w:p>
    <w:p w14:paraId="391F85F7">
      <w:pPr>
        <w:wordWrap/>
        <w:topLinePunct w:val="0"/>
        <w:spacing w:after="120"/>
        <w:ind w:firstLine="600"/>
        <w:rPr>
          <w:rFonts w:ascii="仿宋_GB2312" w:eastAsia="仿宋_GB2312"/>
          <w:sz w:val="30"/>
          <w:szCs w:val="30"/>
        </w:rPr>
      </w:pPr>
      <w:r>
        <w:rPr>
          <w:rFonts w:hint="eastAsia" w:ascii="仿宋_GB2312" w:eastAsia="仿宋_GB2312"/>
          <w:sz w:val="30"/>
          <w:szCs w:val="30"/>
        </w:rPr>
        <w:t>不论由于何种原因引起暂停工作的，暂停工作期间，承包人应负责对工程、工程物资及文件等进行照管和保护，并提供安全保障，由此增加的费用按第</w:t>
      </w:r>
      <w:r>
        <w:rPr>
          <w:rFonts w:ascii="仿宋_GB2312" w:eastAsia="仿宋_GB2312"/>
          <w:sz w:val="30"/>
          <w:szCs w:val="30"/>
        </w:rPr>
        <w:t>8.9.1</w:t>
      </w:r>
      <w:r>
        <w:rPr>
          <w:rFonts w:hint="eastAsia" w:ascii="仿宋_GB2312" w:eastAsia="仿宋_GB2312"/>
          <w:sz w:val="30"/>
          <w:szCs w:val="30"/>
        </w:rPr>
        <w:t>项[由发包人暂停工作]和第</w:t>
      </w:r>
      <w:r>
        <w:rPr>
          <w:rFonts w:ascii="仿宋_GB2312" w:eastAsia="仿宋_GB2312"/>
          <w:sz w:val="30"/>
          <w:szCs w:val="30"/>
        </w:rPr>
        <w:t>8.9.2</w:t>
      </w:r>
      <w:r>
        <w:rPr>
          <w:rFonts w:hint="eastAsia" w:ascii="仿宋_GB2312" w:eastAsia="仿宋_GB2312"/>
          <w:sz w:val="30"/>
          <w:szCs w:val="30"/>
        </w:rPr>
        <w:t>项[由承包人暂停工作]的约定承担。</w:t>
      </w:r>
    </w:p>
    <w:p w14:paraId="4AB251C2">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因承包人未能尽到照管、保护的责任造成损失的，使发包人的费用增加，（或）竣工日期延误的，由承包人按本合同约定承担责任。</w:t>
      </w:r>
    </w:p>
    <w:p w14:paraId="51963BDD">
      <w:pPr>
        <w:spacing w:after="120"/>
        <w:ind w:firstLine="600"/>
        <w:rPr>
          <w:rFonts w:ascii="仿宋_GB2312" w:eastAsia="仿宋_GB2312"/>
          <w:sz w:val="30"/>
          <w:szCs w:val="30"/>
        </w:rPr>
      </w:pPr>
      <w:r>
        <w:rPr>
          <w:rFonts w:hint="eastAsia" w:ascii="仿宋_GB2312" w:eastAsia="仿宋_GB2312"/>
          <w:sz w:val="30"/>
          <w:szCs w:val="30"/>
        </w:rPr>
        <w:t>8.9.5 拖长的暂停</w:t>
      </w:r>
    </w:p>
    <w:p w14:paraId="227A147E">
      <w:pPr>
        <w:spacing w:after="120"/>
        <w:ind w:firstLine="600"/>
        <w:rPr>
          <w:rFonts w:ascii="仿宋_GB2312" w:eastAsia="仿宋_GB2312"/>
          <w:sz w:val="30"/>
          <w:szCs w:val="30"/>
        </w:rPr>
      </w:pPr>
      <w:r>
        <w:rPr>
          <w:rFonts w:hint="eastAsia" w:ascii="仿宋_GB2312" w:eastAsia="仿宋_GB2312"/>
          <w:sz w:val="30"/>
          <w:szCs w:val="30"/>
        </w:rPr>
        <w:t>根据第</w:t>
      </w:r>
      <w:r>
        <w:rPr>
          <w:rFonts w:ascii="仿宋_GB2312" w:eastAsia="仿宋_GB2312"/>
          <w:sz w:val="30"/>
          <w:szCs w:val="30"/>
        </w:rPr>
        <w:t>8.9.1</w:t>
      </w:r>
      <w:r>
        <w:rPr>
          <w:rFonts w:hint="eastAsia" w:ascii="仿宋_GB2312" w:eastAsia="仿宋_GB2312"/>
          <w:sz w:val="30"/>
          <w:szCs w:val="30"/>
        </w:rPr>
        <w:t>项[由发包人暂停工作]暂停工作持续超过56天的，承包人可向发包人发出要求复工的通知。如果发包人没有在收到书面通知后28天内准许已暂停工作的全部或部分继续工作，承包人有权根据第</w:t>
      </w:r>
      <w:r>
        <w:rPr>
          <w:rFonts w:ascii="仿宋_GB2312" w:eastAsia="仿宋_GB2312"/>
          <w:sz w:val="30"/>
          <w:szCs w:val="30"/>
        </w:rPr>
        <w:t>13条</w:t>
      </w:r>
      <w:r>
        <w:rPr>
          <w:rFonts w:hint="eastAsia" w:ascii="仿宋_GB2312" w:eastAsia="仿宋_GB2312"/>
          <w:sz w:val="30"/>
          <w:szCs w:val="30"/>
        </w:rPr>
        <w:t>[变更与调整]的约定，要求以变更方式调减受暂停影响的部分工程。发包人的暂停超过56天且暂停影响到整个工程的，承包人有权根据第</w:t>
      </w:r>
      <w:r>
        <w:rPr>
          <w:rFonts w:ascii="仿宋_GB2312" w:eastAsia="仿宋_GB2312"/>
          <w:sz w:val="30"/>
          <w:szCs w:val="30"/>
        </w:rPr>
        <w:t>16.2</w:t>
      </w:r>
      <w:r>
        <w:rPr>
          <w:rFonts w:hint="eastAsia" w:ascii="仿宋_GB2312" w:eastAsia="仿宋_GB2312"/>
          <w:sz w:val="30"/>
          <w:szCs w:val="30"/>
        </w:rPr>
        <w:t>款[</w:t>
      </w:r>
      <w:r>
        <w:rPr>
          <w:rFonts w:ascii="仿宋_GB2312" w:eastAsia="仿宋_GB2312"/>
          <w:sz w:val="30"/>
          <w:szCs w:val="30"/>
        </w:rPr>
        <w:t>由承包人解除合同</w:t>
      </w:r>
      <w:r>
        <w:rPr>
          <w:rFonts w:hint="eastAsia" w:ascii="仿宋_GB2312" w:eastAsia="仿宋_GB2312"/>
          <w:sz w:val="30"/>
          <w:szCs w:val="30"/>
        </w:rPr>
        <w:t>]的约定，发出解除合同的通知。</w:t>
      </w:r>
    </w:p>
    <w:p w14:paraId="310C2A0D">
      <w:pPr>
        <w:spacing w:after="120"/>
        <w:ind w:firstLine="600"/>
        <w:rPr>
          <w:rFonts w:ascii="仿宋_GB2312" w:eastAsia="仿宋_GB2312"/>
          <w:sz w:val="30"/>
          <w:szCs w:val="30"/>
        </w:rPr>
      </w:pPr>
      <w:bookmarkStart w:id="463" w:name="_Toc54862257"/>
      <w:r>
        <w:rPr>
          <w:rFonts w:hint="eastAsia" w:ascii="仿宋_GB2312" w:eastAsia="仿宋_GB2312"/>
          <w:sz w:val="30"/>
          <w:szCs w:val="30"/>
        </w:rPr>
        <w:t>8.10 复工</w:t>
      </w:r>
      <w:bookmarkEnd w:id="463"/>
    </w:p>
    <w:p w14:paraId="318ADF19">
      <w:pPr>
        <w:spacing w:after="120"/>
        <w:ind w:firstLine="600"/>
        <w:rPr>
          <w:rFonts w:ascii="仿宋_GB2312" w:eastAsia="仿宋_GB2312"/>
          <w:sz w:val="30"/>
          <w:szCs w:val="30"/>
        </w:rPr>
      </w:pPr>
      <w:r>
        <w:rPr>
          <w:rFonts w:hint="eastAsia" w:ascii="仿宋_GB2312" w:eastAsia="仿宋_GB2312"/>
          <w:sz w:val="30"/>
          <w:szCs w:val="30"/>
        </w:rPr>
        <w:t>8</w:t>
      </w:r>
      <w:r>
        <w:rPr>
          <w:rFonts w:ascii="仿宋_GB2312" w:eastAsia="仿宋_GB2312"/>
          <w:sz w:val="30"/>
          <w:szCs w:val="30"/>
        </w:rPr>
        <w:t xml:space="preserve">.10.1 </w:t>
      </w:r>
      <w:r>
        <w:rPr>
          <w:rFonts w:hint="eastAsia" w:ascii="仿宋_GB2312" w:eastAsia="仿宋_GB2312"/>
          <w:sz w:val="30"/>
          <w:szCs w:val="30"/>
        </w:rPr>
        <w:t>收到发包人的复工通知后，承包人应按通知时间复工；发包人通知的复工时间应当给予承包人必要的准备复工时间。</w:t>
      </w:r>
    </w:p>
    <w:p w14:paraId="653DDDDD">
      <w:pPr>
        <w:spacing w:after="120"/>
        <w:ind w:firstLine="600"/>
        <w:rPr>
          <w:rFonts w:ascii="仿宋_GB2312" w:eastAsia="仿宋_GB2312"/>
          <w:sz w:val="30"/>
          <w:szCs w:val="30"/>
        </w:rPr>
      </w:pPr>
      <w:r>
        <w:rPr>
          <w:rFonts w:hint="eastAsia" w:ascii="仿宋_GB2312" w:eastAsia="仿宋_GB2312"/>
          <w:sz w:val="30"/>
          <w:szCs w:val="30"/>
        </w:rPr>
        <w:t>8</w:t>
      </w:r>
      <w:r>
        <w:rPr>
          <w:rFonts w:ascii="仿宋_GB2312" w:eastAsia="仿宋_GB2312"/>
          <w:sz w:val="30"/>
          <w:szCs w:val="30"/>
        </w:rPr>
        <w:t xml:space="preserve">.10.2 </w:t>
      </w:r>
      <w:r>
        <w:rPr>
          <w:rFonts w:hint="eastAsia" w:ascii="仿宋_GB2312" w:eastAsia="仿宋_GB2312"/>
          <w:sz w:val="30"/>
          <w:szCs w:val="30"/>
        </w:rPr>
        <w:t>不论由于何种原因引起暂停工作，双方均可要求对方一同对受暂停影响的工程、工程设备和工程物资进行检查，承包人应将检查结果及需要恢复、修复的内容和估算通知发包人。</w:t>
      </w:r>
    </w:p>
    <w:p w14:paraId="1B32B493">
      <w:pPr>
        <w:spacing w:after="120"/>
        <w:ind w:firstLine="600"/>
        <w:rPr>
          <w:rFonts w:ascii="仿宋_GB2312" w:eastAsia="仿宋_GB2312"/>
          <w:sz w:val="30"/>
          <w:szCs w:val="30"/>
        </w:rPr>
      </w:pPr>
      <w:r>
        <w:rPr>
          <w:rFonts w:hint="eastAsia" w:ascii="仿宋_GB2312" w:eastAsia="仿宋_GB2312"/>
          <w:sz w:val="30"/>
          <w:szCs w:val="30"/>
        </w:rPr>
        <w:t>8</w:t>
      </w:r>
      <w:r>
        <w:rPr>
          <w:rFonts w:ascii="仿宋_GB2312" w:eastAsia="仿宋_GB2312"/>
          <w:sz w:val="30"/>
          <w:szCs w:val="30"/>
        </w:rPr>
        <w:t xml:space="preserve">.10.3 </w:t>
      </w:r>
      <w:r>
        <w:rPr>
          <w:rFonts w:hint="eastAsia" w:ascii="仿宋_GB2312" w:eastAsia="仿宋_GB2312"/>
          <w:sz w:val="30"/>
          <w:szCs w:val="30"/>
        </w:rPr>
        <w:t>除第</w:t>
      </w:r>
      <w:r>
        <w:rPr>
          <w:rFonts w:ascii="仿宋_GB2312" w:eastAsia="仿宋_GB2312"/>
          <w:sz w:val="30"/>
          <w:szCs w:val="30"/>
        </w:rPr>
        <w:t>17条</w:t>
      </w:r>
      <w:r>
        <w:rPr>
          <w:rFonts w:hint="eastAsia" w:ascii="仿宋_GB2312" w:eastAsia="仿宋_GB2312"/>
          <w:sz w:val="30"/>
          <w:szCs w:val="30"/>
        </w:rPr>
        <w:t>[不可抗力]另有约定外，发生的恢复、修复价款及工期延误的后果由责任方承担。</w:t>
      </w:r>
    </w:p>
    <w:p w14:paraId="3BB782FC">
      <w:pPr>
        <w:spacing w:after="120"/>
        <w:ind w:firstLine="0" w:firstLineChars="0"/>
        <w:rPr>
          <w:rFonts w:ascii="仿宋_GB2312" w:eastAsia="仿宋_GB2312"/>
          <w:sz w:val="32"/>
          <w:szCs w:val="32"/>
        </w:rPr>
      </w:pPr>
      <w:bookmarkStart w:id="464" w:name="_Toc13412"/>
      <w:bookmarkStart w:id="465" w:name="_Ref4621041"/>
      <w:bookmarkStart w:id="466" w:name="_Toc22987"/>
      <w:bookmarkStart w:id="467" w:name="_Toc54862258"/>
      <w:bookmarkStart w:id="468" w:name="_Toc19592"/>
      <w:bookmarkStart w:id="469" w:name="_Ref4621029"/>
      <w:r>
        <w:rPr>
          <w:rFonts w:hint="eastAsia" w:ascii="仿宋_GB2312" w:eastAsia="仿宋_GB2312"/>
          <w:sz w:val="32"/>
          <w:szCs w:val="32"/>
        </w:rPr>
        <w:t>第9条 竣工试验</w:t>
      </w:r>
      <w:bookmarkEnd w:id="392"/>
      <w:bookmarkEnd w:id="464"/>
      <w:bookmarkEnd w:id="465"/>
      <w:bookmarkEnd w:id="466"/>
      <w:bookmarkEnd w:id="467"/>
      <w:bookmarkEnd w:id="468"/>
      <w:bookmarkEnd w:id="469"/>
    </w:p>
    <w:p w14:paraId="13AAE41D">
      <w:pPr>
        <w:spacing w:after="120"/>
        <w:ind w:firstLine="600"/>
        <w:rPr>
          <w:rFonts w:ascii="仿宋_GB2312" w:eastAsia="仿宋_GB2312"/>
          <w:sz w:val="30"/>
          <w:szCs w:val="30"/>
        </w:rPr>
      </w:pPr>
      <w:bookmarkStart w:id="470" w:name="_Ref532586251"/>
      <w:bookmarkStart w:id="471" w:name="_Ref532586248"/>
      <w:bookmarkStart w:id="472" w:name="_Toc54862259"/>
      <w:r>
        <w:rPr>
          <w:rFonts w:hint="eastAsia" w:ascii="仿宋_GB2312" w:eastAsia="仿宋_GB2312"/>
          <w:sz w:val="30"/>
          <w:szCs w:val="30"/>
        </w:rPr>
        <w:t>9.1 竣工试验的义务</w:t>
      </w:r>
      <w:bookmarkEnd w:id="470"/>
      <w:bookmarkEnd w:id="471"/>
      <w:bookmarkEnd w:id="472"/>
    </w:p>
    <w:p w14:paraId="5F4FD541">
      <w:pPr>
        <w:spacing w:after="120"/>
        <w:ind w:firstLine="600"/>
        <w:rPr>
          <w:rFonts w:ascii="仿宋_GB2312" w:eastAsia="仿宋_GB2312"/>
          <w:sz w:val="30"/>
          <w:szCs w:val="30"/>
        </w:rPr>
      </w:pPr>
      <w:r>
        <w:rPr>
          <w:rFonts w:hint="eastAsia" w:ascii="仿宋_GB2312" w:eastAsia="仿宋_GB2312"/>
          <w:sz w:val="30"/>
          <w:szCs w:val="30"/>
        </w:rPr>
        <w:t>9</w:t>
      </w:r>
      <w:r>
        <w:rPr>
          <w:rFonts w:ascii="仿宋_GB2312" w:eastAsia="仿宋_GB2312"/>
          <w:sz w:val="30"/>
          <w:szCs w:val="30"/>
        </w:rPr>
        <w:t xml:space="preserve">.1.1 </w:t>
      </w:r>
      <w:r>
        <w:rPr>
          <w:rFonts w:hint="eastAsia" w:ascii="仿宋_GB2312" w:eastAsia="仿宋_GB2312"/>
          <w:sz w:val="30"/>
          <w:szCs w:val="30"/>
        </w:rPr>
        <w:t>承包人完成工程或区段工程进行竣工试验所需的作业，并根据第</w:t>
      </w:r>
      <w:r>
        <w:rPr>
          <w:rFonts w:ascii="仿宋_GB2312" w:eastAsia="仿宋_GB2312"/>
          <w:sz w:val="30"/>
          <w:szCs w:val="30"/>
        </w:rPr>
        <w:t>5.4</w:t>
      </w:r>
      <w:r>
        <w:rPr>
          <w:rFonts w:hint="eastAsia" w:ascii="仿宋_GB2312" w:eastAsia="仿宋_GB2312"/>
          <w:sz w:val="30"/>
          <w:szCs w:val="30"/>
        </w:rPr>
        <w:t>款[竣工文件]和第</w:t>
      </w:r>
      <w:r>
        <w:rPr>
          <w:rFonts w:ascii="仿宋_GB2312" w:eastAsia="仿宋_GB2312"/>
          <w:sz w:val="30"/>
          <w:szCs w:val="30"/>
        </w:rPr>
        <w:t>5.5</w:t>
      </w:r>
      <w:r>
        <w:rPr>
          <w:rFonts w:hint="eastAsia" w:ascii="仿宋_GB2312" w:eastAsia="仿宋_GB2312"/>
          <w:sz w:val="30"/>
          <w:szCs w:val="30"/>
        </w:rPr>
        <w:t>款[操作和维修手册]提交文件后，进行竣工试验。</w:t>
      </w:r>
      <w:bookmarkStart w:id="473" w:name="_Ref532586608"/>
    </w:p>
    <w:p w14:paraId="225FED43">
      <w:pPr>
        <w:spacing w:after="120"/>
        <w:ind w:firstLine="600"/>
        <w:rPr>
          <w:rFonts w:ascii="仿宋_GB2312" w:eastAsia="仿宋_GB2312"/>
          <w:sz w:val="30"/>
          <w:szCs w:val="30"/>
        </w:rPr>
      </w:pPr>
      <w:bookmarkStart w:id="474" w:name="_Ref11919920"/>
      <w:r>
        <w:rPr>
          <w:rFonts w:hint="eastAsia" w:ascii="仿宋_GB2312" w:eastAsia="仿宋_GB2312"/>
          <w:sz w:val="30"/>
          <w:szCs w:val="30"/>
        </w:rPr>
        <w:t>9</w:t>
      </w:r>
      <w:r>
        <w:rPr>
          <w:rFonts w:ascii="仿宋_GB2312" w:eastAsia="仿宋_GB2312"/>
          <w:sz w:val="30"/>
          <w:szCs w:val="30"/>
        </w:rPr>
        <w:t xml:space="preserve">.1.2 </w:t>
      </w:r>
      <w:r>
        <w:rPr>
          <w:rFonts w:hint="eastAsia" w:ascii="仿宋_GB2312" w:eastAsia="仿宋_GB2312"/>
          <w:sz w:val="30"/>
          <w:szCs w:val="30"/>
        </w:rPr>
        <w:t>承包人应在进行竣工试验之前，至少提前42天向工程师提交详细的竣工试验计划，该计划应载明竣工试验的内容、地点、拟开展时间和需要发包人提供的资源条件。</w:t>
      </w:r>
      <w:bookmarkEnd w:id="473"/>
      <w:r>
        <w:rPr>
          <w:rFonts w:hint="eastAsia" w:ascii="仿宋_GB2312" w:eastAsia="仿宋_GB2312"/>
          <w:sz w:val="30"/>
          <w:szCs w:val="30"/>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474"/>
    </w:p>
    <w:p w14:paraId="611734BA">
      <w:pPr>
        <w:spacing w:after="120"/>
        <w:ind w:firstLine="600"/>
        <w:rPr>
          <w:rFonts w:ascii="仿宋_GB2312" w:eastAsia="仿宋_GB2312"/>
          <w:sz w:val="30"/>
          <w:szCs w:val="30"/>
        </w:rPr>
      </w:pPr>
      <w:bookmarkStart w:id="475" w:name="_Ref532688147"/>
      <w:r>
        <w:rPr>
          <w:rFonts w:hint="eastAsia" w:ascii="仿宋_GB2312" w:eastAsia="仿宋_GB2312"/>
          <w:sz w:val="30"/>
          <w:szCs w:val="30"/>
        </w:rPr>
        <w:t>9</w:t>
      </w:r>
      <w:r>
        <w:rPr>
          <w:rFonts w:ascii="仿宋_GB2312" w:eastAsia="仿宋_GB2312"/>
          <w:sz w:val="30"/>
          <w:szCs w:val="30"/>
        </w:rPr>
        <w:t xml:space="preserve">.1.3 </w:t>
      </w:r>
      <w:r>
        <w:rPr>
          <w:rFonts w:hint="eastAsia" w:ascii="仿宋_GB2312" w:eastAsia="仿宋_GB2312"/>
          <w:sz w:val="30"/>
          <w:szCs w:val="30"/>
        </w:rPr>
        <w:t>承包人应根据经确认的竣工试验计划以及第</w:t>
      </w:r>
      <w:r>
        <w:rPr>
          <w:rFonts w:ascii="仿宋_GB2312" w:eastAsia="仿宋_GB2312"/>
          <w:sz w:val="30"/>
          <w:szCs w:val="30"/>
        </w:rPr>
        <w:t>6.5</w:t>
      </w:r>
      <w:r>
        <w:rPr>
          <w:rFonts w:hint="eastAsia" w:ascii="仿宋_GB2312" w:eastAsia="仿宋_GB2312"/>
          <w:sz w:val="30"/>
          <w:szCs w:val="30"/>
        </w:rPr>
        <w:t>款[</w:t>
      </w:r>
      <w:r>
        <w:rPr>
          <w:rFonts w:ascii="仿宋_GB2312" w:eastAsia="仿宋_GB2312"/>
          <w:sz w:val="30"/>
          <w:szCs w:val="30"/>
        </w:rPr>
        <w:t>由承包人试验</w:t>
      </w:r>
      <w:r>
        <w:rPr>
          <w:rFonts w:hint="eastAsia" w:ascii="仿宋_GB2312" w:eastAsia="仿宋_GB2312"/>
          <w:sz w:val="30"/>
          <w:szCs w:val="30"/>
        </w:rPr>
        <w:t>和</w:t>
      </w:r>
      <w:r>
        <w:rPr>
          <w:rFonts w:ascii="仿宋_GB2312" w:eastAsia="仿宋_GB2312"/>
          <w:sz w:val="30"/>
          <w:szCs w:val="30"/>
        </w:rPr>
        <w:t>检验</w:t>
      </w:r>
      <w:r>
        <w:rPr>
          <w:rFonts w:hint="eastAsia" w:ascii="仿宋_GB2312" w:eastAsia="仿宋_GB2312"/>
          <w:sz w:val="30"/>
          <w:szCs w:val="30"/>
        </w:rPr>
        <w:t>]进行竣工试验。除《发包人要求》中另有说明外，竣工试验应按以下顺序分阶段进行，即只有在工程或区段工程已通过上一阶段试验的情况下，才可进行下一阶段试验：</w:t>
      </w:r>
      <w:bookmarkEnd w:id="475"/>
    </w:p>
    <w:p w14:paraId="428194FC">
      <w:pPr>
        <w:wordWrap/>
        <w:topLinePunct w:val="0"/>
        <w:spacing w:after="120"/>
        <w:ind w:firstLine="600"/>
        <w:rPr>
          <w:rFonts w:ascii="仿宋_GB2312" w:eastAsia="仿宋_GB2312"/>
          <w:sz w:val="30"/>
          <w:szCs w:val="30"/>
        </w:rPr>
      </w:pPr>
      <w:r>
        <w:rPr>
          <w:rFonts w:hint="eastAsia" w:ascii="仿宋_GB2312" w:eastAsia="仿宋_GB2312"/>
          <w:sz w:val="30"/>
          <w:szCs w:val="30"/>
        </w:rPr>
        <w:t>（1） 承包人进行启动前试验，包括适当的检查和功能性试验，以证明工程或区段工程的每一部分均能够安全地承受下一阶段试验；</w:t>
      </w:r>
    </w:p>
    <w:p w14:paraId="62027625">
      <w:pPr>
        <w:wordWrap/>
        <w:topLinePunct w:val="0"/>
        <w:spacing w:after="120"/>
        <w:ind w:firstLine="600"/>
        <w:rPr>
          <w:rFonts w:ascii="仿宋_GB2312" w:eastAsia="仿宋_GB2312"/>
          <w:sz w:val="30"/>
          <w:szCs w:val="30"/>
        </w:rPr>
      </w:pPr>
      <w:r>
        <w:rPr>
          <w:rFonts w:hint="eastAsia" w:ascii="仿宋_GB2312" w:eastAsia="仿宋_GB2312"/>
          <w:sz w:val="30"/>
          <w:szCs w:val="30"/>
        </w:rPr>
        <w:t>（2） 承包人进行启动试验，以证明工程或区段工程能够在所有可利用的操作条件下安全运行，并按照专用合同条件和《发包人要求》中的规定操作；</w:t>
      </w:r>
    </w:p>
    <w:p w14:paraId="3F092763">
      <w:pPr>
        <w:wordWrap/>
        <w:topLinePunct w:val="0"/>
        <w:spacing w:after="120"/>
        <w:ind w:firstLine="600"/>
        <w:rPr>
          <w:rFonts w:ascii="仿宋_GB2312" w:eastAsia="仿宋_GB2312"/>
          <w:sz w:val="30"/>
          <w:szCs w:val="30"/>
        </w:rPr>
      </w:pPr>
      <w:r>
        <w:rPr>
          <w:rFonts w:hint="eastAsia" w:ascii="仿宋_GB2312" w:eastAsia="仿宋_GB2312"/>
          <w:sz w:val="30"/>
          <w:szCs w:val="30"/>
        </w:rPr>
        <w:t>（3） 承包人进行试运行试验。当工程或区段工程能稳定安全运行时，承包人应通知工程师，可以进行其他竣工试验，包括各种性能测试，以证明工程或区段工程符合《发包人要求》中列明的性能保证指标。</w:t>
      </w:r>
    </w:p>
    <w:p w14:paraId="2D6F4711">
      <w:pPr>
        <w:wordWrap/>
        <w:topLinePunct w:val="0"/>
        <w:spacing w:after="120"/>
        <w:ind w:firstLine="600"/>
        <w:rPr>
          <w:rFonts w:ascii="仿宋_GB2312" w:eastAsia="仿宋_GB2312"/>
          <w:sz w:val="30"/>
          <w:szCs w:val="30"/>
        </w:rPr>
      </w:pPr>
      <w:r>
        <w:rPr>
          <w:rFonts w:hint="eastAsia" w:ascii="仿宋_GB2312" w:eastAsia="仿宋_GB2312"/>
          <w:sz w:val="30"/>
          <w:szCs w:val="30"/>
        </w:rPr>
        <w:t>进行上述试验不应构成第</w:t>
      </w:r>
      <w:r>
        <w:rPr>
          <w:rFonts w:ascii="仿宋_GB2312" w:eastAsia="仿宋_GB2312"/>
          <w:sz w:val="30"/>
          <w:szCs w:val="30"/>
        </w:rPr>
        <w:t>10条</w:t>
      </w:r>
      <w:r>
        <w:rPr>
          <w:rFonts w:hint="eastAsia" w:ascii="仿宋_GB2312" w:eastAsia="仿宋_GB2312"/>
          <w:sz w:val="30"/>
          <w:szCs w:val="30"/>
        </w:rPr>
        <w:t>[验收和工程接收]规定的接收，但试验所产生的任何产品或其他收益均应归属于发包人。</w:t>
      </w:r>
    </w:p>
    <w:p w14:paraId="647B9071">
      <w:pPr>
        <w:spacing w:after="120"/>
        <w:ind w:firstLine="600"/>
        <w:rPr>
          <w:rFonts w:ascii="仿宋_GB2312" w:eastAsia="仿宋_GB2312"/>
          <w:sz w:val="30"/>
          <w:szCs w:val="30"/>
        </w:rPr>
      </w:pPr>
      <w:r>
        <w:rPr>
          <w:rFonts w:hint="eastAsia" w:ascii="仿宋_GB2312" w:eastAsia="仿宋_GB2312"/>
          <w:sz w:val="30"/>
          <w:szCs w:val="30"/>
        </w:rPr>
        <w:t>9</w:t>
      </w:r>
      <w:r>
        <w:rPr>
          <w:rFonts w:ascii="仿宋_GB2312" w:eastAsia="仿宋_GB2312"/>
          <w:sz w:val="30"/>
          <w:szCs w:val="30"/>
        </w:rPr>
        <w:t xml:space="preserve">.1.4 </w:t>
      </w:r>
      <w:r>
        <w:rPr>
          <w:rFonts w:hint="eastAsia" w:ascii="仿宋_GB2312" w:eastAsia="仿宋_GB2312"/>
          <w:sz w:val="30"/>
          <w:szCs w:val="30"/>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6FA5BB32">
      <w:pPr>
        <w:spacing w:after="120"/>
        <w:ind w:firstLine="600"/>
        <w:rPr>
          <w:rFonts w:ascii="仿宋_GB2312" w:eastAsia="仿宋_GB2312"/>
          <w:sz w:val="30"/>
          <w:szCs w:val="30"/>
        </w:rPr>
      </w:pPr>
      <w:bookmarkStart w:id="476" w:name="_Toc54862260"/>
      <w:r>
        <w:rPr>
          <w:rFonts w:hint="eastAsia" w:ascii="仿宋_GB2312" w:eastAsia="仿宋_GB2312"/>
          <w:sz w:val="30"/>
          <w:szCs w:val="30"/>
        </w:rPr>
        <w:t>9.2 延误的试验</w:t>
      </w:r>
      <w:bookmarkEnd w:id="476"/>
    </w:p>
    <w:p w14:paraId="10368721">
      <w:pPr>
        <w:spacing w:after="120"/>
        <w:ind w:firstLine="600"/>
        <w:rPr>
          <w:rFonts w:ascii="仿宋_GB2312" w:eastAsia="仿宋_GB2312"/>
          <w:sz w:val="30"/>
          <w:szCs w:val="30"/>
        </w:rPr>
      </w:pPr>
      <w:r>
        <w:rPr>
          <w:rFonts w:hint="eastAsia" w:ascii="仿宋_GB2312" w:eastAsia="仿宋_GB2312"/>
          <w:sz w:val="30"/>
          <w:szCs w:val="30"/>
        </w:rPr>
        <w:t>9</w:t>
      </w:r>
      <w:r>
        <w:rPr>
          <w:rFonts w:ascii="仿宋_GB2312" w:eastAsia="仿宋_GB2312"/>
          <w:sz w:val="30"/>
          <w:szCs w:val="30"/>
        </w:rPr>
        <w:t xml:space="preserve">.2.1 </w:t>
      </w:r>
      <w:r>
        <w:rPr>
          <w:rFonts w:hint="eastAsia" w:ascii="仿宋_GB2312" w:eastAsia="仿宋_GB2312"/>
          <w:sz w:val="30"/>
          <w:szCs w:val="30"/>
        </w:rPr>
        <w:t>如果承包人已根据第</w:t>
      </w:r>
      <w:r>
        <w:rPr>
          <w:rFonts w:ascii="仿宋_GB2312" w:eastAsia="仿宋_GB2312"/>
          <w:sz w:val="30"/>
          <w:szCs w:val="30"/>
        </w:rPr>
        <w:t>9.1</w:t>
      </w:r>
      <w:r>
        <w:rPr>
          <w:rFonts w:hint="eastAsia" w:ascii="仿宋_GB2312" w:eastAsia="仿宋_GB2312"/>
          <w:sz w:val="30"/>
          <w:szCs w:val="30"/>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4701206A">
      <w:pPr>
        <w:spacing w:after="120"/>
        <w:ind w:firstLine="600"/>
        <w:rPr>
          <w:rFonts w:ascii="仿宋_GB2312" w:eastAsia="仿宋_GB2312"/>
          <w:sz w:val="30"/>
          <w:szCs w:val="30"/>
        </w:rPr>
      </w:pPr>
      <w:r>
        <w:rPr>
          <w:rFonts w:hint="eastAsia" w:ascii="仿宋_GB2312" w:eastAsia="仿宋_GB2312"/>
          <w:sz w:val="30"/>
          <w:szCs w:val="30"/>
        </w:rPr>
        <w:t>9</w:t>
      </w:r>
      <w:r>
        <w:rPr>
          <w:rFonts w:ascii="仿宋_GB2312" w:eastAsia="仿宋_GB2312"/>
          <w:sz w:val="30"/>
          <w:szCs w:val="30"/>
        </w:rPr>
        <w:t xml:space="preserve">.2.2 </w:t>
      </w:r>
      <w:r>
        <w:rPr>
          <w:rFonts w:hint="eastAsia" w:ascii="仿宋_GB2312" w:eastAsia="仿宋_GB2312"/>
          <w:sz w:val="30"/>
          <w:szCs w:val="30"/>
        </w:rPr>
        <w:t>承包人无正当理由延误进行竣工试验的，工程师可向其发出通知，要求其在收到通知后的21天内进行该项竣工试验。承包人应在该21天的期限内确定进行试验的日期，并至少提前7天通知工程师。</w:t>
      </w:r>
    </w:p>
    <w:p w14:paraId="2509BAA0">
      <w:pPr>
        <w:spacing w:after="120"/>
        <w:ind w:firstLine="600"/>
        <w:rPr>
          <w:rFonts w:ascii="仿宋_GB2312" w:eastAsia="仿宋_GB2312"/>
          <w:sz w:val="30"/>
          <w:szCs w:val="30"/>
        </w:rPr>
      </w:pPr>
      <w:r>
        <w:rPr>
          <w:rFonts w:hint="eastAsia" w:ascii="仿宋_GB2312" w:eastAsia="仿宋_GB2312"/>
          <w:sz w:val="30"/>
          <w:szCs w:val="30"/>
        </w:rPr>
        <w:t>9</w:t>
      </w:r>
      <w:r>
        <w:rPr>
          <w:rFonts w:ascii="仿宋_GB2312" w:eastAsia="仿宋_GB2312"/>
          <w:sz w:val="30"/>
          <w:szCs w:val="30"/>
        </w:rPr>
        <w:t xml:space="preserve">.2.3 </w:t>
      </w:r>
      <w:r>
        <w:rPr>
          <w:rFonts w:hint="eastAsia" w:ascii="仿宋_GB2312" w:eastAsia="仿宋_GB2312"/>
          <w:sz w:val="30"/>
          <w:szCs w:val="30"/>
        </w:rPr>
        <w:t>如果承包人未在该期限内进行竣工试验，则发包人有权自行组织该项竣工试验，由此产生的合理费用由承包人承担。发包人应在试验完成后28天内向承包人发送试验结果。</w:t>
      </w:r>
    </w:p>
    <w:p w14:paraId="52FF2918">
      <w:pPr>
        <w:spacing w:after="120"/>
        <w:ind w:firstLine="600"/>
        <w:rPr>
          <w:rFonts w:ascii="仿宋_GB2312" w:eastAsia="仿宋_GB2312"/>
          <w:sz w:val="30"/>
          <w:szCs w:val="30"/>
        </w:rPr>
      </w:pPr>
      <w:bookmarkStart w:id="477" w:name="_Ref532594588"/>
      <w:bookmarkStart w:id="478" w:name="_Ref532594592"/>
      <w:bookmarkStart w:id="479" w:name="_Toc54862261"/>
      <w:r>
        <w:rPr>
          <w:rFonts w:hint="eastAsia" w:ascii="仿宋_GB2312" w:eastAsia="仿宋_GB2312"/>
          <w:sz w:val="30"/>
          <w:szCs w:val="30"/>
        </w:rPr>
        <w:t>9.3 重新试验</w:t>
      </w:r>
      <w:bookmarkEnd w:id="477"/>
      <w:bookmarkEnd w:id="478"/>
      <w:bookmarkEnd w:id="479"/>
    </w:p>
    <w:p w14:paraId="184FD995">
      <w:pPr>
        <w:wordWrap/>
        <w:topLinePunct w:val="0"/>
        <w:spacing w:after="120"/>
        <w:ind w:firstLine="600"/>
        <w:rPr>
          <w:rFonts w:ascii="仿宋_GB2312" w:eastAsia="仿宋_GB2312"/>
          <w:sz w:val="30"/>
          <w:szCs w:val="30"/>
        </w:rPr>
      </w:pPr>
      <w:r>
        <w:rPr>
          <w:rFonts w:hint="eastAsia" w:ascii="仿宋_GB2312" w:eastAsia="仿宋_GB2312"/>
          <w:sz w:val="30"/>
          <w:szCs w:val="30"/>
        </w:rPr>
        <w:t>如果工程或区段工程未能通过竣工试验，则承包人应根据第</w:t>
      </w:r>
      <w:r>
        <w:rPr>
          <w:rFonts w:ascii="仿宋_GB2312" w:eastAsia="仿宋_GB2312"/>
          <w:sz w:val="30"/>
          <w:szCs w:val="30"/>
        </w:rPr>
        <w:t>6.6</w:t>
      </w:r>
      <w:r>
        <w:rPr>
          <w:rFonts w:hint="eastAsia" w:ascii="仿宋_GB2312" w:eastAsia="仿宋_GB2312"/>
          <w:sz w:val="30"/>
          <w:szCs w:val="30"/>
        </w:rPr>
        <w:t>款[缺陷和修补]修补缺陷。发包人或承包人可要求按相同的条件，重新进行未通过的试验以及相关工程或区段工程的竣工试验。该等重新进行的试验仍应适用本条对于竣工试验的规定。</w:t>
      </w:r>
    </w:p>
    <w:p w14:paraId="55BE8970">
      <w:pPr>
        <w:spacing w:after="120"/>
        <w:ind w:firstLine="600"/>
        <w:rPr>
          <w:rFonts w:ascii="仿宋_GB2312" w:eastAsia="仿宋_GB2312"/>
          <w:sz w:val="30"/>
          <w:szCs w:val="30"/>
        </w:rPr>
      </w:pPr>
      <w:bookmarkStart w:id="480" w:name="_Ref532688226"/>
      <w:bookmarkStart w:id="481" w:name="_Toc54862262"/>
      <w:bookmarkStart w:id="482" w:name="_Ref532688221"/>
      <w:r>
        <w:rPr>
          <w:rFonts w:hint="eastAsia" w:ascii="仿宋_GB2312" w:eastAsia="仿宋_GB2312"/>
          <w:sz w:val="30"/>
          <w:szCs w:val="30"/>
        </w:rPr>
        <w:t>9.4 未能通过竣工试验</w:t>
      </w:r>
      <w:bookmarkEnd w:id="480"/>
      <w:bookmarkEnd w:id="481"/>
      <w:bookmarkEnd w:id="482"/>
    </w:p>
    <w:p w14:paraId="6846CE98">
      <w:pPr>
        <w:spacing w:after="120"/>
        <w:ind w:firstLine="600"/>
        <w:rPr>
          <w:rFonts w:ascii="仿宋_GB2312" w:eastAsia="仿宋_GB2312"/>
          <w:sz w:val="30"/>
          <w:szCs w:val="30"/>
        </w:rPr>
      </w:pPr>
      <w:r>
        <w:rPr>
          <w:rFonts w:hint="eastAsia" w:ascii="仿宋_GB2312" w:eastAsia="仿宋_GB2312"/>
          <w:sz w:val="30"/>
          <w:szCs w:val="30"/>
        </w:rPr>
        <w:t>9</w:t>
      </w:r>
      <w:r>
        <w:rPr>
          <w:rFonts w:ascii="仿宋_GB2312" w:eastAsia="仿宋_GB2312"/>
          <w:sz w:val="30"/>
          <w:szCs w:val="30"/>
        </w:rPr>
        <w:t xml:space="preserve">.4.1 </w:t>
      </w:r>
      <w:r>
        <w:rPr>
          <w:rFonts w:hint="eastAsia" w:ascii="仿宋_GB2312" w:eastAsia="仿宋_GB2312"/>
          <w:sz w:val="30"/>
          <w:szCs w:val="30"/>
        </w:rPr>
        <w:t>因发包人原因导致竣工试验未能通过的，承包人进行竣工试验的费用由发包人承担，竣工日期相应顺延。</w:t>
      </w:r>
    </w:p>
    <w:p w14:paraId="0625A409">
      <w:pPr>
        <w:spacing w:after="120"/>
        <w:ind w:firstLine="600"/>
        <w:rPr>
          <w:rFonts w:ascii="仿宋_GB2312" w:eastAsia="仿宋_GB2312"/>
          <w:sz w:val="30"/>
          <w:szCs w:val="30"/>
        </w:rPr>
      </w:pPr>
      <w:r>
        <w:rPr>
          <w:rFonts w:hint="eastAsia" w:ascii="仿宋_GB2312" w:eastAsia="仿宋_GB2312"/>
          <w:sz w:val="30"/>
          <w:szCs w:val="30"/>
        </w:rPr>
        <w:t>9</w:t>
      </w:r>
      <w:r>
        <w:rPr>
          <w:rFonts w:ascii="仿宋_GB2312" w:eastAsia="仿宋_GB2312"/>
          <w:sz w:val="30"/>
          <w:szCs w:val="30"/>
        </w:rPr>
        <w:t xml:space="preserve">.4.2 </w:t>
      </w:r>
      <w:r>
        <w:rPr>
          <w:rFonts w:hint="eastAsia" w:ascii="仿宋_GB2312" w:eastAsia="仿宋_GB2312"/>
          <w:sz w:val="30"/>
          <w:szCs w:val="30"/>
        </w:rPr>
        <w:t>如果工程或区段工程未能通过根据第</w:t>
      </w:r>
      <w:r>
        <w:rPr>
          <w:rFonts w:ascii="仿宋_GB2312" w:eastAsia="仿宋_GB2312"/>
          <w:sz w:val="30"/>
          <w:szCs w:val="30"/>
        </w:rPr>
        <w:t>9.3</w:t>
      </w:r>
      <w:r>
        <w:rPr>
          <w:rFonts w:hint="eastAsia" w:ascii="仿宋_GB2312" w:eastAsia="仿宋_GB2312"/>
          <w:sz w:val="30"/>
          <w:szCs w:val="30"/>
        </w:rPr>
        <w:t>款[重新试验]重新进行的竣工试验的，则：</w:t>
      </w:r>
    </w:p>
    <w:p w14:paraId="5DC9C99F">
      <w:pPr>
        <w:wordWrap/>
        <w:topLinePunct w:val="0"/>
        <w:spacing w:after="120"/>
        <w:ind w:firstLine="600"/>
        <w:rPr>
          <w:rFonts w:ascii="仿宋_GB2312" w:eastAsia="仿宋_GB2312"/>
          <w:sz w:val="30"/>
          <w:szCs w:val="30"/>
        </w:rPr>
      </w:pPr>
      <w:r>
        <w:rPr>
          <w:rFonts w:hint="eastAsia" w:ascii="仿宋_GB2312" w:eastAsia="仿宋_GB2312"/>
          <w:sz w:val="30"/>
          <w:szCs w:val="30"/>
        </w:rPr>
        <w:t>（1） 发包人有权要求承包人根据第</w:t>
      </w:r>
      <w:r>
        <w:rPr>
          <w:rFonts w:ascii="仿宋_GB2312" w:eastAsia="仿宋_GB2312"/>
          <w:sz w:val="30"/>
          <w:szCs w:val="30"/>
        </w:rPr>
        <w:t>6.6</w:t>
      </w:r>
      <w:r>
        <w:rPr>
          <w:rFonts w:hint="eastAsia" w:ascii="仿宋_GB2312" w:eastAsia="仿宋_GB2312"/>
          <w:sz w:val="30"/>
          <w:szCs w:val="30"/>
        </w:rPr>
        <w:t>款[缺陷和修补]继续进行修补和改正，并根据第</w:t>
      </w:r>
      <w:r>
        <w:rPr>
          <w:rFonts w:ascii="仿宋_GB2312" w:eastAsia="仿宋_GB2312"/>
          <w:sz w:val="30"/>
          <w:szCs w:val="30"/>
        </w:rPr>
        <w:t>9.3</w:t>
      </w:r>
      <w:r>
        <w:rPr>
          <w:rFonts w:hint="eastAsia" w:ascii="仿宋_GB2312" w:eastAsia="仿宋_GB2312"/>
          <w:sz w:val="30"/>
          <w:szCs w:val="30"/>
        </w:rPr>
        <w:t>款[重新试验]再次进行竣工试验；</w:t>
      </w:r>
    </w:p>
    <w:p w14:paraId="4118AFA2">
      <w:pPr>
        <w:wordWrap/>
        <w:topLinePunct w:val="0"/>
        <w:spacing w:after="120"/>
        <w:ind w:firstLine="600"/>
        <w:rPr>
          <w:rFonts w:ascii="仿宋_GB2312" w:eastAsia="仿宋_GB2312"/>
          <w:sz w:val="30"/>
          <w:szCs w:val="30"/>
        </w:rPr>
      </w:pPr>
      <w:r>
        <w:rPr>
          <w:rFonts w:hint="eastAsia" w:ascii="仿宋_GB2312" w:eastAsia="仿宋_GB2312"/>
          <w:sz w:val="30"/>
          <w:szCs w:val="30"/>
        </w:rPr>
        <w:t>（2） 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732517DA">
      <w:pPr>
        <w:wordWrap/>
        <w:topLinePunct w:val="0"/>
        <w:spacing w:after="120"/>
        <w:ind w:firstLine="600"/>
        <w:rPr>
          <w:rFonts w:ascii="仿宋_GB2312" w:eastAsia="仿宋_GB2312"/>
          <w:sz w:val="30"/>
          <w:szCs w:val="30"/>
        </w:rPr>
      </w:pPr>
      <w:bookmarkStart w:id="483" w:name="_Ref4621461"/>
      <w:r>
        <w:rPr>
          <w:rFonts w:hint="eastAsia" w:ascii="仿宋_GB2312" w:eastAsia="仿宋_GB2312"/>
          <w:sz w:val="30"/>
          <w:szCs w:val="30"/>
        </w:rPr>
        <w:t>（3） 未能通过竣工试验，使工程或区段工程的任何主要部分丧失了生产、使用功能时，发包人有权指令承包人更换相关部分，承包人应承担因此增加的费用和误期损害赔偿责任，并赔偿发包人的相应损失</w:t>
      </w:r>
      <w:bookmarkEnd w:id="483"/>
      <w:r>
        <w:rPr>
          <w:rFonts w:hint="eastAsia" w:ascii="仿宋_GB2312" w:eastAsia="仿宋_GB2312"/>
          <w:sz w:val="30"/>
          <w:szCs w:val="30"/>
        </w:rPr>
        <w:t>；</w:t>
      </w:r>
    </w:p>
    <w:p w14:paraId="31ACFC51">
      <w:pPr>
        <w:wordWrap/>
        <w:topLinePunct w:val="0"/>
        <w:spacing w:after="120"/>
        <w:ind w:firstLine="600"/>
        <w:rPr>
          <w:rFonts w:ascii="仿宋_GB2312" w:eastAsia="仿宋_GB2312"/>
          <w:sz w:val="30"/>
          <w:szCs w:val="30"/>
        </w:rPr>
      </w:pPr>
      <w:r>
        <w:rPr>
          <w:rFonts w:hint="eastAsia" w:ascii="仿宋_GB2312" w:eastAsia="仿宋_GB2312"/>
          <w:sz w:val="30"/>
          <w:szCs w:val="30"/>
        </w:rPr>
        <w:t>（4） 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仿宋_GB2312" w:eastAsia="仿宋_GB2312"/>
          <w:sz w:val="30"/>
          <w:szCs w:val="30"/>
        </w:rPr>
        <w:t>16.1</w:t>
      </w:r>
      <w:r>
        <w:rPr>
          <w:rFonts w:hint="eastAsia" w:ascii="仿宋_GB2312" w:eastAsia="仿宋_GB2312"/>
          <w:sz w:val="30"/>
          <w:szCs w:val="30"/>
        </w:rPr>
        <w:t>款[由发包人解除合同]的约定解除合同。</w:t>
      </w:r>
    </w:p>
    <w:p w14:paraId="2CC42F5A">
      <w:pPr>
        <w:spacing w:after="120"/>
        <w:ind w:firstLine="0" w:firstLineChars="0"/>
        <w:rPr>
          <w:rFonts w:ascii="仿宋_GB2312" w:eastAsia="仿宋_GB2312"/>
          <w:sz w:val="32"/>
          <w:szCs w:val="32"/>
        </w:rPr>
      </w:pPr>
      <w:bookmarkStart w:id="484" w:name="_Ref4624043"/>
      <w:bookmarkStart w:id="485" w:name="_Toc22236"/>
      <w:bookmarkStart w:id="486" w:name="_Ref4618338"/>
      <w:bookmarkStart w:id="487" w:name="_Toc15590"/>
      <w:bookmarkStart w:id="488" w:name="_Ref4618348"/>
      <w:bookmarkStart w:id="489" w:name="_Toc5977"/>
      <w:bookmarkStart w:id="490" w:name="_Toc54862263"/>
      <w:r>
        <w:rPr>
          <w:rFonts w:hint="eastAsia" w:ascii="仿宋_GB2312" w:eastAsia="仿宋_GB2312"/>
          <w:sz w:val="32"/>
          <w:szCs w:val="32"/>
        </w:rPr>
        <w:t>第10条 验收和工程接收</w:t>
      </w:r>
      <w:bookmarkEnd w:id="484"/>
      <w:bookmarkEnd w:id="485"/>
      <w:bookmarkEnd w:id="486"/>
      <w:bookmarkEnd w:id="487"/>
      <w:bookmarkEnd w:id="488"/>
      <w:bookmarkEnd w:id="489"/>
      <w:bookmarkEnd w:id="490"/>
    </w:p>
    <w:p w14:paraId="48B1736B">
      <w:pPr>
        <w:spacing w:after="120"/>
        <w:ind w:firstLine="600"/>
        <w:rPr>
          <w:rFonts w:ascii="仿宋_GB2312" w:eastAsia="仿宋_GB2312"/>
          <w:sz w:val="30"/>
          <w:szCs w:val="30"/>
        </w:rPr>
      </w:pPr>
      <w:bookmarkStart w:id="491" w:name="_Ref532359143"/>
      <w:bookmarkStart w:id="492" w:name="_Ref532300801"/>
      <w:bookmarkStart w:id="493" w:name="_Toc54862264"/>
      <w:bookmarkStart w:id="494" w:name="_Ref532301202"/>
      <w:bookmarkStart w:id="495" w:name="_Ref532301199"/>
      <w:bookmarkStart w:id="496" w:name="_Ref532300804"/>
      <w:bookmarkStart w:id="497" w:name="_Ref532359152"/>
      <w:r>
        <w:rPr>
          <w:rFonts w:hint="eastAsia" w:ascii="仿宋_GB2312" w:eastAsia="仿宋_GB2312"/>
          <w:sz w:val="30"/>
          <w:szCs w:val="30"/>
        </w:rPr>
        <w:t>10.1 竣工验收</w:t>
      </w:r>
      <w:bookmarkEnd w:id="491"/>
      <w:bookmarkEnd w:id="492"/>
      <w:bookmarkEnd w:id="493"/>
      <w:bookmarkEnd w:id="494"/>
      <w:bookmarkEnd w:id="495"/>
      <w:bookmarkEnd w:id="496"/>
      <w:bookmarkEnd w:id="497"/>
    </w:p>
    <w:p w14:paraId="0D2A2172">
      <w:pPr>
        <w:spacing w:after="120"/>
        <w:ind w:firstLine="600"/>
        <w:rPr>
          <w:rFonts w:ascii="仿宋_GB2312" w:eastAsia="仿宋_GB2312"/>
          <w:sz w:val="30"/>
          <w:szCs w:val="30"/>
        </w:rPr>
      </w:pPr>
      <w:bookmarkStart w:id="498" w:name="_Ref532628356"/>
      <w:r>
        <w:rPr>
          <w:rFonts w:hint="eastAsia" w:ascii="仿宋_GB2312" w:eastAsia="仿宋_GB2312"/>
          <w:sz w:val="30"/>
          <w:szCs w:val="30"/>
        </w:rPr>
        <w:t>1</w:t>
      </w:r>
      <w:r>
        <w:rPr>
          <w:rFonts w:ascii="仿宋_GB2312" w:eastAsia="仿宋_GB2312"/>
          <w:sz w:val="30"/>
          <w:szCs w:val="30"/>
        </w:rPr>
        <w:t xml:space="preserve">0.1.1 </w:t>
      </w:r>
      <w:r>
        <w:rPr>
          <w:rFonts w:hint="eastAsia" w:ascii="仿宋_GB2312" w:eastAsia="仿宋_GB2312"/>
          <w:sz w:val="30"/>
          <w:szCs w:val="30"/>
        </w:rPr>
        <w:t>竣工验收条件</w:t>
      </w:r>
    </w:p>
    <w:p w14:paraId="32159CC5">
      <w:pPr>
        <w:wordWrap/>
        <w:topLinePunct w:val="0"/>
        <w:spacing w:after="120"/>
        <w:ind w:firstLine="600"/>
        <w:rPr>
          <w:rFonts w:ascii="仿宋_GB2312" w:eastAsia="仿宋_GB2312"/>
          <w:sz w:val="30"/>
          <w:szCs w:val="30"/>
        </w:rPr>
      </w:pPr>
      <w:r>
        <w:rPr>
          <w:rFonts w:hint="eastAsia" w:ascii="仿宋_GB2312" w:eastAsia="仿宋_GB2312"/>
          <w:sz w:val="30"/>
          <w:szCs w:val="30"/>
        </w:rPr>
        <w:t>工程具备以下条件的，承包人可以申请竣工验收：</w:t>
      </w:r>
    </w:p>
    <w:p w14:paraId="1765D584">
      <w:pPr>
        <w:wordWrap/>
        <w:topLinePunct w:val="0"/>
        <w:spacing w:after="120"/>
        <w:ind w:firstLine="600"/>
        <w:rPr>
          <w:rFonts w:ascii="仿宋_GB2312" w:eastAsia="仿宋_GB2312"/>
          <w:sz w:val="30"/>
          <w:szCs w:val="30"/>
        </w:rPr>
      </w:pPr>
      <w:r>
        <w:rPr>
          <w:rFonts w:hint="eastAsia" w:ascii="仿宋_GB2312" w:eastAsia="仿宋_GB2312"/>
          <w:sz w:val="30"/>
          <w:szCs w:val="30"/>
        </w:rPr>
        <w:t>（1） 除因第</w:t>
      </w:r>
      <w:r>
        <w:rPr>
          <w:rFonts w:ascii="仿宋_GB2312" w:eastAsia="仿宋_GB2312"/>
          <w:sz w:val="30"/>
          <w:szCs w:val="30"/>
        </w:rPr>
        <w:t>13条</w:t>
      </w:r>
      <w:r>
        <w:rPr>
          <w:rFonts w:hint="eastAsia" w:ascii="仿宋_GB2312" w:eastAsia="仿宋_GB2312"/>
          <w:sz w:val="30"/>
          <w:szCs w:val="30"/>
        </w:rPr>
        <w:t>[变更与调整]导致的工程量删减和第</w:t>
      </w:r>
      <w:r>
        <w:rPr>
          <w:rFonts w:ascii="仿宋_GB2312" w:eastAsia="仿宋_GB2312"/>
          <w:sz w:val="30"/>
          <w:szCs w:val="30"/>
        </w:rPr>
        <w:t>14.5.3</w:t>
      </w:r>
      <w:r>
        <w:rPr>
          <w:rFonts w:hint="eastAsia" w:ascii="仿宋_GB2312" w:eastAsia="仿宋_GB2312"/>
          <w:sz w:val="30"/>
          <w:szCs w:val="30"/>
        </w:rPr>
        <w:t>项[扫尾工作清单]列入缺陷责任期内完成的扫尾工程和缺陷修补工作外，合同范围内的全部单位/区段工程以及有关工作，包括合同要求的试验和竣工试验均已完成，并符合合同要求；</w:t>
      </w:r>
    </w:p>
    <w:p w14:paraId="0DB46C46">
      <w:pPr>
        <w:wordWrap/>
        <w:topLinePunct w:val="0"/>
        <w:spacing w:after="120"/>
        <w:ind w:firstLine="600"/>
        <w:rPr>
          <w:rFonts w:ascii="仿宋_GB2312" w:eastAsia="仿宋_GB2312"/>
          <w:sz w:val="30"/>
          <w:szCs w:val="30"/>
        </w:rPr>
      </w:pPr>
      <w:r>
        <w:rPr>
          <w:rFonts w:hint="eastAsia" w:ascii="仿宋_GB2312" w:eastAsia="仿宋_GB2312"/>
          <w:sz w:val="30"/>
          <w:szCs w:val="30"/>
        </w:rPr>
        <w:t>（2） 已按合同约定编制了扫尾工作和缺陷修补工作清单以及相应实施计划；</w:t>
      </w:r>
    </w:p>
    <w:p w14:paraId="08532A71">
      <w:pPr>
        <w:wordWrap/>
        <w:topLinePunct w:val="0"/>
        <w:spacing w:after="120"/>
        <w:ind w:firstLine="600"/>
        <w:rPr>
          <w:rFonts w:ascii="仿宋_GB2312" w:eastAsia="仿宋_GB2312"/>
          <w:sz w:val="30"/>
          <w:szCs w:val="30"/>
        </w:rPr>
      </w:pPr>
      <w:r>
        <w:rPr>
          <w:rFonts w:hint="eastAsia" w:ascii="仿宋_GB2312" w:eastAsia="仿宋_GB2312"/>
          <w:sz w:val="30"/>
          <w:szCs w:val="30"/>
        </w:rPr>
        <w:t>（3） 已按合同约定的内容和份数备齐竣工资料；</w:t>
      </w:r>
    </w:p>
    <w:p w14:paraId="318C4C24">
      <w:pPr>
        <w:wordWrap/>
        <w:topLinePunct w:val="0"/>
        <w:spacing w:after="120"/>
        <w:ind w:firstLine="600"/>
        <w:rPr>
          <w:rFonts w:ascii="仿宋_GB2312" w:eastAsia="仿宋_GB2312"/>
          <w:sz w:val="30"/>
          <w:szCs w:val="30"/>
        </w:rPr>
      </w:pPr>
      <w:r>
        <w:rPr>
          <w:rFonts w:hint="eastAsia" w:ascii="仿宋_GB2312" w:eastAsia="仿宋_GB2312"/>
          <w:sz w:val="30"/>
          <w:szCs w:val="30"/>
        </w:rPr>
        <w:t>（4） 合同约定要求在竣工验收前应完成的其他工作。</w:t>
      </w:r>
    </w:p>
    <w:bookmarkEnd w:id="498"/>
    <w:p w14:paraId="52F7A1C9">
      <w:pPr>
        <w:spacing w:after="120"/>
        <w:ind w:firstLine="600"/>
        <w:rPr>
          <w:rFonts w:ascii="仿宋_GB2312" w:eastAsia="仿宋_GB2312"/>
          <w:sz w:val="30"/>
          <w:szCs w:val="30"/>
        </w:rPr>
      </w:pPr>
      <w:bookmarkStart w:id="499" w:name="_Ref4429424"/>
      <w:bookmarkStart w:id="500" w:name="_Hlk51506601"/>
      <w:r>
        <w:rPr>
          <w:rFonts w:hint="eastAsia" w:ascii="仿宋_GB2312" w:eastAsia="仿宋_GB2312"/>
          <w:sz w:val="30"/>
          <w:szCs w:val="30"/>
        </w:rPr>
        <w:t>1</w:t>
      </w:r>
      <w:r>
        <w:rPr>
          <w:rFonts w:ascii="仿宋_GB2312" w:eastAsia="仿宋_GB2312"/>
          <w:sz w:val="30"/>
          <w:szCs w:val="30"/>
        </w:rPr>
        <w:t xml:space="preserve">0.1.2 </w:t>
      </w:r>
      <w:r>
        <w:rPr>
          <w:rFonts w:hint="eastAsia" w:ascii="仿宋_GB2312" w:eastAsia="仿宋_GB2312"/>
          <w:sz w:val="30"/>
          <w:szCs w:val="30"/>
        </w:rPr>
        <w:t>竣工验收程序</w:t>
      </w:r>
      <w:bookmarkEnd w:id="499"/>
    </w:p>
    <w:bookmarkEnd w:id="500"/>
    <w:p w14:paraId="24975397">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除专用合同条件另有约定外，承包人申请竣工验收的，应当按照以下程序进行：</w:t>
      </w:r>
    </w:p>
    <w:p w14:paraId="4608286F">
      <w:pPr>
        <w:wordWrap/>
        <w:topLinePunct w:val="0"/>
        <w:spacing w:after="120"/>
        <w:ind w:firstLine="600"/>
        <w:rPr>
          <w:rFonts w:ascii="仿宋_GB2312" w:eastAsia="仿宋_GB2312"/>
          <w:sz w:val="30"/>
          <w:szCs w:val="30"/>
        </w:rPr>
      </w:pPr>
      <w:r>
        <w:rPr>
          <w:rFonts w:hint="eastAsia" w:ascii="仿宋_GB2312" w:eastAsia="仿宋_GB2312"/>
          <w:sz w:val="30"/>
          <w:szCs w:val="30"/>
        </w:rPr>
        <w:t>（1） 承包人向工程师报送竣工验收申请报告，工程师应在收到竣工验收申请报告后14天内完成审查并报送发包人。工程师审查后认为尚不具备竣工验收条件的，应在收到竣工验收申请报告后的</w:t>
      </w:r>
      <w:r>
        <w:rPr>
          <w:rFonts w:ascii="仿宋_GB2312" w:eastAsia="仿宋_GB2312"/>
          <w:sz w:val="30"/>
          <w:szCs w:val="30"/>
        </w:rPr>
        <w:t>14</w:t>
      </w:r>
      <w:r>
        <w:rPr>
          <w:rFonts w:hint="eastAsia" w:ascii="仿宋_GB2312" w:eastAsia="仿宋_GB2312"/>
          <w:sz w:val="30"/>
          <w:szCs w:val="30"/>
        </w:rPr>
        <w:t>天内通知承包人，指出在颁发接收证书前承包人还需进行的工作内容。承包人完成工程师通知的全部工作内容后，应再次提交竣工验收申请报告，直至工程师同意为止。</w:t>
      </w:r>
    </w:p>
    <w:p w14:paraId="1F154CBB">
      <w:pPr>
        <w:wordWrap/>
        <w:topLinePunct w:val="0"/>
        <w:spacing w:after="120"/>
        <w:ind w:firstLine="600"/>
        <w:rPr>
          <w:rFonts w:ascii="仿宋_GB2312" w:eastAsia="仿宋_GB2312"/>
          <w:sz w:val="30"/>
          <w:szCs w:val="30"/>
        </w:rPr>
      </w:pPr>
      <w:r>
        <w:rPr>
          <w:rFonts w:hint="eastAsia" w:ascii="仿宋_GB2312" w:eastAsia="仿宋_GB2312"/>
          <w:sz w:val="30"/>
          <w:szCs w:val="30"/>
        </w:rPr>
        <w:t>（2） 工程师同意承包人提交的竣工验收申请报告的，或工程师收到竣工验收申请报告后</w:t>
      </w:r>
      <w:r>
        <w:rPr>
          <w:rFonts w:ascii="仿宋_GB2312" w:eastAsia="仿宋_GB2312"/>
          <w:sz w:val="30"/>
          <w:szCs w:val="30"/>
        </w:rPr>
        <w:t>14</w:t>
      </w:r>
      <w:r>
        <w:rPr>
          <w:rFonts w:hint="eastAsia" w:ascii="仿宋_GB2312" w:eastAsia="仿宋_GB2312"/>
          <w:sz w:val="30"/>
          <w:szCs w:val="30"/>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14C10F75">
      <w:pPr>
        <w:wordWrap/>
        <w:topLinePunct w:val="0"/>
        <w:spacing w:after="120"/>
        <w:ind w:firstLine="600"/>
        <w:rPr>
          <w:rFonts w:ascii="仿宋_GB2312" w:eastAsia="仿宋_GB2312"/>
          <w:sz w:val="30"/>
          <w:szCs w:val="30"/>
        </w:rPr>
      </w:pPr>
      <w:r>
        <w:rPr>
          <w:rFonts w:hint="eastAsia" w:ascii="仿宋_GB2312" w:eastAsia="仿宋_GB2312"/>
          <w:sz w:val="30"/>
          <w:szCs w:val="30"/>
        </w:rPr>
        <w:t>（3） 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5027662A">
      <w:pPr>
        <w:wordWrap/>
        <w:topLinePunct w:val="0"/>
        <w:spacing w:after="120"/>
        <w:ind w:firstLine="600"/>
        <w:rPr>
          <w:rFonts w:ascii="仿宋_GB2312" w:eastAsia="仿宋_GB2312"/>
          <w:sz w:val="30"/>
          <w:szCs w:val="30"/>
        </w:rPr>
      </w:pPr>
      <w:bookmarkStart w:id="501" w:name="_Hlk51506640"/>
      <w:r>
        <w:rPr>
          <w:rFonts w:hint="eastAsia" w:ascii="仿宋_GB2312" w:eastAsia="仿宋_GB2312"/>
          <w:sz w:val="30"/>
          <w:szCs w:val="30"/>
        </w:rPr>
        <w:t>（4） 因发包人原因，未在工程师收到承包人竣工验收申请报告之日起</w:t>
      </w:r>
      <w:r>
        <w:rPr>
          <w:rFonts w:ascii="仿宋_GB2312" w:eastAsia="仿宋_GB2312"/>
          <w:sz w:val="30"/>
          <w:szCs w:val="30"/>
        </w:rPr>
        <w:t>42</w:t>
      </w:r>
      <w:r>
        <w:rPr>
          <w:rFonts w:hint="eastAsia" w:ascii="仿宋_GB2312" w:eastAsia="仿宋_GB2312"/>
          <w:sz w:val="30"/>
          <w:szCs w:val="30"/>
        </w:rPr>
        <w:t>天内完成竣工验收的，以承包人提交竣工验收申请报告之日</w:t>
      </w:r>
      <w:r>
        <w:rPr>
          <w:rFonts w:ascii="仿宋_GB2312" w:eastAsia="仿宋_GB2312"/>
          <w:sz w:val="30"/>
          <w:szCs w:val="30"/>
        </w:rPr>
        <w:t>作为工程实际竣工日期</w:t>
      </w:r>
      <w:r>
        <w:rPr>
          <w:rFonts w:hint="eastAsia" w:ascii="仿宋_GB2312" w:eastAsia="仿宋_GB2312"/>
          <w:sz w:val="30"/>
          <w:szCs w:val="30"/>
        </w:rPr>
        <w:t>。</w:t>
      </w:r>
    </w:p>
    <w:bookmarkEnd w:id="501"/>
    <w:p w14:paraId="4E6D320B">
      <w:pPr>
        <w:wordWrap/>
        <w:topLinePunct w:val="0"/>
        <w:spacing w:after="120"/>
        <w:ind w:firstLine="600"/>
        <w:rPr>
          <w:rFonts w:ascii="仿宋_GB2312" w:eastAsia="仿宋_GB2312"/>
          <w:sz w:val="30"/>
          <w:szCs w:val="30"/>
        </w:rPr>
      </w:pPr>
      <w:r>
        <w:rPr>
          <w:rFonts w:hint="eastAsia" w:ascii="仿宋_GB2312" w:eastAsia="仿宋_GB2312"/>
          <w:sz w:val="30"/>
          <w:szCs w:val="30"/>
        </w:rPr>
        <w:t>（5） 工程未经竣工验收，发包人擅自使用的，以转移占有工程之日为实际竣工日期。</w:t>
      </w:r>
    </w:p>
    <w:p w14:paraId="72CD245D">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除专用合同条件另有约定外，发包人不按照本项和第</w:t>
      </w:r>
      <w:r>
        <w:rPr>
          <w:rFonts w:ascii="仿宋_GB2312" w:eastAsia="仿宋_GB2312"/>
          <w:sz w:val="30"/>
          <w:szCs w:val="30"/>
        </w:rPr>
        <w:t>10.4</w:t>
      </w:r>
      <w:r>
        <w:rPr>
          <w:rFonts w:hint="eastAsia" w:ascii="仿宋_GB2312" w:eastAsia="仿宋_GB2312"/>
          <w:sz w:val="30"/>
          <w:szCs w:val="30"/>
        </w:rPr>
        <w:t>款</w:t>
      </w:r>
      <w:r>
        <w:rPr>
          <w:rFonts w:ascii="仿宋_GB2312" w:eastAsia="仿宋_GB2312"/>
          <w:sz w:val="30"/>
          <w:szCs w:val="30"/>
        </w:rPr>
        <w:t>[接收证书]</w:t>
      </w:r>
      <w:r>
        <w:rPr>
          <w:rFonts w:hint="eastAsia" w:ascii="仿宋_GB2312" w:eastAsia="仿宋_GB2312"/>
          <w:sz w:val="30"/>
          <w:szCs w:val="30"/>
        </w:rPr>
        <w:t>约定组织竣工验收、颁发工程接收证书的，每逾期一天，应以签约合同价为基数，按照贷款市场报价利率（LPR）支付违约金。</w:t>
      </w:r>
    </w:p>
    <w:p w14:paraId="0977C4F9">
      <w:pPr>
        <w:spacing w:after="120"/>
        <w:ind w:firstLine="600"/>
        <w:rPr>
          <w:rFonts w:ascii="仿宋_GB2312" w:eastAsia="仿宋_GB2312"/>
          <w:sz w:val="30"/>
          <w:szCs w:val="30"/>
        </w:rPr>
      </w:pPr>
      <w:bookmarkStart w:id="502" w:name="_Ref532301213"/>
      <w:bookmarkStart w:id="503" w:name="_Ref532301210"/>
      <w:bookmarkStart w:id="504" w:name="_Toc54862265"/>
      <w:r>
        <w:rPr>
          <w:rFonts w:hint="eastAsia" w:ascii="仿宋_GB2312" w:eastAsia="仿宋_GB2312"/>
          <w:sz w:val="30"/>
          <w:szCs w:val="30"/>
        </w:rPr>
        <w:t>10.2 单位/区段工程的验收</w:t>
      </w:r>
      <w:bookmarkEnd w:id="502"/>
      <w:bookmarkEnd w:id="503"/>
      <w:bookmarkEnd w:id="504"/>
    </w:p>
    <w:p w14:paraId="0B91B13A">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0.2.1 </w:t>
      </w:r>
      <w:r>
        <w:rPr>
          <w:rFonts w:hint="eastAsia" w:ascii="仿宋_GB2312" w:eastAsia="仿宋_GB2312"/>
          <w:sz w:val="30"/>
          <w:szCs w:val="30"/>
        </w:rPr>
        <w:t>发包人根据项目进度计划安排，在全部工程竣工前需要使用已经竣工的单位/区段工程时，或承包人提出经发包人同意时，可进行单位/区段工程验收。验收的程序可参照第</w:t>
      </w:r>
      <w:r>
        <w:rPr>
          <w:rFonts w:ascii="仿宋_GB2312" w:eastAsia="仿宋_GB2312"/>
          <w:sz w:val="30"/>
          <w:szCs w:val="30"/>
        </w:rPr>
        <w:t>10.1</w:t>
      </w:r>
      <w:r>
        <w:rPr>
          <w:rFonts w:hint="eastAsia" w:ascii="仿宋_GB2312" w:eastAsia="仿宋_GB2312"/>
          <w:sz w:val="30"/>
          <w:szCs w:val="30"/>
        </w:rPr>
        <w:t>款[竣工验收]的约定进行。验收合格后，由工程师向承包人出具经发包人签认的单位/区段工程验收证书。单位/区段工程的验收成果和结论作为全部工程竣工验收申请报告的附件。</w:t>
      </w:r>
    </w:p>
    <w:p w14:paraId="2206C45B">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0.2.2 </w:t>
      </w:r>
      <w:r>
        <w:rPr>
          <w:rFonts w:hint="eastAsia" w:ascii="仿宋_GB2312" w:eastAsia="仿宋_GB2312"/>
          <w:sz w:val="30"/>
          <w:szCs w:val="30"/>
        </w:rPr>
        <w:t>发包人在全部工程竣工前，使用已接收的单位/区段工程导致承包人费用增加的，发包人应承担由此增加的费用和（或）工期延误，并支付承包人合理利润。</w:t>
      </w:r>
    </w:p>
    <w:p w14:paraId="14975A17">
      <w:pPr>
        <w:spacing w:after="120"/>
        <w:ind w:firstLine="600"/>
        <w:rPr>
          <w:rFonts w:ascii="仿宋_GB2312" w:eastAsia="仿宋_GB2312"/>
          <w:sz w:val="30"/>
          <w:szCs w:val="30"/>
        </w:rPr>
      </w:pPr>
      <w:bookmarkStart w:id="505" w:name="_Toc54862266"/>
      <w:bookmarkStart w:id="506" w:name="_Ref4429473"/>
      <w:bookmarkStart w:id="507" w:name="_Ref532688351"/>
      <w:bookmarkStart w:id="508" w:name="_Ref532688354"/>
      <w:r>
        <w:rPr>
          <w:rFonts w:hint="eastAsia" w:ascii="仿宋_GB2312" w:eastAsia="仿宋_GB2312"/>
          <w:sz w:val="30"/>
          <w:szCs w:val="30"/>
        </w:rPr>
        <w:t>10.3 工程的接收</w:t>
      </w:r>
      <w:bookmarkEnd w:id="505"/>
    </w:p>
    <w:p w14:paraId="5283F1EC">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0.3.1 </w:t>
      </w:r>
      <w:r>
        <w:rPr>
          <w:rFonts w:hint="eastAsia" w:ascii="仿宋_GB2312" w:eastAsia="仿宋_GB2312"/>
          <w:sz w:val="30"/>
          <w:szCs w:val="30"/>
        </w:rPr>
        <w:t>根据工程项目的具体情况和特点，可按工程或单位/区段工程进行接收，并在专用合同条件约定接收的先后顺序、时间安排和其他要求。</w:t>
      </w:r>
    </w:p>
    <w:p w14:paraId="7D641DC0">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0.3.2 </w:t>
      </w:r>
      <w:r>
        <w:rPr>
          <w:rFonts w:hint="eastAsia" w:ascii="仿宋_GB2312" w:eastAsia="仿宋_GB2312"/>
          <w:sz w:val="30"/>
          <w:szCs w:val="30"/>
        </w:rPr>
        <w:t>除按本条约定已经提交的资料外，接收工程时承包人需提交竣工验收资料的类别、内容、份数和提交时间，在专用合同条件中约定。</w:t>
      </w:r>
    </w:p>
    <w:p w14:paraId="7B68553E">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0.3.3 </w:t>
      </w:r>
      <w:r>
        <w:rPr>
          <w:rFonts w:hint="eastAsia" w:ascii="仿宋_GB2312" w:eastAsia="仿宋_GB2312"/>
          <w:sz w:val="30"/>
          <w:szCs w:val="30"/>
        </w:rPr>
        <w:t>发包人无正当理由不接收工程的，发包人自应当接收工程之日起，承担工程照管、成品保护、保管等与工程有关的各项费用，合同当事人可以在专用合同条件中另行约定发包人逾期接收工程的违约责任。</w:t>
      </w:r>
    </w:p>
    <w:p w14:paraId="465AAEA4">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0.3.4 </w:t>
      </w:r>
      <w:r>
        <w:rPr>
          <w:rFonts w:hint="eastAsia" w:ascii="仿宋_GB2312" w:eastAsia="仿宋_GB2312"/>
          <w:sz w:val="30"/>
          <w:szCs w:val="30"/>
        </w:rPr>
        <w:t>承包人无正当理由不移交工程的，承包人应承担工程照管、成品保护、保管等与工程有关的各项费用，合同当事人可以在专用合同条件中另行约定承包人无正当理由不移交工程的违约责任。</w:t>
      </w:r>
    </w:p>
    <w:p w14:paraId="65A091B8">
      <w:pPr>
        <w:spacing w:after="120"/>
        <w:ind w:firstLine="600"/>
        <w:rPr>
          <w:rFonts w:ascii="仿宋_GB2312" w:eastAsia="仿宋_GB2312"/>
          <w:sz w:val="30"/>
          <w:szCs w:val="30"/>
        </w:rPr>
      </w:pPr>
      <w:bookmarkStart w:id="509" w:name="_Toc54862267"/>
      <w:r>
        <w:rPr>
          <w:rFonts w:hint="eastAsia" w:ascii="仿宋_GB2312" w:eastAsia="仿宋_GB2312"/>
          <w:sz w:val="30"/>
          <w:szCs w:val="30"/>
        </w:rPr>
        <w:t>10.4 接收证书</w:t>
      </w:r>
      <w:bookmarkEnd w:id="506"/>
      <w:bookmarkEnd w:id="509"/>
    </w:p>
    <w:p w14:paraId="04E069AF">
      <w:pPr>
        <w:spacing w:after="120"/>
        <w:ind w:firstLine="600"/>
        <w:rPr>
          <w:rFonts w:ascii="仿宋_GB2312" w:eastAsia="仿宋_GB2312"/>
          <w:sz w:val="30"/>
          <w:szCs w:val="30"/>
        </w:rPr>
      </w:pPr>
      <w:bookmarkStart w:id="510" w:name="_Ref4429542"/>
      <w:r>
        <w:rPr>
          <w:rFonts w:hint="eastAsia" w:ascii="仿宋_GB2312" w:eastAsia="仿宋_GB2312"/>
          <w:sz w:val="30"/>
          <w:szCs w:val="30"/>
        </w:rPr>
        <w:t>1</w:t>
      </w:r>
      <w:r>
        <w:rPr>
          <w:rFonts w:ascii="仿宋_GB2312" w:eastAsia="仿宋_GB2312"/>
          <w:sz w:val="30"/>
          <w:szCs w:val="30"/>
        </w:rPr>
        <w:t xml:space="preserve">0.4.1 </w:t>
      </w:r>
      <w:r>
        <w:rPr>
          <w:rFonts w:hint="eastAsia" w:ascii="仿宋_GB2312" w:eastAsia="仿宋_GB2312"/>
          <w:sz w:val="30"/>
          <w:szCs w:val="30"/>
        </w:rPr>
        <w:t>除专用合同条件另有约定外，承包人应在竣工验收合格后向发包人提交第</w:t>
      </w:r>
      <w:r>
        <w:rPr>
          <w:rFonts w:ascii="仿宋_GB2312" w:eastAsia="仿宋_GB2312"/>
          <w:sz w:val="30"/>
          <w:szCs w:val="30"/>
        </w:rPr>
        <w:t>14.6</w:t>
      </w:r>
      <w:r>
        <w:rPr>
          <w:rFonts w:hint="eastAsia" w:ascii="仿宋_GB2312" w:eastAsia="仿宋_GB2312"/>
          <w:sz w:val="30"/>
          <w:szCs w:val="30"/>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510"/>
    </w:p>
    <w:p w14:paraId="65027554">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0.4.2 </w:t>
      </w:r>
      <w:r>
        <w:rPr>
          <w:rFonts w:hint="eastAsia" w:ascii="仿宋_GB2312" w:eastAsia="仿宋_GB2312"/>
          <w:sz w:val="30"/>
          <w:szCs w:val="30"/>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24DD458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0.4.3 </w:t>
      </w:r>
      <w:r>
        <w:rPr>
          <w:rFonts w:hint="eastAsia" w:ascii="仿宋_GB2312" w:eastAsia="仿宋_GB2312"/>
          <w:sz w:val="30"/>
          <w:szCs w:val="30"/>
        </w:rPr>
        <w:t>竣工验收合格而发包人无正当理由逾期不颁发工程接收证书的，自验收合格后第15天起视为已颁发工程接收证书。</w:t>
      </w:r>
    </w:p>
    <w:p w14:paraId="13FE52E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0.4.4 </w:t>
      </w:r>
      <w:r>
        <w:rPr>
          <w:rFonts w:hint="eastAsia" w:ascii="仿宋_GB2312" w:eastAsia="仿宋_GB2312"/>
          <w:sz w:val="30"/>
          <w:szCs w:val="30"/>
        </w:rPr>
        <w:t>工程未经验收或验收不合格，发包人擅自使用的，应在转移占有工程后7天内向承包人颁发工程接收证书；发包人无正当理由逾期不颁发工程接收证书的，自转移占有后第15天起视为已颁发工程接收证书。</w:t>
      </w:r>
    </w:p>
    <w:p w14:paraId="4FBD0A40">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0.4.5 </w:t>
      </w:r>
      <w:r>
        <w:rPr>
          <w:rFonts w:hint="eastAsia" w:ascii="仿宋_GB2312" w:eastAsia="仿宋_GB2312"/>
          <w:sz w:val="30"/>
          <w:szCs w:val="30"/>
        </w:rPr>
        <w:t>存在扫尾工作的，工程接收证书中应当将第</w:t>
      </w:r>
      <w:r>
        <w:rPr>
          <w:rFonts w:ascii="仿宋_GB2312" w:eastAsia="仿宋_GB2312"/>
          <w:sz w:val="30"/>
          <w:szCs w:val="30"/>
        </w:rPr>
        <w:t>14.5.3</w:t>
      </w:r>
      <w:r>
        <w:rPr>
          <w:rFonts w:hint="eastAsia" w:ascii="仿宋_GB2312" w:eastAsia="仿宋_GB2312"/>
          <w:sz w:val="30"/>
          <w:szCs w:val="30"/>
        </w:rPr>
        <w:t>项[扫尾工作清单]中约定的扫尾工作清单作为工程接收证书附件。</w:t>
      </w:r>
    </w:p>
    <w:bookmarkEnd w:id="507"/>
    <w:bookmarkEnd w:id="508"/>
    <w:p w14:paraId="464EEB48">
      <w:pPr>
        <w:spacing w:after="120"/>
        <w:ind w:firstLine="600"/>
        <w:rPr>
          <w:rFonts w:ascii="仿宋_GB2312" w:eastAsia="仿宋_GB2312"/>
          <w:sz w:val="30"/>
          <w:szCs w:val="30"/>
        </w:rPr>
      </w:pPr>
      <w:bookmarkStart w:id="511" w:name="_Ref4429935"/>
      <w:bookmarkStart w:id="512" w:name="_Toc54862268"/>
      <w:bookmarkStart w:id="513" w:name="_Ref4429932"/>
      <w:r>
        <w:rPr>
          <w:rFonts w:hint="eastAsia" w:ascii="仿宋_GB2312" w:eastAsia="仿宋_GB2312"/>
          <w:sz w:val="30"/>
          <w:szCs w:val="30"/>
        </w:rPr>
        <w:t>10.5 竣工退场</w:t>
      </w:r>
      <w:bookmarkEnd w:id="511"/>
      <w:bookmarkEnd w:id="512"/>
      <w:bookmarkEnd w:id="513"/>
    </w:p>
    <w:p w14:paraId="4C08218F">
      <w:pPr>
        <w:spacing w:after="120"/>
        <w:ind w:firstLine="600"/>
        <w:rPr>
          <w:rFonts w:ascii="仿宋_GB2312" w:eastAsia="仿宋_GB2312"/>
          <w:sz w:val="30"/>
          <w:szCs w:val="30"/>
        </w:rPr>
      </w:pPr>
      <w:bookmarkStart w:id="514" w:name="_Ref4429943"/>
      <w:r>
        <w:rPr>
          <w:rFonts w:hint="eastAsia" w:ascii="仿宋_GB2312" w:eastAsia="仿宋_GB2312"/>
          <w:sz w:val="30"/>
          <w:szCs w:val="30"/>
        </w:rPr>
        <w:t>1</w:t>
      </w:r>
      <w:r>
        <w:rPr>
          <w:rFonts w:ascii="仿宋_GB2312" w:eastAsia="仿宋_GB2312"/>
          <w:sz w:val="30"/>
          <w:szCs w:val="30"/>
        </w:rPr>
        <w:t xml:space="preserve">0.5.1 </w:t>
      </w:r>
      <w:r>
        <w:rPr>
          <w:rFonts w:hint="eastAsia" w:ascii="仿宋_GB2312" w:eastAsia="仿宋_GB2312"/>
          <w:sz w:val="30"/>
          <w:szCs w:val="30"/>
        </w:rPr>
        <w:t>竣工退场</w:t>
      </w:r>
      <w:bookmarkEnd w:id="514"/>
    </w:p>
    <w:p w14:paraId="7D7EF100">
      <w:pPr>
        <w:wordWrap/>
        <w:topLinePunct w:val="0"/>
        <w:spacing w:after="120"/>
        <w:ind w:firstLine="600"/>
        <w:rPr>
          <w:rFonts w:ascii="仿宋_GB2312" w:eastAsia="仿宋_GB2312"/>
          <w:sz w:val="30"/>
          <w:szCs w:val="30"/>
        </w:rPr>
      </w:pPr>
      <w:r>
        <w:rPr>
          <w:rFonts w:hint="eastAsia" w:ascii="仿宋_GB2312" w:eastAsia="仿宋_GB2312"/>
          <w:sz w:val="30"/>
          <w:szCs w:val="30"/>
        </w:rPr>
        <w:t>颁发工程接收证书后，承包人应对施工现场进行清理，并撤离相关人员，使得施工现场处于以下状态，直至工程师检验合格为止：</w:t>
      </w:r>
    </w:p>
    <w:p w14:paraId="08114288">
      <w:pPr>
        <w:wordWrap/>
        <w:topLinePunct w:val="0"/>
        <w:spacing w:after="120"/>
        <w:ind w:firstLine="600"/>
        <w:rPr>
          <w:rFonts w:ascii="仿宋_GB2312" w:eastAsia="仿宋_GB2312"/>
          <w:sz w:val="30"/>
          <w:szCs w:val="30"/>
        </w:rPr>
      </w:pPr>
      <w:r>
        <w:rPr>
          <w:rFonts w:hint="eastAsia" w:ascii="仿宋_GB2312" w:eastAsia="仿宋_GB2312"/>
          <w:sz w:val="30"/>
          <w:szCs w:val="30"/>
        </w:rPr>
        <w:t>（1） 施工现场内残留的垃圾已全部清除出场；</w:t>
      </w:r>
    </w:p>
    <w:p w14:paraId="7A7CA1AD">
      <w:pPr>
        <w:wordWrap/>
        <w:topLinePunct w:val="0"/>
        <w:spacing w:after="120"/>
        <w:ind w:firstLine="600"/>
        <w:rPr>
          <w:rFonts w:ascii="仿宋_GB2312" w:eastAsia="仿宋_GB2312"/>
          <w:sz w:val="30"/>
          <w:szCs w:val="30"/>
        </w:rPr>
      </w:pPr>
      <w:r>
        <w:rPr>
          <w:rFonts w:hint="eastAsia" w:ascii="仿宋_GB2312" w:eastAsia="仿宋_GB2312"/>
          <w:sz w:val="30"/>
          <w:szCs w:val="30"/>
        </w:rPr>
        <w:t>（2） 临时工程已拆除，场地已按合同约定进行清理、平整或复原；</w:t>
      </w:r>
    </w:p>
    <w:p w14:paraId="65512D59">
      <w:pPr>
        <w:wordWrap/>
        <w:topLinePunct w:val="0"/>
        <w:spacing w:after="120"/>
        <w:ind w:firstLine="600"/>
        <w:rPr>
          <w:rFonts w:ascii="仿宋_GB2312" w:eastAsia="仿宋_GB2312"/>
          <w:sz w:val="30"/>
          <w:szCs w:val="30"/>
        </w:rPr>
      </w:pPr>
      <w:r>
        <w:rPr>
          <w:rFonts w:hint="eastAsia" w:ascii="仿宋_GB2312" w:eastAsia="仿宋_GB2312"/>
          <w:sz w:val="30"/>
          <w:szCs w:val="30"/>
        </w:rPr>
        <w:t>（3） 按合同约定应撤离的人员、承包人提供的施工设备和剩余的材料，包括废弃的施工设备和材料，已按计划撤离施工现场；</w:t>
      </w:r>
    </w:p>
    <w:p w14:paraId="355F7292">
      <w:pPr>
        <w:wordWrap/>
        <w:topLinePunct w:val="0"/>
        <w:spacing w:after="120"/>
        <w:ind w:firstLine="600"/>
        <w:rPr>
          <w:rFonts w:ascii="仿宋_GB2312" w:eastAsia="仿宋_GB2312"/>
          <w:sz w:val="30"/>
          <w:szCs w:val="30"/>
        </w:rPr>
      </w:pPr>
      <w:r>
        <w:rPr>
          <w:rFonts w:hint="eastAsia" w:ascii="仿宋_GB2312" w:eastAsia="仿宋_GB2312"/>
          <w:sz w:val="30"/>
          <w:szCs w:val="30"/>
        </w:rPr>
        <w:t>（4） 施工现场周边及其附近道路、河道的施工堆积物，已全部清理；</w:t>
      </w:r>
    </w:p>
    <w:p w14:paraId="34D3D170">
      <w:pPr>
        <w:wordWrap/>
        <w:topLinePunct w:val="0"/>
        <w:spacing w:after="120"/>
        <w:ind w:firstLine="600"/>
        <w:rPr>
          <w:rFonts w:ascii="仿宋_GB2312" w:eastAsia="仿宋_GB2312"/>
          <w:sz w:val="30"/>
          <w:szCs w:val="30"/>
        </w:rPr>
      </w:pPr>
      <w:r>
        <w:rPr>
          <w:rFonts w:hint="eastAsia" w:ascii="仿宋_GB2312" w:eastAsia="仿宋_GB2312"/>
          <w:sz w:val="30"/>
          <w:szCs w:val="30"/>
        </w:rPr>
        <w:t>（5） 施工现场其他竣工退场工作已全部完成。</w:t>
      </w:r>
    </w:p>
    <w:p w14:paraId="07105D13">
      <w:pPr>
        <w:wordWrap/>
        <w:topLinePunct w:val="0"/>
        <w:spacing w:after="120"/>
        <w:ind w:firstLine="600"/>
        <w:rPr>
          <w:rFonts w:ascii="仿宋_GB2312" w:eastAsia="仿宋_GB2312"/>
          <w:sz w:val="30"/>
          <w:szCs w:val="30"/>
        </w:rPr>
      </w:pPr>
      <w:r>
        <w:rPr>
          <w:rFonts w:hint="eastAsia" w:ascii="仿宋_GB2312" w:eastAsia="仿宋_GB2312"/>
          <w:sz w:val="30"/>
          <w:szCs w:val="30"/>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49CE8479">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0.5.2 </w:t>
      </w:r>
      <w:r>
        <w:rPr>
          <w:rFonts w:hint="eastAsia" w:ascii="仿宋_GB2312" w:eastAsia="仿宋_GB2312"/>
          <w:sz w:val="30"/>
          <w:szCs w:val="30"/>
        </w:rPr>
        <w:t>地表还原</w:t>
      </w:r>
    </w:p>
    <w:p w14:paraId="60868DBC">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承包人应按合同约定和工程师的要求恢复临时占地及清理场地，否则发包人有权委托其他人恢复或清理，所发生的费用由承包人承担。</w:t>
      </w:r>
    </w:p>
    <w:p w14:paraId="663AAF78">
      <w:pPr>
        <w:spacing w:after="120"/>
        <w:ind w:firstLine="600"/>
        <w:rPr>
          <w:rFonts w:ascii="仿宋_GB2312" w:eastAsia="仿宋_GB2312"/>
          <w:sz w:val="30"/>
          <w:szCs w:val="30"/>
        </w:rPr>
      </w:pPr>
      <w:bookmarkStart w:id="515" w:name="_Ref20159437"/>
      <w:r>
        <w:rPr>
          <w:rFonts w:hint="eastAsia" w:ascii="仿宋_GB2312" w:eastAsia="仿宋_GB2312"/>
          <w:sz w:val="30"/>
          <w:szCs w:val="30"/>
        </w:rPr>
        <w:t>1</w:t>
      </w:r>
      <w:r>
        <w:rPr>
          <w:rFonts w:ascii="仿宋_GB2312" w:eastAsia="仿宋_GB2312"/>
          <w:sz w:val="30"/>
          <w:szCs w:val="30"/>
        </w:rPr>
        <w:t xml:space="preserve">0.5.3 </w:t>
      </w:r>
      <w:r>
        <w:rPr>
          <w:rFonts w:hint="eastAsia" w:ascii="仿宋_GB2312" w:eastAsia="仿宋_GB2312"/>
          <w:sz w:val="30"/>
          <w:szCs w:val="30"/>
        </w:rPr>
        <w:t>人员撤离</w:t>
      </w:r>
      <w:bookmarkEnd w:id="515"/>
    </w:p>
    <w:p w14:paraId="357ACDCB">
      <w:pPr>
        <w:wordWrap/>
        <w:topLinePunct w:val="0"/>
        <w:spacing w:after="120"/>
        <w:ind w:firstLine="600"/>
        <w:rPr>
          <w:rFonts w:ascii="仿宋_GB2312" w:eastAsia="仿宋_GB2312"/>
          <w:sz w:val="30"/>
          <w:szCs w:val="30"/>
        </w:rPr>
      </w:pPr>
      <w:r>
        <w:rPr>
          <w:rFonts w:hint="eastAsia" w:ascii="仿宋_GB2312" w:eastAsia="仿宋_GB2312"/>
          <w:sz w:val="30"/>
          <w:szCs w:val="30"/>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393"/>
    </w:p>
    <w:p w14:paraId="63537B94">
      <w:pPr>
        <w:spacing w:after="120"/>
        <w:ind w:firstLine="0" w:firstLineChars="0"/>
        <w:rPr>
          <w:rFonts w:ascii="仿宋_GB2312" w:eastAsia="仿宋_GB2312"/>
          <w:sz w:val="32"/>
          <w:szCs w:val="32"/>
        </w:rPr>
      </w:pPr>
      <w:bookmarkStart w:id="516" w:name="_Ref4796906"/>
      <w:bookmarkStart w:id="517" w:name="_Ref4796909"/>
      <w:bookmarkStart w:id="518" w:name="_Ref531955009"/>
      <w:bookmarkStart w:id="519" w:name="_Toc17345"/>
      <w:bookmarkStart w:id="520" w:name="_Toc5712"/>
      <w:bookmarkStart w:id="521" w:name="_Toc54862269"/>
      <w:bookmarkStart w:id="522" w:name="_Toc25472"/>
      <w:r>
        <w:rPr>
          <w:rFonts w:hint="eastAsia" w:ascii="仿宋_GB2312" w:eastAsia="仿宋_GB2312"/>
          <w:sz w:val="32"/>
          <w:szCs w:val="32"/>
        </w:rPr>
        <w:t>第11条 缺陷责任与保修</w:t>
      </w:r>
      <w:bookmarkEnd w:id="516"/>
      <w:bookmarkEnd w:id="517"/>
      <w:bookmarkEnd w:id="518"/>
      <w:bookmarkEnd w:id="519"/>
      <w:bookmarkEnd w:id="520"/>
      <w:bookmarkEnd w:id="521"/>
      <w:bookmarkEnd w:id="522"/>
    </w:p>
    <w:p w14:paraId="6EC2144D">
      <w:pPr>
        <w:spacing w:after="120"/>
        <w:ind w:firstLine="600"/>
        <w:rPr>
          <w:rFonts w:ascii="仿宋_GB2312" w:eastAsia="仿宋_GB2312"/>
          <w:sz w:val="30"/>
          <w:szCs w:val="30"/>
        </w:rPr>
      </w:pPr>
      <w:bookmarkStart w:id="523" w:name="_Toc54862270"/>
      <w:bookmarkStart w:id="524" w:name="_Ref531955245"/>
      <w:bookmarkStart w:id="525" w:name="_Ref531955248"/>
      <w:bookmarkStart w:id="526" w:name="_Ref532362928"/>
      <w:bookmarkStart w:id="527" w:name="_Toc296346648"/>
      <w:bookmarkStart w:id="528" w:name="_Toc337558841"/>
      <w:bookmarkStart w:id="529" w:name="_Toc296503147"/>
      <w:r>
        <w:rPr>
          <w:rFonts w:hint="eastAsia" w:ascii="仿宋_GB2312" w:eastAsia="仿宋_GB2312"/>
          <w:sz w:val="30"/>
          <w:szCs w:val="30"/>
        </w:rPr>
        <w:t>11.1 工程保修的原则</w:t>
      </w:r>
      <w:bookmarkEnd w:id="523"/>
    </w:p>
    <w:p w14:paraId="7A80EEF8">
      <w:pPr>
        <w:wordWrap/>
        <w:topLinePunct w:val="0"/>
        <w:spacing w:after="120"/>
        <w:ind w:firstLine="600"/>
        <w:rPr>
          <w:rFonts w:ascii="仿宋_GB2312" w:eastAsia="仿宋_GB2312"/>
          <w:sz w:val="30"/>
          <w:szCs w:val="30"/>
        </w:rPr>
      </w:pPr>
      <w:r>
        <w:rPr>
          <w:rFonts w:hint="eastAsia" w:ascii="仿宋_GB2312" w:eastAsia="仿宋_GB2312"/>
          <w:sz w:val="30"/>
          <w:szCs w:val="30"/>
        </w:rPr>
        <w:t>在工程移交发包人后，因承包人原因产生的质量缺陷，承包人应承担质量缺陷责任和保修义务。缺陷责任期届满，承包人仍应按合同约定的工程各部位保修年限承担保修义务。</w:t>
      </w:r>
    </w:p>
    <w:p w14:paraId="6D62DB5F">
      <w:pPr>
        <w:spacing w:after="120"/>
        <w:ind w:firstLine="600"/>
        <w:rPr>
          <w:rFonts w:ascii="仿宋_GB2312" w:eastAsia="仿宋_GB2312"/>
          <w:sz w:val="30"/>
          <w:szCs w:val="30"/>
        </w:rPr>
      </w:pPr>
      <w:bookmarkStart w:id="530" w:name="_Toc54862271"/>
      <w:bookmarkStart w:id="531" w:name="_Ref4430062"/>
      <w:r>
        <w:rPr>
          <w:rFonts w:hint="eastAsia" w:ascii="仿宋_GB2312" w:eastAsia="仿宋_GB2312"/>
          <w:sz w:val="30"/>
          <w:szCs w:val="30"/>
        </w:rPr>
        <w:t>11.2 缺陷责任</w:t>
      </w:r>
      <w:bookmarkEnd w:id="524"/>
      <w:bookmarkEnd w:id="525"/>
      <w:r>
        <w:rPr>
          <w:rFonts w:hint="eastAsia" w:ascii="仿宋_GB2312" w:eastAsia="仿宋_GB2312"/>
          <w:sz w:val="30"/>
          <w:szCs w:val="30"/>
        </w:rPr>
        <w:t>期</w:t>
      </w:r>
      <w:bookmarkEnd w:id="526"/>
      <w:bookmarkEnd w:id="530"/>
      <w:bookmarkEnd w:id="531"/>
    </w:p>
    <w:p w14:paraId="11FCF3E5">
      <w:pPr>
        <w:wordWrap/>
        <w:topLinePunct w:val="0"/>
        <w:spacing w:after="120"/>
        <w:ind w:firstLine="600"/>
        <w:rPr>
          <w:rFonts w:ascii="仿宋_GB2312" w:eastAsia="仿宋_GB2312"/>
          <w:sz w:val="30"/>
          <w:szCs w:val="30"/>
        </w:rPr>
      </w:pPr>
      <w:r>
        <w:rPr>
          <w:rFonts w:hint="eastAsia" w:ascii="仿宋_GB2312" w:eastAsia="仿宋_GB2312"/>
          <w:sz w:val="30"/>
          <w:szCs w:val="30"/>
        </w:rPr>
        <w:t>缺陷责任期原则上从工程竣工验收合格之日起计算，合同当事人应在专用合同条件约定缺陷责任期的具体期限，但该期限最长不超过24个月。</w:t>
      </w:r>
    </w:p>
    <w:p w14:paraId="60EDFB13">
      <w:pPr>
        <w:wordWrap/>
        <w:topLinePunct w:val="0"/>
        <w:spacing w:after="120"/>
        <w:ind w:firstLine="600"/>
        <w:rPr>
          <w:rFonts w:ascii="仿宋_GB2312" w:eastAsia="仿宋_GB2312"/>
          <w:sz w:val="30"/>
          <w:szCs w:val="30"/>
        </w:rPr>
      </w:pPr>
      <w:r>
        <w:rPr>
          <w:rFonts w:hint="eastAsia" w:ascii="仿宋_GB2312" w:eastAsia="仿宋_GB2312"/>
          <w:sz w:val="30"/>
          <w:szCs w:val="30"/>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37A40350">
      <w:pPr>
        <w:wordWrap/>
        <w:topLinePunct w:val="0"/>
        <w:spacing w:after="120"/>
        <w:ind w:firstLine="600"/>
        <w:rPr>
          <w:rFonts w:ascii="仿宋_GB2312" w:eastAsia="仿宋_GB2312"/>
          <w:sz w:val="30"/>
          <w:szCs w:val="30"/>
        </w:rPr>
      </w:pPr>
      <w:r>
        <w:rPr>
          <w:rFonts w:hint="eastAsia" w:ascii="仿宋_GB2312" w:eastAsia="仿宋_GB2312"/>
          <w:sz w:val="30"/>
          <w:szCs w:val="30"/>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39147ED2">
      <w:pPr>
        <w:spacing w:after="120"/>
        <w:ind w:firstLine="600"/>
        <w:rPr>
          <w:rFonts w:ascii="仿宋_GB2312" w:eastAsia="仿宋_GB2312"/>
          <w:sz w:val="30"/>
          <w:szCs w:val="30"/>
        </w:rPr>
      </w:pPr>
      <w:bookmarkStart w:id="532" w:name="_Ref532662486"/>
      <w:bookmarkStart w:id="533" w:name="_Toc54862272"/>
      <w:bookmarkStart w:id="534" w:name="_Ref532662491"/>
      <w:r>
        <w:rPr>
          <w:rFonts w:hint="eastAsia" w:ascii="仿宋_GB2312" w:eastAsia="仿宋_GB2312"/>
          <w:sz w:val="30"/>
          <w:szCs w:val="30"/>
        </w:rPr>
        <w:t>11.3 缺陷调查</w:t>
      </w:r>
      <w:bookmarkEnd w:id="532"/>
      <w:bookmarkEnd w:id="533"/>
      <w:bookmarkEnd w:id="534"/>
    </w:p>
    <w:p w14:paraId="4D6EDC52">
      <w:pPr>
        <w:spacing w:after="120"/>
        <w:ind w:firstLine="600"/>
        <w:rPr>
          <w:rFonts w:ascii="仿宋_GB2312" w:eastAsia="仿宋_GB2312"/>
          <w:b/>
          <w:sz w:val="30"/>
          <w:szCs w:val="30"/>
        </w:rPr>
      </w:pPr>
      <w:r>
        <w:rPr>
          <w:rFonts w:hint="eastAsia" w:ascii="仿宋_GB2312" w:eastAsia="仿宋_GB2312"/>
          <w:sz w:val="30"/>
          <w:szCs w:val="30"/>
        </w:rPr>
        <w:t>1</w:t>
      </w:r>
      <w:r>
        <w:rPr>
          <w:rFonts w:ascii="仿宋_GB2312" w:eastAsia="仿宋_GB2312"/>
          <w:sz w:val="30"/>
          <w:szCs w:val="30"/>
        </w:rPr>
        <w:t xml:space="preserve">1.3.1 </w:t>
      </w:r>
      <w:r>
        <w:rPr>
          <w:rFonts w:hint="eastAsia" w:ascii="仿宋_GB2312" w:eastAsia="仿宋_GB2312"/>
          <w:sz w:val="30"/>
          <w:szCs w:val="30"/>
        </w:rPr>
        <w:t>承包人缺陷调查</w:t>
      </w:r>
    </w:p>
    <w:p w14:paraId="042952B3">
      <w:pPr>
        <w:wordWrap/>
        <w:topLinePunct w:val="0"/>
        <w:spacing w:after="120"/>
        <w:ind w:firstLine="600"/>
        <w:rPr>
          <w:rFonts w:ascii="仿宋_GB2312" w:eastAsia="仿宋_GB2312"/>
          <w:sz w:val="30"/>
          <w:szCs w:val="30"/>
        </w:rPr>
      </w:pPr>
      <w:r>
        <w:rPr>
          <w:rFonts w:hint="eastAsia" w:ascii="仿宋_GB2312" w:eastAsia="仿宋_GB2312"/>
          <w:sz w:val="30"/>
          <w:szCs w:val="30"/>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2B6DDF0A">
      <w:pPr>
        <w:wordWrap/>
        <w:topLinePunct w:val="0"/>
        <w:spacing w:after="120"/>
        <w:ind w:firstLine="600"/>
        <w:rPr>
          <w:rFonts w:ascii="仿宋_GB2312" w:eastAsia="仿宋_GB2312"/>
          <w:sz w:val="30"/>
          <w:szCs w:val="30"/>
        </w:rPr>
      </w:pPr>
      <w:r>
        <w:rPr>
          <w:rFonts w:hint="eastAsia" w:ascii="仿宋_GB2312" w:eastAsia="仿宋_GB2312"/>
          <w:sz w:val="30"/>
          <w:szCs w:val="30"/>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14B4F09A">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1.3.2 </w:t>
      </w:r>
      <w:r>
        <w:rPr>
          <w:rFonts w:hint="eastAsia" w:ascii="仿宋_GB2312" w:eastAsia="仿宋_GB2312"/>
          <w:sz w:val="30"/>
          <w:szCs w:val="30"/>
        </w:rPr>
        <w:t>缺陷责任</w:t>
      </w:r>
    </w:p>
    <w:p w14:paraId="5752CB39">
      <w:pPr>
        <w:wordWrap/>
        <w:topLinePunct w:val="0"/>
        <w:spacing w:after="120"/>
        <w:ind w:firstLine="600"/>
        <w:rPr>
          <w:rFonts w:ascii="仿宋_GB2312" w:eastAsia="仿宋_GB2312"/>
          <w:sz w:val="30"/>
          <w:szCs w:val="30"/>
        </w:rPr>
      </w:pPr>
      <w:r>
        <w:rPr>
          <w:rFonts w:hint="eastAsia" w:ascii="仿宋_GB2312" w:eastAsia="仿宋_GB2312"/>
          <w:sz w:val="30"/>
          <w:szCs w:val="30"/>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4E0BCD3A">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1.3.3 </w:t>
      </w:r>
      <w:r>
        <w:rPr>
          <w:rFonts w:hint="eastAsia" w:ascii="仿宋_GB2312" w:eastAsia="仿宋_GB2312"/>
          <w:sz w:val="30"/>
          <w:szCs w:val="30"/>
        </w:rPr>
        <w:t>修复费用</w:t>
      </w:r>
    </w:p>
    <w:p w14:paraId="56CE1E04">
      <w:pPr>
        <w:wordWrap/>
        <w:topLinePunct w:val="0"/>
        <w:spacing w:after="120"/>
        <w:ind w:firstLine="600"/>
        <w:rPr>
          <w:rFonts w:ascii="仿宋_GB2312" w:eastAsia="仿宋_GB2312"/>
          <w:sz w:val="30"/>
          <w:szCs w:val="30"/>
        </w:rPr>
      </w:pPr>
      <w:r>
        <w:rPr>
          <w:rFonts w:hint="eastAsia" w:ascii="仿宋_GB2312" w:eastAsia="仿宋_GB2312"/>
          <w:sz w:val="30"/>
          <w:szCs w:val="30"/>
        </w:rPr>
        <w:t>发包人和承包人应共同查清缺陷或损坏的原因。经查明属承包人原因造成的，应由承包人承担修复的费用。经查验非承包人原因造成的，发包人应承担修复的费用，并支付承包人合理利润。</w:t>
      </w:r>
    </w:p>
    <w:p w14:paraId="61F6CBC7">
      <w:pPr>
        <w:spacing w:after="120"/>
        <w:ind w:firstLine="600"/>
        <w:rPr>
          <w:rFonts w:ascii="仿宋_GB2312" w:eastAsia="仿宋_GB2312"/>
          <w:sz w:val="30"/>
          <w:szCs w:val="30"/>
        </w:rPr>
      </w:pPr>
      <w:bookmarkStart w:id="535" w:name="_Ref531955041"/>
      <w:r>
        <w:rPr>
          <w:rFonts w:hint="eastAsia" w:ascii="仿宋_GB2312" w:eastAsia="仿宋_GB2312"/>
          <w:sz w:val="30"/>
          <w:szCs w:val="30"/>
        </w:rPr>
        <w:t>1</w:t>
      </w:r>
      <w:r>
        <w:rPr>
          <w:rFonts w:ascii="仿宋_GB2312" w:eastAsia="仿宋_GB2312"/>
          <w:sz w:val="30"/>
          <w:szCs w:val="30"/>
        </w:rPr>
        <w:t xml:space="preserve">1.3.4 </w:t>
      </w:r>
      <w:r>
        <w:rPr>
          <w:rFonts w:hint="eastAsia" w:ascii="仿宋_GB2312" w:eastAsia="仿宋_GB2312"/>
          <w:sz w:val="30"/>
          <w:szCs w:val="30"/>
        </w:rPr>
        <w:t>修复通知</w:t>
      </w:r>
      <w:bookmarkEnd w:id="535"/>
    </w:p>
    <w:p w14:paraId="15A1CBBF">
      <w:pPr>
        <w:wordWrap/>
        <w:topLinePunct w:val="0"/>
        <w:spacing w:after="120"/>
        <w:ind w:firstLine="600"/>
        <w:rPr>
          <w:rFonts w:ascii="仿宋_GB2312" w:eastAsia="仿宋_GB2312"/>
          <w:sz w:val="30"/>
          <w:szCs w:val="30"/>
        </w:rPr>
      </w:pPr>
      <w:r>
        <w:rPr>
          <w:rFonts w:hint="eastAsia" w:ascii="仿宋_GB2312" w:eastAsia="仿宋_GB2312"/>
          <w:sz w:val="30"/>
          <w:szCs w:val="30"/>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0441EFFF">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1.3.5 </w:t>
      </w:r>
      <w:r>
        <w:rPr>
          <w:rFonts w:hint="eastAsia" w:ascii="仿宋_GB2312" w:eastAsia="仿宋_GB2312"/>
          <w:sz w:val="30"/>
          <w:szCs w:val="30"/>
        </w:rPr>
        <w:t>在现场外修复</w:t>
      </w:r>
    </w:p>
    <w:p w14:paraId="0AAC4D8B">
      <w:pPr>
        <w:wordWrap/>
        <w:topLinePunct w:val="0"/>
        <w:spacing w:after="120"/>
        <w:ind w:firstLine="600"/>
        <w:rPr>
          <w:rFonts w:ascii="仿宋_GB2312" w:eastAsia="仿宋_GB2312"/>
          <w:sz w:val="30"/>
          <w:szCs w:val="30"/>
        </w:rPr>
      </w:pPr>
      <w:r>
        <w:rPr>
          <w:rFonts w:hint="eastAsia" w:ascii="仿宋_GB2312" w:eastAsia="仿宋_GB2312"/>
          <w:sz w:val="30"/>
          <w:szCs w:val="30"/>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363AD3F9">
      <w:pPr>
        <w:spacing w:after="120"/>
        <w:ind w:firstLine="600"/>
        <w:rPr>
          <w:rFonts w:ascii="仿宋_GB2312" w:eastAsia="仿宋_GB2312"/>
          <w:sz w:val="30"/>
          <w:szCs w:val="30"/>
        </w:rPr>
      </w:pPr>
      <w:bookmarkStart w:id="536" w:name="_Ref4534291"/>
      <w:bookmarkStart w:id="537" w:name="_Hlk51506786"/>
      <w:r>
        <w:rPr>
          <w:rFonts w:hint="eastAsia" w:ascii="仿宋_GB2312" w:eastAsia="仿宋_GB2312"/>
          <w:sz w:val="30"/>
          <w:szCs w:val="30"/>
        </w:rPr>
        <w:t>1</w:t>
      </w:r>
      <w:r>
        <w:rPr>
          <w:rFonts w:ascii="仿宋_GB2312" w:eastAsia="仿宋_GB2312"/>
          <w:sz w:val="30"/>
          <w:szCs w:val="30"/>
        </w:rPr>
        <w:t xml:space="preserve">1.3.6 </w:t>
      </w:r>
      <w:r>
        <w:rPr>
          <w:rFonts w:hint="eastAsia" w:ascii="仿宋_GB2312" w:eastAsia="仿宋_GB2312"/>
          <w:sz w:val="30"/>
          <w:szCs w:val="30"/>
        </w:rPr>
        <w:t>未能修复</w:t>
      </w:r>
      <w:bookmarkEnd w:id="536"/>
    </w:p>
    <w:bookmarkEnd w:id="537"/>
    <w:p w14:paraId="79A10039">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468DAE00">
      <w:pPr>
        <w:wordWrap/>
        <w:topLinePunct w:val="0"/>
        <w:spacing w:after="120"/>
        <w:ind w:firstLine="600"/>
        <w:rPr>
          <w:rFonts w:ascii="仿宋_GB2312" w:eastAsia="仿宋_GB2312"/>
          <w:sz w:val="30"/>
          <w:szCs w:val="30"/>
        </w:rPr>
      </w:pPr>
      <w:r>
        <w:rPr>
          <w:rFonts w:hint="eastAsia" w:ascii="仿宋_GB2312" w:eastAsia="仿宋_GB2312"/>
          <w:sz w:val="30"/>
          <w:szCs w:val="30"/>
        </w:rPr>
        <w:t>如果工程或工程设备的缺陷或损害使发包人实质上失去了工程的整体功能，发包人有权向承包人追回已支付的工程款项，并要求其赔偿发包人相应损失。</w:t>
      </w:r>
    </w:p>
    <w:bookmarkEnd w:id="527"/>
    <w:bookmarkEnd w:id="528"/>
    <w:bookmarkEnd w:id="529"/>
    <w:p w14:paraId="780B48AE">
      <w:pPr>
        <w:spacing w:after="120"/>
        <w:ind w:firstLine="600"/>
        <w:rPr>
          <w:rFonts w:ascii="仿宋_GB2312" w:eastAsia="仿宋_GB2312"/>
          <w:sz w:val="30"/>
          <w:szCs w:val="30"/>
        </w:rPr>
      </w:pPr>
      <w:bookmarkStart w:id="538" w:name="_Toc54862273"/>
      <w:bookmarkStart w:id="539" w:name="_Ref532662552"/>
      <w:bookmarkStart w:id="540" w:name="_Ref532662554"/>
      <w:r>
        <w:rPr>
          <w:rFonts w:hint="eastAsia" w:ascii="仿宋_GB2312" w:eastAsia="仿宋_GB2312"/>
          <w:sz w:val="30"/>
          <w:szCs w:val="30"/>
        </w:rPr>
        <w:t>11.4 缺陷修复后的进一步试验</w:t>
      </w:r>
      <w:bookmarkEnd w:id="538"/>
      <w:bookmarkEnd w:id="539"/>
      <w:bookmarkEnd w:id="540"/>
    </w:p>
    <w:p w14:paraId="04ED84D5">
      <w:pPr>
        <w:wordWrap/>
        <w:topLinePunct w:val="0"/>
        <w:spacing w:after="120"/>
        <w:ind w:firstLine="600"/>
        <w:rPr>
          <w:rFonts w:ascii="仿宋_GB2312" w:eastAsia="仿宋_GB2312"/>
          <w:sz w:val="30"/>
          <w:szCs w:val="30"/>
        </w:rPr>
      </w:pPr>
      <w:r>
        <w:rPr>
          <w:rFonts w:hint="eastAsia" w:ascii="仿宋_GB2312" w:eastAsia="仿宋_GB2312"/>
          <w:sz w:val="30"/>
          <w:szCs w:val="30"/>
        </w:rPr>
        <w:t>任何一项缺陷修补后的7天内，承包人应向发包人发出通知，告知已修补的情况。如根据第</w:t>
      </w:r>
      <w:r>
        <w:rPr>
          <w:rFonts w:ascii="仿宋_GB2312" w:eastAsia="仿宋_GB2312"/>
          <w:sz w:val="30"/>
          <w:szCs w:val="30"/>
        </w:rPr>
        <w:t>9条</w:t>
      </w:r>
      <w:r>
        <w:rPr>
          <w:rFonts w:hint="eastAsia" w:ascii="仿宋_GB2312" w:eastAsia="仿宋_GB2312"/>
          <w:sz w:val="30"/>
          <w:szCs w:val="30"/>
        </w:rPr>
        <w:t>[竣工试验]或第</w:t>
      </w:r>
      <w:r>
        <w:rPr>
          <w:rFonts w:ascii="仿宋_GB2312" w:eastAsia="仿宋_GB2312"/>
          <w:sz w:val="30"/>
          <w:szCs w:val="30"/>
        </w:rPr>
        <w:t>12条</w:t>
      </w:r>
      <w:r>
        <w:rPr>
          <w:rFonts w:hint="eastAsia" w:ascii="仿宋_GB2312" w:eastAsia="仿宋_GB2312"/>
          <w:sz w:val="30"/>
          <w:szCs w:val="30"/>
        </w:rPr>
        <w:t>[</w:t>
      </w:r>
      <w:r>
        <w:rPr>
          <w:rFonts w:ascii="仿宋_GB2312" w:eastAsia="仿宋_GB2312"/>
          <w:sz w:val="30"/>
          <w:szCs w:val="30"/>
        </w:rPr>
        <w:t>竣工后试验</w:t>
      </w:r>
      <w:r>
        <w:rPr>
          <w:rFonts w:hint="eastAsia" w:ascii="仿宋_GB2312" w:eastAsia="仿宋_GB2312"/>
          <w:sz w:val="30"/>
          <w:szCs w:val="30"/>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080609D3">
      <w:pPr>
        <w:wordWrap/>
        <w:topLinePunct w:val="0"/>
        <w:spacing w:after="120"/>
        <w:ind w:firstLine="600"/>
        <w:rPr>
          <w:rFonts w:ascii="仿宋_GB2312" w:eastAsia="仿宋_GB2312"/>
          <w:sz w:val="30"/>
          <w:szCs w:val="30"/>
        </w:rPr>
      </w:pPr>
      <w:r>
        <w:rPr>
          <w:rFonts w:hint="eastAsia" w:ascii="仿宋_GB2312" w:eastAsia="仿宋_GB2312"/>
          <w:sz w:val="30"/>
          <w:szCs w:val="30"/>
        </w:rPr>
        <w:t>所有的重复试验应按照适用于先前试验的条款进行，但应由责任方承担修补工作的成本和重新试验的风险和费用。</w:t>
      </w:r>
    </w:p>
    <w:p w14:paraId="19B6DF7C">
      <w:pPr>
        <w:spacing w:after="120"/>
        <w:ind w:firstLine="600"/>
        <w:rPr>
          <w:rFonts w:ascii="仿宋_GB2312" w:eastAsia="仿宋_GB2312"/>
          <w:sz w:val="30"/>
          <w:szCs w:val="30"/>
        </w:rPr>
      </w:pPr>
      <w:bookmarkStart w:id="541" w:name="_Toc54862274"/>
      <w:r>
        <w:rPr>
          <w:rFonts w:hint="eastAsia" w:ascii="仿宋_GB2312" w:eastAsia="仿宋_GB2312"/>
          <w:sz w:val="30"/>
          <w:szCs w:val="30"/>
        </w:rPr>
        <w:t>11.5 承包人出入权</w:t>
      </w:r>
      <w:bookmarkEnd w:id="541"/>
    </w:p>
    <w:p w14:paraId="480FFC03">
      <w:pPr>
        <w:wordWrap/>
        <w:topLinePunct w:val="0"/>
        <w:spacing w:after="120"/>
        <w:ind w:firstLine="600"/>
        <w:rPr>
          <w:rFonts w:ascii="仿宋_GB2312" w:eastAsia="仿宋_GB2312"/>
          <w:sz w:val="30"/>
          <w:szCs w:val="30"/>
        </w:rPr>
      </w:pPr>
      <w:r>
        <w:rPr>
          <w:rFonts w:hint="eastAsia" w:ascii="仿宋_GB2312" w:eastAsia="仿宋_GB2312"/>
          <w:sz w:val="30"/>
          <w:szCs w:val="30"/>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4A231790">
      <w:pPr>
        <w:spacing w:after="120"/>
        <w:ind w:firstLine="600"/>
        <w:rPr>
          <w:rFonts w:ascii="仿宋_GB2312" w:eastAsia="仿宋_GB2312"/>
          <w:sz w:val="30"/>
          <w:szCs w:val="30"/>
        </w:rPr>
      </w:pPr>
      <w:bookmarkStart w:id="542" w:name="_Toc54862275"/>
      <w:bookmarkStart w:id="543" w:name="_Ref4430229"/>
      <w:bookmarkStart w:id="544" w:name="_Ref4430223"/>
      <w:r>
        <w:rPr>
          <w:rFonts w:hint="eastAsia" w:ascii="仿宋_GB2312" w:eastAsia="仿宋_GB2312"/>
          <w:sz w:val="30"/>
          <w:szCs w:val="30"/>
        </w:rPr>
        <w:t>11.6 缺陷责任期终止证书</w:t>
      </w:r>
      <w:bookmarkEnd w:id="542"/>
      <w:bookmarkEnd w:id="543"/>
      <w:bookmarkEnd w:id="544"/>
    </w:p>
    <w:p w14:paraId="2B3B8380">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w:t>
      </w:r>
      <w:bookmarkStart w:id="545" w:name="_Hlk4686672"/>
      <w:r>
        <w:rPr>
          <w:rFonts w:hint="eastAsia" w:ascii="仿宋_GB2312" w:eastAsia="仿宋_GB2312"/>
          <w:sz w:val="30"/>
          <w:szCs w:val="30"/>
        </w:rPr>
        <w:t>承包人应于缺陷责任期届满前7天内向发包人发出缺陷责任期即将届满通知，发包人应在收到通知后</w:t>
      </w:r>
      <w:r>
        <w:rPr>
          <w:rFonts w:ascii="仿宋_GB2312" w:eastAsia="仿宋_GB2312"/>
          <w:sz w:val="30"/>
          <w:szCs w:val="30"/>
        </w:rPr>
        <w:t>7</w:t>
      </w:r>
      <w:r>
        <w:rPr>
          <w:rFonts w:hint="eastAsia" w:ascii="仿宋_GB2312" w:eastAsia="仿宋_GB2312"/>
          <w:sz w:val="30"/>
          <w:szCs w:val="30"/>
        </w:rPr>
        <w:t>天内核实承包人是否履行缺陷修复义务，承包人未能履行缺陷修复义务的，发包人有权扣除相应金额的维修费用。发包人应在缺陷责任期届满之日，向承包人颁发缺陷责任期终止证书，并按第</w:t>
      </w:r>
      <w:r>
        <w:rPr>
          <w:rFonts w:ascii="仿宋_GB2312" w:eastAsia="仿宋_GB2312"/>
          <w:sz w:val="30"/>
          <w:szCs w:val="30"/>
        </w:rPr>
        <w:t>14.6.3</w:t>
      </w:r>
      <w:r>
        <w:rPr>
          <w:rFonts w:hint="eastAsia" w:ascii="仿宋_GB2312" w:eastAsia="仿宋_GB2312"/>
          <w:sz w:val="30"/>
          <w:szCs w:val="30"/>
        </w:rPr>
        <w:t>项[质量保证金的返还]返还质量保证金。</w:t>
      </w:r>
      <w:bookmarkEnd w:id="545"/>
    </w:p>
    <w:p w14:paraId="2FB21E43">
      <w:pPr>
        <w:wordWrap/>
        <w:topLinePunct w:val="0"/>
        <w:spacing w:after="120"/>
        <w:ind w:firstLine="600"/>
        <w:rPr>
          <w:rFonts w:ascii="仿宋_GB2312" w:eastAsia="仿宋_GB2312"/>
          <w:sz w:val="30"/>
          <w:szCs w:val="30"/>
        </w:rPr>
      </w:pPr>
      <w:r>
        <w:rPr>
          <w:rFonts w:hint="eastAsia" w:ascii="仿宋_GB2312" w:eastAsia="仿宋_GB2312"/>
          <w:sz w:val="30"/>
          <w:szCs w:val="30"/>
        </w:rPr>
        <w:t>如根据第</w:t>
      </w:r>
      <w:r>
        <w:rPr>
          <w:rFonts w:ascii="仿宋_GB2312" w:eastAsia="仿宋_GB2312"/>
          <w:sz w:val="30"/>
          <w:szCs w:val="30"/>
        </w:rPr>
        <w:t>10.5.3</w:t>
      </w:r>
      <w:r>
        <w:rPr>
          <w:rFonts w:hint="eastAsia" w:ascii="仿宋_GB2312" w:eastAsia="仿宋_GB2312"/>
          <w:sz w:val="30"/>
          <w:szCs w:val="30"/>
        </w:rPr>
        <w:t>项[人员撤离]承包人在施工现场还留有人员、施工设备和临时工程的，承包人应当在收到缺陷责任期终止证书后28天内，将上述人员、施工设备和临时工程撤离施工现场。</w:t>
      </w:r>
    </w:p>
    <w:p w14:paraId="0F15E291">
      <w:pPr>
        <w:spacing w:after="120"/>
        <w:ind w:firstLine="600"/>
        <w:rPr>
          <w:rFonts w:ascii="仿宋_GB2312" w:eastAsia="仿宋_GB2312"/>
          <w:sz w:val="30"/>
          <w:szCs w:val="30"/>
        </w:rPr>
      </w:pPr>
      <w:bookmarkStart w:id="546" w:name="_Toc54862276"/>
      <w:bookmarkStart w:id="547" w:name="_Ref4430272"/>
      <w:r>
        <w:rPr>
          <w:rFonts w:hint="eastAsia" w:ascii="仿宋_GB2312" w:eastAsia="仿宋_GB2312"/>
          <w:sz w:val="30"/>
          <w:szCs w:val="30"/>
        </w:rPr>
        <w:t>11.7 保修责任</w:t>
      </w:r>
      <w:bookmarkEnd w:id="546"/>
      <w:bookmarkEnd w:id="547"/>
    </w:p>
    <w:p w14:paraId="1DD8D0E6">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因承包人原因导致的质量缺陷责任，由合同当事人根据有关法律规定，在专用合同条件和工程质量保修书中约定工程质量保修范围、期限和责任。</w:t>
      </w:r>
      <w:bookmarkEnd w:id="382"/>
      <w:bookmarkStart w:id="548" w:name="_Ref531957860"/>
      <w:bookmarkStart w:id="549" w:name="_Ref531958289"/>
    </w:p>
    <w:bookmarkEnd w:id="548"/>
    <w:p w14:paraId="4D8D2BD5">
      <w:pPr>
        <w:spacing w:after="120"/>
        <w:ind w:firstLine="0" w:firstLineChars="0"/>
        <w:jc w:val="left"/>
        <w:rPr>
          <w:rFonts w:ascii="仿宋_GB2312" w:eastAsia="仿宋_GB2312"/>
          <w:sz w:val="32"/>
          <w:szCs w:val="32"/>
        </w:rPr>
      </w:pPr>
      <w:bookmarkStart w:id="550" w:name="_Toc21720"/>
      <w:bookmarkStart w:id="551" w:name="_Toc11958"/>
      <w:bookmarkStart w:id="552" w:name="_Ref4621057"/>
      <w:bookmarkStart w:id="553" w:name="_Ref4621065"/>
      <w:bookmarkStart w:id="554" w:name="_Toc26694"/>
      <w:bookmarkStart w:id="555" w:name="_Toc54862277"/>
      <w:bookmarkStart w:id="556" w:name="_Ref4796955"/>
      <w:bookmarkStart w:id="557" w:name="_Ref4796958"/>
      <w:r>
        <w:rPr>
          <w:rFonts w:hint="eastAsia" w:ascii="仿宋_GB2312" w:eastAsia="仿宋_GB2312"/>
          <w:sz w:val="32"/>
          <w:szCs w:val="32"/>
        </w:rPr>
        <w:t>第12条 竣工后试验</w:t>
      </w:r>
      <w:bookmarkEnd w:id="550"/>
      <w:bookmarkEnd w:id="551"/>
      <w:bookmarkEnd w:id="552"/>
      <w:bookmarkEnd w:id="553"/>
      <w:bookmarkEnd w:id="554"/>
      <w:bookmarkEnd w:id="555"/>
    </w:p>
    <w:p w14:paraId="3F23BF11">
      <w:pPr>
        <w:wordWrap/>
        <w:topLinePunct w:val="0"/>
        <w:spacing w:after="120"/>
        <w:ind w:firstLine="600"/>
        <w:rPr>
          <w:rFonts w:ascii="仿宋_GB2312" w:eastAsia="仿宋_GB2312"/>
          <w:sz w:val="30"/>
          <w:szCs w:val="30"/>
        </w:rPr>
      </w:pPr>
      <w:r>
        <w:rPr>
          <w:rFonts w:hint="eastAsia" w:ascii="仿宋_GB2312" w:eastAsia="仿宋_GB2312"/>
          <w:sz w:val="30"/>
          <w:szCs w:val="30"/>
        </w:rPr>
        <w:t>本合同工程包含竣工后试验的，遵守本条约定。</w:t>
      </w:r>
    </w:p>
    <w:p w14:paraId="36A00940">
      <w:pPr>
        <w:spacing w:after="120"/>
        <w:ind w:firstLine="600"/>
        <w:rPr>
          <w:rFonts w:ascii="仿宋_GB2312" w:eastAsia="仿宋_GB2312"/>
          <w:sz w:val="30"/>
          <w:szCs w:val="30"/>
        </w:rPr>
      </w:pPr>
      <w:bookmarkStart w:id="558" w:name="_Ref531954604"/>
      <w:bookmarkStart w:id="559" w:name="_Ref531954601"/>
      <w:bookmarkStart w:id="560" w:name="_Toc54862278"/>
      <w:bookmarkStart w:id="561" w:name="_Ref531954694"/>
      <w:bookmarkStart w:id="562" w:name="_Hlk522259976"/>
      <w:r>
        <w:rPr>
          <w:rFonts w:hint="eastAsia" w:ascii="仿宋_GB2312" w:eastAsia="仿宋_GB2312"/>
          <w:sz w:val="30"/>
          <w:szCs w:val="30"/>
        </w:rPr>
        <w:t>12.1 竣工后试验</w:t>
      </w:r>
      <w:bookmarkEnd w:id="558"/>
      <w:bookmarkEnd w:id="559"/>
      <w:r>
        <w:rPr>
          <w:rFonts w:hint="eastAsia" w:ascii="仿宋_GB2312" w:eastAsia="仿宋_GB2312"/>
          <w:sz w:val="30"/>
          <w:szCs w:val="30"/>
        </w:rPr>
        <w:t>的程序</w:t>
      </w:r>
      <w:bookmarkEnd w:id="560"/>
      <w:bookmarkEnd w:id="561"/>
    </w:p>
    <w:p w14:paraId="74D8A9C0">
      <w:pPr>
        <w:spacing w:after="120"/>
        <w:ind w:firstLine="600"/>
        <w:rPr>
          <w:rFonts w:ascii="仿宋_GB2312" w:eastAsia="仿宋_GB2312"/>
          <w:sz w:val="30"/>
          <w:szCs w:val="30"/>
        </w:rPr>
      </w:pPr>
      <w:bookmarkStart w:id="563" w:name="_Ref11920184"/>
      <w:r>
        <w:rPr>
          <w:rFonts w:hint="eastAsia" w:ascii="仿宋_GB2312" w:eastAsia="仿宋_GB2312"/>
          <w:sz w:val="30"/>
          <w:szCs w:val="30"/>
        </w:rPr>
        <w:t>1</w:t>
      </w:r>
      <w:r>
        <w:rPr>
          <w:rFonts w:ascii="仿宋_GB2312" w:eastAsia="仿宋_GB2312"/>
          <w:sz w:val="30"/>
          <w:szCs w:val="30"/>
        </w:rPr>
        <w:t xml:space="preserve">2.1.1 </w:t>
      </w:r>
      <w:r>
        <w:rPr>
          <w:rFonts w:hint="eastAsia" w:ascii="仿宋_GB2312" w:eastAsia="仿宋_GB2312"/>
          <w:sz w:val="30"/>
          <w:szCs w:val="30"/>
        </w:rPr>
        <w:t>工程或区段工程被发包人接收后，在合理可行的情况下应根据合同约定尽早进行竣工后试验。</w:t>
      </w:r>
      <w:bookmarkEnd w:id="563"/>
    </w:p>
    <w:p w14:paraId="179773D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2.1.2 </w:t>
      </w:r>
      <w:r>
        <w:rPr>
          <w:rFonts w:hint="eastAsia" w:ascii="仿宋_GB2312" w:eastAsia="仿宋_GB2312"/>
          <w:sz w:val="30"/>
          <w:szCs w:val="30"/>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1599FAA4">
      <w:pPr>
        <w:spacing w:after="120"/>
        <w:ind w:firstLine="600"/>
        <w:rPr>
          <w:rFonts w:ascii="仿宋_GB2312" w:eastAsia="仿宋_GB2312"/>
          <w:sz w:val="30"/>
          <w:szCs w:val="30"/>
        </w:rPr>
      </w:pPr>
      <w:bookmarkStart w:id="564" w:name="_Ref11920162"/>
      <w:r>
        <w:rPr>
          <w:rFonts w:hint="eastAsia" w:ascii="仿宋_GB2312" w:eastAsia="仿宋_GB2312"/>
          <w:sz w:val="30"/>
          <w:szCs w:val="30"/>
        </w:rPr>
        <w:t>1</w:t>
      </w:r>
      <w:r>
        <w:rPr>
          <w:rFonts w:ascii="仿宋_GB2312" w:eastAsia="仿宋_GB2312"/>
          <w:sz w:val="30"/>
          <w:szCs w:val="30"/>
        </w:rPr>
        <w:t xml:space="preserve">2.1.3 </w:t>
      </w:r>
      <w:r>
        <w:rPr>
          <w:rFonts w:hint="eastAsia" w:ascii="仿宋_GB2312" w:eastAsia="仿宋_GB2312"/>
          <w:sz w:val="30"/>
          <w:szCs w:val="30"/>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564"/>
    </w:p>
    <w:p w14:paraId="3CF089C9">
      <w:pPr>
        <w:spacing w:after="120"/>
        <w:ind w:firstLine="600"/>
        <w:rPr>
          <w:rFonts w:ascii="仿宋_GB2312" w:eastAsia="仿宋_GB2312"/>
          <w:sz w:val="30"/>
          <w:szCs w:val="30"/>
        </w:rPr>
      </w:pPr>
      <w:bookmarkStart w:id="565" w:name="_Ref11920146"/>
      <w:r>
        <w:rPr>
          <w:rFonts w:hint="eastAsia" w:ascii="仿宋_GB2312" w:eastAsia="仿宋_GB2312"/>
          <w:sz w:val="30"/>
          <w:szCs w:val="30"/>
        </w:rPr>
        <w:t>1</w:t>
      </w:r>
      <w:r>
        <w:rPr>
          <w:rFonts w:ascii="仿宋_GB2312" w:eastAsia="仿宋_GB2312"/>
          <w:sz w:val="30"/>
          <w:szCs w:val="30"/>
        </w:rPr>
        <w:t xml:space="preserve">2.1.4 </w:t>
      </w:r>
      <w:r>
        <w:rPr>
          <w:rFonts w:hint="eastAsia" w:ascii="仿宋_GB2312" w:eastAsia="仿宋_GB2312"/>
          <w:sz w:val="30"/>
          <w:szCs w:val="30"/>
        </w:rPr>
        <w:t>发包人应根据《发包人要求》、承包人按照第</w:t>
      </w:r>
      <w:r>
        <w:rPr>
          <w:rFonts w:ascii="仿宋_GB2312" w:eastAsia="仿宋_GB2312"/>
          <w:sz w:val="30"/>
          <w:szCs w:val="30"/>
        </w:rPr>
        <w:t>5.5</w:t>
      </w:r>
      <w:r>
        <w:rPr>
          <w:rFonts w:hint="eastAsia" w:ascii="仿宋_GB2312" w:eastAsia="仿宋_GB2312"/>
          <w:sz w:val="30"/>
          <w:szCs w:val="30"/>
        </w:rPr>
        <w:t>款</w:t>
      </w:r>
      <w:bookmarkStart w:id="566" w:name="_Hlk18943978"/>
      <w:r>
        <w:rPr>
          <w:rFonts w:hint="eastAsia" w:ascii="仿宋_GB2312" w:eastAsia="仿宋_GB2312"/>
          <w:sz w:val="30"/>
          <w:szCs w:val="30"/>
        </w:rPr>
        <w:t>[</w:t>
      </w:r>
      <w:r>
        <w:rPr>
          <w:rFonts w:ascii="仿宋_GB2312" w:eastAsia="仿宋_GB2312"/>
          <w:sz w:val="30"/>
          <w:szCs w:val="30"/>
        </w:rPr>
        <w:t>操作和维修手册</w:t>
      </w:r>
      <w:r>
        <w:rPr>
          <w:rFonts w:hint="eastAsia" w:ascii="仿宋_GB2312" w:eastAsia="仿宋_GB2312"/>
          <w:sz w:val="30"/>
          <w:szCs w:val="30"/>
        </w:rPr>
        <w:t>]</w:t>
      </w:r>
      <w:bookmarkEnd w:id="566"/>
      <w:r>
        <w:rPr>
          <w:rFonts w:hint="eastAsia" w:ascii="仿宋_GB2312" w:eastAsia="仿宋_GB2312"/>
          <w:sz w:val="30"/>
          <w:szCs w:val="30"/>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565"/>
    </w:p>
    <w:p w14:paraId="2653890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2.1.5 </w:t>
      </w:r>
      <w:r>
        <w:rPr>
          <w:rFonts w:hint="eastAsia" w:ascii="仿宋_GB2312" w:eastAsia="仿宋_GB2312"/>
          <w:sz w:val="30"/>
          <w:szCs w:val="30"/>
        </w:rPr>
        <w:t>竣工后试验的结果应由双方进行整理和评价，并应适当考虑发包人对工程或其任何部分的使用，对工程或区段工程的性能、特性和试验结果产生的影响。</w:t>
      </w:r>
    </w:p>
    <w:p w14:paraId="18D56121">
      <w:pPr>
        <w:spacing w:after="120"/>
        <w:ind w:firstLine="600"/>
        <w:rPr>
          <w:rFonts w:ascii="仿宋_GB2312" w:eastAsia="仿宋_GB2312"/>
          <w:sz w:val="30"/>
          <w:szCs w:val="30"/>
        </w:rPr>
      </w:pPr>
      <w:bookmarkStart w:id="567" w:name="_Toc54862279"/>
      <w:bookmarkStart w:id="568" w:name="_Ref531954781"/>
      <w:bookmarkStart w:id="569" w:name="_Ref531954785"/>
      <w:r>
        <w:rPr>
          <w:rFonts w:hint="eastAsia" w:ascii="仿宋_GB2312" w:eastAsia="仿宋_GB2312"/>
          <w:sz w:val="30"/>
          <w:szCs w:val="30"/>
        </w:rPr>
        <w:t>12.2 延误的试验</w:t>
      </w:r>
      <w:bookmarkEnd w:id="567"/>
      <w:bookmarkEnd w:id="568"/>
      <w:bookmarkEnd w:id="569"/>
    </w:p>
    <w:p w14:paraId="1930FEC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2.2.1 </w:t>
      </w:r>
      <w:r>
        <w:rPr>
          <w:rFonts w:hint="eastAsia" w:ascii="仿宋_GB2312" w:eastAsia="仿宋_GB2312"/>
          <w:sz w:val="30"/>
          <w:szCs w:val="30"/>
        </w:rPr>
        <w:t>如果竣工后试验因发包人原因被延误的，发包人应承担承包人由此增加的费用并支付承包人合理利润。</w:t>
      </w:r>
    </w:p>
    <w:p w14:paraId="7125F0DA">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2.2.2 </w:t>
      </w:r>
      <w:r>
        <w:rPr>
          <w:rFonts w:hint="eastAsia" w:ascii="仿宋_GB2312" w:eastAsia="仿宋_GB2312"/>
          <w:sz w:val="30"/>
          <w:szCs w:val="30"/>
        </w:rPr>
        <w:t>如果因承包人以外的原因，导致竣工后试验未能在缺陷责任期或双方另行同意的其他期限内完成，则相关工程或区段工程应视为已通过该竣工后试验。</w:t>
      </w:r>
    </w:p>
    <w:p w14:paraId="0CC6D399">
      <w:pPr>
        <w:spacing w:after="120"/>
        <w:ind w:firstLine="600"/>
        <w:rPr>
          <w:rFonts w:ascii="仿宋_GB2312" w:eastAsia="仿宋_GB2312"/>
          <w:sz w:val="30"/>
          <w:szCs w:val="30"/>
        </w:rPr>
      </w:pPr>
      <w:bookmarkStart w:id="570" w:name="_Toc54862280"/>
      <w:r>
        <w:rPr>
          <w:rFonts w:hint="eastAsia" w:ascii="仿宋_GB2312" w:eastAsia="仿宋_GB2312"/>
          <w:sz w:val="30"/>
          <w:szCs w:val="30"/>
        </w:rPr>
        <w:t>12.3 重新试验</w:t>
      </w:r>
      <w:bookmarkEnd w:id="570"/>
    </w:p>
    <w:p w14:paraId="1648F705">
      <w:pPr>
        <w:wordWrap/>
        <w:topLinePunct w:val="0"/>
        <w:spacing w:after="120"/>
        <w:ind w:firstLine="600"/>
        <w:rPr>
          <w:rFonts w:ascii="仿宋_GB2312" w:eastAsia="仿宋_GB2312"/>
          <w:sz w:val="30"/>
          <w:szCs w:val="30"/>
        </w:rPr>
      </w:pPr>
      <w:r>
        <w:rPr>
          <w:rFonts w:hint="eastAsia" w:ascii="仿宋_GB2312" w:eastAsia="仿宋_GB2312"/>
          <w:sz w:val="30"/>
          <w:szCs w:val="30"/>
        </w:rPr>
        <w:t>如工程或区段工程未能通过竣工后试验，则承包人应根据第</w:t>
      </w:r>
      <w:r>
        <w:rPr>
          <w:rFonts w:ascii="仿宋_GB2312" w:eastAsia="仿宋_GB2312"/>
          <w:sz w:val="30"/>
          <w:szCs w:val="30"/>
        </w:rPr>
        <w:t>11.3</w:t>
      </w:r>
      <w:r>
        <w:rPr>
          <w:rFonts w:hint="eastAsia" w:ascii="仿宋_GB2312" w:eastAsia="仿宋_GB2312"/>
          <w:sz w:val="30"/>
          <w:szCs w:val="30"/>
        </w:rPr>
        <w:t>款[缺陷调查]的规定修补缺陷，以达到合同约定的要求；并按照第</w:t>
      </w:r>
      <w:r>
        <w:rPr>
          <w:rFonts w:ascii="仿宋_GB2312" w:eastAsia="仿宋_GB2312"/>
          <w:sz w:val="30"/>
          <w:szCs w:val="30"/>
        </w:rPr>
        <w:t>11.4</w:t>
      </w:r>
      <w:r>
        <w:rPr>
          <w:rFonts w:hint="eastAsia" w:ascii="仿宋_GB2312" w:eastAsia="仿宋_GB2312"/>
          <w:sz w:val="30"/>
          <w:szCs w:val="30"/>
        </w:rPr>
        <w:t>款[缺陷修复后的进一步试验]重新进行竣工后试验以及承担风险和费用。如未通过试验和重新试验是承包人原因造成的，则承包人还应承担发包人因此增加的费用。</w:t>
      </w:r>
    </w:p>
    <w:bookmarkEnd w:id="562"/>
    <w:p w14:paraId="2647CEE0">
      <w:pPr>
        <w:spacing w:after="120"/>
        <w:ind w:firstLine="600"/>
        <w:rPr>
          <w:rFonts w:ascii="仿宋_GB2312" w:eastAsia="仿宋_GB2312"/>
          <w:sz w:val="30"/>
          <w:szCs w:val="30"/>
        </w:rPr>
      </w:pPr>
      <w:bookmarkStart w:id="571" w:name="_Ref531954819"/>
      <w:bookmarkStart w:id="572" w:name="_Ref531954811"/>
      <w:bookmarkStart w:id="573" w:name="_Toc54862281"/>
      <w:r>
        <w:rPr>
          <w:rFonts w:hint="eastAsia" w:ascii="仿宋_GB2312" w:eastAsia="仿宋_GB2312"/>
          <w:sz w:val="30"/>
          <w:szCs w:val="30"/>
        </w:rPr>
        <w:t>12.4 未能通过竣工后试验</w:t>
      </w:r>
      <w:bookmarkEnd w:id="571"/>
      <w:bookmarkEnd w:id="572"/>
      <w:bookmarkEnd w:id="573"/>
    </w:p>
    <w:p w14:paraId="35863074">
      <w:pPr>
        <w:spacing w:after="120"/>
        <w:ind w:firstLine="600"/>
        <w:rPr>
          <w:rFonts w:ascii="仿宋_GB2312" w:eastAsia="仿宋_GB2312"/>
          <w:sz w:val="30"/>
          <w:szCs w:val="30"/>
        </w:rPr>
      </w:pPr>
      <w:bookmarkStart w:id="574" w:name="_Ref531954829"/>
      <w:r>
        <w:rPr>
          <w:rFonts w:hint="eastAsia" w:ascii="仿宋_GB2312" w:eastAsia="仿宋_GB2312"/>
          <w:sz w:val="30"/>
          <w:szCs w:val="30"/>
        </w:rPr>
        <w:t>1</w:t>
      </w:r>
      <w:r>
        <w:rPr>
          <w:rFonts w:ascii="仿宋_GB2312" w:eastAsia="仿宋_GB2312"/>
          <w:sz w:val="30"/>
          <w:szCs w:val="30"/>
        </w:rPr>
        <w:t xml:space="preserve">2.4.1 </w:t>
      </w:r>
      <w:r>
        <w:rPr>
          <w:rFonts w:hint="eastAsia" w:ascii="仿宋_GB2312" w:eastAsia="仿宋_GB2312"/>
          <w:sz w:val="30"/>
          <w:szCs w:val="30"/>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574"/>
    </w:p>
    <w:p w14:paraId="042E83F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2.4.2 </w:t>
      </w:r>
      <w:r>
        <w:rPr>
          <w:rFonts w:hint="eastAsia" w:ascii="仿宋_GB2312" w:eastAsia="仿宋_GB2312"/>
          <w:sz w:val="30"/>
          <w:szCs w:val="30"/>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7A96B433">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2.4.3 </w:t>
      </w:r>
      <w:r>
        <w:rPr>
          <w:rFonts w:hint="eastAsia" w:ascii="仿宋_GB2312" w:eastAsia="仿宋_GB2312"/>
          <w:sz w:val="30"/>
          <w:szCs w:val="30"/>
        </w:rPr>
        <w:t>发包人无故拖延给予承包人进行调查、调整或修补所需的进入工程或区段工程的许可，并造成承包人费用增加的，应承担由此增加的费用并支付承包人合理利润。</w:t>
      </w:r>
    </w:p>
    <w:p w14:paraId="25B72188">
      <w:pPr>
        <w:spacing w:after="120"/>
        <w:ind w:firstLine="0" w:firstLineChars="0"/>
        <w:jc w:val="left"/>
        <w:rPr>
          <w:rFonts w:ascii="仿宋_GB2312" w:eastAsia="仿宋_GB2312"/>
          <w:sz w:val="32"/>
          <w:szCs w:val="32"/>
        </w:rPr>
      </w:pPr>
      <w:bookmarkStart w:id="575" w:name="_Toc54862282"/>
      <w:bookmarkStart w:id="576" w:name="_Ref4415801"/>
      <w:bookmarkStart w:id="577" w:name="_Toc4392"/>
      <w:bookmarkStart w:id="578" w:name="_Toc12559"/>
      <w:bookmarkStart w:id="579" w:name="_Toc23595"/>
      <w:r>
        <w:rPr>
          <w:rFonts w:hint="eastAsia" w:ascii="仿宋_GB2312" w:eastAsia="仿宋_GB2312"/>
          <w:sz w:val="32"/>
          <w:szCs w:val="32"/>
        </w:rPr>
        <w:t>第13条 变更与调整</w:t>
      </w:r>
      <w:bookmarkEnd w:id="575"/>
      <w:bookmarkEnd w:id="576"/>
      <w:bookmarkEnd w:id="577"/>
      <w:bookmarkEnd w:id="578"/>
      <w:bookmarkEnd w:id="579"/>
    </w:p>
    <w:p w14:paraId="7F0A94BF">
      <w:pPr>
        <w:spacing w:after="120"/>
        <w:ind w:firstLine="600"/>
        <w:rPr>
          <w:rFonts w:ascii="仿宋_GB2312" w:eastAsia="仿宋_GB2312"/>
          <w:sz w:val="30"/>
          <w:szCs w:val="30"/>
        </w:rPr>
      </w:pPr>
      <w:bookmarkStart w:id="580" w:name="_Ref532670395"/>
      <w:bookmarkStart w:id="581" w:name="_Ref532668573"/>
      <w:bookmarkStart w:id="582" w:name="_Ref532670393"/>
      <w:bookmarkStart w:id="583" w:name="_Ref532677084"/>
      <w:bookmarkStart w:id="584" w:name="_Ref532668569"/>
      <w:bookmarkStart w:id="585" w:name="_Ref532677087"/>
      <w:bookmarkStart w:id="586" w:name="_Toc54862283"/>
      <w:r>
        <w:rPr>
          <w:rFonts w:hint="eastAsia" w:ascii="仿宋_GB2312" w:eastAsia="仿宋_GB2312"/>
          <w:sz w:val="30"/>
          <w:szCs w:val="30"/>
        </w:rPr>
        <w:t>13.1 发包人变更权</w:t>
      </w:r>
      <w:bookmarkEnd w:id="580"/>
      <w:bookmarkEnd w:id="581"/>
      <w:bookmarkEnd w:id="582"/>
      <w:bookmarkEnd w:id="583"/>
      <w:bookmarkEnd w:id="584"/>
      <w:bookmarkEnd w:id="585"/>
      <w:bookmarkEnd w:id="586"/>
    </w:p>
    <w:p w14:paraId="2E098557">
      <w:pPr>
        <w:spacing w:after="120"/>
        <w:ind w:firstLine="600"/>
        <w:rPr>
          <w:rFonts w:ascii="仿宋_GB2312" w:eastAsia="仿宋_GB2312"/>
          <w:sz w:val="30"/>
          <w:szCs w:val="30"/>
        </w:rPr>
      </w:pPr>
      <w:bookmarkStart w:id="587" w:name="_Ref4534979"/>
      <w:r>
        <w:rPr>
          <w:rFonts w:hint="eastAsia" w:ascii="仿宋_GB2312" w:eastAsia="仿宋_GB2312"/>
          <w:sz w:val="30"/>
          <w:szCs w:val="30"/>
        </w:rPr>
        <w:t>1</w:t>
      </w:r>
      <w:r>
        <w:rPr>
          <w:rFonts w:ascii="仿宋_GB2312" w:eastAsia="仿宋_GB2312"/>
          <w:sz w:val="30"/>
          <w:szCs w:val="30"/>
        </w:rPr>
        <w:t xml:space="preserve">3.1.1 </w:t>
      </w:r>
      <w:r>
        <w:rPr>
          <w:rFonts w:hint="eastAsia" w:ascii="仿宋_GB2312" w:eastAsia="仿宋_GB2312"/>
          <w:sz w:val="30"/>
          <w:szCs w:val="30"/>
        </w:rPr>
        <w:t>变更指示应经发包人同意，并由工程师发出经发包人签认的变更指示。除第</w:t>
      </w:r>
      <w:r>
        <w:rPr>
          <w:rFonts w:ascii="仿宋_GB2312" w:eastAsia="仿宋_GB2312"/>
          <w:sz w:val="30"/>
          <w:szCs w:val="30"/>
        </w:rPr>
        <w:t>11.3.6</w:t>
      </w:r>
      <w:r>
        <w:rPr>
          <w:rFonts w:hint="eastAsia" w:ascii="仿宋_GB2312" w:eastAsia="仿宋_GB2312"/>
          <w:sz w:val="30"/>
          <w:szCs w:val="30"/>
        </w:rPr>
        <w:t>项[未能修复]约定的情况外，变更不应包括准备将任何工作删减并交由他人或发包人自行实施的情况。承包人收到变更指示后，方可实施变更。未经许可，承包人不得擅自对工程的任何部分进行变更。</w:t>
      </w:r>
      <w:bookmarkEnd w:id="587"/>
      <w:r>
        <w:rPr>
          <w:rFonts w:hint="eastAsia" w:ascii="仿宋_GB2312" w:eastAsia="仿宋_GB2312"/>
          <w:sz w:val="30"/>
          <w:szCs w:val="30"/>
        </w:rPr>
        <w:t>发包人与承包人对某项指示或批准是否构成变更产生争议的，按第</w:t>
      </w:r>
      <w:r>
        <w:rPr>
          <w:rFonts w:ascii="仿宋_GB2312" w:eastAsia="仿宋_GB2312"/>
          <w:sz w:val="30"/>
          <w:szCs w:val="30"/>
        </w:rPr>
        <w:t>20条</w:t>
      </w:r>
      <w:r>
        <w:rPr>
          <w:rFonts w:hint="eastAsia" w:ascii="仿宋_GB2312" w:eastAsia="仿宋_GB2312"/>
          <w:sz w:val="30"/>
          <w:szCs w:val="30"/>
        </w:rPr>
        <w:t>[争议解决]处理。</w:t>
      </w:r>
    </w:p>
    <w:p w14:paraId="0C68A882">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3.1.2 </w:t>
      </w:r>
      <w:r>
        <w:rPr>
          <w:rFonts w:hint="eastAsia" w:ascii="仿宋_GB2312" w:eastAsia="仿宋_GB2312"/>
          <w:sz w:val="30"/>
          <w:szCs w:val="30"/>
        </w:rPr>
        <w:t>承包人应按照变更指示执行，除非承包人及时向工程师发出通知，说明该项变更指示将降低工程的安全性、稳定性或适用性；涉及的工作内容和范围不可预见；所涉设备难以采购；导致承包人无法执行第</w:t>
      </w:r>
      <w:r>
        <w:rPr>
          <w:rFonts w:ascii="仿宋_GB2312" w:eastAsia="仿宋_GB2312"/>
          <w:sz w:val="30"/>
          <w:szCs w:val="30"/>
        </w:rPr>
        <w:t>7.5</w:t>
      </w:r>
      <w:r>
        <w:rPr>
          <w:rFonts w:hint="eastAsia" w:ascii="仿宋_GB2312" w:eastAsia="仿宋_GB2312"/>
          <w:sz w:val="30"/>
          <w:szCs w:val="30"/>
        </w:rPr>
        <w:t>款[现场劳动用工]、第7</w:t>
      </w:r>
      <w:r>
        <w:rPr>
          <w:rFonts w:ascii="仿宋_GB2312" w:eastAsia="仿宋_GB2312"/>
          <w:sz w:val="30"/>
          <w:szCs w:val="30"/>
        </w:rPr>
        <w:t>.6</w:t>
      </w:r>
      <w:r>
        <w:rPr>
          <w:rFonts w:hint="eastAsia" w:ascii="仿宋_GB2312" w:eastAsia="仿宋_GB2312"/>
          <w:sz w:val="30"/>
          <w:szCs w:val="30"/>
        </w:rPr>
        <w:t>款[安全文明施工</w:t>
      </w:r>
      <w:r>
        <w:rPr>
          <w:rFonts w:ascii="仿宋_GB2312" w:eastAsia="仿宋_GB2312"/>
          <w:sz w:val="30"/>
          <w:szCs w:val="30"/>
        </w:rPr>
        <w:t>]</w:t>
      </w:r>
      <w:r>
        <w:rPr>
          <w:rFonts w:hint="eastAsia" w:ascii="仿宋_GB2312" w:eastAsia="仿宋_GB2312"/>
          <w:sz w:val="30"/>
          <w:szCs w:val="30"/>
        </w:rPr>
        <w:t>、第</w:t>
      </w:r>
      <w:r>
        <w:rPr>
          <w:rFonts w:ascii="仿宋_GB2312" w:eastAsia="仿宋_GB2312"/>
          <w:sz w:val="30"/>
          <w:szCs w:val="30"/>
        </w:rPr>
        <w:t>7.7</w:t>
      </w:r>
      <w:r>
        <w:rPr>
          <w:rFonts w:hint="eastAsia" w:ascii="仿宋_GB2312" w:eastAsia="仿宋_GB2312"/>
          <w:sz w:val="30"/>
          <w:szCs w:val="30"/>
        </w:rPr>
        <w:t>款[</w:t>
      </w:r>
      <w:r>
        <w:rPr>
          <w:rFonts w:ascii="仿宋_GB2312" w:eastAsia="仿宋_GB2312"/>
          <w:sz w:val="30"/>
          <w:szCs w:val="30"/>
        </w:rPr>
        <w:t>职业健康]</w:t>
      </w:r>
      <w:r>
        <w:rPr>
          <w:rFonts w:hint="eastAsia" w:ascii="仿宋_GB2312" w:eastAsia="仿宋_GB2312"/>
          <w:sz w:val="30"/>
          <w:szCs w:val="30"/>
        </w:rPr>
        <w:t>或第</w:t>
      </w:r>
      <w:r>
        <w:rPr>
          <w:rFonts w:ascii="仿宋_GB2312" w:eastAsia="仿宋_GB2312"/>
          <w:sz w:val="30"/>
          <w:szCs w:val="30"/>
        </w:rPr>
        <w:t>7.8</w:t>
      </w:r>
      <w:r>
        <w:rPr>
          <w:rFonts w:hint="eastAsia" w:ascii="仿宋_GB2312" w:eastAsia="仿宋_GB2312"/>
          <w:sz w:val="30"/>
          <w:szCs w:val="30"/>
        </w:rPr>
        <w:t>款[环境保护</w:t>
      </w:r>
      <w:r>
        <w:rPr>
          <w:rFonts w:ascii="仿宋_GB2312" w:eastAsia="仿宋_GB2312"/>
          <w:sz w:val="30"/>
          <w:szCs w:val="30"/>
        </w:rPr>
        <w:t>]</w:t>
      </w:r>
      <w:r>
        <w:rPr>
          <w:rFonts w:hint="eastAsia" w:ascii="仿宋_GB2312" w:eastAsia="仿宋_GB2312"/>
          <w:sz w:val="30"/>
          <w:szCs w:val="30"/>
        </w:rPr>
        <w:t>内容；将造成工期延误；与第</w:t>
      </w:r>
      <w:r>
        <w:rPr>
          <w:rFonts w:ascii="仿宋_GB2312" w:eastAsia="仿宋_GB2312"/>
          <w:sz w:val="30"/>
          <w:szCs w:val="30"/>
        </w:rPr>
        <w:t>4.1</w:t>
      </w:r>
      <w:r>
        <w:rPr>
          <w:rFonts w:hint="eastAsia" w:ascii="仿宋_GB2312" w:eastAsia="仿宋_GB2312"/>
          <w:sz w:val="30"/>
          <w:szCs w:val="30"/>
        </w:rPr>
        <w:t>款[</w:t>
      </w:r>
      <w:r>
        <w:rPr>
          <w:rFonts w:ascii="仿宋_GB2312" w:eastAsia="仿宋_GB2312"/>
          <w:sz w:val="30"/>
          <w:szCs w:val="30"/>
        </w:rPr>
        <w:t>承包人的一般义务]</w:t>
      </w:r>
      <w:r>
        <w:rPr>
          <w:rFonts w:hint="eastAsia" w:ascii="仿宋_GB2312" w:eastAsia="仿宋_GB2312"/>
          <w:sz w:val="30"/>
          <w:szCs w:val="30"/>
        </w:rPr>
        <w:t>相冲突等无法执行的理由。工程师接到承包人的通知后，应作出经发包人签认的取消、确认或改变原指示的书面回复。</w:t>
      </w:r>
    </w:p>
    <w:p w14:paraId="653595C1">
      <w:pPr>
        <w:spacing w:after="120"/>
        <w:ind w:firstLine="600"/>
        <w:rPr>
          <w:rFonts w:ascii="仿宋_GB2312" w:eastAsia="仿宋_GB2312"/>
          <w:sz w:val="30"/>
          <w:szCs w:val="30"/>
        </w:rPr>
      </w:pPr>
      <w:bookmarkStart w:id="588" w:name="_Ref531955587"/>
      <w:bookmarkStart w:id="589" w:name="_Ref531955590"/>
      <w:bookmarkStart w:id="590" w:name="_Toc54862284"/>
      <w:bookmarkStart w:id="591" w:name="_Ref4623207"/>
      <w:r>
        <w:rPr>
          <w:rFonts w:hint="eastAsia" w:ascii="仿宋_GB2312" w:eastAsia="仿宋_GB2312"/>
          <w:sz w:val="30"/>
          <w:szCs w:val="30"/>
        </w:rPr>
        <w:t>13.2 承</w:t>
      </w:r>
      <w:bookmarkEnd w:id="588"/>
      <w:bookmarkEnd w:id="589"/>
      <w:r>
        <w:rPr>
          <w:rFonts w:hint="eastAsia" w:ascii="仿宋_GB2312" w:eastAsia="仿宋_GB2312"/>
          <w:sz w:val="30"/>
          <w:szCs w:val="30"/>
        </w:rPr>
        <w:t>包人的合理化建议</w:t>
      </w:r>
      <w:bookmarkEnd w:id="590"/>
      <w:bookmarkEnd w:id="591"/>
    </w:p>
    <w:p w14:paraId="2B560E3C">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3.2.1 </w:t>
      </w:r>
      <w:r>
        <w:rPr>
          <w:rFonts w:hint="eastAsia" w:ascii="仿宋_GB2312" w:eastAsia="仿宋_GB2312"/>
          <w:sz w:val="30"/>
          <w:szCs w:val="30"/>
        </w:rPr>
        <w:t>承包人提出合理化建议的，应向工程师提交合理化建议说明，说明建议的内容、理由以及实施该建议对合同价格和工期的影响。</w:t>
      </w:r>
    </w:p>
    <w:p w14:paraId="01BFE9C8">
      <w:pPr>
        <w:spacing w:after="120"/>
        <w:ind w:firstLine="600"/>
        <w:rPr>
          <w:rFonts w:ascii="仿宋_GB2312" w:eastAsia="仿宋_GB2312"/>
          <w:sz w:val="30"/>
          <w:szCs w:val="30"/>
        </w:rPr>
      </w:pPr>
      <w:bookmarkStart w:id="592" w:name="_Ref4681686"/>
      <w:r>
        <w:rPr>
          <w:rFonts w:hint="eastAsia" w:ascii="仿宋_GB2312" w:eastAsia="仿宋_GB2312"/>
          <w:sz w:val="30"/>
          <w:szCs w:val="30"/>
        </w:rPr>
        <w:t>1</w:t>
      </w:r>
      <w:r>
        <w:rPr>
          <w:rFonts w:ascii="仿宋_GB2312" w:eastAsia="仿宋_GB2312"/>
          <w:sz w:val="30"/>
          <w:szCs w:val="30"/>
        </w:rPr>
        <w:t xml:space="preserve">3.2.2 </w:t>
      </w:r>
      <w:r>
        <w:rPr>
          <w:rFonts w:hint="eastAsia" w:ascii="仿宋_GB2312" w:eastAsia="仿宋_GB2312"/>
          <w:sz w:val="30"/>
          <w:szCs w:val="30"/>
        </w:rPr>
        <w:t>除专用合同条件另有约定外，</w:t>
      </w:r>
      <w:bookmarkStart w:id="593" w:name="_Hlk4682273"/>
      <w:r>
        <w:rPr>
          <w:rFonts w:hint="eastAsia" w:ascii="仿宋_GB2312" w:eastAsia="仿宋_GB2312"/>
          <w:sz w:val="30"/>
          <w:szCs w:val="30"/>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rFonts w:ascii="仿宋_GB2312" w:eastAsia="仿宋_GB2312"/>
          <w:sz w:val="30"/>
          <w:szCs w:val="30"/>
        </w:rPr>
        <w:t>13.3.3</w:t>
      </w:r>
      <w:r>
        <w:rPr>
          <w:rFonts w:hint="eastAsia" w:ascii="仿宋_GB2312" w:eastAsia="仿宋_GB2312"/>
          <w:sz w:val="30"/>
          <w:szCs w:val="30"/>
        </w:rPr>
        <w:t>项[</w:t>
      </w:r>
      <w:r>
        <w:rPr>
          <w:rFonts w:ascii="仿宋_GB2312" w:eastAsia="仿宋_GB2312"/>
          <w:sz w:val="30"/>
          <w:szCs w:val="30"/>
        </w:rPr>
        <w:t>变更估价</w:t>
      </w:r>
      <w:r>
        <w:rPr>
          <w:rFonts w:hint="eastAsia" w:ascii="仿宋_GB2312" w:eastAsia="仿宋_GB2312"/>
          <w:sz w:val="30"/>
          <w:szCs w:val="30"/>
        </w:rPr>
        <w:t>]约定执行。发包人不同意变更的，工程师应书面通知承包人</w:t>
      </w:r>
      <w:bookmarkEnd w:id="592"/>
      <w:r>
        <w:rPr>
          <w:rFonts w:hint="eastAsia" w:ascii="仿宋_GB2312" w:eastAsia="仿宋_GB2312"/>
          <w:sz w:val="30"/>
          <w:szCs w:val="30"/>
        </w:rPr>
        <w:t>。</w:t>
      </w:r>
    </w:p>
    <w:p w14:paraId="3E06E5DD">
      <w:pPr>
        <w:spacing w:after="120"/>
        <w:ind w:firstLine="600"/>
        <w:rPr>
          <w:rFonts w:ascii="仿宋_GB2312" w:eastAsia="仿宋_GB2312"/>
          <w:sz w:val="30"/>
          <w:szCs w:val="30"/>
        </w:rPr>
      </w:pPr>
      <w:r>
        <w:rPr>
          <w:rFonts w:ascii="仿宋_GB2312" w:eastAsia="仿宋_GB2312"/>
          <w:sz w:val="30"/>
          <w:szCs w:val="30"/>
        </w:rPr>
        <w:t xml:space="preserve">13.2.3 </w:t>
      </w:r>
      <w:r>
        <w:rPr>
          <w:rFonts w:hint="eastAsia" w:ascii="仿宋_GB2312" w:eastAsia="仿宋_GB2312"/>
          <w:sz w:val="30"/>
          <w:szCs w:val="30"/>
        </w:rPr>
        <w:t>合理化建议降低了合同价格、缩短了工期或者提高了工程经济效益的，双方可以按照专用合同条件的约定进行利益分享。</w:t>
      </w:r>
    </w:p>
    <w:bookmarkEnd w:id="593"/>
    <w:p w14:paraId="1A045999">
      <w:pPr>
        <w:spacing w:after="120"/>
        <w:ind w:firstLine="600"/>
        <w:rPr>
          <w:rFonts w:ascii="仿宋_GB2312" w:eastAsia="仿宋_GB2312"/>
          <w:sz w:val="30"/>
          <w:szCs w:val="30"/>
        </w:rPr>
      </w:pPr>
      <w:bookmarkStart w:id="594" w:name="_Ref532669302"/>
      <w:bookmarkStart w:id="595" w:name="_Ref532673541"/>
      <w:bookmarkStart w:id="596" w:name="_Ref532673538"/>
      <w:bookmarkStart w:id="597" w:name="_Ref532671480"/>
      <w:bookmarkStart w:id="598" w:name="_Ref532671484"/>
      <w:bookmarkStart w:id="599" w:name="_Toc54862285"/>
      <w:bookmarkStart w:id="600" w:name="_Ref532669305"/>
      <w:r>
        <w:rPr>
          <w:rFonts w:hint="eastAsia" w:ascii="仿宋_GB2312" w:eastAsia="仿宋_GB2312"/>
          <w:sz w:val="30"/>
          <w:szCs w:val="30"/>
        </w:rPr>
        <w:t>13.3 变更程序</w:t>
      </w:r>
      <w:bookmarkEnd w:id="594"/>
      <w:bookmarkEnd w:id="595"/>
      <w:bookmarkEnd w:id="596"/>
      <w:bookmarkEnd w:id="597"/>
      <w:bookmarkEnd w:id="598"/>
      <w:bookmarkEnd w:id="599"/>
      <w:bookmarkEnd w:id="600"/>
    </w:p>
    <w:p w14:paraId="7D217002">
      <w:pPr>
        <w:spacing w:after="120"/>
        <w:ind w:firstLine="600"/>
        <w:rPr>
          <w:rFonts w:ascii="仿宋_GB2312" w:eastAsia="仿宋_GB2312"/>
          <w:sz w:val="30"/>
          <w:szCs w:val="30"/>
        </w:rPr>
      </w:pPr>
      <w:bookmarkStart w:id="601" w:name="_Ref4534600"/>
      <w:r>
        <w:rPr>
          <w:rFonts w:hint="eastAsia" w:ascii="仿宋_GB2312" w:eastAsia="仿宋_GB2312"/>
          <w:sz w:val="30"/>
          <w:szCs w:val="30"/>
        </w:rPr>
        <w:t>1</w:t>
      </w:r>
      <w:r>
        <w:rPr>
          <w:rFonts w:ascii="仿宋_GB2312" w:eastAsia="仿宋_GB2312"/>
          <w:sz w:val="30"/>
          <w:szCs w:val="30"/>
        </w:rPr>
        <w:t xml:space="preserve">3.3.1 </w:t>
      </w:r>
      <w:r>
        <w:rPr>
          <w:rFonts w:hint="eastAsia" w:ascii="仿宋_GB2312" w:eastAsia="仿宋_GB2312"/>
          <w:sz w:val="30"/>
          <w:szCs w:val="30"/>
        </w:rPr>
        <w:t>发包人提出变更</w:t>
      </w:r>
      <w:bookmarkEnd w:id="601"/>
    </w:p>
    <w:p w14:paraId="07D86C32">
      <w:pPr>
        <w:wordWrap/>
        <w:topLinePunct w:val="0"/>
        <w:spacing w:after="120"/>
        <w:ind w:firstLine="600"/>
        <w:rPr>
          <w:rFonts w:ascii="仿宋_GB2312" w:eastAsia="仿宋_GB2312"/>
          <w:sz w:val="30"/>
          <w:szCs w:val="30"/>
        </w:rPr>
      </w:pPr>
      <w:r>
        <w:rPr>
          <w:rFonts w:hint="eastAsia" w:ascii="仿宋_GB2312" w:eastAsia="仿宋_GB2312"/>
          <w:sz w:val="30"/>
          <w:szCs w:val="30"/>
        </w:rPr>
        <w:t>发包人提出变更的，应通过工程师向承包人发出书面形式的变更指示，变更指示应说明计划变更的工程范围和变更的内容。</w:t>
      </w:r>
    </w:p>
    <w:p w14:paraId="0EEBEB84">
      <w:pPr>
        <w:spacing w:after="120"/>
        <w:ind w:firstLine="600"/>
        <w:rPr>
          <w:rFonts w:ascii="仿宋_GB2312" w:eastAsia="仿宋_GB2312"/>
          <w:sz w:val="30"/>
          <w:szCs w:val="30"/>
        </w:rPr>
      </w:pPr>
      <w:bookmarkStart w:id="602" w:name="_Ref4534617"/>
      <w:r>
        <w:rPr>
          <w:rFonts w:hint="eastAsia" w:ascii="仿宋_GB2312" w:eastAsia="仿宋_GB2312"/>
          <w:sz w:val="30"/>
          <w:szCs w:val="30"/>
        </w:rPr>
        <w:t>1</w:t>
      </w:r>
      <w:r>
        <w:rPr>
          <w:rFonts w:ascii="仿宋_GB2312" w:eastAsia="仿宋_GB2312"/>
          <w:sz w:val="30"/>
          <w:szCs w:val="30"/>
        </w:rPr>
        <w:t xml:space="preserve">3.3.2 </w:t>
      </w:r>
      <w:r>
        <w:rPr>
          <w:rFonts w:hint="eastAsia" w:ascii="仿宋_GB2312" w:eastAsia="仿宋_GB2312"/>
          <w:sz w:val="30"/>
          <w:szCs w:val="30"/>
        </w:rPr>
        <w:t>变更执行</w:t>
      </w:r>
      <w:bookmarkEnd w:id="602"/>
    </w:p>
    <w:p w14:paraId="722FDD0E">
      <w:pPr>
        <w:wordWrap/>
        <w:topLinePunct w:val="0"/>
        <w:spacing w:after="120"/>
        <w:ind w:firstLine="600"/>
        <w:rPr>
          <w:rFonts w:ascii="仿宋_GB2312" w:eastAsia="仿宋_GB2312"/>
          <w:sz w:val="30"/>
          <w:szCs w:val="30"/>
        </w:rPr>
      </w:pPr>
      <w:r>
        <w:rPr>
          <w:rFonts w:hint="eastAsia" w:ascii="仿宋_GB2312" w:eastAsia="仿宋_GB2312"/>
          <w:sz w:val="30"/>
          <w:szCs w:val="30"/>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仿宋_GB2312" w:eastAsia="仿宋_GB2312"/>
          <w:sz w:val="30"/>
          <w:szCs w:val="30"/>
        </w:rPr>
        <w:t>13.3.3</w:t>
      </w:r>
      <w:r>
        <w:rPr>
          <w:rFonts w:hint="eastAsia" w:ascii="仿宋_GB2312" w:eastAsia="仿宋_GB2312"/>
          <w:sz w:val="30"/>
          <w:szCs w:val="30"/>
        </w:rPr>
        <w:t>项[变更估价]约定确定变更估价。</w:t>
      </w:r>
    </w:p>
    <w:p w14:paraId="3C088893">
      <w:pPr>
        <w:spacing w:after="120"/>
        <w:ind w:firstLine="600"/>
        <w:rPr>
          <w:rFonts w:ascii="仿宋_GB2312" w:eastAsia="仿宋_GB2312"/>
          <w:sz w:val="30"/>
          <w:szCs w:val="30"/>
        </w:rPr>
      </w:pPr>
      <w:bookmarkStart w:id="603" w:name="_Ref3835481"/>
      <w:r>
        <w:rPr>
          <w:rFonts w:hint="eastAsia" w:ascii="仿宋_GB2312" w:eastAsia="仿宋_GB2312"/>
          <w:sz w:val="30"/>
          <w:szCs w:val="30"/>
        </w:rPr>
        <w:t>1</w:t>
      </w:r>
      <w:r>
        <w:rPr>
          <w:rFonts w:ascii="仿宋_GB2312" w:eastAsia="仿宋_GB2312"/>
          <w:sz w:val="30"/>
          <w:szCs w:val="30"/>
        </w:rPr>
        <w:t xml:space="preserve">3.3.3 </w:t>
      </w:r>
      <w:r>
        <w:rPr>
          <w:rFonts w:hint="eastAsia" w:ascii="仿宋_GB2312" w:eastAsia="仿宋_GB2312"/>
          <w:sz w:val="30"/>
          <w:szCs w:val="30"/>
        </w:rPr>
        <w:t>变更估价</w:t>
      </w:r>
      <w:bookmarkEnd w:id="603"/>
    </w:p>
    <w:p w14:paraId="5BF0E69B">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3.3.3.1 </w:t>
      </w:r>
      <w:r>
        <w:rPr>
          <w:rFonts w:hint="eastAsia" w:ascii="仿宋_GB2312" w:eastAsia="仿宋_GB2312"/>
          <w:sz w:val="30"/>
          <w:szCs w:val="30"/>
        </w:rPr>
        <w:t>变更估价原则</w:t>
      </w:r>
    </w:p>
    <w:p w14:paraId="49E1F0D8">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除专用合同条件另有约定外，变更估价按照本款约定处理：</w:t>
      </w:r>
    </w:p>
    <w:p w14:paraId="309E2B22">
      <w:pPr>
        <w:wordWrap/>
        <w:topLinePunct w:val="0"/>
        <w:spacing w:after="120"/>
        <w:ind w:firstLine="600"/>
        <w:rPr>
          <w:rFonts w:ascii="仿宋_GB2312" w:eastAsia="仿宋_GB2312"/>
          <w:sz w:val="30"/>
          <w:szCs w:val="30"/>
        </w:rPr>
      </w:pPr>
      <w:r>
        <w:rPr>
          <w:rFonts w:hint="eastAsia" w:ascii="仿宋_GB2312" w:eastAsia="仿宋_GB2312"/>
          <w:sz w:val="30"/>
          <w:szCs w:val="30"/>
        </w:rPr>
        <w:t>（1） 合同中未包含价格清单，合同价格应按照所执行的变更工程的成本加利润调整；</w:t>
      </w:r>
    </w:p>
    <w:p w14:paraId="53CB70D5">
      <w:pPr>
        <w:wordWrap/>
        <w:topLinePunct w:val="0"/>
        <w:spacing w:after="120"/>
        <w:ind w:firstLine="600"/>
        <w:rPr>
          <w:rFonts w:ascii="仿宋_GB2312" w:eastAsia="仿宋_GB2312"/>
          <w:sz w:val="30"/>
          <w:szCs w:val="30"/>
        </w:rPr>
      </w:pPr>
      <w:r>
        <w:rPr>
          <w:rFonts w:hint="eastAsia" w:ascii="仿宋_GB2312" w:eastAsia="仿宋_GB2312"/>
          <w:sz w:val="30"/>
          <w:szCs w:val="30"/>
        </w:rPr>
        <w:t>（2） 合同中包含价格清单，合同价格按照如下规则调整：</w:t>
      </w:r>
    </w:p>
    <w:p w14:paraId="1352571B">
      <w:pPr>
        <w:wordWrap/>
        <w:topLinePunct w:val="0"/>
        <w:spacing w:after="120"/>
        <w:ind w:firstLine="600"/>
        <w:rPr>
          <w:rFonts w:ascii="仿宋_GB2312" w:eastAsia="仿宋_GB2312"/>
          <w:sz w:val="30"/>
          <w:szCs w:val="30"/>
        </w:rPr>
      </w:pPr>
      <w:r>
        <w:rPr>
          <w:rFonts w:hint="eastAsia" w:ascii="仿宋_GB2312" w:eastAsia="仿宋_GB2312"/>
          <w:sz w:val="30"/>
          <w:szCs w:val="30"/>
        </w:rPr>
        <w:t>1） 价格清单中有适用于变更工程项目的，应采用该项目的费率和价格；</w:t>
      </w:r>
    </w:p>
    <w:p w14:paraId="44735761">
      <w:pPr>
        <w:wordWrap/>
        <w:topLinePunct w:val="0"/>
        <w:spacing w:after="120"/>
        <w:ind w:firstLine="600"/>
        <w:rPr>
          <w:rFonts w:ascii="仿宋_GB2312" w:eastAsia="仿宋_GB2312"/>
          <w:sz w:val="30"/>
          <w:szCs w:val="30"/>
        </w:rPr>
      </w:pPr>
      <w:r>
        <w:rPr>
          <w:rFonts w:hint="eastAsia" w:ascii="仿宋_GB2312" w:eastAsia="仿宋_GB2312"/>
          <w:sz w:val="30"/>
          <w:szCs w:val="30"/>
        </w:rPr>
        <w:t>2） 价格清单中没有适用但有类似于变更工程项目的，可在合理范围内参照类似项目的费率或价格；</w:t>
      </w:r>
    </w:p>
    <w:p w14:paraId="3A691659">
      <w:pPr>
        <w:wordWrap/>
        <w:topLinePunct w:val="0"/>
        <w:spacing w:after="120"/>
        <w:ind w:firstLine="600"/>
        <w:rPr>
          <w:rFonts w:ascii="仿宋_GB2312" w:eastAsia="仿宋_GB2312"/>
          <w:sz w:val="30"/>
          <w:szCs w:val="30"/>
        </w:rPr>
      </w:pPr>
      <w:r>
        <w:rPr>
          <w:rFonts w:hint="eastAsia" w:ascii="仿宋_GB2312" w:eastAsia="仿宋_GB2312"/>
          <w:sz w:val="30"/>
          <w:szCs w:val="30"/>
        </w:rPr>
        <w:t>3） 价格清单中没有适用也没有类似于变更工程项目的，该工程项目应按成本加利润原则调整适用新的费率或价格。</w:t>
      </w:r>
    </w:p>
    <w:p w14:paraId="2392B8D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3.3.</w:t>
      </w:r>
      <w:r>
        <w:rPr>
          <w:rFonts w:hint="eastAsia" w:ascii="仿宋_GB2312" w:eastAsia="仿宋_GB2312"/>
          <w:sz w:val="30"/>
          <w:szCs w:val="30"/>
        </w:rPr>
        <w:t>3</w:t>
      </w:r>
      <w:r>
        <w:rPr>
          <w:rFonts w:ascii="仿宋_GB2312" w:eastAsia="仿宋_GB2312"/>
          <w:sz w:val="30"/>
          <w:szCs w:val="30"/>
        </w:rPr>
        <w:t xml:space="preserve">.2 </w:t>
      </w:r>
      <w:r>
        <w:rPr>
          <w:rFonts w:hint="eastAsia" w:ascii="仿宋_GB2312" w:eastAsia="仿宋_GB2312"/>
          <w:sz w:val="30"/>
          <w:szCs w:val="30"/>
        </w:rPr>
        <w:t>变更估价程序</w:t>
      </w:r>
    </w:p>
    <w:p w14:paraId="31BBC33B">
      <w:pPr>
        <w:wordWrap/>
        <w:topLinePunct w:val="0"/>
        <w:spacing w:after="120"/>
        <w:ind w:firstLine="600"/>
        <w:rPr>
          <w:rFonts w:ascii="仿宋_GB2312" w:eastAsia="仿宋_GB2312"/>
          <w:sz w:val="30"/>
          <w:szCs w:val="30"/>
        </w:rPr>
      </w:pPr>
      <w:bookmarkStart w:id="604" w:name="_Ref531955607"/>
      <w:bookmarkStart w:id="605" w:name="_Ref531955605"/>
      <w:bookmarkStart w:id="606" w:name="_Toc296346651"/>
      <w:bookmarkStart w:id="607" w:name="_Toc296503150"/>
      <w:bookmarkStart w:id="608" w:name="_Toc337558844"/>
      <w:r>
        <w:rPr>
          <w:rFonts w:hint="eastAsia" w:ascii="仿宋_GB2312" w:eastAsia="仿宋_GB2312"/>
          <w:sz w:val="30"/>
          <w:szCs w:val="30"/>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42B29856">
      <w:pPr>
        <w:wordWrap/>
        <w:topLinePunct w:val="0"/>
        <w:spacing w:after="120"/>
        <w:ind w:firstLine="600"/>
        <w:rPr>
          <w:rFonts w:ascii="仿宋_GB2312" w:eastAsia="仿宋_GB2312"/>
          <w:sz w:val="30"/>
          <w:szCs w:val="30"/>
        </w:rPr>
      </w:pPr>
      <w:r>
        <w:rPr>
          <w:rFonts w:hint="eastAsia" w:ascii="仿宋_GB2312" w:eastAsia="仿宋_GB2312"/>
          <w:sz w:val="30"/>
          <w:szCs w:val="30"/>
        </w:rPr>
        <w:t>因变更引起的价格调整应计入最近一期的进度款中支付。</w:t>
      </w:r>
    </w:p>
    <w:p w14:paraId="7B58E85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3.3.4 </w:t>
      </w:r>
      <w:r>
        <w:rPr>
          <w:rFonts w:hint="eastAsia" w:ascii="仿宋_GB2312" w:eastAsia="仿宋_GB2312"/>
          <w:sz w:val="30"/>
          <w:szCs w:val="30"/>
        </w:rPr>
        <w:t>变更引起的工期调整</w:t>
      </w:r>
    </w:p>
    <w:p w14:paraId="4207E7DA">
      <w:pPr>
        <w:wordWrap/>
        <w:topLinePunct w:val="0"/>
        <w:spacing w:after="120"/>
        <w:ind w:firstLine="600"/>
        <w:rPr>
          <w:rFonts w:ascii="仿宋_GB2312" w:eastAsia="仿宋_GB2312"/>
          <w:sz w:val="30"/>
          <w:szCs w:val="30"/>
        </w:rPr>
      </w:pPr>
      <w:r>
        <w:rPr>
          <w:rFonts w:hint="eastAsia" w:ascii="仿宋_GB2312" w:eastAsia="仿宋_GB2312"/>
          <w:sz w:val="30"/>
          <w:szCs w:val="30"/>
        </w:rPr>
        <w:t>因变更引起工期变化的，合同当事人均可要求调整合同工期，由合同当事人按照第</w:t>
      </w:r>
      <w:r>
        <w:rPr>
          <w:rFonts w:ascii="仿宋_GB2312" w:eastAsia="仿宋_GB2312"/>
          <w:sz w:val="30"/>
          <w:szCs w:val="30"/>
        </w:rPr>
        <w:t>3.6</w:t>
      </w:r>
      <w:r>
        <w:rPr>
          <w:rFonts w:hint="eastAsia" w:ascii="仿宋_GB2312" w:eastAsia="仿宋_GB2312"/>
          <w:sz w:val="30"/>
          <w:szCs w:val="30"/>
        </w:rPr>
        <w:t>款[商定或确定]并参考工程所在地的工期定额标准确定增减工期天数。</w:t>
      </w:r>
    </w:p>
    <w:p w14:paraId="3805B31D">
      <w:pPr>
        <w:spacing w:after="120"/>
        <w:ind w:firstLine="600"/>
        <w:rPr>
          <w:rFonts w:ascii="仿宋_GB2312" w:eastAsia="仿宋_GB2312"/>
          <w:sz w:val="30"/>
          <w:szCs w:val="30"/>
        </w:rPr>
      </w:pPr>
      <w:bookmarkStart w:id="609" w:name="_Ref4431237"/>
      <w:bookmarkStart w:id="610" w:name="_Toc54862286"/>
      <w:r>
        <w:rPr>
          <w:rFonts w:hint="eastAsia" w:ascii="仿宋_GB2312" w:eastAsia="仿宋_GB2312"/>
          <w:sz w:val="30"/>
          <w:szCs w:val="30"/>
        </w:rPr>
        <w:t>13.4 暂估价</w:t>
      </w:r>
      <w:bookmarkEnd w:id="609"/>
      <w:bookmarkEnd w:id="610"/>
    </w:p>
    <w:p w14:paraId="504C5F19">
      <w:pPr>
        <w:spacing w:after="120"/>
        <w:ind w:firstLine="600"/>
        <w:rPr>
          <w:rFonts w:ascii="仿宋_GB2312" w:eastAsia="仿宋_GB2312"/>
          <w:sz w:val="30"/>
          <w:szCs w:val="30"/>
        </w:rPr>
      </w:pPr>
      <w:bookmarkStart w:id="611" w:name="_Ref4616729"/>
      <w:r>
        <w:rPr>
          <w:rFonts w:hint="eastAsia" w:ascii="仿宋_GB2312" w:eastAsia="仿宋_GB2312"/>
          <w:sz w:val="30"/>
          <w:szCs w:val="30"/>
        </w:rPr>
        <w:t>1</w:t>
      </w:r>
      <w:r>
        <w:rPr>
          <w:rFonts w:ascii="仿宋_GB2312" w:eastAsia="仿宋_GB2312"/>
          <w:sz w:val="30"/>
          <w:szCs w:val="30"/>
        </w:rPr>
        <w:t xml:space="preserve">3.4.1 </w:t>
      </w:r>
      <w:r>
        <w:rPr>
          <w:rFonts w:hint="eastAsia" w:ascii="仿宋_GB2312" w:eastAsia="仿宋_GB2312"/>
          <w:sz w:val="30"/>
          <w:szCs w:val="30"/>
        </w:rPr>
        <w:t>依法必须招标的暂估价项目</w:t>
      </w:r>
      <w:bookmarkEnd w:id="611"/>
    </w:p>
    <w:p w14:paraId="09294E35">
      <w:pPr>
        <w:wordWrap/>
        <w:topLinePunct w:val="0"/>
        <w:spacing w:after="120"/>
        <w:ind w:firstLine="600"/>
        <w:rPr>
          <w:rFonts w:ascii="仿宋_GB2312" w:eastAsia="仿宋_GB2312"/>
          <w:sz w:val="30"/>
          <w:szCs w:val="30"/>
        </w:rPr>
      </w:pPr>
      <w:r>
        <w:rPr>
          <w:rFonts w:hint="eastAsia" w:ascii="仿宋_GB2312" w:eastAsia="仿宋_GB2312"/>
          <w:sz w:val="30"/>
          <w:szCs w:val="30"/>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1D0725D2">
      <w:pPr>
        <w:pStyle w:val="114"/>
        <w:numPr>
          <w:ilvl w:val="2"/>
          <w:numId w:val="0"/>
        </w:numPr>
        <w:spacing w:after="120"/>
        <w:ind w:firstLine="600" w:firstLineChars="200"/>
        <w:outlineLvl w:val="9"/>
        <w:rPr>
          <w:rFonts w:ascii="仿宋_GB2312" w:eastAsia="仿宋_GB2312"/>
          <w:sz w:val="30"/>
          <w:szCs w:val="30"/>
        </w:rPr>
      </w:pPr>
      <w:r>
        <w:rPr>
          <w:rFonts w:hint="eastAsia" w:ascii="仿宋_GB2312" w:eastAsia="仿宋_GB2312"/>
          <w:sz w:val="30"/>
          <w:szCs w:val="30"/>
        </w:rPr>
        <w:t>专用合同条件约定由发包人和承包人共同作为招标人的，与组织招标工作有关的费用在专用合同条件中约定。</w:t>
      </w:r>
    </w:p>
    <w:p w14:paraId="51B9ADA7">
      <w:pPr>
        <w:wordWrap/>
        <w:topLinePunct w:val="0"/>
        <w:spacing w:after="120"/>
        <w:ind w:firstLine="600"/>
        <w:rPr>
          <w:rFonts w:ascii="仿宋_GB2312" w:eastAsia="仿宋_GB2312"/>
          <w:sz w:val="30"/>
          <w:szCs w:val="30"/>
        </w:rPr>
      </w:pPr>
      <w:r>
        <w:rPr>
          <w:rFonts w:hint="eastAsia" w:ascii="仿宋_GB2312" w:eastAsia="仿宋_GB2312"/>
          <w:sz w:val="30"/>
          <w:szCs w:val="30"/>
        </w:rPr>
        <w:t>具体的招标程序以及发包人和承包人权利义务关系可在专用合同条件中约定。暂估价项目的中标金额与价格清单中所列暂估价的金额差以及相应的税金等其他费用应列入合同价格。</w:t>
      </w:r>
    </w:p>
    <w:p w14:paraId="3CFB6522">
      <w:pPr>
        <w:spacing w:after="120"/>
        <w:ind w:firstLine="600"/>
        <w:rPr>
          <w:rFonts w:ascii="仿宋_GB2312" w:eastAsia="仿宋_GB2312"/>
          <w:sz w:val="30"/>
          <w:szCs w:val="30"/>
        </w:rPr>
      </w:pPr>
      <w:bookmarkStart w:id="612" w:name="_Ref4682312"/>
      <w:r>
        <w:rPr>
          <w:rFonts w:hint="eastAsia" w:ascii="仿宋_GB2312" w:eastAsia="仿宋_GB2312"/>
          <w:sz w:val="30"/>
          <w:szCs w:val="30"/>
        </w:rPr>
        <w:t>13.4.2 不属于依法必须招标的暂估价项目</w:t>
      </w:r>
      <w:bookmarkEnd w:id="612"/>
    </w:p>
    <w:p w14:paraId="6B924522">
      <w:pPr>
        <w:wordWrap/>
        <w:topLinePunct w:val="0"/>
        <w:spacing w:after="120"/>
        <w:ind w:firstLine="600"/>
        <w:rPr>
          <w:rFonts w:ascii="仿宋_GB2312" w:eastAsia="仿宋_GB2312"/>
          <w:sz w:val="30"/>
          <w:szCs w:val="30"/>
        </w:rPr>
      </w:pPr>
      <w:r>
        <w:rPr>
          <w:rFonts w:hint="eastAsia" w:ascii="仿宋_GB2312" w:eastAsia="仿宋_GB2312"/>
          <w:sz w:val="30"/>
          <w:szCs w:val="30"/>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7882E5B">
      <w:pPr>
        <w:wordWrap/>
        <w:topLinePunct w:val="0"/>
        <w:spacing w:after="120"/>
        <w:ind w:firstLine="600"/>
        <w:rPr>
          <w:rFonts w:ascii="仿宋_GB2312" w:eastAsia="仿宋_GB2312"/>
          <w:sz w:val="30"/>
          <w:szCs w:val="30"/>
        </w:rPr>
      </w:pPr>
      <w:r>
        <w:rPr>
          <w:rFonts w:hint="eastAsia" w:ascii="仿宋_GB2312" w:eastAsia="仿宋_GB2312"/>
          <w:sz w:val="30"/>
          <w:szCs w:val="30"/>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0FE905EF">
      <w:pPr>
        <w:spacing w:after="120"/>
        <w:ind w:firstLine="600"/>
        <w:rPr>
          <w:rFonts w:ascii="仿宋_GB2312" w:eastAsia="仿宋_GB2312"/>
          <w:sz w:val="30"/>
          <w:szCs w:val="30"/>
        </w:rPr>
      </w:pPr>
      <w:bookmarkStart w:id="613" w:name="_Ref4431250"/>
      <w:bookmarkStart w:id="614" w:name="_Toc54862287"/>
      <w:r>
        <w:rPr>
          <w:rFonts w:hint="eastAsia" w:ascii="仿宋_GB2312" w:eastAsia="仿宋_GB2312"/>
          <w:sz w:val="30"/>
          <w:szCs w:val="30"/>
        </w:rPr>
        <w:t>13.5 暂列金额</w:t>
      </w:r>
      <w:bookmarkEnd w:id="604"/>
      <w:bookmarkEnd w:id="605"/>
      <w:bookmarkEnd w:id="613"/>
      <w:bookmarkEnd w:id="614"/>
    </w:p>
    <w:bookmarkEnd w:id="606"/>
    <w:bookmarkEnd w:id="607"/>
    <w:bookmarkEnd w:id="608"/>
    <w:p w14:paraId="092ABD60">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00FA6B2C">
      <w:pPr>
        <w:wordWrap/>
        <w:topLinePunct w:val="0"/>
        <w:spacing w:after="120"/>
        <w:ind w:firstLine="600"/>
        <w:rPr>
          <w:rFonts w:ascii="仿宋_GB2312" w:eastAsia="仿宋_GB2312"/>
          <w:sz w:val="30"/>
          <w:szCs w:val="30"/>
        </w:rPr>
      </w:pPr>
      <w:r>
        <w:rPr>
          <w:rFonts w:hint="eastAsia" w:ascii="仿宋_GB2312" w:eastAsia="仿宋_GB2312"/>
          <w:sz w:val="30"/>
          <w:szCs w:val="30"/>
        </w:rPr>
        <w:t>对于每笔暂列金额，发包人可以指示用于下列支付：</w:t>
      </w:r>
    </w:p>
    <w:p w14:paraId="01B9934F">
      <w:pPr>
        <w:wordWrap/>
        <w:topLinePunct w:val="0"/>
        <w:spacing w:after="120"/>
        <w:ind w:firstLine="600"/>
        <w:rPr>
          <w:rFonts w:ascii="仿宋_GB2312" w:eastAsia="仿宋_GB2312"/>
          <w:sz w:val="30"/>
          <w:szCs w:val="30"/>
        </w:rPr>
      </w:pPr>
      <w:r>
        <w:rPr>
          <w:rFonts w:hint="eastAsia" w:ascii="仿宋_GB2312" w:eastAsia="仿宋_GB2312"/>
          <w:sz w:val="30"/>
          <w:szCs w:val="30"/>
        </w:rPr>
        <w:t>（1） 发包人根据第</w:t>
      </w:r>
      <w:r>
        <w:rPr>
          <w:rFonts w:ascii="仿宋_GB2312" w:eastAsia="仿宋_GB2312"/>
          <w:sz w:val="30"/>
          <w:szCs w:val="30"/>
        </w:rPr>
        <w:t>13.1</w:t>
      </w:r>
      <w:r>
        <w:rPr>
          <w:rFonts w:hint="eastAsia" w:ascii="仿宋_GB2312" w:eastAsia="仿宋_GB2312"/>
          <w:sz w:val="30"/>
          <w:szCs w:val="30"/>
        </w:rPr>
        <w:t>款[发包人变更权]指示变更，决定对合同价格和付款计划表（如有）进行调整的、由承包人实施的工作（包括要提供的工程设备、材料和服务）；</w:t>
      </w:r>
    </w:p>
    <w:p w14:paraId="28A2A343">
      <w:pPr>
        <w:wordWrap/>
        <w:topLinePunct w:val="0"/>
        <w:spacing w:after="120"/>
        <w:ind w:firstLine="600"/>
        <w:rPr>
          <w:rFonts w:ascii="仿宋_GB2312" w:eastAsia="仿宋_GB2312"/>
          <w:sz w:val="30"/>
          <w:szCs w:val="30"/>
        </w:rPr>
      </w:pPr>
      <w:r>
        <w:rPr>
          <w:rFonts w:hint="eastAsia" w:ascii="仿宋_GB2312" w:eastAsia="仿宋_GB2312"/>
          <w:sz w:val="30"/>
          <w:szCs w:val="30"/>
        </w:rPr>
        <w:t>（2） 承包人购买的工程设备、材料、工作或服务，应支付包括承包人已付（或应付）的实际金额以及相应的管理费等费用和利润（管理费和利润应以实际金额为基数根据合同约定的费率（如有）或百分比计算）。</w:t>
      </w:r>
    </w:p>
    <w:p w14:paraId="7288E4F5">
      <w:pPr>
        <w:wordWrap/>
        <w:topLinePunct w:val="0"/>
        <w:spacing w:after="120"/>
        <w:ind w:firstLine="600"/>
        <w:rPr>
          <w:rFonts w:ascii="仿宋_GB2312" w:eastAsia="仿宋_GB2312"/>
          <w:sz w:val="30"/>
          <w:szCs w:val="30"/>
        </w:rPr>
      </w:pPr>
      <w:r>
        <w:rPr>
          <w:rFonts w:hint="eastAsia" w:ascii="仿宋_GB2312" w:eastAsia="仿宋_GB2312"/>
          <w:sz w:val="30"/>
          <w:szCs w:val="30"/>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6A0976D4">
      <w:pPr>
        <w:wordWrap/>
        <w:topLinePunct w:val="0"/>
        <w:spacing w:after="120"/>
        <w:ind w:firstLine="600"/>
        <w:rPr>
          <w:rFonts w:ascii="仿宋_GB2312" w:eastAsia="仿宋_GB2312"/>
          <w:sz w:val="30"/>
          <w:szCs w:val="30"/>
        </w:rPr>
      </w:pPr>
      <w:r>
        <w:rPr>
          <w:rFonts w:hint="eastAsia" w:ascii="仿宋_GB2312" w:eastAsia="仿宋_GB2312"/>
          <w:sz w:val="30"/>
          <w:szCs w:val="30"/>
        </w:rPr>
        <w:t>每份包含暂列金额的文件还应包括用以证明暂列金额的所有有效的发票、凭证和账户或收据。</w:t>
      </w:r>
    </w:p>
    <w:p w14:paraId="67979905">
      <w:pPr>
        <w:spacing w:after="120"/>
        <w:ind w:firstLine="600"/>
        <w:rPr>
          <w:rFonts w:ascii="仿宋_GB2312" w:eastAsia="仿宋_GB2312"/>
          <w:sz w:val="30"/>
          <w:szCs w:val="30"/>
        </w:rPr>
      </w:pPr>
      <w:bookmarkStart w:id="615" w:name="_Toc54862288"/>
      <w:bookmarkStart w:id="616" w:name="_Toc296503152"/>
      <w:bookmarkStart w:id="617" w:name="_Toc337558845"/>
      <w:bookmarkStart w:id="618" w:name="_Ref4431438"/>
      <w:bookmarkStart w:id="619" w:name="_Toc296346653"/>
      <w:r>
        <w:rPr>
          <w:rFonts w:hint="eastAsia" w:ascii="仿宋_GB2312" w:eastAsia="仿宋_GB2312"/>
          <w:sz w:val="30"/>
          <w:szCs w:val="30"/>
        </w:rPr>
        <w:t>13.6 计日工</w:t>
      </w:r>
      <w:bookmarkEnd w:id="615"/>
      <w:bookmarkEnd w:id="616"/>
      <w:bookmarkEnd w:id="617"/>
      <w:bookmarkEnd w:id="618"/>
      <w:bookmarkEnd w:id="619"/>
    </w:p>
    <w:p w14:paraId="55D7ECEC">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3.6.1 </w:t>
      </w:r>
      <w:r>
        <w:rPr>
          <w:rFonts w:hint="eastAsia" w:ascii="仿宋_GB2312" w:eastAsia="仿宋_GB2312"/>
          <w:sz w:val="30"/>
          <w:szCs w:val="30"/>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rFonts w:ascii="仿宋_GB2312" w:eastAsia="仿宋_GB2312"/>
          <w:sz w:val="30"/>
          <w:szCs w:val="30"/>
        </w:rPr>
        <w:t>3.6</w:t>
      </w:r>
      <w:r>
        <w:rPr>
          <w:rFonts w:hint="eastAsia" w:ascii="仿宋_GB2312" w:eastAsia="仿宋_GB2312"/>
          <w:sz w:val="30"/>
          <w:szCs w:val="30"/>
        </w:rPr>
        <w:t>款[商定或确定]确定计日工的单价。</w:t>
      </w:r>
    </w:p>
    <w:p w14:paraId="50826934">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3.6.2 </w:t>
      </w:r>
      <w:r>
        <w:rPr>
          <w:rFonts w:hint="eastAsia" w:ascii="仿宋_GB2312" w:eastAsia="仿宋_GB2312"/>
          <w:sz w:val="30"/>
          <w:szCs w:val="30"/>
        </w:rPr>
        <w:t>采用计日工计价的任何一项工作，承包人应在该项工作实施过程中，每天提交以下报表和有关凭证报送工程师审查：</w:t>
      </w:r>
    </w:p>
    <w:p w14:paraId="5DD0D6FF">
      <w:pPr>
        <w:wordWrap/>
        <w:topLinePunct w:val="0"/>
        <w:spacing w:after="120"/>
        <w:ind w:firstLine="600"/>
        <w:rPr>
          <w:rFonts w:ascii="仿宋_GB2312" w:eastAsia="仿宋_GB2312"/>
          <w:sz w:val="30"/>
          <w:szCs w:val="30"/>
        </w:rPr>
      </w:pPr>
      <w:r>
        <w:rPr>
          <w:rFonts w:hint="eastAsia" w:ascii="仿宋_GB2312" w:eastAsia="仿宋_GB2312"/>
          <w:sz w:val="30"/>
          <w:szCs w:val="30"/>
        </w:rPr>
        <w:t>（1） 工作名称、内容和数量；</w:t>
      </w:r>
    </w:p>
    <w:p w14:paraId="14048302">
      <w:pPr>
        <w:wordWrap/>
        <w:topLinePunct w:val="0"/>
        <w:spacing w:after="120"/>
        <w:ind w:firstLine="600"/>
        <w:rPr>
          <w:rFonts w:ascii="仿宋_GB2312" w:eastAsia="仿宋_GB2312"/>
          <w:sz w:val="30"/>
          <w:szCs w:val="30"/>
        </w:rPr>
      </w:pPr>
      <w:r>
        <w:rPr>
          <w:rFonts w:hint="eastAsia" w:ascii="仿宋_GB2312" w:eastAsia="仿宋_GB2312"/>
          <w:sz w:val="30"/>
          <w:szCs w:val="30"/>
        </w:rPr>
        <w:t>（2） 投入该工作的所有人员的姓名、专业、工种、级别和耗用工时；</w:t>
      </w:r>
    </w:p>
    <w:p w14:paraId="7E4B149A">
      <w:pPr>
        <w:wordWrap/>
        <w:topLinePunct w:val="0"/>
        <w:spacing w:after="120"/>
        <w:ind w:firstLine="600"/>
        <w:rPr>
          <w:rFonts w:ascii="仿宋_GB2312" w:eastAsia="仿宋_GB2312"/>
          <w:sz w:val="30"/>
          <w:szCs w:val="30"/>
        </w:rPr>
      </w:pPr>
      <w:r>
        <w:rPr>
          <w:rFonts w:hint="eastAsia" w:ascii="仿宋_GB2312" w:eastAsia="仿宋_GB2312"/>
          <w:sz w:val="30"/>
          <w:szCs w:val="30"/>
        </w:rPr>
        <w:t>（3） 投入该工作的材料类别和数量；</w:t>
      </w:r>
    </w:p>
    <w:p w14:paraId="08B1A640">
      <w:pPr>
        <w:wordWrap/>
        <w:topLinePunct w:val="0"/>
        <w:spacing w:after="120"/>
        <w:ind w:firstLine="600"/>
        <w:rPr>
          <w:rFonts w:ascii="仿宋_GB2312" w:eastAsia="仿宋_GB2312"/>
          <w:sz w:val="30"/>
          <w:szCs w:val="30"/>
        </w:rPr>
      </w:pPr>
      <w:r>
        <w:rPr>
          <w:rFonts w:hint="eastAsia" w:ascii="仿宋_GB2312" w:eastAsia="仿宋_GB2312"/>
          <w:sz w:val="30"/>
          <w:szCs w:val="30"/>
        </w:rPr>
        <w:t>（4） 投入该工作的施工设备型号、台数和耗用台时；</w:t>
      </w:r>
    </w:p>
    <w:p w14:paraId="5754A000">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w:t>
      </w:r>
      <w:r>
        <w:rPr>
          <w:rFonts w:hint="eastAsia" w:ascii="仿宋_GB2312" w:eastAsia="仿宋_GB2312"/>
          <w:sz w:val="30"/>
          <w:szCs w:val="30"/>
        </w:rPr>
        <w:t>） 其他有关资料和凭证。</w:t>
      </w:r>
    </w:p>
    <w:p w14:paraId="6C59E395">
      <w:pPr>
        <w:wordWrap/>
        <w:topLinePunct w:val="0"/>
        <w:spacing w:after="120"/>
        <w:ind w:firstLine="600"/>
        <w:rPr>
          <w:rFonts w:ascii="仿宋_GB2312" w:eastAsia="仿宋_GB2312"/>
          <w:sz w:val="30"/>
          <w:szCs w:val="30"/>
        </w:rPr>
      </w:pPr>
      <w:r>
        <w:rPr>
          <w:rFonts w:hint="eastAsia" w:ascii="仿宋_GB2312" w:eastAsia="仿宋_GB2312"/>
          <w:sz w:val="30"/>
          <w:szCs w:val="30"/>
        </w:rPr>
        <w:t>计日工由承包人汇总后，列入最近一期进度付款申请单，由工程师审查并经发包人批准后列入进度付款。</w:t>
      </w:r>
    </w:p>
    <w:p w14:paraId="5F0BE410">
      <w:pPr>
        <w:spacing w:after="120"/>
        <w:ind w:firstLine="600"/>
        <w:rPr>
          <w:rFonts w:ascii="仿宋_GB2312" w:eastAsia="仿宋_GB2312"/>
          <w:sz w:val="30"/>
          <w:szCs w:val="30"/>
        </w:rPr>
      </w:pPr>
      <w:bookmarkStart w:id="620" w:name="_Ref4617331"/>
      <w:bookmarkStart w:id="621" w:name="_Ref4617318"/>
      <w:bookmarkStart w:id="622" w:name="_Toc54862289"/>
      <w:r>
        <w:rPr>
          <w:rFonts w:hint="eastAsia" w:ascii="仿宋_GB2312" w:eastAsia="仿宋_GB2312"/>
          <w:sz w:val="30"/>
          <w:szCs w:val="30"/>
        </w:rPr>
        <w:t>13.7 法律变化引起的调整</w:t>
      </w:r>
      <w:bookmarkEnd w:id="620"/>
      <w:bookmarkEnd w:id="621"/>
      <w:bookmarkEnd w:id="622"/>
    </w:p>
    <w:p w14:paraId="1D6AACFC">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3.7.1 </w:t>
      </w:r>
      <w:r>
        <w:rPr>
          <w:rFonts w:hint="eastAsia" w:ascii="仿宋_GB2312" w:eastAsia="仿宋_GB2312"/>
          <w:sz w:val="30"/>
          <w:szCs w:val="30"/>
        </w:rPr>
        <w:t>基准日期后，法律变化导致承包人在合同履行过程中所需要的费用发生除第13.</w:t>
      </w:r>
      <w:r>
        <w:rPr>
          <w:rFonts w:ascii="仿宋_GB2312" w:eastAsia="仿宋_GB2312"/>
          <w:sz w:val="30"/>
          <w:szCs w:val="30"/>
        </w:rPr>
        <w:t>8</w:t>
      </w:r>
      <w:r>
        <w:rPr>
          <w:rFonts w:hint="eastAsia" w:ascii="仿宋_GB2312" w:eastAsia="仿宋_GB2312"/>
          <w:sz w:val="30"/>
          <w:szCs w:val="30"/>
        </w:rPr>
        <w:t>款[市场价格波动引起的调整]约定以外的增加时，由发包人承担由此增加的费用；减少时，应从合同价格中予以扣减。基准日期后，因法律变化造成工期延误时，工期应予以顺延。</w:t>
      </w:r>
    </w:p>
    <w:p w14:paraId="6E67CD63">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3.7.2 </w:t>
      </w:r>
      <w:r>
        <w:rPr>
          <w:rFonts w:hint="eastAsia" w:ascii="仿宋_GB2312" w:eastAsia="仿宋_GB2312"/>
          <w:sz w:val="30"/>
          <w:szCs w:val="30"/>
        </w:rPr>
        <w:t>因法律变化引起的合同价格和工期调整，合同当事人无法达成一致的，由工程师按第</w:t>
      </w:r>
      <w:r>
        <w:rPr>
          <w:rFonts w:ascii="仿宋_GB2312" w:eastAsia="仿宋_GB2312"/>
          <w:sz w:val="30"/>
          <w:szCs w:val="30"/>
        </w:rPr>
        <w:t>3.6</w:t>
      </w:r>
      <w:r>
        <w:rPr>
          <w:rFonts w:hint="eastAsia" w:ascii="仿宋_GB2312" w:eastAsia="仿宋_GB2312"/>
          <w:sz w:val="30"/>
          <w:szCs w:val="30"/>
        </w:rPr>
        <w:t>款[商定或确定]的约定处理。</w:t>
      </w:r>
    </w:p>
    <w:p w14:paraId="5175B9EF">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3.7.3 </w:t>
      </w:r>
      <w:r>
        <w:rPr>
          <w:rFonts w:hint="eastAsia" w:ascii="仿宋_GB2312" w:eastAsia="仿宋_GB2312"/>
          <w:sz w:val="30"/>
          <w:szCs w:val="30"/>
        </w:rPr>
        <w:t>因承包人原因造成工期延误，在工期延误期间出现法律变化的，由此增加的费用和（或）延误的工期由承包人承担。</w:t>
      </w:r>
    </w:p>
    <w:p w14:paraId="60DE772F">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3.7.4 </w:t>
      </w:r>
      <w:r>
        <w:rPr>
          <w:rFonts w:hint="eastAsia" w:ascii="仿宋_GB2312" w:eastAsia="仿宋_GB2312"/>
          <w:sz w:val="30"/>
          <w:szCs w:val="30"/>
        </w:rPr>
        <w:t>因法律变化而需要对工程的实施进行任何调整的，承包人应迅速通知发包人，或者发包人应迅速通知承包人，并附上详细的辅助资料。发包人接到通知后，应根据第</w:t>
      </w:r>
      <w:r>
        <w:rPr>
          <w:rFonts w:ascii="仿宋_GB2312" w:eastAsia="仿宋_GB2312"/>
          <w:sz w:val="30"/>
          <w:szCs w:val="30"/>
        </w:rPr>
        <w:t>13.3</w:t>
      </w:r>
      <w:r>
        <w:rPr>
          <w:rFonts w:hint="eastAsia" w:ascii="仿宋_GB2312" w:eastAsia="仿宋_GB2312"/>
          <w:sz w:val="30"/>
          <w:szCs w:val="30"/>
        </w:rPr>
        <w:t>款[</w:t>
      </w:r>
      <w:r>
        <w:rPr>
          <w:rFonts w:ascii="仿宋_GB2312" w:eastAsia="仿宋_GB2312"/>
          <w:sz w:val="30"/>
          <w:szCs w:val="30"/>
        </w:rPr>
        <w:t>变更程序</w:t>
      </w:r>
      <w:r>
        <w:rPr>
          <w:rFonts w:hint="eastAsia" w:ascii="仿宋_GB2312" w:eastAsia="仿宋_GB2312"/>
          <w:sz w:val="30"/>
          <w:szCs w:val="30"/>
        </w:rPr>
        <w:t>]发出变更指示。</w:t>
      </w:r>
    </w:p>
    <w:p w14:paraId="459597D0">
      <w:pPr>
        <w:spacing w:after="120"/>
        <w:ind w:firstLine="600"/>
        <w:rPr>
          <w:rFonts w:ascii="仿宋_GB2312" w:eastAsia="仿宋_GB2312"/>
          <w:sz w:val="30"/>
          <w:szCs w:val="30"/>
        </w:rPr>
      </w:pPr>
      <w:bookmarkStart w:id="623" w:name="_Ref531955630"/>
      <w:bookmarkStart w:id="624" w:name="_Toc54862290"/>
      <w:bookmarkStart w:id="625" w:name="_Ref531955627"/>
      <w:bookmarkStart w:id="626" w:name="_Ref18977613"/>
      <w:r>
        <w:rPr>
          <w:rFonts w:hint="eastAsia" w:ascii="仿宋_GB2312" w:eastAsia="仿宋_GB2312"/>
          <w:sz w:val="30"/>
          <w:szCs w:val="30"/>
        </w:rPr>
        <w:t>13.8 市场价格波动引起的调整</w:t>
      </w:r>
      <w:bookmarkEnd w:id="623"/>
      <w:bookmarkEnd w:id="624"/>
      <w:bookmarkEnd w:id="625"/>
      <w:bookmarkEnd w:id="626"/>
    </w:p>
    <w:p w14:paraId="4AFDF144">
      <w:pPr>
        <w:spacing w:after="120"/>
        <w:ind w:firstLine="600"/>
        <w:rPr>
          <w:rFonts w:ascii="仿宋_GB2312" w:eastAsia="仿宋_GB2312"/>
          <w:sz w:val="30"/>
          <w:szCs w:val="30"/>
        </w:rPr>
      </w:pPr>
      <w:bookmarkStart w:id="627" w:name="_Ref4709841"/>
      <w:r>
        <w:rPr>
          <w:rFonts w:hint="eastAsia" w:ascii="仿宋_GB2312" w:eastAsia="仿宋_GB2312"/>
          <w:sz w:val="30"/>
          <w:szCs w:val="30"/>
        </w:rPr>
        <w:t>1</w:t>
      </w:r>
      <w:r>
        <w:rPr>
          <w:rFonts w:ascii="仿宋_GB2312" w:eastAsia="仿宋_GB2312"/>
          <w:sz w:val="30"/>
          <w:szCs w:val="30"/>
        </w:rPr>
        <w:t xml:space="preserve">3.8.1 </w:t>
      </w:r>
      <w:r>
        <w:rPr>
          <w:rFonts w:hint="eastAsia" w:ascii="仿宋_GB2312" w:eastAsia="仿宋_GB2312"/>
          <w:sz w:val="30"/>
          <w:szCs w:val="30"/>
        </w:rPr>
        <w:t>主要工程材料、设备、人工价格与招标时基期价相比，波动幅度超过合同约定幅度的，双方按照合同约定的价格调整方式调整。</w:t>
      </w:r>
    </w:p>
    <w:p w14:paraId="674645D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3.8.2 </w:t>
      </w:r>
      <w:r>
        <w:rPr>
          <w:rFonts w:hint="eastAsia" w:ascii="仿宋_GB2312" w:eastAsia="仿宋_GB2312"/>
          <w:sz w:val="30"/>
          <w:szCs w:val="30"/>
        </w:rPr>
        <w:t>发包人与承包人在专用合同条件中约定采用《价格指数权重表》的，适用本项约定。</w:t>
      </w:r>
    </w:p>
    <w:p w14:paraId="454DA1C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3.8.2.1 </w:t>
      </w:r>
      <w:r>
        <w:rPr>
          <w:rFonts w:hint="eastAsia" w:ascii="仿宋_GB2312" w:eastAsia="仿宋_GB2312"/>
          <w:sz w:val="30"/>
          <w:szCs w:val="30"/>
        </w:rPr>
        <w:t>双方当事人可以将部分主要工程材料、工程设备、人工价格及其他双方认为应当根据市场价格调整的费用列入附件</w:t>
      </w:r>
      <w:r>
        <w:rPr>
          <w:rFonts w:ascii="仿宋_GB2312" w:eastAsia="仿宋_GB2312"/>
          <w:sz w:val="30"/>
          <w:szCs w:val="30"/>
        </w:rPr>
        <w:t>6</w:t>
      </w:r>
      <w:r>
        <w:rPr>
          <w:rFonts w:hint="eastAsia" w:ascii="仿宋_GB2312" w:eastAsia="仿宋_GB2312"/>
          <w:sz w:val="30"/>
          <w:szCs w:val="30"/>
        </w:rPr>
        <w:t>[</w:t>
      </w:r>
      <w:r>
        <w:rPr>
          <w:rFonts w:ascii="仿宋_GB2312" w:eastAsia="仿宋_GB2312"/>
          <w:sz w:val="30"/>
          <w:szCs w:val="30"/>
        </w:rPr>
        <w:t>价格指数权重表</w:t>
      </w:r>
      <w:r>
        <w:rPr>
          <w:rFonts w:hint="eastAsia" w:ascii="仿宋_GB2312" w:eastAsia="仿宋_GB2312"/>
          <w:sz w:val="30"/>
          <w:szCs w:val="30"/>
        </w:rPr>
        <w:t>]</w:t>
      </w:r>
      <w:r>
        <w:rPr>
          <w:rFonts w:ascii="仿宋_GB2312" w:eastAsia="仿宋_GB2312"/>
          <w:sz w:val="30"/>
          <w:szCs w:val="30"/>
        </w:rPr>
        <w:t>，并根据以下公式计算差额并调整合同价格：</w:t>
      </w:r>
    </w:p>
    <w:bookmarkEnd w:id="627"/>
    <w:p w14:paraId="6A440C0A">
      <w:pPr>
        <w:wordWrap/>
        <w:topLinePunct w:val="0"/>
        <w:spacing w:after="120"/>
        <w:ind w:firstLine="600"/>
        <w:rPr>
          <w:rFonts w:ascii="仿宋_GB2312" w:eastAsia="仿宋_GB2312"/>
          <w:sz w:val="30"/>
          <w:szCs w:val="30"/>
        </w:rPr>
      </w:pPr>
      <w:bookmarkStart w:id="628" w:name="_Ref4616996"/>
      <w:r>
        <w:rPr>
          <w:rFonts w:hint="eastAsia" w:ascii="仿宋_GB2312" w:eastAsia="仿宋_GB2312"/>
          <w:sz w:val="30"/>
          <w:szCs w:val="30"/>
        </w:rPr>
        <w:t>（1） 价格调整公式</w:t>
      </w:r>
      <w:bookmarkEnd w:id="628"/>
    </w:p>
    <w:p w14:paraId="60AD896D">
      <w:pPr>
        <w:wordWrap/>
        <w:topLinePunct w:val="0"/>
        <w:spacing w:after="120"/>
        <w:rPr>
          <w:rFonts w:ascii="仿宋_GB2312" w:eastAsia="仿宋_GB2312"/>
          <w:sz w:val="30"/>
          <w:szCs w:val="30"/>
        </w:rPr>
      </w:pPr>
      <w:r>
        <w:drawing>
          <wp:inline distT="0" distB="0" distL="114300" distR="114300">
            <wp:extent cx="4777740" cy="678815"/>
            <wp:effectExtent l="0" t="0" r="381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4777740" cy="678815"/>
                    </a:xfrm>
                    <a:prstGeom prst="rect">
                      <a:avLst/>
                    </a:prstGeom>
                    <a:noFill/>
                    <a:ln>
                      <a:noFill/>
                    </a:ln>
                  </pic:spPr>
                </pic:pic>
              </a:graphicData>
            </a:graphic>
          </wp:inline>
        </w:drawing>
      </w:r>
    </w:p>
    <w:p w14:paraId="064CFFC5">
      <w:pPr>
        <w:wordWrap/>
        <w:topLinePunct w:val="0"/>
        <w:spacing w:after="120"/>
        <w:ind w:firstLine="600"/>
        <w:rPr>
          <w:rFonts w:ascii="仿宋_GB2312" w:eastAsia="仿宋_GB2312"/>
          <w:sz w:val="30"/>
          <w:szCs w:val="30"/>
        </w:rPr>
      </w:pPr>
      <w:r>
        <w:rPr>
          <w:rFonts w:hint="eastAsia" w:ascii="仿宋_GB2312" w:eastAsia="仿宋_GB2312"/>
          <w:sz w:val="30"/>
          <w:szCs w:val="30"/>
        </w:rPr>
        <w:t>公式中：△P---需调整的价格差额；</w:t>
      </w:r>
    </w:p>
    <w:p w14:paraId="25849835">
      <w:pPr>
        <w:wordWrap/>
        <w:topLinePunct w:val="0"/>
        <w:spacing w:after="120"/>
        <w:ind w:firstLine="600"/>
        <w:rPr>
          <w:rFonts w:ascii="仿宋_GB2312" w:eastAsia="仿宋_GB2312"/>
          <w:sz w:val="30"/>
          <w:szCs w:val="30"/>
        </w:rPr>
      </w:pPr>
      <w:r>
        <w:rPr>
          <w:rFonts w:hint="eastAsia" w:ascii="仿宋_GB2312" w:eastAsia="仿宋_GB2312"/>
          <w:sz w:val="30"/>
          <w:szCs w:val="30"/>
        </w:rPr>
        <w:t>P</w:t>
      </w:r>
      <w:r>
        <w:rPr>
          <w:rFonts w:hint="eastAsia" w:ascii="仿宋_GB2312" w:eastAsia="仿宋_GB2312"/>
          <w:sz w:val="30"/>
          <w:szCs w:val="30"/>
          <w:vertAlign w:val="subscript"/>
        </w:rPr>
        <w:t>O</w:t>
      </w:r>
      <w:r>
        <w:rPr>
          <w:rFonts w:hint="eastAsia" w:ascii="仿宋_GB2312" w:eastAsia="仿宋_GB2312"/>
          <w:sz w:val="30"/>
          <w:szCs w:val="30"/>
        </w:rPr>
        <w:t>---付款证书中承包人应得到的已完成工作量的金额。此项金额应不包括价格调整、不计质量保证金的预留和支付、预付款的支付和扣回。第13条[变更与</w:t>
      </w:r>
      <w:r>
        <w:rPr>
          <w:rFonts w:ascii="仿宋_GB2312" w:eastAsia="仿宋_GB2312"/>
          <w:sz w:val="30"/>
          <w:szCs w:val="30"/>
        </w:rPr>
        <w:t>调整</w:t>
      </w:r>
      <w:r>
        <w:rPr>
          <w:rFonts w:hint="eastAsia" w:ascii="仿宋_GB2312" w:eastAsia="仿宋_GB2312"/>
          <w:sz w:val="30"/>
          <w:szCs w:val="30"/>
        </w:rPr>
        <w:t>]约定的变更及其他金额已按当期价格计价的，也不计在内；</w:t>
      </w:r>
    </w:p>
    <w:p w14:paraId="7569E7CE">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A ---定值权重（即不调部分的权重）； </w:t>
      </w:r>
    </w:p>
    <w:p w14:paraId="555D3628">
      <w:pPr>
        <w:wordWrap/>
        <w:topLinePunct w:val="0"/>
        <w:spacing w:after="120"/>
        <w:ind w:firstLine="600"/>
        <w:rPr>
          <w:rFonts w:ascii="仿宋_GB2312" w:eastAsia="仿宋_GB2312"/>
          <w:sz w:val="30"/>
          <w:szCs w:val="30"/>
        </w:rPr>
      </w:pPr>
      <w:bookmarkStart w:id="629" w:name="_Hlk24103184"/>
      <w:r>
        <w:rPr>
          <w:rFonts w:hint="eastAsia" w:ascii="仿宋_GB2312" w:eastAsia="仿宋_GB2312"/>
          <w:sz w:val="30"/>
          <w:szCs w:val="30"/>
        </w:rPr>
        <w:t>B</w:t>
      </w:r>
      <w:r>
        <w:rPr>
          <w:rFonts w:hint="eastAsia" w:ascii="仿宋_GB2312" w:eastAsia="仿宋_GB2312"/>
          <w:sz w:val="30"/>
          <w:szCs w:val="30"/>
          <w:vertAlign w:val="subscript"/>
        </w:rPr>
        <w:t>1</w:t>
      </w:r>
      <w:bookmarkEnd w:id="629"/>
      <w:r>
        <w:rPr>
          <w:rFonts w:hint="eastAsia" w:ascii="仿宋_GB2312" w:eastAsia="仿宋_GB2312"/>
          <w:sz w:val="30"/>
          <w:szCs w:val="30"/>
        </w:rPr>
        <w:t>；</w:t>
      </w:r>
      <w:bookmarkStart w:id="630" w:name="_Hlk24103205"/>
      <w:r>
        <w:rPr>
          <w:rFonts w:hint="eastAsia" w:ascii="仿宋_GB2312" w:eastAsia="仿宋_GB2312"/>
          <w:sz w:val="30"/>
          <w:szCs w:val="30"/>
        </w:rPr>
        <w:t>B</w:t>
      </w:r>
      <w:r>
        <w:rPr>
          <w:rFonts w:hint="eastAsia" w:ascii="仿宋_GB2312" w:eastAsia="仿宋_GB2312"/>
          <w:sz w:val="30"/>
          <w:szCs w:val="30"/>
          <w:vertAlign w:val="subscript"/>
        </w:rPr>
        <w:t>2</w:t>
      </w:r>
      <w:bookmarkEnd w:id="630"/>
      <w:r>
        <w:rPr>
          <w:rFonts w:hint="eastAsia" w:ascii="仿宋_GB2312" w:eastAsia="仿宋_GB2312"/>
          <w:sz w:val="30"/>
          <w:szCs w:val="30"/>
        </w:rPr>
        <w:t>；</w:t>
      </w:r>
      <w:bookmarkStart w:id="631" w:name="_Hlk24103220"/>
      <w:r>
        <w:rPr>
          <w:rFonts w:hint="eastAsia" w:ascii="仿宋_GB2312" w:eastAsia="仿宋_GB2312"/>
          <w:sz w:val="30"/>
          <w:szCs w:val="30"/>
        </w:rPr>
        <w:t>B</w:t>
      </w:r>
      <w:r>
        <w:rPr>
          <w:rFonts w:hint="eastAsia" w:ascii="仿宋_GB2312" w:eastAsia="仿宋_GB2312"/>
          <w:sz w:val="30"/>
          <w:szCs w:val="30"/>
          <w:vertAlign w:val="subscript"/>
        </w:rPr>
        <w:t>3</w:t>
      </w:r>
      <w:bookmarkEnd w:id="631"/>
      <w:r>
        <w:rPr>
          <w:rFonts w:hint="eastAsia" w:ascii="仿宋_GB2312" w:eastAsia="仿宋_GB2312"/>
          <w:sz w:val="30"/>
          <w:szCs w:val="30"/>
        </w:rPr>
        <w:t>；……</w:t>
      </w:r>
      <w:bookmarkStart w:id="632" w:name="_Hlk24103245"/>
      <w:r>
        <w:rPr>
          <w:rFonts w:hint="eastAsia" w:ascii="仿宋_GB2312" w:eastAsia="仿宋_GB2312"/>
          <w:sz w:val="30"/>
          <w:szCs w:val="30"/>
        </w:rPr>
        <w:t>B</w:t>
      </w:r>
      <w:r>
        <w:rPr>
          <w:rFonts w:hint="eastAsia" w:ascii="仿宋_GB2312" w:eastAsia="仿宋_GB2312"/>
          <w:sz w:val="30"/>
          <w:szCs w:val="30"/>
          <w:vertAlign w:val="subscript"/>
        </w:rPr>
        <w:t>n</w:t>
      </w:r>
      <w:bookmarkEnd w:id="632"/>
      <w:r>
        <w:rPr>
          <w:rFonts w:hint="eastAsia" w:ascii="仿宋_GB2312" w:eastAsia="仿宋_GB2312"/>
          <w:sz w:val="30"/>
          <w:szCs w:val="30"/>
        </w:rPr>
        <w:t>---各可调因子的变值权重（即可调部分的权重）为各可调因子在投标函投标总报价中所占的比例，且A+B</w:t>
      </w:r>
      <w:r>
        <w:rPr>
          <w:rFonts w:hint="eastAsia" w:ascii="仿宋_GB2312" w:eastAsia="仿宋_GB2312"/>
          <w:sz w:val="30"/>
          <w:szCs w:val="30"/>
          <w:vertAlign w:val="subscript"/>
        </w:rPr>
        <w:t>1</w:t>
      </w:r>
      <w:r>
        <w:rPr>
          <w:rFonts w:hint="eastAsia" w:ascii="仿宋_GB2312" w:eastAsia="仿宋_GB2312"/>
          <w:sz w:val="30"/>
          <w:szCs w:val="30"/>
        </w:rPr>
        <w:t>+B</w:t>
      </w:r>
      <w:r>
        <w:rPr>
          <w:rFonts w:hint="eastAsia" w:ascii="仿宋_GB2312" w:eastAsia="仿宋_GB2312"/>
          <w:sz w:val="30"/>
          <w:szCs w:val="30"/>
          <w:vertAlign w:val="subscript"/>
        </w:rPr>
        <w:t>2</w:t>
      </w:r>
      <w:r>
        <w:rPr>
          <w:rFonts w:hint="eastAsia" w:ascii="仿宋_GB2312" w:eastAsia="仿宋_GB2312"/>
          <w:sz w:val="30"/>
          <w:szCs w:val="30"/>
        </w:rPr>
        <w:t>+B</w:t>
      </w:r>
      <w:r>
        <w:rPr>
          <w:rFonts w:hint="eastAsia" w:ascii="仿宋_GB2312" w:eastAsia="仿宋_GB2312"/>
          <w:sz w:val="30"/>
          <w:szCs w:val="30"/>
          <w:vertAlign w:val="subscript"/>
        </w:rPr>
        <w:t>3</w:t>
      </w:r>
      <w:r>
        <w:rPr>
          <w:rFonts w:hint="eastAsia" w:ascii="仿宋_GB2312" w:eastAsia="仿宋_GB2312"/>
          <w:sz w:val="30"/>
          <w:szCs w:val="30"/>
        </w:rPr>
        <w:t>+……+B</w:t>
      </w:r>
      <w:r>
        <w:rPr>
          <w:rFonts w:hint="eastAsia" w:ascii="仿宋_GB2312" w:eastAsia="仿宋_GB2312"/>
          <w:sz w:val="30"/>
          <w:szCs w:val="30"/>
          <w:vertAlign w:val="subscript"/>
        </w:rPr>
        <w:t>n</w:t>
      </w:r>
      <w:r>
        <w:rPr>
          <w:rFonts w:hint="eastAsia" w:ascii="仿宋_GB2312" w:eastAsia="仿宋_GB2312"/>
          <w:sz w:val="30"/>
          <w:szCs w:val="30"/>
        </w:rPr>
        <w:t>=1；</w:t>
      </w:r>
    </w:p>
    <w:p w14:paraId="760CBC05">
      <w:pPr>
        <w:wordWrap/>
        <w:topLinePunct w:val="0"/>
        <w:spacing w:after="120"/>
        <w:ind w:firstLine="600"/>
        <w:rPr>
          <w:rFonts w:ascii="仿宋_GB2312" w:eastAsia="仿宋_GB2312"/>
          <w:sz w:val="30"/>
          <w:szCs w:val="30"/>
        </w:rPr>
      </w:pPr>
      <w:r>
        <w:rPr>
          <w:rFonts w:hint="eastAsia" w:ascii="仿宋_GB2312" w:eastAsia="仿宋_GB2312"/>
          <w:sz w:val="30"/>
          <w:szCs w:val="30"/>
        </w:rPr>
        <w:t>F</w:t>
      </w:r>
      <w:r>
        <w:rPr>
          <w:rFonts w:hint="eastAsia" w:ascii="仿宋_GB2312" w:eastAsia="仿宋_GB2312"/>
          <w:sz w:val="30"/>
          <w:szCs w:val="30"/>
          <w:vertAlign w:val="subscript"/>
        </w:rPr>
        <w:t>t1</w:t>
      </w:r>
      <w:r>
        <w:rPr>
          <w:rFonts w:hint="eastAsia" w:ascii="仿宋_GB2312" w:eastAsia="仿宋_GB2312"/>
          <w:sz w:val="30"/>
          <w:szCs w:val="30"/>
        </w:rPr>
        <w:t>；F</w:t>
      </w:r>
      <w:r>
        <w:rPr>
          <w:rFonts w:hint="eastAsia" w:ascii="仿宋_GB2312" w:eastAsia="仿宋_GB2312"/>
          <w:sz w:val="30"/>
          <w:szCs w:val="30"/>
          <w:vertAlign w:val="subscript"/>
        </w:rPr>
        <w:t>t2</w:t>
      </w:r>
      <w:r>
        <w:rPr>
          <w:rFonts w:hint="eastAsia" w:ascii="仿宋_GB2312" w:eastAsia="仿宋_GB2312"/>
          <w:sz w:val="30"/>
          <w:szCs w:val="30"/>
        </w:rPr>
        <w:t>；F</w:t>
      </w:r>
      <w:r>
        <w:rPr>
          <w:rFonts w:hint="eastAsia" w:ascii="仿宋_GB2312" w:eastAsia="仿宋_GB2312"/>
          <w:sz w:val="30"/>
          <w:szCs w:val="30"/>
          <w:vertAlign w:val="subscript"/>
        </w:rPr>
        <w:t>t3</w:t>
      </w:r>
      <w:r>
        <w:rPr>
          <w:rFonts w:hint="eastAsia" w:ascii="仿宋_GB2312" w:eastAsia="仿宋_GB2312"/>
          <w:sz w:val="30"/>
          <w:szCs w:val="30"/>
        </w:rPr>
        <w:t>；……F</w:t>
      </w:r>
      <w:r>
        <w:rPr>
          <w:rFonts w:hint="eastAsia" w:ascii="仿宋_GB2312" w:eastAsia="仿宋_GB2312"/>
          <w:sz w:val="30"/>
          <w:szCs w:val="30"/>
          <w:vertAlign w:val="subscript"/>
        </w:rPr>
        <w:t>tn</w:t>
      </w:r>
      <w:r>
        <w:rPr>
          <w:rFonts w:hint="eastAsia" w:ascii="仿宋_GB2312" w:eastAsia="仿宋_GB2312"/>
          <w:sz w:val="30"/>
          <w:szCs w:val="30"/>
        </w:rPr>
        <w:t>---各可调因子的当期价格指数，指付款证书相关周期最后一天的前42天的各可调因子的价格指数；</w:t>
      </w:r>
    </w:p>
    <w:p w14:paraId="2521298E">
      <w:pPr>
        <w:wordWrap/>
        <w:topLinePunct w:val="0"/>
        <w:spacing w:after="120"/>
        <w:ind w:firstLine="600"/>
        <w:rPr>
          <w:rFonts w:ascii="仿宋_GB2312" w:eastAsia="仿宋_GB2312"/>
          <w:sz w:val="30"/>
          <w:szCs w:val="30"/>
        </w:rPr>
      </w:pPr>
      <w:r>
        <w:rPr>
          <w:rFonts w:hint="eastAsia" w:ascii="仿宋_GB2312" w:eastAsia="仿宋_GB2312"/>
          <w:sz w:val="30"/>
          <w:szCs w:val="30"/>
        </w:rPr>
        <w:t>F</w:t>
      </w:r>
      <w:r>
        <w:rPr>
          <w:rFonts w:hint="eastAsia" w:ascii="仿宋_GB2312" w:eastAsia="仿宋_GB2312"/>
          <w:sz w:val="30"/>
          <w:szCs w:val="30"/>
          <w:vertAlign w:val="subscript"/>
        </w:rPr>
        <w:t>01</w:t>
      </w:r>
      <w:r>
        <w:rPr>
          <w:rFonts w:hint="eastAsia" w:ascii="仿宋_GB2312" w:eastAsia="仿宋_GB2312"/>
          <w:sz w:val="30"/>
          <w:szCs w:val="30"/>
        </w:rPr>
        <w:t>；F</w:t>
      </w:r>
      <w:r>
        <w:rPr>
          <w:rFonts w:hint="eastAsia" w:ascii="仿宋_GB2312" w:eastAsia="仿宋_GB2312"/>
          <w:sz w:val="30"/>
          <w:szCs w:val="30"/>
          <w:vertAlign w:val="subscript"/>
        </w:rPr>
        <w:t>02</w:t>
      </w:r>
      <w:r>
        <w:rPr>
          <w:rFonts w:hint="eastAsia" w:ascii="仿宋_GB2312" w:eastAsia="仿宋_GB2312"/>
          <w:sz w:val="30"/>
          <w:szCs w:val="30"/>
        </w:rPr>
        <w:t>；F</w:t>
      </w:r>
      <w:r>
        <w:rPr>
          <w:rFonts w:hint="eastAsia" w:ascii="仿宋_GB2312" w:eastAsia="仿宋_GB2312"/>
          <w:sz w:val="30"/>
          <w:szCs w:val="30"/>
          <w:vertAlign w:val="subscript"/>
        </w:rPr>
        <w:t>03</w:t>
      </w:r>
      <w:r>
        <w:rPr>
          <w:rFonts w:hint="eastAsia" w:ascii="仿宋_GB2312" w:eastAsia="仿宋_GB2312"/>
          <w:sz w:val="30"/>
          <w:szCs w:val="30"/>
        </w:rPr>
        <w:t>；……F</w:t>
      </w:r>
      <w:r>
        <w:rPr>
          <w:rFonts w:hint="eastAsia" w:ascii="仿宋_GB2312" w:eastAsia="仿宋_GB2312"/>
          <w:sz w:val="30"/>
          <w:szCs w:val="30"/>
          <w:vertAlign w:val="subscript"/>
        </w:rPr>
        <w:t>0n</w:t>
      </w:r>
      <w:r>
        <w:rPr>
          <w:rFonts w:hint="eastAsia" w:ascii="仿宋_GB2312" w:eastAsia="仿宋_GB2312"/>
          <w:sz w:val="30"/>
          <w:szCs w:val="30"/>
        </w:rPr>
        <w:t>---各可调因子的基本价格指数，指基准日期的各可调因子的价格指数。</w:t>
      </w:r>
    </w:p>
    <w:p w14:paraId="1FC24E68">
      <w:pPr>
        <w:wordWrap/>
        <w:topLinePunct w:val="0"/>
        <w:spacing w:after="120"/>
        <w:ind w:firstLine="600"/>
        <w:rPr>
          <w:rFonts w:ascii="仿宋_GB2312" w:eastAsia="仿宋_GB2312"/>
          <w:sz w:val="30"/>
          <w:szCs w:val="30"/>
        </w:rPr>
      </w:pPr>
      <w:r>
        <w:rPr>
          <w:rFonts w:hint="eastAsia" w:ascii="仿宋_GB2312" w:eastAsia="仿宋_GB2312"/>
          <w:sz w:val="30"/>
          <w:szCs w:val="30"/>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31C586FC">
      <w:pPr>
        <w:wordWrap/>
        <w:topLinePunct w:val="0"/>
        <w:spacing w:after="120"/>
        <w:ind w:firstLine="600"/>
        <w:rPr>
          <w:rFonts w:ascii="仿宋_GB2312" w:eastAsia="仿宋_GB2312"/>
          <w:sz w:val="30"/>
          <w:szCs w:val="30"/>
        </w:rPr>
      </w:pPr>
      <w:r>
        <w:rPr>
          <w:rFonts w:hint="eastAsia" w:ascii="仿宋_GB2312" w:eastAsia="仿宋_GB2312"/>
          <w:sz w:val="30"/>
          <w:szCs w:val="30"/>
        </w:rPr>
        <w:t>（2） 暂时确定调整差额</w:t>
      </w:r>
    </w:p>
    <w:p w14:paraId="7B8C61D5">
      <w:pPr>
        <w:wordWrap/>
        <w:topLinePunct w:val="0"/>
        <w:spacing w:after="120"/>
        <w:ind w:firstLine="600"/>
        <w:rPr>
          <w:rFonts w:ascii="仿宋_GB2312" w:eastAsia="仿宋_GB2312"/>
          <w:sz w:val="30"/>
          <w:szCs w:val="30"/>
        </w:rPr>
      </w:pPr>
      <w:r>
        <w:rPr>
          <w:rFonts w:hint="eastAsia" w:ascii="仿宋_GB2312" w:eastAsia="仿宋_GB2312"/>
          <w:sz w:val="30"/>
          <w:szCs w:val="30"/>
        </w:rPr>
        <w:t>在计算调整差额时得不到当期价格指数的，可暂用上一次价格指数计算，并在以后的付款中再按实际价格指数进行调整。</w:t>
      </w:r>
    </w:p>
    <w:p w14:paraId="095D64D0">
      <w:pPr>
        <w:wordWrap/>
        <w:topLinePunct w:val="0"/>
        <w:spacing w:after="120"/>
        <w:ind w:firstLine="600"/>
        <w:rPr>
          <w:rFonts w:ascii="仿宋_GB2312" w:eastAsia="仿宋_GB2312"/>
          <w:sz w:val="30"/>
          <w:szCs w:val="30"/>
        </w:rPr>
      </w:pPr>
      <w:r>
        <w:rPr>
          <w:rFonts w:hint="eastAsia" w:ascii="仿宋_GB2312" w:eastAsia="仿宋_GB2312"/>
          <w:sz w:val="30"/>
          <w:szCs w:val="30"/>
        </w:rPr>
        <w:t>（3） 权重的调整</w:t>
      </w:r>
    </w:p>
    <w:p w14:paraId="7B76FC2E">
      <w:pPr>
        <w:wordWrap/>
        <w:topLinePunct w:val="0"/>
        <w:spacing w:after="120"/>
        <w:ind w:firstLine="600"/>
        <w:rPr>
          <w:rFonts w:ascii="仿宋_GB2312" w:eastAsia="仿宋_GB2312"/>
          <w:sz w:val="30"/>
          <w:szCs w:val="30"/>
        </w:rPr>
      </w:pPr>
      <w:r>
        <w:rPr>
          <w:rFonts w:hint="eastAsia" w:ascii="仿宋_GB2312" w:eastAsia="仿宋_GB2312"/>
          <w:sz w:val="30"/>
          <w:szCs w:val="30"/>
        </w:rPr>
        <w:t>按第</w:t>
      </w:r>
      <w:r>
        <w:rPr>
          <w:rFonts w:ascii="仿宋_GB2312" w:eastAsia="仿宋_GB2312"/>
          <w:sz w:val="30"/>
          <w:szCs w:val="30"/>
        </w:rPr>
        <w:t>13.1</w:t>
      </w:r>
      <w:r>
        <w:rPr>
          <w:rFonts w:hint="eastAsia" w:ascii="仿宋_GB2312" w:eastAsia="仿宋_GB2312"/>
          <w:sz w:val="30"/>
          <w:szCs w:val="30"/>
        </w:rPr>
        <w:t>款[发包人变更权]约定的变更导致原定合同中的权重不合理的，由工程师与承包人和发包人协商后进行调整。</w:t>
      </w:r>
    </w:p>
    <w:p w14:paraId="616CCD4D">
      <w:pPr>
        <w:wordWrap/>
        <w:topLinePunct w:val="0"/>
        <w:spacing w:after="120"/>
        <w:ind w:firstLine="600"/>
        <w:rPr>
          <w:rFonts w:ascii="仿宋_GB2312" w:eastAsia="仿宋_GB2312"/>
          <w:sz w:val="30"/>
          <w:szCs w:val="30"/>
        </w:rPr>
      </w:pPr>
      <w:r>
        <w:rPr>
          <w:rFonts w:hint="eastAsia" w:ascii="仿宋_GB2312" w:eastAsia="仿宋_GB2312"/>
          <w:sz w:val="30"/>
          <w:szCs w:val="30"/>
        </w:rPr>
        <w:t>（4） 承包人原因工期延误后的价格调整</w:t>
      </w:r>
    </w:p>
    <w:p w14:paraId="27A57F7D">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73A62B7B">
      <w:pPr>
        <w:wordWrap/>
        <w:topLinePunct w:val="0"/>
        <w:spacing w:after="120"/>
        <w:ind w:firstLine="600"/>
        <w:rPr>
          <w:rFonts w:ascii="仿宋_GB2312" w:eastAsia="仿宋_GB2312"/>
          <w:sz w:val="30"/>
          <w:szCs w:val="30"/>
        </w:rPr>
      </w:pPr>
      <w:r>
        <w:rPr>
          <w:rFonts w:hint="eastAsia" w:ascii="仿宋_GB2312" w:eastAsia="仿宋_GB2312"/>
          <w:sz w:val="30"/>
          <w:szCs w:val="30"/>
        </w:rPr>
        <w:t>（5） 发包人引起的工期延误后的价格调整</w:t>
      </w:r>
    </w:p>
    <w:p w14:paraId="2754EE97">
      <w:pPr>
        <w:wordWrap/>
        <w:topLinePunct w:val="0"/>
        <w:spacing w:after="120"/>
        <w:ind w:firstLine="600"/>
        <w:rPr>
          <w:rFonts w:ascii="仿宋_GB2312" w:eastAsia="仿宋_GB2312"/>
          <w:sz w:val="30"/>
          <w:szCs w:val="30"/>
        </w:rPr>
      </w:pPr>
      <w:r>
        <w:rPr>
          <w:rFonts w:hint="eastAsia" w:ascii="仿宋_GB2312" w:eastAsia="仿宋_GB2312"/>
          <w:sz w:val="30"/>
          <w:szCs w:val="30"/>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0384DB7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3.8.2.2 </w:t>
      </w:r>
      <w:r>
        <w:rPr>
          <w:rFonts w:hint="eastAsia" w:ascii="仿宋_GB2312" w:eastAsia="仿宋_GB2312"/>
          <w:sz w:val="30"/>
          <w:szCs w:val="30"/>
        </w:rPr>
        <w:t>未列入</w:t>
      </w:r>
      <w:bookmarkStart w:id="633" w:name="_Hlk24494865"/>
      <w:r>
        <w:rPr>
          <w:rFonts w:hint="eastAsia" w:ascii="仿宋_GB2312" w:eastAsia="仿宋_GB2312"/>
          <w:sz w:val="30"/>
          <w:szCs w:val="30"/>
        </w:rPr>
        <w:t>《价格指数权重表》</w:t>
      </w:r>
      <w:bookmarkEnd w:id="633"/>
      <w:r>
        <w:rPr>
          <w:rFonts w:hint="eastAsia" w:ascii="仿宋_GB2312" w:eastAsia="仿宋_GB2312"/>
          <w:sz w:val="30"/>
          <w:szCs w:val="30"/>
        </w:rPr>
        <w:t>的费用不因市场变化而调整。</w:t>
      </w:r>
    </w:p>
    <w:p w14:paraId="633F11D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3.8.3 </w:t>
      </w:r>
      <w:r>
        <w:rPr>
          <w:rFonts w:hint="eastAsia" w:ascii="仿宋_GB2312" w:eastAsia="仿宋_GB2312"/>
          <w:sz w:val="30"/>
          <w:szCs w:val="30"/>
        </w:rPr>
        <w:t>双方约定采用其他方式调整合同价款的，以专用合同条件约定为准。</w:t>
      </w:r>
    </w:p>
    <w:p w14:paraId="703308FD">
      <w:pPr>
        <w:spacing w:after="120"/>
        <w:ind w:firstLine="0" w:firstLineChars="0"/>
        <w:rPr>
          <w:rFonts w:ascii="仿宋_GB2312" w:eastAsia="仿宋_GB2312"/>
          <w:sz w:val="32"/>
          <w:szCs w:val="32"/>
        </w:rPr>
      </w:pPr>
      <w:bookmarkStart w:id="634" w:name="_Toc4248"/>
      <w:bookmarkStart w:id="635" w:name="_Ref531955885"/>
      <w:bookmarkStart w:id="636" w:name="_Ref531955880"/>
      <w:bookmarkStart w:id="637" w:name="_Toc54862291"/>
      <w:bookmarkStart w:id="638" w:name="_Toc19984"/>
      <w:bookmarkStart w:id="639" w:name="_Toc25873"/>
      <w:r>
        <w:rPr>
          <w:rFonts w:hint="eastAsia" w:ascii="仿宋_GB2312" w:eastAsia="仿宋_GB2312"/>
          <w:sz w:val="32"/>
          <w:szCs w:val="32"/>
        </w:rPr>
        <w:t>第14条 合同价格与支付</w:t>
      </w:r>
      <w:bookmarkEnd w:id="634"/>
      <w:bookmarkEnd w:id="635"/>
      <w:bookmarkEnd w:id="636"/>
      <w:bookmarkEnd w:id="637"/>
      <w:bookmarkEnd w:id="638"/>
      <w:bookmarkEnd w:id="639"/>
    </w:p>
    <w:p w14:paraId="5CD338EA">
      <w:pPr>
        <w:spacing w:after="120"/>
        <w:ind w:firstLine="600"/>
        <w:rPr>
          <w:rFonts w:ascii="仿宋_GB2312" w:eastAsia="仿宋_GB2312"/>
          <w:sz w:val="30"/>
          <w:szCs w:val="30"/>
        </w:rPr>
      </w:pPr>
      <w:bookmarkStart w:id="640" w:name="_Ref4431531"/>
      <w:bookmarkStart w:id="641" w:name="_Toc54862292"/>
      <w:bookmarkStart w:id="642" w:name="_Ref4431521"/>
      <w:r>
        <w:rPr>
          <w:rFonts w:hint="eastAsia" w:ascii="仿宋_GB2312" w:eastAsia="仿宋_GB2312"/>
          <w:sz w:val="30"/>
          <w:szCs w:val="30"/>
        </w:rPr>
        <w:t>14.1 合同价格形式</w:t>
      </w:r>
      <w:bookmarkEnd w:id="640"/>
      <w:bookmarkEnd w:id="641"/>
      <w:bookmarkEnd w:id="642"/>
    </w:p>
    <w:p w14:paraId="54EB250A">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4.1.1 </w:t>
      </w:r>
      <w:r>
        <w:rPr>
          <w:rFonts w:hint="eastAsia" w:ascii="仿宋_GB2312" w:eastAsia="仿宋_GB2312"/>
          <w:sz w:val="30"/>
          <w:szCs w:val="30"/>
        </w:rPr>
        <w:t>除专用合同条件中另有约定外，本合同为总价合同，除根据第</w:t>
      </w:r>
      <w:r>
        <w:rPr>
          <w:rFonts w:ascii="仿宋_GB2312" w:eastAsia="仿宋_GB2312"/>
          <w:sz w:val="30"/>
          <w:szCs w:val="30"/>
        </w:rPr>
        <w:t>13条</w:t>
      </w:r>
      <w:r>
        <w:rPr>
          <w:rFonts w:hint="eastAsia" w:ascii="仿宋_GB2312" w:eastAsia="仿宋_GB2312"/>
          <w:sz w:val="30"/>
          <w:szCs w:val="30"/>
        </w:rPr>
        <w:t>[</w:t>
      </w:r>
      <w:r>
        <w:rPr>
          <w:rFonts w:ascii="仿宋_GB2312" w:eastAsia="仿宋_GB2312"/>
          <w:sz w:val="30"/>
          <w:szCs w:val="30"/>
        </w:rPr>
        <w:t>变更与调整]</w:t>
      </w:r>
      <w:r>
        <w:rPr>
          <w:rFonts w:hint="eastAsia" w:ascii="仿宋_GB2312" w:eastAsia="仿宋_GB2312"/>
          <w:sz w:val="30"/>
          <w:szCs w:val="30"/>
        </w:rPr>
        <w:t>，以及合同中其它相关增减金额的约定进行调整外，合同价格不做调整。</w:t>
      </w:r>
    </w:p>
    <w:p w14:paraId="3C3921D9">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4.1.2 </w:t>
      </w:r>
      <w:r>
        <w:rPr>
          <w:rFonts w:hint="eastAsia" w:ascii="仿宋_GB2312" w:eastAsia="仿宋_GB2312"/>
          <w:sz w:val="30"/>
          <w:szCs w:val="30"/>
        </w:rPr>
        <w:t>除专用合同条件另有约定外：</w:t>
      </w:r>
    </w:p>
    <w:p w14:paraId="3908D2F5">
      <w:pPr>
        <w:wordWrap/>
        <w:topLinePunct w:val="0"/>
        <w:spacing w:after="120"/>
        <w:ind w:firstLine="600"/>
        <w:rPr>
          <w:rFonts w:ascii="仿宋_GB2312" w:eastAsia="仿宋_GB2312"/>
          <w:sz w:val="30"/>
          <w:szCs w:val="30"/>
        </w:rPr>
      </w:pPr>
      <w:r>
        <w:rPr>
          <w:rFonts w:hint="eastAsia" w:ascii="仿宋_GB2312" w:eastAsia="仿宋_GB2312"/>
          <w:sz w:val="30"/>
          <w:szCs w:val="30"/>
        </w:rPr>
        <w:t>（1） 工程款的支付应以合同协议书约定的签约合同价格为基础，按照合同约定进行调整；</w:t>
      </w:r>
    </w:p>
    <w:p w14:paraId="713BB3FF">
      <w:pPr>
        <w:wordWrap/>
        <w:topLinePunct w:val="0"/>
        <w:spacing w:after="120"/>
        <w:ind w:firstLine="600"/>
        <w:rPr>
          <w:rFonts w:ascii="仿宋_GB2312" w:eastAsia="仿宋_GB2312"/>
          <w:sz w:val="30"/>
          <w:szCs w:val="30"/>
        </w:rPr>
      </w:pPr>
      <w:r>
        <w:rPr>
          <w:rFonts w:hint="eastAsia" w:ascii="仿宋_GB2312" w:eastAsia="仿宋_GB2312"/>
          <w:sz w:val="30"/>
          <w:szCs w:val="30"/>
        </w:rPr>
        <w:t>（2） 承包人应支付根据法律规定或合同约定应由其支付的各项税费，除第</w:t>
      </w:r>
      <w:r>
        <w:rPr>
          <w:rFonts w:ascii="仿宋_GB2312" w:eastAsia="仿宋_GB2312"/>
          <w:sz w:val="30"/>
          <w:szCs w:val="30"/>
        </w:rPr>
        <w:t>13.7</w:t>
      </w:r>
      <w:r>
        <w:rPr>
          <w:rFonts w:hint="eastAsia" w:ascii="仿宋_GB2312" w:eastAsia="仿宋_GB2312"/>
          <w:sz w:val="30"/>
          <w:szCs w:val="30"/>
        </w:rPr>
        <w:t>款[</w:t>
      </w:r>
      <w:r>
        <w:rPr>
          <w:rFonts w:ascii="仿宋_GB2312" w:eastAsia="仿宋_GB2312"/>
          <w:sz w:val="30"/>
          <w:szCs w:val="30"/>
        </w:rPr>
        <w:t>法律变化引起的调整]</w:t>
      </w:r>
      <w:r>
        <w:rPr>
          <w:rFonts w:hint="eastAsia" w:ascii="仿宋_GB2312" w:eastAsia="仿宋_GB2312"/>
          <w:sz w:val="30"/>
          <w:szCs w:val="30"/>
        </w:rPr>
        <w:t>约定外，合同价格不应因任何这些税费进行调整；</w:t>
      </w:r>
    </w:p>
    <w:p w14:paraId="12311994">
      <w:pPr>
        <w:wordWrap/>
        <w:topLinePunct w:val="0"/>
        <w:spacing w:after="120"/>
        <w:ind w:firstLine="600"/>
        <w:rPr>
          <w:rFonts w:ascii="仿宋_GB2312" w:eastAsia="仿宋_GB2312"/>
          <w:sz w:val="30"/>
          <w:szCs w:val="30"/>
        </w:rPr>
      </w:pPr>
      <w:r>
        <w:rPr>
          <w:rFonts w:hint="eastAsia" w:ascii="仿宋_GB2312" w:eastAsia="仿宋_GB2312"/>
          <w:sz w:val="30"/>
          <w:szCs w:val="30"/>
        </w:rPr>
        <w:t>（3） 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0954FD1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4.1.3 </w:t>
      </w:r>
      <w:r>
        <w:rPr>
          <w:rFonts w:hint="eastAsia" w:ascii="仿宋_GB2312" w:eastAsia="仿宋_GB2312"/>
          <w:sz w:val="30"/>
          <w:szCs w:val="30"/>
        </w:rPr>
        <w:t>合同约定工程的某部分按照实际完成的工程量进行支付的，应按照专用合同条件的约定进行计量和估价，并据此调整合同价格。</w:t>
      </w:r>
    </w:p>
    <w:p w14:paraId="5C4B5AB0">
      <w:pPr>
        <w:spacing w:after="120"/>
        <w:ind w:firstLine="600"/>
        <w:rPr>
          <w:rFonts w:ascii="仿宋_GB2312" w:eastAsia="仿宋_GB2312"/>
          <w:sz w:val="30"/>
          <w:szCs w:val="30"/>
        </w:rPr>
      </w:pPr>
      <w:bookmarkStart w:id="643" w:name="_Ref531956881"/>
      <w:bookmarkStart w:id="644" w:name="_Toc54862293"/>
      <w:bookmarkStart w:id="645" w:name="_Ref531956884"/>
      <w:r>
        <w:rPr>
          <w:rFonts w:hint="eastAsia" w:ascii="仿宋_GB2312" w:eastAsia="仿宋_GB2312"/>
          <w:sz w:val="30"/>
          <w:szCs w:val="30"/>
        </w:rPr>
        <w:t>14.2 预付款</w:t>
      </w:r>
      <w:bookmarkEnd w:id="643"/>
      <w:bookmarkEnd w:id="644"/>
      <w:bookmarkEnd w:id="645"/>
    </w:p>
    <w:p w14:paraId="1542FE5D">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4.2.1 </w:t>
      </w:r>
      <w:r>
        <w:rPr>
          <w:rFonts w:hint="eastAsia" w:ascii="仿宋_GB2312" w:eastAsia="仿宋_GB2312"/>
          <w:sz w:val="30"/>
          <w:szCs w:val="30"/>
        </w:rPr>
        <w:t>预付款支付</w:t>
      </w:r>
    </w:p>
    <w:p w14:paraId="31C05EA7">
      <w:pPr>
        <w:wordWrap/>
        <w:topLinePunct w:val="0"/>
        <w:spacing w:after="120"/>
        <w:ind w:firstLine="600"/>
        <w:rPr>
          <w:rFonts w:ascii="仿宋_GB2312" w:eastAsia="仿宋_GB2312"/>
          <w:sz w:val="30"/>
          <w:szCs w:val="30"/>
        </w:rPr>
      </w:pPr>
      <w:r>
        <w:rPr>
          <w:rFonts w:hint="eastAsia" w:ascii="仿宋_GB2312" w:eastAsia="仿宋_GB2312"/>
          <w:sz w:val="30"/>
          <w:szCs w:val="30"/>
        </w:rPr>
        <w:t>预付款的额度和支付按照专用合同条件约定执行。预付款应当专用于承包人为合同工程的设计和工程实施购置材料、工程设备、施工设备、修建临时设施以及组织施工队伍进场等合同工作。</w:t>
      </w:r>
    </w:p>
    <w:p w14:paraId="3EAFB64D">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除专用合同条件另有约定外，预付款在进度付款中同比例扣回。在颁发工程接收证书前，提前解除合同的，尚未扣完的预付款应与合同价款一并结算。</w:t>
      </w:r>
    </w:p>
    <w:p w14:paraId="4DCC1518">
      <w:pPr>
        <w:wordWrap/>
        <w:topLinePunct w:val="0"/>
        <w:spacing w:after="120"/>
        <w:ind w:firstLine="600"/>
        <w:rPr>
          <w:rFonts w:ascii="仿宋_GB2312" w:eastAsia="仿宋_GB2312"/>
          <w:sz w:val="30"/>
          <w:szCs w:val="30"/>
        </w:rPr>
      </w:pPr>
      <w:r>
        <w:rPr>
          <w:rFonts w:hint="eastAsia" w:ascii="仿宋_GB2312" w:eastAsia="仿宋_GB2312"/>
          <w:sz w:val="30"/>
          <w:szCs w:val="30"/>
        </w:rPr>
        <w:t>发包人逾期支付预付款超过7天的，承包人有权向发包人发出要求预付的催告通知，发包人收到通知后7天内仍未支付的，承包人有权暂停施工，并按第15.1.1项[发包人违约的情形]执行。</w:t>
      </w:r>
    </w:p>
    <w:p w14:paraId="297C08DE">
      <w:pPr>
        <w:spacing w:after="120"/>
        <w:ind w:firstLine="600"/>
        <w:rPr>
          <w:rFonts w:ascii="仿宋_GB2312" w:eastAsia="仿宋_GB2312"/>
          <w:sz w:val="30"/>
          <w:szCs w:val="30"/>
        </w:rPr>
      </w:pPr>
      <w:bookmarkStart w:id="646" w:name="_Ref531956907"/>
      <w:bookmarkStart w:id="647" w:name="_Ref4797624"/>
      <w:bookmarkStart w:id="648" w:name="_Hlk54429963"/>
      <w:r>
        <w:rPr>
          <w:rFonts w:hint="eastAsia" w:ascii="仿宋_GB2312" w:eastAsia="仿宋_GB2312"/>
          <w:sz w:val="30"/>
          <w:szCs w:val="30"/>
        </w:rPr>
        <w:t>1</w:t>
      </w:r>
      <w:r>
        <w:rPr>
          <w:rFonts w:ascii="仿宋_GB2312" w:eastAsia="仿宋_GB2312"/>
          <w:sz w:val="30"/>
          <w:szCs w:val="30"/>
        </w:rPr>
        <w:t xml:space="preserve">4.2.2 </w:t>
      </w:r>
      <w:r>
        <w:rPr>
          <w:rFonts w:hint="eastAsia" w:ascii="仿宋_GB2312" w:eastAsia="仿宋_GB2312"/>
          <w:sz w:val="30"/>
          <w:szCs w:val="30"/>
        </w:rPr>
        <w:t>预付款</w:t>
      </w:r>
      <w:bookmarkEnd w:id="646"/>
      <w:r>
        <w:rPr>
          <w:rFonts w:hint="eastAsia" w:ascii="仿宋_GB2312" w:eastAsia="仿宋_GB2312"/>
          <w:sz w:val="30"/>
          <w:szCs w:val="30"/>
        </w:rPr>
        <w:t>担保</w:t>
      </w:r>
      <w:bookmarkEnd w:id="647"/>
    </w:p>
    <w:bookmarkEnd w:id="648"/>
    <w:p w14:paraId="62A438F8">
      <w:pPr>
        <w:wordWrap/>
        <w:topLinePunct w:val="0"/>
        <w:spacing w:after="120"/>
        <w:ind w:firstLine="600"/>
        <w:rPr>
          <w:rFonts w:ascii="仿宋_GB2312" w:eastAsia="仿宋_GB2312"/>
          <w:sz w:val="30"/>
          <w:szCs w:val="30"/>
        </w:rPr>
      </w:pPr>
      <w:r>
        <w:rPr>
          <w:rFonts w:hint="eastAsia" w:ascii="仿宋_GB2312" w:eastAsia="仿宋_GB2312"/>
          <w:sz w:val="30"/>
          <w:szCs w:val="30"/>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61F667BA">
      <w:pPr>
        <w:wordWrap/>
        <w:topLinePunct w:val="0"/>
        <w:spacing w:after="120"/>
        <w:ind w:firstLine="600"/>
        <w:rPr>
          <w:rFonts w:ascii="仿宋_GB2312" w:eastAsia="仿宋_GB2312"/>
          <w:sz w:val="30"/>
          <w:szCs w:val="30"/>
        </w:rPr>
      </w:pPr>
      <w:r>
        <w:rPr>
          <w:rFonts w:hint="eastAsia" w:ascii="仿宋_GB2312" w:eastAsia="仿宋_GB2312"/>
          <w:sz w:val="30"/>
          <w:szCs w:val="30"/>
        </w:rPr>
        <w:t>发包人在工程款中逐期扣回预付款后，预付款担保额度应相应减少，但剩余的预付款担保金额不得低于未被扣回的预付款金额。</w:t>
      </w:r>
    </w:p>
    <w:p w14:paraId="0BA2E4AB">
      <w:pPr>
        <w:spacing w:after="120"/>
        <w:ind w:firstLine="600"/>
        <w:rPr>
          <w:rFonts w:ascii="仿宋_GB2312" w:eastAsia="仿宋_GB2312"/>
          <w:sz w:val="30"/>
          <w:szCs w:val="30"/>
        </w:rPr>
      </w:pPr>
      <w:bookmarkStart w:id="649" w:name="_Toc4784195"/>
      <w:bookmarkEnd w:id="649"/>
      <w:bookmarkStart w:id="650" w:name="_Toc4784193"/>
      <w:bookmarkEnd w:id="650"/>
      <w:bookmarkStart w:id="651" w:name="_Toc4784194"/>
      <w:bookmarkEnd w:id="651"/>
      <w:bookmarkStart w:id="652" w:name="_Ref531956967"/>
      <w:bookmarkStart w:id="653" w:name="_Ref531956963"/>
      <w:bookmarkStart w:id="654" w:name="_Ref4623398"/>
      <w:bookmarkStart w:id="655" w:name="_Toc54862294"/>
      <w:r>
        <w:rPr>
          <w:rFonts w:hint="eastAsia" w:ascii="仿宋_GB2312" w:eastAsia="仿宋_GB2312"/>
          <w:sz w:val="30"/>
          <w:szCs w:val="30"/>
        </w:rPr>
        <w:t>14.3 工程进度款</w:t>
      </w:r>
      <w:bookmarkEnd w:id="652"/>
      <w:bookmarkEnd w:id="653"/>
      <w:bookmarkEnd w:id="654"/>
      <w:bookmarkEnd w:id="655"/>
    </w:p>
    <w:p w14:paraId="073363D5">
      <w:pPr>
        <w:spacing w:after="120"/>
        <w:ind w:firstLine="600"/>
        <w:rPr>
          <w:rFonts w:ascii="仿宋_GB2312" w:eastAsia="仿宋_GB2312"/>
          <w:sz w:val="30"/>
          <w:szCs w:val="30"/>
        </w:rPr>
      </w:pPr>
      <w:bookmarkStart w:id="656" w:name="_Ref531956987"/>
      <w:bookmarkStart w:id="657" w:name="_Ref532679934"/>
      <w:r>
        <w:rPr>
          <w:rFonts w:hint="eastAsia" w:ascii="仿宋_GB2312" w:eastAsia="仿宋_GB2312"/>
          <w:sz w:val="30"/>
          <w:szCs w:val="30"/>
        </w:rPr>
        <w:t>1</w:t>
      </w:r>
      <w:r>
        <w:rPr>
          <w:rFonts w:ascii="仿宋_GB2312" w:eastAsia="仿宋_GB2312"/>
          <w:sz w:val="30"/>
          <w:szCs w:val="30"/>
        </w:rPr>
        <w:t xml:space="preserve">4.3.1 </w:t>
      </w:r>
      <w:r>
        <w:rPr>
          <w:rFonts w:hint="eastAsia" w:ascii="仿宋_GB2312" w:eastAsia="仿宋_GB2312"/>
          <w:sz w:val="30"/>
          <w:szCs w:val="30"/>
        </w:rPr>
        <w:t>工程进度付款申请</w:t>
      </w:r>
      <w:bookmarkEnd w:id="656"/>
      <w:bookmarkEnd w:id="657"/>
    </w:p>
    <w:p w14:paraId="3FB2AC74">
      <w:pPr>
        <w:wordWrap/>
        <w:topLinePunct w:val="0"/>
        <w:spacing w:after="120"/>
        <w:ind w:firstLine="600"/>
        <w:rPr>
          <w:rFonts w:ascii="仿宋_GB2312" w:eastAsia="仿宋_GB2312"/>
          <w:sz w:val="30"/>
          <w:szCs w:val="30"/>
        </w:rPr>
      </w:pPr>
      <w:r>
        <w:rPr>
          <w:rFonts w:hint="eastAsia" w:ascii="仿宋_GB2312" w:eastAsia="仿宋_GB2312"/>
          <w:sz w:val="30"/>
          <w:szCs w:val="30"/>
        </w:rPr>
        <w:t>（1）人工费的申请</w:t>
      </w:r>
    </w:p>
    <w:p w14:paraId="516A7C47">
      <w:pPr>
        <w:wordWrap/>
        <w:topLinePunct w:val="0"/>
        <w:spacing w:after="120"/>
        <w:ind w:firstLine="600"/>
        <w:rPr>
          <w:rFonts w:ascii="仿宋_GB2312" w:eastAsia="仿宋_GB2312"/>
          <w:sz w:val="30"/>
          <w:szCs w:val="30"/>
        </w:rPr>
      </w:pPr>
      <w:r>
        <w:rPr>
          <w:rFonts w:ascii="仿宋_GB2312" w:eastAsia="仿宋_GB2312"/>
          <w:sz w:val="30"/>
          <w:szCs w:val="30"/>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仿宋_GB2312" w:eastAsia="仿宋_GB2312"/>
          <w:sz w:val="30"/>
          <w:szCs w:val="30"/>
        </w:rPr>
        <w:t>。</w:t>
      </w:r>
    </w:p>
    <w:p w14:paraId="465B2BE5">
      <w:pPr>
        <w:wordWrap/>
        <w:topLinePunct w:val="0"/>
        <w:spacing w:after="120"/>
        <w:ind w:firstLine="600"/>
        <w:rPr>
          <w:rFonts w:ascii="仿宋_GB2312" w:eastAsia="仿宋_GB2312"/>
          <w:sz w:val="30"/>
          <w:szCs w:val="30"/>
        </w:rPr>
      </w:pPr>
      <w:r>
        <w:rPr>
          <w:rFonts w:hint="eastAsia" w:ascii="仿宋_GB2312" w:eastAsia="仿宋_GB2312"/>
          <w:sz w:val="30"/>
          <w:szCs w:val="30"/>
        </w:rPr>
        <w:t>（2）除专用合同条件另有约定外，承包人应在每月月末向工程师提交进度付款申请单，该进度付款申请单应包括下列内容：</w:t>
      </w:r>
    </w:p>
    <w:p w14:paraId="67FE8C90">
      <w:pPr>
        <w:wordWrap/>
        <w:topLinePunct w:val="0"/>
        <w:spacing w:after="120"/>
        <w:ind w:firstLine="600"/>
        <w:rPr>
          <w:rFonts w:ascii="仿宋_GB2312" w:eastAsia="仿宋_GB2312"/>
          <w:sz w:val="30"/>
          <w:szCs w:val="30"/>
        </w:rPr>
      </w:pPr>
      <w:bookmarkStart w:id="658" w:name="_Ref24496054"/>
      <w:r>
        <w:rPr>
          <w:rFonts w:hint="eastAsia" w:ascii="仿宋_GB2312" w:eastAsia="仿宋_GB2312"/>
          <w:sz w:val="30"/>
          <w:szCs w:val="30"/>
        </w:rPr>
        <w:t>1） 截至本次付款周期内已完成工作对应的金额；</w:t>
      </w:r>
      <w:bookmarkEnd w:id="658"/>
    </w:p>
    <w:p w14:paraId="46095E88">
      <w:pPr>
        <w:wordWrap/>
        <w:topLinePunct w:val="0"/>
        <w:spacing w:after="120"/>
        <w:ind w:firstLine="600"/>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 扣除依据本款第（</w:t>
      </w:r>
      <w:r>
        <w:rPr>
          <w:rFonts w:ascii="仿宋_GB2312" w:eastAsia="仿宋_GB2312"/>
          <w:sz w:val="30"/>
          <w:szCs w:val="30"/>
        </w:rPr>
        <w:t>1）</w:t>
      </w:r>
      <w:r>
        <w:rPr>
          <w:rFonts w:hint="eastAsia" w:ascii="仿宋_GB2312" w:eastAsia="仿宋_GB2312"/>
          <w:sz w:val="30"/>
          <w:szCs w:val="30"/>
        </w:rPr>
        <w:t>目</w:t>
      </w:r>
      <w:r>
        <w:rPr>
          <w:rFonts w:ascii="仿宋_GB2312" w:eastAsia="仿宋_GB2312"/>
          <w:sz w:val="30"/>
          <w:szCs w:val="30"/>
        </w:rPr>
        <w:t>约定中已扣除的人工费金额</w:t>
      </w:r>
      <w:r>
        <w:rPr>
          <w:rFonts w:hint="eastAsia" w:ascii="仿宋_GB2312" w:eastAsia="仿宋_GB2312"/>
          <w:sz w:val="30"/>
          <w:szCs w:val="30"/>
        </w:rPr>
        <w:t>；</w:t>
      </w:r>
    </w:p>
    <w:p w14:paraId="3D1F35CD">
      <w:pPr>
        <w:wordWrap/>
        <w:topLinePunct w:val="0"/>
        <w:spacing w:after="120"/>
        <w:ind w:firstLine="600"/>
        <w:rPr>
          <w:rFonts w:ascii="仿宋_GB2312" w:eastAsia="仿宋_GB2312"/>
          <w:sz w:val="30"/>
          <w:szCs w:val="30"/>
        </w:rPr>
      </w:pPr>
      <w:r>
        <w:rPr>
          <w:rFonts w:hint="eastAsia" w:ascii="仿宋_GB2312" w:eastAsia="仿宋_GB2312"/>
          <w:sz w:val="30"/>
          <w:szCs w:val="30"/>
        </w:rPr>
        <w:t>3） 根据第</w:t>
      </w:r>
      <w:r>
        <w:rPr>
          <w:rFonts w:ascii="仿宋_GB2312" w:eastAsia="仿宋_GB2312"/>
          <w:sz w:val="30"/>
          <w:szCs w:val="30"/>
        </w:rPr>
        <w:t>13条</w:t>
      </w:r>
      <w:r>
        <w:rPr>
          <w:rFonts w:hint="eastAsia" w:ascii="仿宋_GB2312" w:eastAsia="仿宋_GB2312"/>
          <w:sz w:val="30"/>
          <w:szCs w:val="30"/>
        </w:rPr>
        <w:t>[变更与调整]应增加和扣减的变更金额；</w:t>
      </w:r>
    </w:p>
    <w:p w14:paraId="00420B3E">
      <w:pPr>
        <w:wordWrap/>
        <w:topLinePunct w:val="0"/>
        <w:spacing w:after="120"/>
        <w:ind w:firstLine="600"/>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 根据第</w:t>
      </w:r>
      <w:r>
        <w:rPr>
          <w:rFonts w:ascii="仿宋_GB2312" w:eastAsia="仿宋_GB2312"/>
          <w:sz w:val="30"/>
          <w:szCs w:val="30"/>
        </w:rPr>
        <w:t>14.2</w:t>
      </w:r>
      <w:r>
        <w:rPr>
          <w:rFonts w:hint="eastAsia" w:ascii="仿宋_GB2312" w:eastAsia="仿宋_GB2312"/>
          <w:sz w:val="30"/>
          <w:szCs w:val="30"/>
        </w:rPr>
        <w:t>款[预付款]约定应支付的预付款和扣减的返还预付款；</w:t>
      </w:r>
    </w:p>
    <w:p w14:paraId="55E099E3">
      <w:pPr>
        <w:wordWrap/>
        <w:topLinePunct w:val="0"/>
        <w:spacing w:after="120"/>
        <w:ind w:firstLine="600"/>
        <w:rPr>
          <w:rFonts w:ascii="仿宋_GB2312" w:eastAsia="仿宋_GB2312"/>
          <w:sz w:val="30"/>
          <w:szCs w:val="30"/>
        </w:rPr>
      </w:pPr>
      <w:r>
        <w:rPr>
          <w:rFonts w:ascii="仿宋_GB2312" w:eastAsia="仿宋_GB2312"/>
          <w:sz w:val="30"/>
          <w:szCs w:val="30"/>
        </w:rPr>
        <w:t>5</w:t>
      </w:r>
      <w:r>
        <w:rPr>
          <w:rFonts w:hint="eastAsia" w:ascii="仿宋_GB2312" w:eastAsia="仿宋_GB2312"/>
          <w:sz w:val="30"/>
          <w:szCs w:val="30"/>
        </w:rPr>
        <w:t>） 根据第</w:t>
      </w:r>
      <w:r>
        <w:rPr>
          <w:rFonts w:ascii="仿宋_GB2312" w:eastAsia="仿宋_GB2312"/>
          <w:sz w:val="30"/>
          <w:szCs w:val="30"/>
        </w:rPr>
        <w:t>14.6.2</w:t>
      </w:r>
      <w:r>
        <w:rPr>
          <w:rFonts w:hint="eastAsia" w:ascii="仿宋_GB2312" w:eastAsia="仿宋_GB2312"/>
          <w:sz w:val="30"/>
          <w:szCs w:val="30"/>
        </w:rPr>
        <w:t>项[质量保证金的预留]约定应预留的质量保证金金额；</w:t>
      </w:r>
    </w:p>
    <w:p w14:paraId="338CCC59">
      <w:pPr>
        <w:wordWrap/>
        <w:topLinePunct w:val="0"/>
        <w:spacing w:after="120"/>
        <w:ind w:firstLine="600"/>
        <w:rPr>
          <w:rFonts w:ascii="仿宋_GB2312" w:eastAsia="仿宋_GB2312"/>
          <w:sz w:val="30"/>
          <w:szCs w:val="30"/>
        </w:rPr>
      </w:pPr>
      <w:r>
        <w:rPr>
          <w:rFonts w:ascii="仿宋_GB2312" w:eastAsia="仿宋_GB2312"/>
          <w:sz w:val="30"/>
          <w:szCs w:val="30"/>
        </w:rPr>
        <w:t>6</w:t>
      </w:r>
      <w:r>
        <w:rPr>
          <w:rFonts w:hint="eastAsia" w:ascii="仿宋_GB2312" w:eastAsia="仿宋_GB2312"/>
          <w:sz w:val="30"/>
          <w:szCs w:val="30"/>
        </w:rPr>
        <w:t>） 根据第</w:t>
      </w:r>
      <w:r>
        <w:rPr>
          <w:rFonts w:ascii="仿宋_GB2312" w:eastAsia="仿宋_GB2312"/>
          <w:sz w:val="30"/>
          <w:szCs w:val="30"/>
        </w:rPr>
        <w:t>19条</w:t>
      </w:r>
      <w:r>
        <w:rPr>
          <w:rFonts w:hint="eastAsia" w:ascii="仿宋_GB2312" w:eastAsia="仿宋_GB2312"/>
          <w:sz w:val="30"/>
          <w:szCs w:val="30"/>
        </w:rPr>
        <w:t>[索赔]应增加和扣减的索赔金额；</w:t>
      </w:r>
    </w:p>
    <w:p w14:paraId="615E08FB">
      <w:pPr>
        <w:wordWrap/>
        <w:topLinePunct w:val="0"/>
        <w:spacing w:after="120"/>
        <w:ind w:firstLine="600"/>
        <w:rPr>
          <w:rFonts w:ascii="仿宋_GB2312" w:eastAsia="仿宋_GB2312"/>
          <w:sz w:val="30"/>
          <w:szCs w:val="30"/>
        </w:rPr>
      </w:pPr>
      <w:r>
        <w:rPr>
          <w:rFonts w:ascii="仿宋_GB2312" w:eastAsia="仿宋_GB2312"/>
          <w:sz w:val="30"/>
          <w:szCs w:val="30"/>
        </w:rPr>
        <w:t>7</w:t>
      </w:r>
      <w:r>
        <w:rPr>
          <w:rFonts w:hint="eastAsia" w:ascii="仿宋_GB2312" w:eastAsia="仿宋_GB2312"/>
          <w:sz w:val="30"/>
          <w:szCs w:val="30"/>
        </w:rPr>
        <w:t>） 对已签发的进度款支付证书中出现错误的修正，应在本次进度付款中支付或扣除的金额；</w:t>
      </w:r>
    </w:p>
    <w:p w14:paraId="0091CB83">
      <w:pPr>
        <w:wordWrap/>
        <w:topLinePunct w:val="0"/>
        <w:spacing w:after="120"/>
        <w:ind w:firstLine="600"/>
        <w:rPr>
          <w:rFonts w:ascii="仿宋_GB2312" w:eastAsia="仿宋_GB2312"/>
          <w:sz w:val="30"/>
          <w:szCs w:val="30"/>
        </w:rPr>
      </w:pPr>
      <w:r>
        <w:rPr>
          <w:rFonts w:hint="eastAsia" w:ascii="仿宋_GB2312" w:eastAsia="仿宋_GB2312"/>
          <w:sz w:val="30"/>
          <w:szCs w:val="30"/>
        </w:rPr>
        <w:t>8） 根据合同约定应增加和扣减的其他金额。</w:t>
      </w:r>
    </w:p>
    <w:p w14:paraId="53DA2FFC">
      <w:pPr>
        <w:spacing w:after="120"/>
        <w:ind w:firstLine="600"/>
        <w:rPr>
          <w:rFonts w:ascii="仿宋_GB2312" w:eastAsia="仿宋_GB2312"/>
          <w:sz w:val="30"/>
          <w:szCs w:val="30"/>
        </w:rPr>
      </w:pPr>
      <w:bookmarkStart w:id="659" w:name="_Ref531957608"/>
      <w:r>
        <w:rPr>
          <w:rFonts w:hint="eastAsia" w:ascii="仿宋_GB2312" w:eastAsia="仿宋_GB2312"/>
          <w:sz w:val="30"/>
          <w:szCs w:val="30"/>
        </w:rPr>
        <w:t>1</w:t>
      </w:r>
      <w:r>
        <w:rPr>
          <w:rFonts w:ascii="仿宋_GB2312" w:eastAsia="仿宋_GB2312"/>
          <w:sz w:val="30"/>
          <w:szCs w:val="30"/>
        </w:rPr>
        <w:t xml:space="preserve">4.3.2 </w:t>
      </w:r>
      <w:r>
        <w:rPr>
          <w:rFonts w:hint="eastAsia" w:ascii="仿宋_GB2312" w:eastAsia="仿宋_GB2312"/>
          <w:sz w:val="30"/>
          <w:szCs w:val="30"/>
        </w:rPr>
        <w:t>进度付款审核和支付</w:t>
      </w:r>
      <w:bookmarkEnd w:id="659"/>
    </w:p>
    <w:p w14:paraId="71777ADF">
      <w:pPr>
        <w:pStyle w:val="114"/>
        <w:spacing w:after="120"/>
        <w:ind w:left="0" w:firstLine="600"/>
        <w:outlineLvl w:val="9"/>
        <w:rPr>
          <w:rFonts w:ascii="仿宋_GB2312" w:eastAsia="仿宋_GB2312"/>
          <w:sz w:val="30"/>
          <w:szCs w:val="30"/>
        </w:rPr>
      </w:pPr>
      <w:r>
        <w:rPr>
          <w:rFonts w:hint="eastAsia" w:ascii="仿宋_GB2312" w:eastAsia="仿宋_GB2312"/>
          <w:sz w:val="30"/>
          <w:szCs w:val="30"/>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6BC5A0CC">
      <w:pPr>
        <w:wordWrap/>
        <w:topLinePunct w:val="0"/>
        <w:spacing w:after="120"/>
        <w:ind w:firstLine="600"/>
        <w:rPr>
          <w:rFonts w:ascii="仿宋_GB2312" w:eastAsia="仿宋_GB2312"/>
          <w:sz w:val="30"/>
          <w:szCs w:val="30"/>
        </w:rPr>
      </w:pPr>
      <w:r>
        <w:rPr>
          <w:rFonts w:hint="eastAsia" w:ascii="仿宋_GB2312" w:eastAsia="仿宋_GB2312"/>
          <w:sz w:val="30"/>
          <w:szCs w:val="30"/>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仿宋_GB2312" w:eastAsia="仿宋_GB2312"/>
          <w:sz w:val="30"/>
          <w:szCs w:val="30"/>
        </w:rPr>
        <w:t>20条</w:t>
      </w:r>
      <w:r>
        <w:rPr>
          <w:rFonts w:hint="eastAsia" w:ascii="仿宋_GB2312" w:eastAsia="仿宋_GB2312"/>
          <w:sz w:val="30"/>
          <w:szCs w:val="30"/>
        </w:rPr>
        <w:t>[争议解决]的约定处理。</w:t>
      </w:r>
    </w:p>
    <w:p w14:paraId="3B205FB6">
      <w:pPr>
        <w:pStyle w:val="114"/>
        <w:spacing w:after="120"/>
        <w:ind w:left="0" w:firstLine="600"/>
        <w:outlineLvl w:val="9"/>
        <w:rPr>
          <w:rFonts w:ascii="仿宋_GB2312" w:eastAsia="仿宋_GB2312"/>
          <w:sz w:val="30"/>
          <w:szCs w:val="30"/>
        </w:rPr>
      </w:pPr>
      <w:r>
        <w:rPr>
          <w:rFonts w:hint="eastAsia" w:ascii="仿宋_GB2312" w:eastAsia="仿宋_GB2312"/>
          <w:sz w:val="30"/>
          <w:szCs w:val="30"/>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3BEFF472">
      <w:pPr>
        <w:pStyle w:val="114"/>
        <w:spacing w:after="120"/>
        <w:ind w:left="0" w:firstLine="600"/>
        <w:outlineLvl w:val="9"/>
        <w:rPr>
          <w:rFonts w:ascii="仿宋_GB2312" w:eastAsia="仿宋_GB2312"/>
          <w:sz w:val="30"/>
          <w:szCs w:val="30"/>
        </w:rPr>
      </w:pPr>
      <w:r>
        <w:rPr>
          <w:rFonts w:hint="eastAsia" w:ascii="仿宋_GB2312" w:eastAsia="仿宋_GB2312"/>
          <w:sz w:val="30"/>
          <w:szCs w:val="30"/>
        </w:rPr>
        <w:t>发包人签发进度款支付证书，不表明发包人已同意、批准或接受了承包人完成的相应部分的工作。</w:t>
      </w:r>
    </w:p>
    <w:p w14:paraId="78334585">
      <w:pPr>
        <w:spacing w:after="120"/>
        <w:ind w:firstLine="600"/>
        <w:rPr>
          <w:rFonts w:ascii="仿宋_GB2312" w:eastAsia="仿宋_GB2312"/>
          <w:sz w:val="30"/>
          <w:szCs w:val="30"/>
        </w:rPr>
      </w:pPr>
      <w:bookmarkStart w:id="660" w:name="_Ref531957023"/>
      <w:r>
        <w:rPr>
          <w:rFonts w:hint="eastAsia" w:ascii="仿宋_GB2312" w:eastAsia="仿宋_GB2312"/>
          <w:sz w:val="30"/>
          <w:szCs w:val="30"/>
        </w:rPr>
        <w:t>1</w:t>
      </w:r>
      <w:r>
        <w:rPr>
          <w:rFonts w:ascii="仿宋_GB2312" w:eastAsia="仿宋_GB2312"/>
          <w:sz w:val="30"/>
          <w:szCs w:val="30"/>
        </w:rPr>
        <w:t xml:space="preserve">4.3.3 </w:t>
      </w:r>
      <w:r>
        <w:rPr>
          <w:rFonts w:hint="eastAsia" w:ascii="仿宋_GB2312" w:eastAsia="仿宋_GB2312"/>
          <w:sz w:val="30"/>
          <w:szCs w:val="30"/>
        </w:rPr>
        <w:t>进度付款的修正</w:t>
      </w:r>
      <w:bookmarkEnd w:id="660"/>
    </w:p>
    <w:p w14:paraId="1D931C75">
      <w:pPr>
        <w:wordWrap/>
        <w:topLinePunct w:val="0"/>
        <w:spacing w:after="120"/>
        <w:ind w:firstLine="600"/>
        <w:rPr>
          <w:rFonts w:ascii="仿宋_GB2312" w:eastAsia="仿宋_GB2312"/>
          <w:sz w:val="30"/>
          <w:szCs w:val="30"/>
        </w:rPr>
      </w:pPr>
      <w:r>
        <w:rPr>
          <w:rFonts w:hint="eastAsia" w:ascii="仿宋_GB2312" w:eastAsia="仿宋_GB2312"/>
          <w:sz w:val="30"/>
          <w:szCs w:val="30"/>
        </w:rPr>
        <w:t>在对已签发的进度款支付证书进行阶段汇总和复核中发现错误、遗漏或重复的，发包人和承包人均有权提出修正申请。经发包人和承包人同意的修正，应在下期进度付款中支付或扣除。</w:t>
      </w:r>
    </w:p>
    <w:p w14:paraId="0565F376">
      <w:pPr>
        <w:spacing w:after="120"/>
        <w:ind w:firstLine="600"/>
        <w:rPr>
          <w:rFonts w:ascii="仿宋_GB2312" w:eastAsia="仿宋_GB2312"/>
          <w:sz w:val="30"/>
          <w:szCs w:val="30"/>
        </w:rPr>
      </w:pPr>
      <w:bookmarkStart w:id="661" w:name="_Ref4538578"/>
      <w:bookmarkStart w:id="662" w:name="_Toc54862295"/>
      <w:bookmarkStart w:id="663" w:name="_Ref536647814"/>
      <w:bookmarkStart w:id="664" w:name="_Ref536647822"/>
      <w:r>
        <w:rPr>
          <w:rFonts w:hint="eastAsia" w:ascii="仿宋_GB2312" w:eastAsia="仿宋_GB2312"/>
          <w:sz w:val="30"/>
          <w:szCs w:val="30"/>
        </w:rPr>
        <w:t>14.4 付款计划表</w:t>
      </w:r>
      <w:bookmarkEnd w:id="661"/>
      <w:bookmarkEnd w:id="662"/>
    </w:p>
    <w:p w14:paraId="780CB879">
      <w:pPr>
        <w:spacing w:after="120"/>
        <w:ind w:firstLine="600"/>
        <w:rPr>
          <w:rFonts w:ascii="仿宋_GB2312" w:eastAsia="仿宋_GB2312"/>
          <w:sz w:val="30"/>
          <w:szCs w:val="30"/>
        </w:rPr>
      </w:pPr>
      <w:bookmarkStart w:id="665" w:name="_Ref4570974"/>
      <w:r>
        <w:rPr>
          <w:rFonts w:hint="eastAsia" w:ascii="仿宋_GB2312" w:eastAsia="仿宋_GB2312"/>
          <w:sz w:val="30"/>
          <w:szCs w:val="30"/>
        </w:rPr>
        <w:t>1</w:t>
      </w:r>
      <w:r>
        <w:rPr>
          <w:rFonts w:ascii="仿宋_GB2312" w:eastAsia="仿宋_GB2312"/>
          <w:sz w:val="30"/>
          <w:szCs w:val="30"/>
        </w:rPr>
        <w:t xml:space="preserve">4.4.1 </w:t>
      </w:r>
      <w:r>
        <w:rPr>
          <w:rFonts w:hint="eastAsia" w:ascii="仿宋_GB2312" w:eastAsia="仿宋_GB2312"/>
          <w:sz w:val="30"/>
          <w:szCs w:val="30"/>
        </w:rPr>
        <w:t>付款计划表的编制要求</w:t>
      </w:r>
      <w:bookmarkEnd w:id="665"/>
    </w:p>
    <w:p w14:paraId="3D0482E6">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除专用合同条件另有约定外，付款计划表按如下要求编制：</w:t>
      </w:r>
    </w:p>
    <w:p w14:paraId="30183A2A">
      <w:pPr>
        <w:wordWrap/>
        <w:topLinePunct w:val="0"/>
        <w:spacing w:after="120"/>
        <w:ind w:firstLine="600"/>
        <w:rPr>
          <w:rFonts w:ascii="仿宋_GB2312" w:eastAsia="仿宋_GB2312"/>
          <w:sz w:val="30"/>
          <w:szCs w:val="30"/>
        </w:rPr>
      </w:pPr>
      <w:r>
        <w:rPr>
          <w:rFonts w:hint="eastAsia" w:ascii="仿宋_GB2312" w:eastAsia="仿宋_GB2312"/>
          <w:sz w:val="30"/>
          <w:szCs w:val="30"/>
        </w:rPr>
        <w:t>（1） 付款计划表中所列的每期付款金额，应为第</w:t>
      </w:r>
      <w:r>
        <w:rPr>
          <w:rFonts w:ascii="仿宋_GB2312" w:eastAsia="仿宋_GB2312"/>
          <w:sz w:val="30"/>
          <w:szCs w:val="30"/>
        </w:rPr>
        <w:t>14.3.1</w:t>
      </w:r>
      <w:r>
        <w:rPr>
          <w:rFonts w:hint="eastAsia" w:ascii="仿宋_GB2312" w:eastAsia="仿宋_GB2312"/>
          <w:sz w:val="30"/>
          <w:szCs w:val="30"/>
        </w:rPr>
        <w:t>项[工程进度付款申请]每期进度款的估算金额；</w:t>
      </w:r>
    </w:p>
    <w:p w14:paraId="63646B1A">
      <w:pPr>
        <w:wordWrap/>
        <w:topLinePunct w:val="0"/>
        <w:spacing w:after="120"/>
        <w:ind w:firstLine="600"/>
        <w:rPr>
          <w:rFonts w:ascii="仿宋_GB2312" w:eastAsia="仿宋_GB2312"/>
          <w:sz w:val="30"/>
          <w:szCs w:val="30"/>
        </w:rPr>
      </w:pPr>
      <w:r>
        <w:rPr>
          <w:rFonts w:hint="eastAsia" w:ascii="仿宋_GB2312" w:eastAsia="仿宋_GB2312"/>
          <w:sz w:val="30"/>
          <w:szCs w:val="30"/>
        </w:rPr>
        <w:t>（2） 实际进度与项目进度计划不一致的，合同当事人可按照第</w:t>
      </w:r>
      <w:r>
        <w:rPr>
          <w:rFonts w:ascii="仿宋_GB2312" w:eastAsia="仿宋_GB2312"/>
          <w:sz w:val="30"/>
          <w:szCs w:val="30"/>
        </w:rPr>
        <w:t>3.6</w:t>
      </w:r>
      <w:r>
        <w:rPr>
          <w:rFonts w:hint="eastAsia" w:ascii="仿宋_GB2312" w:eastAsia="仿宋_GB2312"/>
          <w:sz w:val="30"/>
          <w:szCs w:val="30"/>
        </w:rPr>
        <w:t>款[</w:t>
      </w:r>
      <w:r>
        <w:rPr>
          <w:rFonts w:ascii="仿宋_GB2312" w:eastAsia="仿宋_GB2312"/>
          <w:sz w:val="30"/>
          <w:szCs w:val="30"/>
        </w:rPr>
        <w:t>商定或确定</w:t>
      </w:r>
      <w:r>
        <w:rPr>
          <w:rFonts w:hint="eastAsia" w:ascii="仿宋_GB2312" w:eastAsia="仿宋_GB2312"/>
          <w:sz w:val="30"/>
          <w:szCs w:val="30"/>
        </w:rPr>
        <w:t>]修改付款计划表；</w:t>
      </w:r>
    </w:p>
    <w:p w14:paraId="7665E9BD">
      <w:pPr>
        <w:wordWrap/>
        <w:topLinePunct w:val="0"/>
        <w:spacing w:after="120"/>
        <w:ind w:firstLine="600"/>
        <w:rPr>
          <w:rFonts w:ascii="仿宋_GB2312" w:eastAsia="仿宋_GB2312"/>
          <w:sz w:val="30"/>
          <w:szCs w:val="30"/>
        </w:rPr>
      </w:pPr>
      <w:r>
        <w:rPr>
          <w:rFonts w:hint="eastAsia" w:ascii="仿宋_GB2312" w:eastAsia="仿宋_GB2312"/>
          <w:sz w:val="30"/>
          <w:szCs w:val="30"/>
        </w:rPr>
        <w:t>（3） 不采用付款计划表的，承包人应向工程师提交按季度编制的支付估算付款计划表，用于支付参考。</w:t>
      </w:r>
    </w:p>
    <w:p w14:paraId="3D884DBC">
      <w:pPr>
        <w:spacing w:after="120"/>
        <w:ind w:firstLine="600"/>
        <w:rPr>
          <w:rFonts w:ascii="仿宋_GB2312" w:eastAsia="仿宋_GB2312"/>
          <w:sz w:val="30"/>
          <w:szCs w:val="30"/>
        </w:rPr>
      </w:pPr>
      <w:bookmarkStart w:id="666" w:name="_Ref4571011"/>
      <w:r>
        <w:rPr>
          <w:rFonts w:hint="eastAsia" w:ascii="仿宋_GB2312" w:eastAsia="仿宋_GB2312"/>
          <w:sz w:val="30"/>
          <w:szCs w:val="30"/>
        </w:rPr>
        <w:t>1</w:t>
      </w:r>
      <w:r>
        <w:rPr>
          <w:rFonts w:ascii="仿宋_GB2312" w:eastAsia="仿宋_GB2312"/>
          <w:sz w:val="30"/>
          <w:szCs w:val="30"/>
        </w:rPr>
        <w:t xml:space="preserve">4.4.2 </w:t>
      </w:r>
      <w:r>
        <w:rPr>
          <w:rFonts w:hint="eastAsia" w:ascii="仿宋_GB2312" w:eastAsia="仿宋_GB2312"/>
          <w:sz w:val="30"/>
          <w:szCs w:val="30"/>
        </w:rPr>
        <w:t>付款计划表的编制与审批</w:t>
      </w:r>
      <w:bookmarkEnd w:id="666"/>
    </w:p>
    <w:p w14:paraId="595AF6E8">
      <w:pPr>
        <w:wordWrap/>
        <w:topLinePunct w:val="0"/>
        <w:spacing w:after="120"/>
        <w:ind w:firstLine="600"/>
        <w:rPr>
          <w:rFonts w:ascii="仿宋_GB2312" w:eastAsia="仿宋_GB2312"/>
          <w:sz w:val="30"/>
          <w:szCs w:val="30"/>
        </w:rPr>
      </w:pPr>
      <w:r>
        <w:rPr>
          <w:rFonts w:hint="eastAsia" w:ascii="仿宋_GB2312" w:eastAsia="仿宋_GB2312"/>
          <w:sz w:val="30"/>
          <w:szCs w:val="30"/>
        </w:rPr>
        <w:t>（1） 除专用合同条件另有约定外，承包人应根据第</w:t>
      </w:r>
      <w:r>
        <w:rPr>
          <w:rFonts w:ascii="仿宋_GB2312" w:eastAsia="仿宋_GB2312"/>
          <w:sz w:val="30"/>
          <w:szCs w:val="30"/>
        </w:rPr>
        <w:t>8.4</w:t>
      </w:r>
      <w:r>
        <w:rPr>
          <w:rFonts w:hint="eastAsia" w:ascii="仿宋_GB2312" w:eastAsia="仿宋_GB2312"/>
          <w:sz w:val="30"/>
          <w:szCs w:val="30"/>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17C14EDB">
      <w:pPr>
        <w:wordWrap/>
        <w:topLinePunct w:val="0"/>
        <w:spacing w:after="120"/>
        <w:ind w:firstLine="600"/>
        <w:rPr>
          <w:rFonts w:ascii="仿宋_GB2312" w:eastAsia="仿宋_GB2312"/>
          <w:sz w:val="30"/>
          <w:szCs w:val="30"/>
        </w:rPr>
      </w:pPr>
      <w:r>
        <w:rPr>
          <w:rFonts w:hint="eastAsia" w:ascii="仿宋_GB2312" w:eastAsia="仿宋_GB2312"/>
          <w:sz w:val="30"/>
          <w:szCs w:val="30"/>
        </w:rPr>
        <w:t>（2） 工程师应在收到付款计划表后7天内完成审核并报送发包人。发包人应在收到经工程师审核的付款计划表后7天内完成审批，经发包人批准的付款计划表为有约束力的付款计划表。</w:t>
      </w:r>
    </w:p>
    <w:p w14:paraId="5CC1EB1B">
      <w:pPr>
        <w:wordWrap/>
        <w:topLinePunct w:val="0"/>
        <w:spacing w:after="120"/>
        <w:ind w:firstLine="600"/>
        <w:rPr>
          <w:rFonts w:ascii="仿宋_GB2312" w:eastAsia="仿宋_GB2312"/>
          <w:sz w:val="30"/>
          <w:szCs w:val="30"/>
        </w:rPr>
      </w:pPr>
      <w:r>
        <w:rPr>
          <w:rFonts w:hint="eastAsia" w:ascii="仿宋_GB2312" w:eastAsia="仿宋_GB2312"/>
          <w:sz w:val="30"/>
          <w:szCs w:val="30"/>
        </w:rPr>
        <w:t>（3） 发包人逾期未完成付款计划表审批的，也未及时要求承包人进行修正和提供补充资料的，则承包人提交的付款计划表视为已经获得发包人批准。</w:t>
      </w:r>
    </w:p>
    <w:p w14:paraId="271BA88E">
      <w:pPr>
        <w:spacing w:after="120"/>
        <w:ind w:firstLine="600"/>
        <w:rPr>
          <w:rFonts w:ascii="仿宋_GB2312" w:eastAsia="仿宋_GB2312"/>
          <w:sz w:val="30"/>
          <w:szCs w:val="30"/>
        </w:rPr>
      </w:pPr>
      <w:bookmarkStart w:id="667" w:name="_Ref4538634"/>
      <w:bookmarkStart w:id="668" w:name="_Toc54862296"/>
      <w:r>
        <w:rPr>
          <w:rFonts w:hint="eastAsia" w:ascii="仿宋_GB2312" w:eastAsia="仿宋_GB2312"/>
          <w:sz w:val="30"/>
          <w:szCs w:val="30"/>
        </w:rPr>
        <w:t>14.5 竣工结算</w:t>
      </w:r>
      <w:bookmarkEnd w:id="667"/>
      <w:bookmarkEnd w:id="668"/>
    </w:p>
    <w:p w14:paraId="0D45FE4E">
      <w:pPr>
        <w:spacing w:after="120"/>
        <w:ind w:firstLine="600"/>
        <w:rPr>
          <w:rFonts w:ascii="仿宋_GB2312" w:eastAsia="仿宋_GB2312"/>
          <w:sz w:val="30"/>
          <w:szCs w:val="30"/>
        </w:rPr>
      </w:pPr>
      <w:bookmarkStart w:id="669" w:name="_Ref4571361"/>
      <w:r>
        <w:rPr>
          <w:rFonts w:hint="eastAsia" w:ascii="仿宋_GB2312" w:eastAsia="仿宋_GB2312"/>
          <w:sz w:val="30"/>
          <w:szCs w:val="30"/>
        </w:rPr>
        <w:t>1</w:t>
      </w:r>
      <w:r>
        <w:rPr>
          <w:rFonts w:ascii="仿宋_GB2312" w:eastAsia="仿宋_GB2312"/>
          <w:sz w:val="30"/>
          <w:szCs w:val="30"/>
        </w:rPr>
        <w:t xml:space="preserve">4.5.1 </w:t>
      </w:r>
      <w:r>
        <w:rPr>
          <w:rFonts w:hint="eastAsia" w:ascii="仿宋_GB2312" w:eastAsia="仿宋_GB2312"/>
          <w:sz w:val="30"/>
          <w:szCs w:val="30"/>
        </w:rPr>
        <w:t>竣工结算申请</w:t>
      </w:r>
      <w:bookmarkEnd w:id="669"/>
    </w:p>
    <w:p w14:paraId="41079CE1">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641F92F9">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除专用合同条件另有约定外，竣工结算申请单应包括以下内容：</w:t>
      </w:r>
    </w:p>
    <w:p w14:paraId="5D6B61FE">
      <w:pPr>
        <w:wordWrap/>
        <w:topLinePunct w:val="0"/>
        <w:spacing w:after="120"/>
        <w:ind w:firstLine="600"/>
        <w:rPr>
          <w:rFonts w:ascii="仿宋_GB2312" w:eastAsia="仿宋_GB2312"/>
          <w:sz w:val="30"/>
          <w:szCs w:val="30"/>
        </w:rPr>
      </w:pPr>
      <w:r>
        <w:rPr>
          <w:rFonts w:hint="eastAsia" w:ascii="仿宋_GB2312" w:eastAsia="仿宋_GB2312"/>
          <w:sz w:val="30"/>
          <w:szCs w:val="30"/>
        </w:rPr>
        <w:t>（1） 竣工结算合同价格；</w:t>
      </w:r>
    </w:p>
    <w:p w14:paraId="1B14CEA8">
      <w:pPr>
        <w:wordWrap/>
        <w:topLinePunct w:val="0"/>
        <w:spacing w:after="120"/>
        <w:ind w:firstLine="600"/>
        <w:rPr>
          <w:rFonts w:ascii="仿宋_GB2312" w:eastAsia="仿宋_GB2312"/>
          <w:sz w:val="30"/>
          <w:szCs w:val="30"/>
        </w:rPr>
      </w:pPr>
      <w:r>
        <w:rPr>
          <w:rFonts w:hint="eastAsia" w:ascii="仿宋_GB2312" w:eastAsia="仿宋_GB2312"/>
          <w:sz w:val="30"/>
          <w:szCs w:val="30"/>
        </w:rPr>
        <w:t>（2） 发包人已支付承包人的款项；</w:t>
      </w:r>
    </w:p>
    <w:p w14:paraId="77C6C592">
      <w:pPr>
        <w:wordWrap/>
        <w:topLinePunct w:val="0"/>
        <w:spacing w:after="120"/>
        <w:ind w:firstLine="600"/>
        <w:rPr>
          <w:rFonts w:ascii="仿宋_GB2312" w:eastAsia="仿宋_GB2312"/>
          <w:sz w:val="30"/>
          <w:szCs w:val="30"/>
        </w:rPr>
      </w:pPr>
      <w:r>
        <w:rPr>
          <w:rFonts w:hint="eastAsia" w:ascii="仿宋_GB2312" w:eastAsia="仿宋_GB2312"/>
          <w:sz w:val="30"/>
          <w:szCs w:val="30"/>
        </w:rPr>
        <w:t>（3） 采用第</w:t>
      </w:r>
      <w:r>
        <w:rPr>
          <w:rFonts w:ascii="仿宋_GB2312" w:eastAsia="仿宋_GB2312"/>
          <w:sz w:val="30"/>
          <w:szCs w:val="30"/>
        </w:rPr>
        <w:t>14.6.1</w:t>
      </w:r>
      <w:r>
        <w:rPr>
          <w:rFonts w:hint="eastAsia" w:ascii="仿宋_GB2312" w:eastAsia="仿宋_GB2312"/>
          <w:sz w:val="30"/>
          <w:szCs w:val="30"/>
        </w:rPr>
        <w:t>项[承包人提供质量保证金的方式]第（2）种方式提供质量保证金的，应当列明应预留的质量保证金金额；采用第</w:t>
      </w:r>
      <w:r>
        <w:rPr>
          <w:rFonts w:ascii="仿宋_GB2312" w:eastAsia="仿宋_GB2312"/>
          <w:sz w:val="30"/>
          <w:szCs w:val="30"/>
        </w:rPr>
        <w:t>14.6.1</w:t>
      </w:r>
      <w:r>
        <w:rPr>
          <w:rFonts w:hint="eastAsia" w:ascii="仿宋_GB2312" w:eastAsia="仿宋_GB2312"/>
          <w:sz w:val="30"/>
          <w:szCs w:val="30"/>
        </w:rPr>
        <w:t>项[承包人提供质量保证金的方式]中其他方式提供质量保证金的，应当按第</w:t>
      </w:r>
      <w:r>
        <w:rPr>
          <w:rFonts w:ascii="仿宋_GB2312" w:eastAsia="仿宋_GB2312"/>
          <w:sz w:val="30"/>
          <w:szCs w:val="30"/>
        </w:rPr>
        <w:t>14.6</w:t>
      </w:r>
      <w:r>
        <w:rPr>
          <w:rFonts w:hint="eastAsia" w:ascii="仿宋_GB2312" w:eastAsia="仿宋_GB2312"/>
          <w:sz w:val="30"/>
          <w:szCs w:val="30"/>
        </w:rPr>
        <w:t>款[质量保证金]提供相关文件作为附件；</w:t>
      </w:r>
    </w:p>
    <w:p w14:paraId="41329E6D">
      <w:pPr>
        <w:wordWrap/>
        <w:topLinePunct w:val="0"/>
        <w:spacing w:after="120"/>
        <w:ind w:firstLine="600"/>
        <w:rPr>
          <w:rFonts w:ascii="仿宋_GB2312" w:eastAsia="仿宋_GB2312"/>
          <w:sz w:val="30"/>
          <w:szCs w:val="30"/>
        </w:rPr>
      </w:pPr>
      <w:r>
        <w:rPr>
          <w:rFonts w:hint="eastAsia" w:ascii="仿宋_GB2312" w:eastAsia="仿宋_GB2312"/>
          <w:sz w:val="30"/>
          <w:szCs w:val="30"/>
        </w:rPr>
        <w:t>（4） 发包人应支付承包人的合同价款。</w:t>
      </w:r>
    </w:p>
    <w:p w14:paraId="7EBD4929">
      <w:pPr>
        <w:spacing w:after="120"/>
        <w:ind w:firstLine="600"/>
        <w:rPr>
          <w:rFonts w:ascii="仿宋_GB2312" w:eastAsia="仿宋_GB2312"/>
          <w:sz w:val="30"/>
          <w:szCs w:val="30"/>
        </w:rPr>
      </w:pPr>
      <w:bookmarkStart w:id="670" w:name="_Ref4571384"/>
      <w:r>
        <w:rPr>
          <w:rFonts w:hint="eastAsia" w:ascii="仿宋_GB2312" w:eastAsia="仿宋_GB2312"/>
          <w:sz w:val="30"/>
          <w:szCs w:val="30"/>
        </w:rPr>
        <w:t>14.5.2 竣工结算审核</w:t>
      </w:r>
      <w:bookmarkEnd w:id="670"/>
    </w:p>
    <w:p w14:paraId="0C0475AF">
      <w:pPr>
        <w:wordWrap/>
        <w:topLinePunct w:val="0"/>
        <w:spacing w:after="120"/>
        <w:ind w:firstLine="600"/>
        <w:rPr>
          <w:rFonts w:ascii="仿宋_GB2312" w:eastAsia="仿宋_GB2312"/>
          <w:sz w:val="30"/>
          <w:szCs w:val="30"/>
        </w:rPr>
      </w:pPr>
      <w:r>
        <w:rPr>
          <w:rFonts w:hint="eastAsia" w:ascii="仿宋_GB2312" w:eastAsia="仿宋_GB2312"/>
          <w:sz w:val="30"/>
          <w:szCs w:val="30"/>
        </w:rPr>
        <w:t>（1） 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6E19D029">
      <w:pPr>
        <w:wordWrap/>
        <w:topLinePunct w:val="0"/>
        <w:spacing w:after="120"/>
        <w:ind w:firstLine="600"/>
        <w:rPr>
          <w:rFonts w:ascii="仿宋_GB2312" w:eastAsia="仿宋_GB2312"/>
          <w:sz w:val="30"/>
          <w:szCs w:val="30"/>
        </w:rPr>
      </w:pPr>
      <w:r>
        <w:rPr>
          <w:rFonts w:hint="eastAsia" w:ascii="仿宋_GB2312" w:eastAsia="仿宋_GB2312"/>
          <w:sz w:val="30"/>
          <w:szCs w:val="30"/>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005B5786">
      <w:pPr>
        <w:wordWrap/>
        <w:topLinePunct w:val="0"/>
        <w:spacing w:after="120"/>
        <w:ind w:firstLine="600"/>
        <w:rPr>
          <w:rFonts w:ascii="仿宋_GB2312" w:eastAsia="仿宋_GB2312"/>
          <w:sz w:val="30"/>
          <w:szCs w:val="30"/>
        </w:rPr>
      </w:pPr>
      <w:bookmarkStart w:id="671" w:name="_Ref4618006"/>
      <w:r>
        <w:rPr>
          <w:rFonts w:hint="eastAsia" w:ascii="仿宋_GB2312" w:eastAsia="仿宋_GB2312"/>
          <w:sz w:val="30"/>
          <w:szCs w:val="30"/>
        </w:rPr>
        <w:t>（2） 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671"/>
    </w:p>
    <w:p w14:paraId="0129175A">
      <w:pPr>
        <w:wordWrap/>
        <w:topLinePunct w:val="0"/>
        <w:spacing w:after="120"/>
        <w:ind w:firstLine="600"/>
        <w:rPr>
          <w:rFonts w:ascii="仿宋_GB2312" w:eastAsia="仿宋_GB2312"/>
          <w:sz w:val="30"/>
          <w:szCs w:val="30"/>
        </w:rPr>
      </w:pPr>
      <w:r>
        <w:rPr>
          <w:rFonts w:hint="eastAsia" w:ascii="仿宋_GB2312" w:eastAsia="仿宋_GB2312"/>
          <w:sz w:val="30"/>
          <w:szCs w:val="30"/>
        </w:rPr>
        <w:t>（3） 承包人对发包人签认的竣工付款证书有异议的，对于有异议部分应在收到发包人签认的竣工付款证书后7天内提出异议，并由合同当事人按照专用合同条件约定的方式和程序进行复核，或按照第</w:t>
      </w:r>
      <w:r>
        <w:rPr>
          <w:rFonts w:ascii="仿宋_GB2312" w:eastAsia="仿宋_GB2312"/>
          <w:sz w:val="30"/>
          <w:szCs w:val="30"/>
        </w:rPr>
        <w:t>20条</w:t>
      </w:r>
      <w:r>
        <w:rPr>
          <w:rFonts w:hint="eastAsia" w:ascii="仿宋_GB2312" w:eastAsia="仿宋_GB2312"/>
          <w:sz w:val="30"/>
          <w:szCs w:val="30"/>
        </w:rPr>
        <w:t>[争议解决]约定处理。对于无异议部分，发包人应签发临时竣工付款证书，并按本款第（2）项完成付款。承包人逾期未提出异议的，视为认可发包人的审批结果。</w:t>
      </w:r>
    </w:p>
    <w:p w14:paraId="69EA0BD3">
      <w:pPr>
        <w:spacing w:after="120"/>
        <w:ind w:firstLine="600"/>
        <w:rPr>
          <w:rFonts w:ascii="仿宋_GB2312" w:eastAsia="仿宋_GB2312"/>
          <w:sz w:val="30"/>
          <w:szCs w:val="30"/>
        </w:rPr>
      </w:pPr>
      <w:bookmarkStart w:id="672" w:name="_Ref15484305"/>
      <w:r>
        <w:rPr>
          <w:rFonts w:hint="eastAsia" w:ascii="仿宋_GB2312" w:eastAsia="仿宋_GB2312"/>
          <w:sz w:val="30"/>
          <w:szCs w:val="30"/>
        </w:rPr>
        <w:t>1</w:t>
      </w:r>
      <w:r>
        <w:rPr>
          <w:rFonts w:ascii="仿宋_GB2312" w:eastAsia="仿宋_GB2312"/>
          <w:sz w:val="30"/>
          <w:szCs w:val="30"/>
        </w:rPr>
        <w:t xml:space="preserve">4.5.3 </w:t>
      </w:r>
      <w:r>
        <w:rPr>
          <w:rFonts w:hint="eastAsia" w:ascii="仿宋_GB2312" w:eastAsia="仿宋_GB2312"/>
          <w:sz w:val="30"/>
          <w:szCs w:val="30"/>
        </w:rPr>
        <w:t>扫尾工作清单</w:t>
      </w:r>
      <w:bookmarkEnd w:id="672"/>
    </w:p>
    <w:p w14:paraId="1C9C27F3">
      <w:pPr>
        <w:wordWrap/>
        <w:topLinePunct w:val="0"/>
        <w:spacing w:after="120"/>
        <w:ind w:firstLine="600"/>
        <w:rPr>
          <w:rFonts w:ascii="仿宋_GB2312" w:eastAsia="仿宋_GB2312"/>
          <w:sz w:val="30"/>
          <w:szCs w:val="30"/>
        </w:rPr>
      </w:pPr>
      <w:r>
        <w:rPr>
          <w:rFonts w:hint="eastAsia" w:ascii="仿宋_GB2312" w:eastAsia="仿宋_GB2312"/>
          <w:sz w:val="30"/>
          <w:szCs w:val="30"/>
        </w:rPr>
        <w:t>经双方协商，部分工作在工程竣工验收后进行的，承包人应当编制扫尾工作清单，扫尾工作清单中应当列明承包人应当完成的扫尾工作的内容及完成时间。</w:t>
      </w:r>
    </w:p>
    <w:p w14:paraId="4549FA81">
      <w:pPr>
        <w:wordWrap/>
        <w:topLinePunct w:val="0"/>
        <w:spacing w:after="120"/>
        <w:ind w:firstLine="600"/>
        <w:rPr>
          <w:rFonts w:ascii="仿宋_GB2312" w:eastAsia="仿宋_GB2312"/>
          <w:sz w:val="30"/>
          <w:szCs w:val="30"/>
        </w:rPr>
      </w:pPr>
      <w:r>
        <w:rPr>
          <w:rFonts w:hint="eastAsia" w:ascii="仿宋_GB2312" w:eastAsia="仿宋_GB2312"/>
          <w:sz w:val="30"/>
          <w:szCs w:val="30"/>
        </w:rPr>
        <w:t>承包人完成扫尾工作清单中的内容应取得的费用包含在第</w:t>
      </w:r>
      <w:r>
        <w:rPr>
          <w:rFonts w:ascii="仿宋_GB2312" w:eastAsia="仿宋_GB2312"/>
          <w:sz w:val="30"/>
          <w:szCs w:val="30"/>
        </w:rPr>
        <w:t>14.5.1</w:t>
      </w:r>
      <w:r>
        <w:rPr>
          <w:rFonts w:hint="eastAsia" w:ascii="仿宋_GB2312" w:eastAsia="仿宋_GB2312"/>
          <w:sz w:val="30"/>
          <w:szCs w:val="30"/>
        </w:rPr>
        <w:t>项[</w:t>
      </w:r>
      <w:r>
        <w:rPr>
          <w:rFonts w:ascii="仿宋_GB2312" w:eastAsia="仿宋_GB2312"/>
          <w:sz w:val="30"/>
          <w:szCs w:val="30"/>
        </w:rPr>
        <w:t>竣工结算申请</w:t>
      </w:r>
      <w:r>
        <w:rPr>
          <w:rFonts w:hint="eastAsia" w:ascii="仿宋_GB2312" w:eastAsia="仿宋_GB2312"/>
          <w:sz w:val="30"/>
          <w:szCs w:val="30"/>
        </w:rPr>
        <w:t>]及第</w:t>
      </w:r>
      <w:r>
        <w:rPr>
          <w:rFonts w:ascii="仿宋_GB2312" w:eastAsia="仿宋_GB2312"/>
          <w:sz w:val="30"/>
          <w:szCs w:val="30"/>
        </w:rPr>
        <w:t>14.5.2</w:t>
      </w:r>
      <w:r>
        <w:rPr>
          <w:rFonts w:hint="eastAsia" w:ascii="仿宋_GB2312" w:eastAsia="仿宋_GB2312"/>
          <w:sz w:val="30"/>
          <w:szCs w:val="30"/>
        </w:rPr>
        <w:t>项[竣工结算审核]中一并结算。</w:t>
      </w:r>
    </w:p>
    <w:p w14:paraId="42C1C7A4">
      <w:pPr>
        <w:wordWrap/>
        <w:topLinePunct w:val="0"/>
        <w:spacing w:after="120"/>
        <w:ind w:firstLine="600"/>
        <w:rPr>
          <w:rFonts w:ascii="仿宋_GB2312" w:eastAsia="仿宋_GB2312"/>
          <w:sz w:val="30"/>
          <w:szCs w:val="30"/>
        </w:rPr>
      </w:pPr>
      <w:r>
        <w:rPr>
          <w:rFonts w:hint="eastAsia" w:ascii="仿宋_GB2312" w:eastAsia="仿宋_GB2312"/>
          <w:sz w:val="30"/>
          <w:szCs w:val="30"/>
        </w:rPr>
        <w:t>扫尾工作的缺陷责任期按第</w:t>
      </w:r>
      <w:r>
        <w:rPr>
          <w:rFonts w:ascii="仿宋_GB2312" w:eastAsia="仿宋_GB2312"/>
          <w:sz w:val="30"/>
          <w:szCs w:val="30"/>
        </w:rPr>
        <w:t>11条</w:t>
      </w:r>
      <w:r>
        <w:rPr>
          <w:rFonts w:hint="eastAsia" w:ascii="仿宋_GB2312" w:eastAsia="仿宋_GB2312"/>
          <w:sz w:val="30"/>
          <w:szCs w:val="30"/>
        </w:rPr>
        <w:t>[缺陷责任与</w:t>
      </w:r>
      <w:r>
        <w:rPr>
          <w:rFonts w:ascii="仿宋_GB2312" w:eastAsia="仿宋_GB2312"/>
          <w:sz w:val="30"/>
          <w:szCs w:val="30"/>
        </w:rPr>
        <w:t>保</w:t>
      </w:r>
      <w:r>
        <w:rPr>
          <w:rFonts w:hint="eastAsia" w:ascii="仿宋_GB2312" w:eastAsia="仿宋_GB2312"/>
          <w:sz w:val="30"/>
          <w:szCs w:val="30"/>
        </w:rPr>
        <w:t>修]处理。承包人未能按照扫尾工作清单约定的完成时间完成扫尾工作的，视为承包人原因导致的工程质量缺陷按照第</w:t>
      </w:r>
      <w:r>
        <w:rPr>
          <w:rFonts w:ascii="仿宋_GB2312" w:eastAsia="仿宋_GB2312"/>
          <w:sz w:val="30"/>
          <w:szCs w:val="30"/>
        </w:rPr>
        <w:t>11.3</w:t>
      </w:r>
      <w:r>
        <w:rPr>
          <w:rFonts w:hint="eastAsia" w:ascii="仿宋_GB2312" w:eastAsia="仿宋_GB2312"/>
          <w:sz w:val="30"/>
          <w:szCs w:val="30"/>
        </w:rPr>
        <w:t>款[缺陷调查]处理。</w:t>
      </w:r>
    </w:p>
    <w:p w14:paraId="3702D081">
      <w:pPr>
        <w:spacing w:after="120"/>
        <w:ind w:firstLine="600"/>
        <w:rPr>
          <w:rFonts w:ascii="仿宋_GB2312" w:eastAsia="仿宋_GB2312"/>
          <w:sz w:val="30"/>
          <w:szCs w:val="30"/>
        </w:rPr>
      </w:pPr>
      <w:bookmarkStart w:id="673" w:name="_Ref4617582"/>
      <w:bookmarkStart w:id="674" w:name="_Ref4617592"/>
      <w:bookmarkStart w:id="675" w:name="_Ref4571127"/>
      <w:bookmarkStart w:id="676" w:name="_Toc54862297"/>
      <w:bookmarkStart w:id="677" w:name="_Ref4582115"/>
      <w:bookmarkStart w:id="678" w:name="_Ref4571100"/>
      <w:bookmarkStart w:id="679" w:name="_Ref15395020"/>
      <w:bookmarkStart w:id="680" w:name="_Hlk15394931"/>
      <w:r>
        <w:rPr>
          <w:rFonts w:hint="eastAsia" w:ascii="仿宋_GB2312" w:eastAsia="仿宋_GB2312"/>
          <w:sz w:val="30"/>
          <w:szCs w:val="30"/>
        </w:rPr>
        <w:t>14.6 质量保证金</w:t>
      </w:r>
      <w:bookmarkEnd w:id="663"/>
      <w:bookmarkEnd w:id="664"/>
      <w:bookmarkEnd w:id="673"/>
      <w:bookmarkEnd w:id="674"/>
      <w:bookmarkEnd w:id="675"/>
      <w:bookmarkEnd w:id="676"/>
      <w:bookmarkEnd w:id="677"/>
      <w:bookmarkEnd w:id="678"/>
      <w:bookmarkEnd w:id="679"/>
    </w:p>
    <w:p w14:paraId="02825F29">
      <w:pPr>
        <w:wordWrap/>
        <w:topLinePunct w:val="0"/>
        <w:spacing w:after="120"/>
        <w:ind w:firstLine="600"/>
        <w:rPr>
          <w:rFonts w:ascii="仿宋_GB2312" w:eastAsia="仿宋_GB2312"/>
          <w:sz w:val="30"/>
          <w:szCs w:val="30"/>
        </w:rPr>
      </w:pPr>
      <w:r>
        <w:rPr>
          <w:rFonts w:hint="eastAsia" w:ascii="仿宋_GB2312" w:eastAsia="仿宋_GB2312"/>
          <w:sz w:val="30"/>
          <w:szCs w:val="30"/>
        </w:rPr>
        <w:t>经合同当事人协商一致提供质量保证金的，应在专用合同条件中予以明确。在工程项目竣工前，承包人已经提供履约担保的，发包人不得同时要求承包人提供质量保证金。</w:t>
      </w:r>
    </w:p>
    <w:bookmarkEnd w:id="680"/>
    <w:p w14:paraId="63212EF7">
      <w:pPr>
        <w:spacing w:after="120"/>
        <w:ind w:firstLine="600"/>
        <w:rPr>
          <w:rFonts w:ascii="仿宋_GB2312" w:eastAsia="仿宋_GB2312"/>
          <w:sz w:val="30"/>
          <w:szCs w:val="30"/>
        </w:rPr>
      </w:pPr>
      <w:bookmarkStart w:id="681" w:name="_Ref531955069"/>
      <w:bookmarkStart w:id="682" w:name="_Ref531957153"/>
      <w:r>
        <w:rPr>
          <w:rFonts w:hint="eastAsia" w:ascii="仿宋_GB2312" w:eastAsia="仿宋_GB2312"/>
          <w:sz w:val="30"/>
          <w:szCs w:val="30"/>
        </w:rPr>
        <w:t>1</w:t>
      </w:r>
      <w:r>
        <w:rPr>
          <w:rFonts w:ascii="仿宋_GB2312" w:eastAsia="仿宋_GB2312"/>
          <w:sz w:val="30"/>
          <w:szCs w:val="30"/>
        </w:rPr>
        <w:t xml:space="preserve">4.6.1 </w:t>
      </w:r>
      <w:r>
        <w:rPr>
          <w:rFonts w:hint="eastAsia" w:ascii="仿宋_GB2312" w:eastAsia="仿宋_GB2312"/>
          <w:sz w:val="30"/>
          <w:szCs w:val="30"/>
        </w:rPr>
        <w:t>承包人提供质量保证金的方式</w:t>
      </w:r>
      <w:bookmarkEnd w:id="681"/>
    </w:p>
    <w:p w14:paraId="22215050">
      <w:pPr>
        <w:wordWrap/>
        <w:topLinePunct w:val="0"/>
        <w:spacing w:after="120"/>
        <w:ind w:firstLine="600"/>
        <w:rPr>
          <w:rFonts w:ascii="仿宋_GB2312" w:eastAsia="仿宋_GB2312"/>
          <w:sz w:val="30"/>
          <w:szCs w:val="30"/>
        </w:rPr>
      </w:pPr>
      <w:r>
        <w:rPr>
          <w:rFonts w:hint="eastAsia" w:ascii="仿宋_GB2312" w:eastAsia="仿宋_GB2312"/>
          <w:sz w:val="30"/>
          <w:szCs w:val="30"/>
        </w:rPr>
        <w:t>承包人提供质量保证金有以下三种方式：</w:t>
      </w:r>
    </w:p>
    <w:p w14:paraId="49AD505D">
      <w:pPr>
        <w:wordWrap/>
        <w:topLinePunct w:val="0"/>
        <w:spacing w:after="120"/>
        <w:ind w:firstLine="600"/>
        <w:rPr>
          <w:rFonts w:ascii="仿宋_GB2312" w:eastAsia="仿宋_GB2312"/>
          <w:sz w:val="30"/>
          <w:szCs w:val="30"/>
        </w:rPr>
      </w:pPr>
      <w:bookmarkStart w:id="683" w:name="_Ref531955096"/>
      <w:r>
        <w:rPr>
          <w:rFonts w:hint="eastAsia" w:ascii="仿宋_GB2312" w:eastAsia="仿宋_GB2312"/>
          <w:sz w:val="30"/>
          <w:szCs w:val="30"/>
        </w:rPr>
        <w:t>（1） 提交工程质量保证担保；</w:t>
      </w:r>
      <w:bookmarkEnd w:id="683"/>
    </w:p>
    <w:p w14:paraId="21ABB4B9">
      <w:pPr>
        <w:wordWrap/>
        <w:topLinePunct w:val="0"/>
        <w:spacing w:after="120"/>
        <w:ind w:firstLine="600"/>
        <w:rPr>
          <w:rFonts w:ascii="仿宋_GB2312" w:eastAsia="仿宋_GB2312"/>
          <w:sz w:val="30"/>
          <w:szCs w:val="30"/>
        </w:rPr>
      </w:pPr>
      <w:bookmarkStart w:id="684" w:name="_Ref531955107"/>
      <w:r>
        <w:rPr>
          <w:rFonts w:hint="eastAsia" w:ascii="仿宋_GB2312" w:eastAsia="仿宋_GB2312"/>
          <w:sz w:val="30"/>
          <w:szCs w:val="30"/>
        </w:rPr>
        <w:t>（2） 预留相应比例的工程款；</w:t>
      </w:r>
      <w:bookmarkEnd w:id="684"/>
    </w:p>
    <w:p w14:paraId="33F85CFD">
      <w:pPr>
        <w:wordWrap/>
        <w:topLinePunct w:val="0"/>
        <w:spacing w:after="120"/>
        <w:ind w:firstLine="600"/>
        <w:rPr>
          <w:rFonts w:ascii="仿宋_GB2312" w:eastAsia="仿宋_GB2312"/>
          <w:sz w:val="30"/>
          <w:szCs w:val="30"/>
        </w:rPr>
      </w:pPr>
      <w:bookmarkStart w:id="685" w:name="_Ref531955117"/>
      <w:r>
        <w:rPr>
          <w:rFonts w:hint="eastAsia" w:ascii="仿宋_GB2312" w:eastAsia="仿宋_GB2312"/>
          <w:sz w:val="30"/>
          <w:szCs w:val="30"/>
        </w:rPr>
        <w:t>（3） 双方约定的其他方式。</w:t>
      </w:r>
      <w:bookmarkEnd w:id="685"/>
    </w:p>
    <w:p w14:paraId="03BBE2BA">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41EE849C">
      <w:pPr>
        <w:spacing w:after="120"/>
        <w:ind w:firstLine="600"/>
        <w:rPr>
          <w:rFonts w:ascii="仿宋_GB2312" w:eastAsia="仿宋_GB2312"/>
          <w:sz w:val="30"/>
          <w:szCs w:val="30"/>
        </w:rPr>
      </w:pPr>
      <w:bookmarkStart w:id="686" w:name="_Ref18931667"/>
      <w:bookmarkStart w:id="687" w:name="_Ref15419738"/>
      <w:r>
        <w:rPr>
          <w:rFonts w:hint="eastAsia" w:ascii="仿宋_GB2312" w:eastAsia="仿宋_GB2312"/>
          <w:sz w:val="30"/>
          <w:szCs w:val="30"/>
        </w:rPr>
        <w:t>1</w:t>
      </w:r>
      <w:r>
        <w:rPr>
          <w:rFonts w:ascii="仿宋_GB2312" w:eastAsia="仿宋_GB2312"/>
          <w:sz w:val="30"/>
          <w:szCs w:val="30"/>
        </w:rPr>
        <w:t xml:space="preserve">4.6.2 </w:t>
      </w:r>
      <w:r>
        <w:rPr>
          <w:rFonts w:hint="eastAsia" w:ascii="仿宋_GB2312" w:eastAsia="仿宋_GB2312"/>
          <w:sz w:val="30"/>
          <w:szCs w:val="30"/>
        </w:rPr>
        <w:t>质量保证金的预留</w:t>
      </w:r>
      <w:bookmarkEnd w:id="686"/>
      <w:bookmarkEnd w:id="687"/>
    </w:p>
    <w:p w14:paraId="44B4A50D">
      <w:pPr>
        <w:wordWrap/>
        <w:topLinePunct w:val="0"/>
        <w:spacing w:after="120"/>
        <w:ind w:firstLine="600"/>
        <w:rPr>
          <w:rFonts w:ascii="仿宋_GB2312" w:eastAsia="仿宋_GB2312"/>
          <w:sz w:val="30"/>
          <w:szCs w:val="30"/>
        </w:rPr>
      </w:pPr>
      <w:r>
        <w:rPr>
          <w:rFonts w:hint="eastAsia" w:ascii="仿宋_GB2312" w:eastAsia="仿宋_GB2312"/>
          <w:sz w:val="30"/>
          <w:szCs w:val="30"/>
        </w:rPr>
        <w:t>双方约定采用预留相应比例的工程款方式提供质量保证金的，质量保证金的预留有以下三种方式：</w:t>
      </w:r>
    </w:p>
    <w:p w14:paraId="37B4169A">
      <w:pPr>
        <w:wordWrap/>
        <w:topLinePunct w:val="0"/>
        <w:spacing w:after="120"/>
        <w:ind w:firstLine="600"/>
        <w:rPr>
          <w:rFonts w:ascii="仿宋_GB2312" w:eastAsia="仿宋_GB2312"/>
          <w:sz w:val="30"/>
          <w:szCs w:val="30"/>
        </w:rPr>
      </w:pPr>
      <w:bookmarkStart w:id="688" w:name="_Hlk18840714"/>
      <w:bookmarkStart w:id="689" w:name="_Ref531955143"/>
      <w:r>
        <w:rPr>
          <w:rFonts w:hint="eastAsia" w:ascii="仿宋_GB2312" w:eastAsia="仿宋_GB2312"/>
          <w:sz w:val="30"/>
          <w:szCs w:val="30"/>
        </w:rPr>
        <w:t>（1） 按专用合同条件的约定在支付工程进度款时逐次预留，直至预留的质量保证金总额达到专用合同条件约定的金额或比例为止</w:t>
      </w:r>
      <w:bookmarkEnd w:id="688"/>
      <w:r>
        <w:rPr>
          <w:rFonts w:hint="eastAsia" w:ascii="仿宋_GB2312" w:eastAsia="仿宋_GB2312"/>
          <w:sz w:val="30"/>
          <w:szCs w:val="30"/>
        </w:rPr>
        <w:t>。在此情形下，质量保证金的计算基数不包括预付款的支付、扣回以及价格调整的金额；</w:t>
      </w:r>
      <w:bookmarkEnd w:id="689"/>
    </w:p>
    <w:p w14:paraId="1182EF37">
      <w:pPr>
        <w:wordWrap/>
        <w:topLinePunct w:val="0"/>
        <w:spacing w:after="120"/>
        <w:ind w:firstLine="600"/>
        <w:rPr>
          <w:rFonts w:ascii="仿宋_GB2312" w:eastAsia="仿宋_GB2312"/>
          <w:sz w:val="30"/>
          <w:szCs w:val="30"/>
        </w:rPr>
      </w:pPr>
      <w:bookmarkStart w:id="690" w:name="_Ref531955151"/>
      <w:r>
        <w:rPr>
          <w:rFonts w:hint="eastAsia" w:ascii="仿宋_GB2312" w:eastAsia="仿宋_GB2312"/>
          <w:sz w:val="30"/>
          <w:szCs w:val="30"/>
        </w:rPr>
        <w:t>（2） 工程竣工结算时一次性预留质量保证金；</w:t>
      </w:r>
      <w:bookmarkEnd w:id="690"/>
    </w:p>
    <w:p w14:paraId="0B439063">
      <w:pPr>
        <w:wordWrap/>
        <w:topLinePunct w:val="0"/>
        <w:spacing w:after="120"/>
        <w:ind w:firstLine="600"/>
        <w:rPr>
          <w:rFonts w:ascii="仿宋_GB2312" w:eastAsia="仿宋_GB2312"/>
          <w:sz w:val="30"/>
          <w:szCs w:val="30"/>
        </w:rPr>
      </w:pPr>
      <w:bookmarkStart w:id="691" w:name="_Ref531955161"/>
      <w:r>
        <w:rPr>
          <w:rFonts w:hint="eastAsia" w:ascii="仿宋_GB2312" w:eastAsia="仿宋_GB2312"/>
          <w:sz w:val="30"/>
          <w:szCs w:val="30"/>
        </w:rPr>
        <w:t>（3） 双方约定的其他预留方式。</w:t>
      </w:r>
      <w:bookmarkEnd w:id="691"/>
    </w:p>
    <w:p w14:paraId="08A8DA3D">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3C2D56FC">
      <w:pPr>
        <w:spacing w:after="120"/>
        <w:ind w:firstLine="600"/>
        <w:rPr>
          <w:rFonts w:ascii="仿宋_GB2312" w:eastAsia="仿宋_GB2312"/>
          <w:sz w:val="30"/>
          <w:szCs w:val="30"/>
        </w:rPr>
      </w:pPr>
      <w:bookmarkStart w:id="692" w:name="_Ref532690096"/>
      <w:bookmarkStart w:id="693" w:name="_Ref4571243"/>
      <w:r>
        <w:rPr>
          <w:rFonts w:hint="eastAsia" w:ascii="仿宋_GB2312" w:eastAsia="仿宋_GB2312"/>
          <w:sz w:val="30"/>
          <w:szCs w:val="30"/>
        </w:rPr>
        <w:t>1</w:t>
      </w:r>
      <w:r>
        <w:rPr>
          <w:rFonts w:ascii="仿宋_GB2312" w:eastAsia="仿宋_GB2312"/>
          <w:sz w:val="30"/>
          <w:szCs w:val="30"/>
        </w:rPr>
        <w:t xml:space="preserve">4.6.3 </w:t>
      </w:r>
      <w:r>
        <w:rPr>
          <w:rFonts w:hint="eastAsia" w:ascii="仿宋_GB2312" w:eastAsia="仿宋_GB2312"/>
          <w:sz w:val="30"/>
          <w:szCs w:val="30"/>
        </w:rPr>
        <w:t>质量保证金的</w:t>
      </w:r>
      <w:bookmarkEnd w:id="692"/>
      <w:r>
        <w:rPr>
          <w:rFonts w:hint="eastAsia" w:ascii="仿宋_GB2312" w:eastAsia="仿宋_GB2312"/>
          <w:sz w:val="30"/>
          <w:szCs w:val="30"/>
        </w:rPr>
        <w:t>返还</w:t>
      </w:r>
      <w:bookmarkEnd w:id="693"/>
    </w:p>
    <w:p w14:paraId="709EB2F9">
      <w:pPr>
        <w:wordWrap/>
        <w:topLinePunct w:val="0"/>
        <w:spacing w:after="120"/>
        <w:ind w:firstLine="600"/>
        <w:rPr>
          <w:rFonts w:ascii="仿宋_GB2312" w:eastAsia="仿宋_GB2312"/>
          <w:sz w:val="30"/>
          <w:szCs w:val="30"/>
        </w:rPr>
      </w:pPr>
      <w:r>
        <w:rPr>
          <w:rFonts w:hint="eastAsia" w:ascii="仿宋_GB2312" w:eastAsia="仿宋_GB2312"/>
          <w:sz w:val="30"/>
          <w:szCs w:val="30"/>
        </w:rPr>
        <w:t>缺陷责任期内，承包人认真履行合同约定的责任，缺陷责任期满，发包人根据第</w:t>
      </w:r>
      <w:r>
        <w:rPr>
          <w:rFonts w:ascii="仿宋_GB2312" w:eastAsia="仿宋_GB2312"/>
          <w:sz w:val="30"/>
          <w:szCs w:val="30"/>
        </w:rPr>
        <w:t>11.6</w:t>
      </w:r>
      <w:r>
        <w:rPr>
          <w:rFonts w:hint="eastAsia" w:ascii="仿宋_GB2312" w:eastAsia="仿宋_GB2312"/>
          <w:sz w:val="30"/>
          <w:szCs w:val="30"/>
        </w:rPr>
        <w:t>款[缺陷责任期终止证书]向承包人颁发缺陷责任期终止证书后，承包人可向发包人申请返还质量保证金。</w:t>
      </w:r>
    </w:p>
    <w:p w14:paraId="19E34A91">
      <w:pPr>
        <w:wordWrap/>
        <w:topLinePunct w:val="0"/>
        <w:spacing w:after="120"/>
        <w:ind w:firstLine="600"/>
        <w:rPr>
          <w:rFonts w:ascii="仿宋_GB2312" w:eastAsia="仿宋_GB2312"/>
          <w:sz w:val="30"/>
          <w:szCs w:val="30"/>
        </w:rPr>
      </w:pPr>
      <w:r>
        <w:rPr>
          <w:rFonts w:hint="eastAsia" w:ascii="仿宋_GB2312" w:eastAsia="仿宋_GB2312"/>
          <w:sz w:val="30"/>
          <w:szCs w:val="30"/>
        </w:rPr>
        <w:t>发包人在接到承包人返还质量保证金申请后，应于</w:t>
      </w:r>
      <w:r>
        <w:rPr>
          <w:rFonts w:ascii="仿宋_GB2312" w:eastAsia="仿宋_GB2312"/>
          <w:sz w:val="30"/>
          <w:szCs w:val="30"/>
        </w:rPr>
        <w:t>7</w:t>
      </w:r>
      <w:r>
        <w:rPr>
          <w:rFonts w:hint="eastAsia" w:ascii="仿宋_GB2312" w:eastAsia="仿宋_GB2312"/>
          <w:sz w:val="30"/>
          <w:szCs w:val="30"/>
        </w:rPr>
        <w:t>天内将质量保证金返还承包人，逾期未返还的，应承担违约责任。发包人在接到承包人返还质量保证金申请后</w:t>
      </w:r>
      <w:r>
        <w:rPr>
          <w:rFonts w:ascii="仿宋_GB2312" w:eastAsia="仿宋_GB2312"/>
          <w:sz w:val="30"/>
          <w:szCs w:val="30"/>
        </w:rPr>
        <w:t>7</w:t>
      </w:r>
      <w:r>
        <w:rPr>
          <w:rFonts w:hint="eastAsia" w:ascii="仿宋_GB2312" w:eastAsia="仿宋_GB2312"/>
          <w:sz w:val="30"/>
          <w:szCs w:val="30"/>
        </w:rPr>
        <w:t>天内不予答复，视同认可承包人的返还质量保证金申请。</w:t>
      </w:r>
    </w:p>
    <w:p w14:paraId="1822E2CF">
      <w:pPr>
        <w:wordWrap/>
        <w:topLinePunct w:val="0"/>
        <w:spacing w:after="120"/>
        <w:ind w:firstLine="600"/>
        <w:rPr>
          <w:rFonts w:ascii="仿宋_GB2312" w:eastAsia="仿宋_GB2312"/>
          <w:sz w:val="30"/>
          <w:szCs w:val="30"/>
        </w:rPr>
      </w:pPr>
      <w:r>
        <w:rPr>
          <w:rFonts w:hint="eastAsia" w:ascii="仿宋_GB2312" w:eastAsia="仿宋_GB2312"/>
          <w:sz w:val="30"/>
          <w:szCs w:val="30"/>
        </w:rPr>
        <w:t>发包人和承包人对质量保证金预留、返还以及工程维修质量、费用有争议的，按本合同第</w:t>
      </w:r>
      <w:r>
        <w:rPr>
          <w:rFonts w:ascii="仿宋_GB2312" w:eastAsia="仿宋_GB2312"/>
          <w:sz w:val="30"/>
          <w:szCs w:val="30"/>
        </w:rPr>
        <w:t>20条</w:t>
      </w:r>
      <w:r>
        <w:rPr>
          <w:rFonts w:hint="eastAsia" w:ascii="仿宋_GB2312" w:eastAsia="仿宋_GB2312"/>
          <w:sz w:val="30"/>
          <w:szCs w:val="30"/>
        </w:rPr>
        <w:t>[争议解决]约定的争议和纠纷解决程序处理。</w:t>
      </w:r>
    </w:p>
    <w:bookmarkEnd w:id="682"/>
    <w:p w14:paraId="2609EA86">
      <w:pPr>
        <w:spacing w:after="120"/>
        <w:ind w:firstLine="600"/>
        <w:rPr>
          <w:rFonts w:ascii="仿宋_GB2312" w:eastAsia="仿宋_GB2312"/>
          <w:sz w:val="30"/>
          <w:szCs w:val="30"/>
        </w:rPr>
      </w:pPr>
      <w:bookmarkStart w:id="694" w:name="_Toc54862298"/>
      <w:bookmarkStart w:id="695" w:name="_Ref531957339"/>
      <w:bookmarkStart w:id="696" w:name="_Ref531957341"/>
      <w:r>
        <w:rPr>
          <w:rFonts w:hint="eastAsia" w:ascii="仿宋_GB2312" w:eastAsia="仿宋_GB2312"/>
          <w:sz w:val="30"/>
          <w:szCs w:val="30"/>
        </w:rPr>
        <w:t>14.7 最终结清</w:t>
      </w:r>
      <w:bookmarkEnd w:id="694"/>
      <w:bookmarkEnd w:id="695"/>
      <w:bookmarkEnd w:id="696"/>
    </w:p>
    <w:p w14:paraId="3743840D">
      <w:pPr>
        <w:spacing w:after="120"/>
        <w:ind w:firstLine="600"/>
        <w:rPr>
          <w:rFonts w:ascii="仿宋_GB2312" w:eastAsia="仿宋_GB2312"/>
          <w:sz w:val="30"/>
          <w:szCs w:val="30"/>
        </w:rPr>
      </w:pPr>
      <w:bookmarkStart w:id="697" w:name="_Ref531957350"/>
      <w:r>
        <w:rPr>
          <w:rFonts w:hint="eastAsia" w:ascii="仿宋_GB2312" w:eastAsia="仿宋_GB2312"/>
          <w:sz w:val="30"/>
          <w:szCs w:val="30"/>
        </w:rPr>
        <w:t>1</w:t>
      </w:r>
      <w:r>
        <w:rPr>
          <w:rFonts w:ascii="仿宋_GB2312" w:eastAsia="仿宋_GB2312"/>
          <w:sz w:val="30"/>
          <w:szCs w:val="30"/>
        </w:rPr>
        <w:t xml:space="preserve">4.7.1 </w:t>
      </w:r>
      <w:r>
        <w:rPr>
          <w:rFonts w:hint="eastAsia" w:ascii="仿宋_GB2312" w:eastAsia="仿宋_GB2312"/>
          <w:sz w:val="30"/>
          <w:szCs w:val="30"/>
        </w:rPr>
        <w:t>最终结清申请</w:t>
      </w:r>
      <w:bookmarkEnd w:id="697"/>
      <w:r>
        <w:rPr>
          <w:rFonts w:hint="eastAsia" w:ascii="仿宋_GB2312" w:eastAsia="仿宋_GB2312"/>
          <w:sz w:val="30"/>
          <w:szCs w:val="30"/>
        </w:rPr>
        <w:t>单</w:t>
      </w:r>
    </w:p>
    <w:p w14:paraId="640ED600">
      <w:pPr>
        <w:wordWrap/>
        <w:topLinePunct w:val="0"/>
        <w:spacing w:after="120"/>
        <w:ind w:firstLine="600"/>
        <w:rPr>
          <w:rFonts w:ascii="仿宋_GB2312" w:eastAsia="仿宋_GB2312"/>
          <w:sz w:val="30"/>
          <w:szCs w:val="30"/>
        </w:rPr>
      </w:pPr>
      <w:r>
        <w:rPr>
          <w:rFonts w:hint="eastAsia" w:ascii="仿宋_GB2312" w:eastAsia="仿宋_GB2312"/>
          <w:sz w:val="30"/>
          <w:szCs w:val="30"/>
        </w:rPr>
        <w:t>（1） 除专用合同条件另有约定外，承包人应在缺陷责任期终止证书颁发后7天内，按专用合同条件约定的份数向发包人提交最终结清申请单，并提供相关证明材料。</w:t>
      </w:r>
    </w:p>
    <w:p w14:paraId="14C767D1">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除专用合同条件另有约定外，最终结清申请单应列明质量保证金、应扣除的质量保证金、缺陷责任期内发生的增减费用。</w:t>
      </w:r>
    </w:p>
    <w:p w14:paraId="33585651">
      <w:pPr>
        <w:wordWrap/>
        <w:topLinePunct w:val="0"/>
        <w:spacing w:after="120"/>
        <w:ind w:firstLine="600"/>
        <w:rPr>
          <w:rFonts w:ascii="仿宋_GB2312" w:eastAsia="仿宋_GB2312"/>
          <w:sz w:val="30"/>
          <w:szCs w:val="30"/>
        </w:rPr>
      </w:pPr>
      <w:r>
        <w:rPr>
          <w:rFonts w:hint="eastAsia" w:ascii="仿宋_GB2312" w:eastAsia="仿宋_GB2312"/>
          <w:sz w:val="30"/>
          <w:szCs w:val="30"/>
        </w:rPr>
        <w:t>（2） 发包人对最终结清申请单内容有异议的，有权要求承包人进行修正和提供补充资料，承包人应向发包人提交修正后的最终结清申请单。</w:t>
      </w:r>
    </w:p>
    <w:p w14:paraId="1D3918B6">
      <w:pPr>
        <w:spacing w:after="120"/>
        <w:ind w:firstLine="600"/>
        <w:rPr>
          <w:rFonts w:ascii="仿宋_GB2312" w:eastAsia="仿宋_GB2312"/>
          <w:sz w:val="30"/>
          <w:szCs w:val="30"/>
        </w:rPr>
      </w:pPr>
      <w:bookmarkStart w:id="698" w:name="_Ref531957369"/>
      <w:bookmarkStart w:id="699" w:name="_Ref4624099"/>
      <w:r>
        <w:rPr>
          <w:rFonts w:hint="eastAsia" w:ascii="仿宋_GB2312" w:eastAsia="仿宋_GB2312"/>
          <w:sz w:val="30"/>
          <w:szCs w:val="30"/>
        </w:rPr>
        <w:t>1</w:t>
      </w:r>
      <w:r>
        <w:rPr>
          <w:rFonts w:ascii="仿宋_GB2312" w:eastAsia="仿宋_GB2312"/>
          <w:sz w:val="30"/>
          <w:szCs w:val="30"/>
        </w:rPr>
        <w:t xml:space="preserve">4.7.2 </w:t>
      </w:r>
      <w:r>
        <w:rPr>
          <w:rFonts w:hint="eastAsia" w:ascii="仿宋_GB2312" w:eastAsia="仿宋_GB2312"/>
          <w:sz w:val="30"/>
          <w:szCs w:val="30"/>
        </w:rPr>
        <w:t>最终结清证书</w:t>
      </w:r>
      <w:bookmarkEnd w:id="698"/>
      <w:r>
        <w:rPr>
          <w:rFonts w:hint="eastAsia" w:ascii="仿宋_GB2312" w:eastAsia="仿宋_GB2312"/>
          <w:sz w:val="30"/>
          <w:szCs w:val="30"/>
        </w:rPr>
        <w:t>和支付</w:t>
      </w:r>
      <w:bookmarkEnd w:id="699"/>
    </w:p>
    <w:p w14:paraId="0AAF7DA1">
      <w:pPr>
        <w:wordWrap/>
        <w:topLinePunct w:val="0"/>
        <w:spacing w:after="120"/>
        <w:ind w:firstLine="600"/>
        <w:rPr>
          <w:rFonts w:ascii="仿宋_GB2312" w:eastAsia="仿宋_GB2312"/>
          <w:sz w:val="30"/>
          <w:szCs w:val="30"/>
        </w:rPr>
      </w:pPr>
      <w:r>
        <w:rPr>
          <w:rFonts w:hint="eastAsia" w:ascii="仿宋_GB2312" w:eastAsia="仿宋_GB2312"/>
          <w:sz w:val="30"/>
          <w:szCs w:val="30"/>
        </w:rPr>
        <w:t>（1） 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077C41E4">
      <w:pPr>
        <w:wordWrap/>
        <w:topLinePunct w:val="0"/>
        <w:spacing w:after="120"/>
        <w:ind w:firstLine="600"/>
        <w:rPr>
          <w:rFonts w:ascii="仿宋_GB2312" w:eastAsia="仿宋_GB2312"/>
          <w:sz w:val="30"/>
          <w:szCs w:val="30"/>
        </w:rPr>
      </w:pPr>
      <w:r>
        <w:rPr>
          <w:rFonts w:hint="eastAsia" w:ascii="仿宋_GB2312" w:eastAsia="仿宋_GB2312"/>
          <w:sz w:val="30"/>
          <w:szCs w:val="30"/>
        </w:rPr>
        <w:t>（2） 除专用合同条件另有约定外，发包人应在颁发最终结清证书后7天内完成支付。发包人逾期支付的，按照贷款市场报价利率（LPR）支付利息；逾期支付超过56天的，按照贷款市场报价利率（LPR）的两倍支付利息。</w:t>
      </w:r>
    </w:p>
    <w:p w14:paraId="0AA5B6FF">
      <w:pPr>
        <w:wordWrap/>
        <w:topLinePunct w:val="0"/>
        <w:spacing w:after="120"/>
        <w:ind w:firstLine="600"/>
        <w:rPr>
          <w:rFonts w:ascii="仿宋_GB2312" w:eastAsia="仿宋_GB2312"/>
          <w:sz w:val="30"/>
          <w:szCs w:val="30"/>
        </w:rPr>
      </w:pPr>
      <w:r>
        <w:rPr>
          <w:rFonts w:hint="eastAsia" w:ascii="仿宋_GB2312" w:eastAsia="仿宋_GB2312"/>
          <w:sz w:val="30"/>
          <w:szCs w:val="30"/>
        </w:rPr>
        <w:t>（3） 承包人对发包人颁发的最终结清证书有异议的，按第</w:t>
      </w:r>
      <w:r>
        <w:rPr>
          <w:rFonts w:ascii="仿宋_GB2312" w:eastAsia="仿宋_GB2312"/>
          <w:sz w:val="30"/>
          <w:szCs w:val="30"/>
        </w:rPr>
        <w:t>20条</w:t>
      </w:r>
      <w:r>
        <w:rPr>
          <w:rFonts w:hint="eastAsia" w:ascii="仿宋_GB2312" w:eastAsia="仿宋_GB2312"/>
          <w:sz w:val="30"/>
          <w:szCs w:val="30"/>
        </w:rPr>
        <w:t>[争议解决]的约定办理。</w:t>
      </w:r>
    </w:p>
    <w:p w14:paraId="192F50B3">
      <w:pPr>
        <w:spacing w:after="120"/>
        <w:ind w:firstLine="0" w:firstLineChars="0"/>
        <w:jc w:val="left"/>
        <w:rPr>
          <w:rFonts w:ascii="仿宋_GB2312" w:eastAsia="仿宋_GB2312"/>
          <w:sz w:val="32"/>
          <w:szCs w:val="32"/>
        </w:rPr>
      </w:pPr>
      <w:bookmarkStart w:id="700" w:name="_Ref11920396"/>
      <w:bookmarkStart w:id="701" w:name="_Toc54862299"/>
      <w:bookmarkStart w:id="702" w:name="_Toc26000"/>
      <w:bookmarkStart w:id="703" w:name="_Toc32469"/>
      <w:bookmarkStart w:id="704" w:name="_Toc6427"/>
      <w:bookmarkStart w:id="705" w:name="_Ref11874957"/>
      <w:bookmarkStart w:id="706" w:name="_Ref11920407"/>
      <w:r>
        <w:rPr>
          <w:rFonts w:hint="eastAsia" w:ascii="仿宋_GB2312" w:eastAsia="仿宋_GB2312"/>
          <w:sz w:val="32"/>
          <w:szCs w:val="32"/>
        </w:rPr>
        <w:t>第15条 违约</w:t>
      </w:r>
      <w:bookmarkEnd w:id="549"/>
      <w:bookmarkEnd w:id="556"/>
      <w:bookmarkEnd w:id="557"/>
      <w:bookmarkEnd w:id="700"/>
      <w:bookmarkEnd w:id="701"/>
      <w:bookmarkEnd w:id="702"/>
      <w:bookmarkEnd w:id="703"/>
      <w:bookmarkEnd w:id="704"/>
      <w:bookmarkEnd w:id="705"/>
      <w:bookmarkEnd w:id="706"/>
    </w:p>
    <w:p w14:paraId="55A3F421">
      <w:pPr>
        <w:spacing w:after="120"/>
        <w:ind w:firstLine="600"/>
        <w:rPr>
          <w:rFonts w:ascii="仿宋_GB2312" w:eastAsia="仿宋_GB2312"/>
          <w:sz w:val="30"/>
          <w:szCs w:val="30"/>
        </w:rPr>
      </w:pPr>
      <w:bookmarkStart w:id="707" w:name="_Ref4534376"/>
      <w:bookmarkStart w:id="708" w:name="_Toc54862300"/>
      <w:bookmarkStart w:id="709" w:name="_Ref4534384"/>
      <w:bookmarkStart w:id="710" w:name="_Ref4534399"/>
      <w:bookmarkStart w:id="711" w:name="_Ref4534411"/>
      <w:r>
        <w:rPr>
          <w:rFonts w:hint="eastAsia" w:ascii="仿宋_GB2312" w:eastAsia="仿宋_GB2312"/>
          <w:sz w:val="30"/>
          <w:szCs w:val="30"/>
        </w:rPr>
        <w:t>15.1 发包人违约</w:t>
      </w:r>
      <w:bookmarkEnd w:id="707"/>
      <w:bookmarkEnd w:id="708"/>
      <w:bookmarkEnd w:id="709"/>
      <w:bookmarkEnd w:id="710"/>
      <w:bookmarkEnd w:id="711"/>
    </w:p>
    <w:p w14:paraId="45503912">
      <w:pPr>
        <w:spacing w:after="120"/>
        <w:ind w:firstLine="600"/>
        <w:rPr>
          <w:rFonts w:ascii="仿宋_GB2312" w:eastAsia="仿宋_GB2312"/>
          <w:sz w:val="30"/>
          <w:szCs w:val="30"/>
        </w:rPr>
      </w:pPr>
      <w:bookmarkStart w:id="712" w:name="_Ref3841087"/>
      <w:r>
        <w:rPr>
          <w:rFonts w:hint="eastAsia" w:ascii="仿宋_GB2312" w:eastAsia="仿宋_GB2312"/>
          <w:sz w:val="30"/>
          <w:szCs w:val="30"/>
        </w:rPr>
        <w:t>1</w:t>
      </w:r>
      <w:r>
        <w:rPr>
          <w:rFonts w:ascii="仿宋_GB2312" w:eastAsia="仿宋_GB2312"/>
          <w:sz w:val="30"/>
          <w:szCs w:val="30"/>
        </w:rPr>
        <w:t xml:space="preserve">5.1.1 </w:t>
      </w:r>
      <w:r>
        <w:rPr>
          <w:rFonts w:hint="eastAsia" w:ascii="仿宋_GB2312" w:eastAsia="仿宋_GB2312"/>
          <w:sz w:val="30"/>
          <w:szCs w:val="30"/>
        </w:rPr>
        <w:t>发包人违约的情形</w:t>
      </w:r>
      <w:bookmarkEnd w:id="712"/>
    </w:p>
    <w:p w14:paraId="79FE64AD">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除专用合同条件另有约定外，在合同履行过程中发生的下列情形，属于发包人违约：</w:t>
      </w:r>
    </w:p>
    <w:p w14:paraId="7FA31558">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（1） 因发包人原因导致开始工作日期延误的； </w:t>
      </w:r>
    </w:p>
    <w:p w14:paraId="0331E827">
      <w:pPr>
        <w:wordWrap/>
        <w:topLinePunct w:val="0"/>
        <w:spacing w:after="120"/>
        <w:ind w:firstLine="600"/>
        <w:rPr>
          <w:rFonts w:ascii="仿宋_GB2312" w:eastAsia="仿宋_GB2312"/>
          <w:sz w:val="30"/>
          <w:szCs w:val="30"/>
        </w:rPr>
      </w:pPr>
      <w:r>
        <w:rPr>
          <w:rFonts w:hint="eastAsia" w:ascii="仿宋_GB2312" w:eastAsia="仿宋_GB2312"/>
          <w:sz w:val="30"/>
          <w:szCs w:val="30"/>
        </w:rPr>
        <w:t>（2） 因发包人原因未能按合同约定支付合同价款的；</w:t>
      </w:r>
    </w:p>
    <w:p w14:paraId="5FD743CC">
      <w:pPr>
        <w:wordWrap/>
        <w:topLinePunct w:val="0"/>
        <w:spacing w:after="120"/>
        <w:ind w:firstLine="600"/>
        <w:rPr>
          <w:rFonts w:ascii="仿宋_GB2312" w:eastAsia="仿宋_GB2312"/>
          <w:sz w:val="30"/>
          <w:szCs w:val="30"/>
        </w:rPr>
      </w:pPr>
      <w:r>
        <w:rPr>
          <w:rFonts w:hint="eastAsia" w:ascii="仿宋_GB2312" w:eastAsia="仿宋_GB2312"/>
          <w:sz w:val="30"/>
          <w:szCs w:val="30"/>
        </w:rPr>
        <w:t>（3） 发包人违反第</w:t>
      </w:r>
      <w:r>
        <w:rPr>
          <w:rFonts w:ascii="仿宋_GB2312" w:eastAsia="仿宋_GB2312"/>
          <w:sz w:val="30"/>
          <w:szCs w:val="30"/>
        </w:rPr>
        <w:t>13.1.1</w:t>
      </w:r>
      <w:r>
        <w:rPr>
          <w:rFonts w:hint="eastAsia" w:ascii="仿宋_GB2312" w:eastAsia="仿宋_GB2312"/>
          <w:sz w:val="30"/>
          <w:szCs w:val="30"/>
        </w:rPr>
        <w:t>项约定，自行实施被取消的工作或转由他人实施的；</w:t>
      </w:r>
    </w:p>
    <w:p w14:paraId="191E177F">
      <w:pPr>
        <w:wordWrap/>
        <w:topLinePunct w:val="0"/>
        <w:spacing w:after="120"/>
        <w:ind w:firstLine="600"/>
        <w:rPr>
          <w:rFonts w:ascii="仿宋_GB2312" w:eastAsia="仿宋_GB2312"/>
          <w:sz w:val="30"/>
          <w:szCs w:val="30"/>
        </w:rPr>
      </w:pPr>
      <w:r>
        <w:rPr>
          <w:rFonts w:hint="eastAsia" w:ascii="仿宋_GB2312" w:eastAsia="仿宋_GB2312"/>
          <w:sz w:val="30"/>
          <w:szCs w:val="30"/>
        </w:rPr>
        <w:t>（4） 因发包人违反合同约定造成工程暂停施工的；</w:t>
      </w:r>
    </w:p>
    <w:p w14:paraId="4FD0AE5C">
      <w:pPr>
        <w:wordWrap/>
        <w:topLinePunct w:val="0"/>
        <w:spacing w:after="120"/>
        <w:ind w:firstLine="600"/>
        <w:rPr>
          <w:rFonts w:ascii="仿宋_GB2312" w:eastAsia="仿宋_GB2312"/>
          <w:sz w:val="30"/>
          <w:szCs w:val="30"/>
        </w:rPr>
      </w:pPr>
      <w:r>
        <w:rPr>
          <w:rFonts w:hint="eastAsia" w:ascii="仿宋_GB2312" w:eastAsia="仿宋_GB2312"/>
          <w:sz w:val="30"/>
          <w:szCs w:val="30"/>
        </w:rPr>
        <w:t>（5） 工程师无正当理由没有在约定期限内发出复工指示，导致承包人无法复工的；</w:t>
      </w:r>
    </w:p>
    <w:p w14:paraId="19C89C6D">
      <w:pPr>
        <w:wordWrap/>
        <w:topLinePunct w:val="0"/>
        <w:spacing w:after="120"/>
        <w:ind w:firstLine="600"/>
        <w:rPr>
          <w:rFonts w:ascii="仿宋_GB2312" w:eastAsia="仿宋_GB2312"/>
          <w:sz w:val="30"/>
          <w:szCs w:val="30"/>
        </w:rPr>
      </w:pPr>
      <w:r>
        <w:rPr>
          <w:rFonts w:hint="eastAsia" w:ascii="仿宋_GB2312" w:eastAsia="仿宋_GB2312"/>
          <w:sz w:val="30"/>
          <w:szCs w:val="30"/>
        </w:rPr>
        <w:t>（6） 发包人明确表示或者以其行为表明不履行合同主要义务的；</w:t>
      </w:r>
    </w:p>
    <w:p w14:paraId="1D90F0AF">
      <w:pPr>
        <w:wordWrap/>
        <w:topLinePunct w:val="0"/>
        <w:spacing w:after="120"/>
        <w:ind w:firstLine="600"/>
        <w:rPr>
          <w:rFonts w:ascii="仿宋_GB2312" w:eastAsia="仿宋_GB2312"/>
          <w:sz w:val="30"/>
          <w:szCs w:val="30"/>
        </w:rPr>
      </w:pPr>
      <w:r>
        <w:rPr>
          <w:rFonts w:hint="eastAsia" w:ascii="仿宋_GB2312" w:eastAsia="仿宋_GB2312"/>
          <w:sz w:val="30"/>
          <w:szCs w:val="30"/>
        </w:rPr>
        <w:t>（7） 发包人未能按照合同约定履行其他义务的。</w:t>
      </w:r>
    </w:p>
    <w:p w14:paraId="07C5D916">
      <w:pPr>
        <w:spacing w:after="120"/>
        <w:ind w:firstLine="600"/>
        <w:rPr>
          <w:rFonts w:ascii="仿宋_GB2312" w:eastAsia="仿宋_GB2312"/>
          <w:sz w:val="30"/>
          <w:szCs w:val="30"/>
        </w:rPr>
      </w:pPr>
      <w:bookmarkStart w:id="713" w:name="_Ref4535692"/>
      <w:r>
        <w:rPr>
          <w:rFonts w:hint="eastAsia" w:ascii="仿宋_GB2312" w:eastAsia="仿宋_GB2312"/>
          <w:sz w:val="30"/>
          <w:szCs w:val="30"/>
        </w:rPr>
        <w:t>1</w:t>
      </w:r>
      <w:r>
        <w:rPr>
          <w:rFonts w:ascii="仿宋_GB2312" w:eastAsia="仿宋_GB2312"/>
          <w:sz w:val="30"/>
          <w:szCs w:val="30"/>
        </w:rPr>
        <w:t xml:space="preserve">5.1.2 </w:t>
      </w:r>
      <w:r>
        <w:rPr>
          <w:rFonts w:hint="eastAsia" w:ascii="仿宋_GB2312" w:eastAsia="仿宋_GB2312"/>
          <w:sz w:val="30"/>
          <w:szCs w:val="30"/>
        </w:rPr>
        <w:t>通知改正</w:t>
      </w:r>
      <w:bookmarkEnd w:id="713"/>
    </w:p>
    <w:p w14:paraId="552E7BBE">
      <w:pPr>
        <w:wordWrap/>
        <w:topLinePunct w:val="0"/>
        <w:spacing w:after="120"/>
        <w:ind w:firstLine="600"/>
        <w:rPr>
          <w:rFonts w:ascii="仿宋_GB2312" w:eastAsia="仿宋_GB2312"/>
          <w:sz w:val="30"/>
          <w:szCs w:val="30"/>
        </w:rPr>
      </w:pPr>
      <w:bookmarkStart w:id="714" w:name="_Hlk16248297"/>
      <w:r>
        <w:rPr>
          <w:rFonts w:hint="eastAsia" w:ascii="仿宋_GB2312" w:eastAsia="仿宋_GB2312"/>
          <w:sz w:val="30"/>
          <w:szCs w:val="30"/>
        </w:rPr>
        <w:t>发包人发生除第</w:t>
      </w:r>
      <w:r>
        <w:rPr>
          <w:rFonts w:ascii="仿宋_GB2312" w:eastAsia="仿宋_GB2312"/>
          <w:sz w:val="30"/>
          <w:szCs w:val="30"/>
        </w:rPr>
        <w:t>15.1.1</w:t>
      </w:r>
      <w:r>
        <w:rPr>
          <w:rFonts w:hint="eastAsia" w:ascii="仿宋_GB2312" w:eastAsia="仿宋_GB2312"/>
          <w:sz w:val="30"/>
          <w:szCs w:val="30"/>
        </w:rPr>
        <w:t>项第(</w:t>
      </w:r>
      <w:r>
        <w:rPr>
          <w:rFonts w:ascii="仿宋_GB2312" w:eastAsia="仿宋_GB2312"/>
          <w:sz w:val="30"/>
          <w:szCs w:val="30"/>
        </w:rPr>
        <w:t>6</w:t>
      </w:r>
      <w:r>
        <w:rPr>
          <w:rFonts w:hint="eastAsia" w:ascii="仿宋_GB2312" w:eastAsia="仿宋_GB2312"/>
          <w:sz w:val="30"/>
          <w:szCs w:val="30"/>
        </w:rPr>
        <w:t>)目以外的违约情况时，承包人可向发包人发出通知，要求发包人采取有效措施纠正违约行为。发包人收到承包人通知后28天内仍不纠正违约行为的，承包人有权暂停相应部位工程实施，并通知工程师。</w:t>
      </w:r>
      <w:bookmarkEnd w:id="714"/>
    </w:p>
    <w:p w14:paraId="7CCA53D6">
      <w:pPr>
        <w:spacing w:after="120"/>
        <w:ind w:firstLine="600"/>
        <w:rPr>
          <w:rFonts w:ascii="仿宋_GB2312" w:eastAsia="仿宋_GB2312"/>
          <w:sz w:val="30"/>
          <w:szCs w:val="30"/>
        </w:rPr>
      </w:pPr>
      <w:bookmarkStart w:id="715" w:name="_Ref3841132"/>
      <w:r>
        <w:rPr>
          <w:rFonts w:hint="eastAsia" w:ascii="仿宋_GB2312" w:eastAsia="仿宋_GB2312"/>
          <w:sz w:val="30"/>
          <w:szCs w:val="30"/>
        </w:rPr>
        <w:t>1</w:t>
      </w:r>
      <w:r>
        <w:rPr>
          <w:rFonts w:ascii="仿宋_GB2312" w:eastAsia="仿宋_GB2312"/>
          <w:sz w:val="30"/>
          <w:szCs w:val="30"/>
        </w:rPr>
        <w:t xml:space="preserve">5.1.3 </w:t>
      </w:r>
      <w:r>
        <w:rPr>
          <w:rFonts w:hint="eastAsia" w:ascii="仿宋_GB2312" w:eastAsia="仿宋_GB2312"/>
          <w:sz w:val="30"/>
          <w:szCs w:val="30"/>
        </w:rPr>
        <w:t>发包人违约的责任</w:t>
      </w:r>
      <w:bookmarkEnd w:id="715"/>
    </w:p>
    <w:p w14:paraId="6197B53D">
      <w:pPr>
        <w:wordWrap/>
        <w:topLinePunct w:val="0"/>
        <w:spacing w:after="120"/>
        <w:ind w:firstLine="600"/>
        <w:rPr>
          <w:rFonts w:ascii="仿宋_GB2312" w:eastAsia="仿宋_GB2312"/>
          <w:sz w:val="30"/>
          <w:szCs w:val="30"/>
        </w:rPr>
      </w:pPr>
      <w:bookmarkStart w:id="716" w:name="_Hlk16247984"/>
      <w:r>
        <w:rPr>
          <w:rFonts w:hint="eastAsia" w:ascii="仿宋_GB2312" w:eastAsia="仿宋_GB2312"/>
          <w:sz w:val="30"/>
          <w:szCs w:val="30"/>
        </w:rPr>
        <w:t>发包人应承担因其违约给承包人增加的费用和（或）延误的工期，并支付承包人合理的利润。此外，合同当事人可在专用合同条件中另行约定发包人违约责任的承担方式和计算方法。</w:t>
      </w:r>
      <w:bookmarkEnd w:id="716"/>
    </w:p>
    <w:p w14:paraId="6679D955">
      <w:pPr>
        <w:spacing w:after="120"/>
        <w:ind w:firstLine="600"/>
        <w:rPr>
          <w:rFonts w:ascii="仿宋_GB2312" w:eastAsia="仿宋_GB2312"/>
          <w:sz w:val="30"/>
          <w:szCs w:val="30"/>
        </w:rPr>
      </w:pPr>
      <w:bookmarkStart w:id="717" w:name="_Ref11958660"/>
      <w:bookmarkStart w:id="718" w:name="_Toc54862301"/>
      <w:bookmarkStart w:id="719" w:name="_Ref11958663"/>
      <w:r>
        <w:rPr>
          <w:rFonts w:hint="eastAsia" w:ascii="仿宋_GB2312" w:eastAsia="仿宋_GB2312"/>
          <w:sz w:val="30"/>
          <w:szCs w:val="30"/>
        </w:rPr>
        <w:t>15.2 承包人违约</w:t>
      </w:r>
      <w:bookmarkEnd w:id="717"/>
      <w:bookmarkEnd w:id="718"/>
      <w:bookmarkEnd w:id="719"/>
    </w:p>
    <w:p w14:paraId="280129C4">
      <w:pPr>
        <w:spacing w:after="120"/>
        <w:ind w:firstLine="600"/>
        <w:rPr>
          <w:rFonts w:ascii="仿宋_GB2312" w:eastAsia="仿宋_GB2312"/>
          <w:sz w:val="30"/>
          <w:szCs w:val="30"/>
        </w:rPr>
      </w:pPr>
      <w:bookmarkStart w:id="720" w:name="_Ref3841153"/>
      <w:r>
        <w:rPr>
          <w:rFonts w:hint="eastAsia" w:ascii="仿宋_GB2312" w:eastAsia="仿宋_GB2312"/>
          <w:sz w:val="30"/>
          <w:szCs w:val="30"/>
        </w:rPr>
        <w:t>1</w:t>
      </w:r>
      <w:r>
        <w:rPr>
          <w:rFonts w:ascii="仿宋_GB2312" w:eastAsia="仿宋_GB2312"/>
          <w:sz w:val="30"/>
          <w:szCs w:val="30"/>
        </w:rPr>
        <w:t xml:space="preserve">5.2.1 </w:t>
      </w:r>
      <w:r>
        <w:rPr>
          <w:rFonts w:hint="eastAsia" w:ascii="仿宋_GB2312" w:eastAsia="仿宋_GB2312"/>
          <w:sz w:val="30"/>
          <w:szCs w:val="30"/>
        </w:rPr>
        <w:t>承包人违约的情形</w:t>
      </w:r>
      <w:bookmarkEnd w:id="720"/>
    </w:p>
    <w:p w14:paraId="28FF56C3">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除专用合同条件另有约定外，在履行合同过程中发生的下列情况之一的，属于承包人违约：</w:t>
      </w:r>
    </w:p>
    <w:p w14:paraId="5159189A">
      <w:pPr>
        <w:wordWrap/>
        <w:topLinePunct w:val="0"/>
        <w:spacing w:after="120"/>
        <w:ind w:firstLine="600"/>
        <w:rPr>
          <w:rFonts w:ascii="仿宋_GB2312" w:eastAsia="仿宋_GB2312"/>
          <w:sz w:val="30"/>
          <w:szCs w:val="30"/>
        </w:rPr>
      </w:pPr>
      <w:r>
        <w:rPr>
          <w:rFonts w:hint="eastAsia" w:ascii="仿宋_GB2312" w:eastAsia="仿宋_GB2312"/>
          <w:sz w:val="30"/>
          <w:szCs w:val="30"/>
        </w:rPr>
        <w:t>（1） 承包人的原因导致的承包人文件、实施和竣工的工程不符合法律法规、工程质量验收标准以及合同约定；</w:t>
      </w:r>
    </w:p>
    <w:p w14:paraId="56D90109">
      <w:pPr>
        <w:wordWrap/>
        <w:topLinePunct w:val="0"/>
        <w:spacing w:after="120"/>
        <w:ind w:firstLine="600"/>
        <w:rPr>
          <w:rFonts w:ascii="仿宋_GB2312" w:eastAsia="仿宋_GB2312"/>
          <w:sz w:val="30"/>
          <w:szCs w:val="30"/>
        </w:rPr>
      </w:pPr>
      <w:r>
        <w:rPr>
          <w:rFonts w:hint="eastAsia" w:ascii="仿宋_GB2312" w:eastAsia="仿宋_GB2312"/>
          <w:sz w:val="30"/>
          <w:szCs w:val="30"/>
        </w:rPr>
        <w:t>（2） 承包人违反合同约定进行转包或违法分包的；</w:t>
      </w:r>
    </w:p>
    <w:p w14:paraId="158F4C32">
      <w:pPr>
        <w:wordWrap/>
        <w:topLinePunct w:val="0"/>
        <w:spacing w:after="120"/>
        <w:ind w:firstLine="600"/>
        <w:rPr>
          <w:rFonts w:ascii="仿宋_GB2312" w:eastAsia="仿宋_GB2312"/>
          <w:sz w:val="30"/>
          <w:szCs w:val="30"/>
        </w:rPr>
      </w:pPr>
      <w:r>
        <w:rPr>
          <w:rFonts w:hint="eastAsia" w:ascii="仿宋_GB2312" w:eastAsia="仿宋_GB2312"/>
          <w:sz w:val="30"/>
          <w:szCs w:val="30"/>
        </w:rPr>
        <w:t>（3） 承包人违反约定采购和使用不合格材料或工程设备；</w:t>
      </w:r>
    </w:p>
    <w:p w14:paraId="07A48003">
      <w:pPr>
        <w:wordWrap/>
        <w:topLinePunct w:val="0"/>
        <w:spacing w:after="120"/>
        <w:ind w:firstLine="600"/>
        <w:rPr>
          <w:rFonts w:ascii="仿宋_GB2312" w:eastAsia="仿宋_GB2312"/>
          <w:sz w:val="30"/>
          <w:szCs w:val="30"/>
        </w:rPr>
      </w:pPr>
      <w:r>
        <w:rPr>
          <w:rFonts w:hint="eastAsia" w:ascii="仿宋_GB2312" w:eastAsia="仿宋_GB2312"/>
          <w:sz w:val="30"/>
          <w:szCs w:val="30"/>
        </w:rPr>
        <w:t>（4） 因承包人原因导致工程质量不符合合同要求的；</w:t>
      </w:r>
    </w:p>
    <w:p w14:paraId="79BC3BCF">
      <w:pPr>
        <w:wordWrap/>
        <w:topLinePunct w:val="0"/>
        <w:spacing w:after="120"/>
        <w:ind w:firstLine="600"/>
        <w:rPr>
          <w:rFonts w:ascii="仿宋_GB2312" w:eastAsia="仿宋_GB2312"/>
          <w:sz w:val="30"/>
          <w:szCs w:val="30"/>
        </w:rPr>
      </w:pPr>
      <w:r>
        <w:rPr>
          <w:rFonts w:hint="eastAsia" w:ascii="仿宋_GB2312" w:eastAsia="仿宋_GB2312"/>
          <w:sz w:val="30"/>
          <w:szCs w:val="30"/>
        </w:rPr>
        <w:t>（5） 承包人未经工程师批准，擅自将已按合同约定进入施工现场的施工设备、临时设施或材料撤离施工现场；</w:t>
      </w:r>
    </w:p>
    <w:p w14:paraId="1E0A0EB5">
      <w:pPr>
        <w:wordWrap/>
        <w:topLinePunct w:val="0"/>
        <w:spacing w:after="120"/>
        <w:ind w:firstLine="600"/>
        <w:rPr>
          <w:rFonts w:ascii="仿宋_GB2312" w:eastAsia="仿宋_GB2312"/>
          <w:sz w:val="30"/>
          <w:szCs w:val="30"/>
        </w:rPr>
      </w:pPr>
      <w:r>
        <w:rPr>
          <w:rFonts w:hint="eastAsia" w:ascii="仿宋_GB2312" w:eastAsia="仿宋_GB2312"/>
          <w:sz w:val="30"/>
          <w:szCs w:val="30"/>
        </w:rPr>
        <w:t>（6） 承包人未能按项目进度计划及时完成合同约定的工作，造成工期延误；</w:t>
      </w:r>
    </w:p>
    <w:p w14:paraId="03DDA088">
      <w:pPr>
        <w:wordWrap/>
        <w:topLinePunct w:val="0"/>
        <w:spacing w:after="120"/>
        <w:ind w:firstLine="600"/>
        <w:rPr>
          <w:rFonts w:ascii="仿宋_GB2312" w:eastAsia="仿宋_GB2312"/>
          <w:sz w:val="30"/>
          <w:szCs w:val="30"/>
        </w:rPr>
      </w:pPr>
      <w:r>
        <w:rPr>
          <w:rFonts w:hint="eastAsia" w:ascii="仿宋_GB2312" w:eastAsia="仿宋_GB2312"/>
          <w:sz w:val="30"/>
          <w:szCs w:val="30"/>
        </w:rPr>
        <w:t>（7） 由于承包人原因未能通过竣工试验或竣工后试验的；</w:t>
      </w:r>
    </w:p>
    <w:p w14:paraId="479E7909">
      <w:pPr>
        <w:wordWrap/>
        <w:topLinePunct w:val="0"/>
        <w:spacing w:after="120"/>
        <w:ind w:firstLine="600"/>
        <w:rPr>
          <w:rFonts w:ascii="仿宋_GB2312" w:eastAsia="仿宋_GB2312"/>
          <w:sz w:val="30"/>
          <w:szCs w:val="30"/>
        </w:rPr>
      </w:pPr>
      <w:r>
        <w:rPr>
          <w:rFonts w:hint="eastAsia" w:ascii="仿宋_GB2312" w:eastAsia="仿宋_GB2312"/>
          <w:sz w:val="30"/>
          <w:szCs w:val="30"/>
        </w:rPr>
        <w:t>（8） 承包人在缺陷责任期及保修期内，未能在合理期限对工程缺陷进行修复，或拒绝按发包人指示进行修复的；</w:t>
      </w:r>
    </w:p>
    <w:p w14:paraId="3A508DCB">
      <w:pPr>
        <w:wordWrap/>
        <w:topLinePunct w:val="0"/>
        <w:spacing w:after="120"/>
        <w:ind w:firstLine="600"/>
        <w:rPr>
          <w:rFonts w:ascii="仿宋_GB2312" w:eastAsia="仿宋_GB2312"/>
          <w:sz w:val="30"/>
          <w:szCs w:val="30"/>
        </w:rPr>
      </w:pPr>
      <w:r>
        <w:rPr>
          <w:rFonts w:hint="eastAsia" w:ascii="仿宋_GB2312" w:eastAsia="仿宋_GB2312"/>
          <w:sz w:val="30"/>
          <w:szCs w:val="30"/>
        </w:rPr>
        <w:t>（9） 承包人明确表示或者以其行为表明不履行合同主要义务的；</w:t>
      </w:r>
    </w:p>
    <w:p w14:paraId="41FE77E0">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0</w:t>
      </w:r>
      <w:r>
        <w:rPr>
          <w:rFonts w:hint="eastAsia" w:ascii="仿宋_GB2312" w:eastAsia="仿宋_GB2312"/>
          <w:sz w:val="30"/>
          <w:szCs w:val="30"/>
        </w:rPr>
        <w:t>） 承包人未能按照合同约定履行其他义务的。</w:t>
      </w:r>
    </w:p>
    <w:p w14:paraId="314679B7">
      <w:pPr>
        <w:spacing w:after="120"/>
        <w:ind w:firstLine="600"/>
        <w:rPr>
          <w:rFonts w:ascii="仿宋_GB2312" w:eastAsia="仿宋_GB2312"/>
          <w:sz w:val="30"/>
          <w:szCs w:val="30"/>
        </w:rPr>
      </w:pPr>
      <w:bookmarkStart w:id="721" w:name="_Ref531958512"/>
      <w:r>
        <w:rPr>
          <w:rFonts w:hint="eastAsia" w:ascii="仿宋_GB2312" w:eastAsia="仿宋_GB2312"/>
          <w:sz w:val="30"/>
          <w:szCs w:val="30"/>
        </w:rPr>
        <w:t>1</w:t>
      </w:r>
      <w:r>
        <w:rPr>
          <w:rFonts w:ascii="仿宋_GB2312" w:eastAsia="仿宋_GB2312"/>
          <w:sz w:val="30"/>
          <w:szCs w:val="30"/>
        </w:rPr>
        <w:t xml:space="preserve">5.2.2 </w:t>
      </w:r>
      <w:r>
        <w:rPr>
          <w:rFonts w:hint="eastAsia" w:ascii="仿宋_GB2312" w:eastAsia="仿宋_GB2312"/>
          <w:sz w:val="30"/>
          <w:szCs w:val="30"/>
        </w:rPr>
        <w:t>通知改正</w:t>
      </w:r>
      <w:bookmarkEnd w:id="721"/>
    </w:p>
    <w:p w14:paraId="5D619F47">
      <w:pPr>
        <w:wordWrap/>
        <w:topLinePunct w:val="0"/>
        <w:spacing w:after="120"/>
        <w:ind w:firstLine="600"/>
        <w:rPr>
          <w:rFonts w:ascii="仿宋_GB2312" w:eastAsia="仿宋_GB2312"/>
          <w:sz w:val="30"/>
          <w:szCs w:val="30"/>
        </w:rPr>
      </w:pPr>
      <w:r>
        <w:rPr>
          <w:rFonts w:hint="eastAsia" w:ascii="仿宋_GB2312" w:eastAsia="仿宋_GB2312"/>
          <w:sz w:val="30"/>
          <w:szCs w:val="30"/>
        </w:rPr>
        <w:t>承包人发生除第</w:t>
      </w:r>
      <w:r>
        <w:rPr>
          <w:rFonts w:ascii="仿宋_GB2312" w:eastAsia="仿宋_GB2312"/>
          <w:sz w:val="30"/>
          <w:szCs w:val="30"/>
        </w:rPr>
        <w:t>15.2.1</w:t>
      </w:r>
      <w:r>
        <w:rPr>
          <w:rFonts w:hint="eastAsia" w:ascii="仿宋_GB2312" w:eastAsia="仿宋_GB2312"/>
          <w:sz w:val="30"/>
          <w:szCs w:val="30"/>
        </w:rPr>
        <w:t>项第(7)目、第(9)目约定以外的其他违约情况时，工程师可在专用合同条件约定的合理期限内向承包人发出整改通知，要求其在指定的期限内改正。</w:t>
      </w:r>
    </w:p>
    <w:p w14:paraId="2ED13D6B">
      <w:pPr>
        <w:spacing w:after="120"/>
        <w:ind w:firstLine="600"/>
        <w:rPr>
          <w:rFonts w:ascii="仿宋_GB2312" w:eastAsia="仿宋_GB2312"/>
          <w:sz w:val="30"/>
          <w:szCs w:val="30"/>
        </w:rPr>
      </w:pPr>
      <w:bookmarkStart w:id="722" w:name="_Ref3841166"/>
      <w:r>
        <w:rPr>
          <w:rFonts w:hint="eastAsia" w:ascii="仿宋_GB2312" w:eastAsia="仿宋_GB2312"/>
          <w:sz w:val="30"/>
          <w:szCs w:val="30"/>
        </w:rPr>
        <w:t>1</w:t>
      </w:r>
      <w:r>
        <w:rPr>
          <w:rFonts w:ascii="仿宋_GB2312" w:eastAsia="仿宋_GB2312"/>
          <w:sz w:val="30"/>
          <w:szCs w:val="30"/>
        </w:rPr>
        <w:t xml:space="preserve">5.2.3 </w:t>
      </w:r>
      <w:r>
        <w:rPr>
          <w:rFonts w:hint="eastAsia" w:ascii="仿宋_GB2312" w:eastAsia="仿宋_GB2312"/>
          <w:sz w:val="30"/>
          <w:szCs w:val="30"/>
        </w:rPr>
        <w:t>承包人违约的责任</w:t>
      </w:r>
      <w:bookmarkEnd w:id="722"/>
    </w:p>
    <w:p w14:paraId="66D88869">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承包人应承担因其违约行为而增加的费用和（或）延误的工期。此外，合同当事人可在专用合同条件中另行约定承包人违约责任的承担方式和计算方法。</w:t>
      </w:r>
    </w:p>
    <w:p w14:paraId="16AF13B4">
      <w:pPr>
        <w:spacing w:after="120"/>
        <w:ind w:firstLine="600"/>
        <w:rPr>
          <w:rFonts w:ascii="仿宋_GB2312" w:eastAsia="仿宋_GB2312"/>
          <w:sz w:val="30"/>
          <w:szCs w:val="30"/>
        </w:rPr>
      </w:pPr>
      <w:bookmarkStart w:id="723" w:name="_Toc54862302"/>
      <w:r>
        <w:rPr>
          <w:rFonts w:hint="eastAsia" w:ascii="仿宋_GB2312" w:eastAsia="仿宋_GB2312"/>
          <w:sz w:val="30"/>
          <w:szCs w:val="30"/>
        </w:rPr>
        <w:t>15.3 第三人造成的违约</w:t>
      </w:r>
      <w:bookmarkEnd w:id="723"/>
    </w:p>
    <w:p w14:paraId="4FDFED29">
      <w:pPr>
        <w:wordWrap/>
        <w:topLinePunct w:val="0"/>
        <w:spacing w:after="120"/>
        <w:ind w:firstLine="600"/>
        <w:rPr>
          <w:rFonts w:ascii="仿宋_GB2312" w:eastAsia="仿宋_GB2312"/>
          <w:sz w:val="30"/>
          <w:szCs w:val="30"/>
        </w:rPr>
      </w:pPr>
      <w:r>
        <w:rPr>
          <w:rFonts w:hint="eastAsia" w:ascii="仿宋_GB2312" w:eastAsia="仿宋_GB2312"/>
          <w:sz w:val="30"/>
          <w:szCs w:val="30"/>
        </w:rPr>
        <w:t>在履行合同过程中，一方当事人因第三人的原因造成违约的，应当向对方当事人承担违约责任。一方当事人和第三人之间的纠纷，依照法律规定或者按照约定解决。</w:t>
      </w:r>
    </w:p>
    <w:p w14:paraId="46837719">
      <w:pPr>
        <w:spacing w:after="120"/>
        <w:ind w:firstLine="0" w:firstLineChars="0"/>
        <w:rPr>
          <w:rFonts w:ascii="仿宋_GB2312" w:eastAsia="仿宋_GB2312"/>
          <w:sz w:val="32"/>
          <w:szCs w:val="32"/>
        </w:rPr>
      </w:pPr>
      <w:bookmarkStart w:id="724" w:name="_Toc23452"/>
      <w:bookmarkStart w:id="725" w:name="_Toc7007"/>
      <w:bookmarkStart w:id="726" w:name="_Toc31077"/>
      <w:bookmarkStart w:id="727" w:name="_Ref4510572"/>
      <w:bookmarkStart w:id="728" w:name="_Toc54862303"/>
      <w:bookmarkStart w:id="729" w:name="_Ref532142069"/>
      <w:bookmarkStart w:id="730" w:name="_Ref3840457"/>
      <w:r>
        <w:rPr>
          <w:rFonts w:hint="eastAsia" w:ascii="仿宋_GB2312" w:eastAsia="仿宋_GB2312"/>
          <w:sz w:val="32"/>
          <w:szCs w:val="32"/>
        </w:rPr>
        <w:t>第16条 合同解除</w:t>
      </w:r>
      <w:bookmarkEnd w:id="724"/>
      <w:bookmarkEnd w:id="725"/>
      <w:bookmarkEnd w:id="726"/>
      <w:bookmarkEnd w:id="727"/>
      <w:bookmarkEnd w:id="728"/>
    </w:p>
    <w:p w14:paraId="067C81F8">
      <w:pPr>
        <w:spacing w:after="120"/>
        <w:ind w:firstLine="600"/>
        <w:rPr>
          <w:rFonts w:ascii="仿宋_GB2312" w:eastAsia="仿宋_GB2312"/>
          <w:sz w:val="30"/>
          <w:szCs w:val="30"/>
        </w:rPr>
      </w:pPr>
      <w:bookmarkStart w:id="731" w:name="_Ref531958499"/>
      <w:bookmarkStart w:id="732" w:name="_Toc54862304"/>
      <w:bookmarkStart w:id="733" w:name="_Ref531958502"/>
      <w:r>
        <w:rPr>
          <w:rFonts w:hint="eastAsia" w:ascii="仿宋_GB2312" w:eastAsia="仿宋_GB2312"/>
          <w:sz w:val="30"/>
          <w:szCs w:val="30"/>
        </w:rPr>
        <w:t>16.1 由发包人解除合同</w:t>
      </w:r>
      <w:bookmarkEnd w:id="731"/>
      <w:bookmarkEnd w:id="732"/>
      <w:bookmarkEnd w:id="733"/>
    </w:p>
    <w:p w14:paraId="47244EAF">
      <w:pPr>
        <w:spacing w:after="120"/>
        <w:ind w:firstLine="600"/>
        <w:rPr>
          <w:rFonts w:ascii="仿宋_GB2312" w:eastAsia="仿宋_GB2312"/>
          <w:sz w:val="30"/>
          <w:szCs w:val="30"/>
        </w:rPr>
      </w:pPr>
      <w:bookmarkStart w:id="734" w:name="_Ref4535422"/>
      <w:r>
        <w:rPr>
          <w:rFonts w:hint="eastAsia" w:ascii="仿宋_GB2312" w:eastAsia="仿宋_GB2312"/>
          <w:sz w:val="30"/>
          <w:szCs w:val="30"/>
        </w:rPr>
        <w:t>1</w:t>
      </w:r>
      <w:r>
        <w:rPr>
          <w:rFonts w:ascii="仿宋_GB2312" w:eastAsia="仿宋_GB2312"/>
          <w:sz w:val="30"/>
          <w:szCs w:val="30"/>
        </w:rPr>
        <w:t xml:space="preserve">6.1.1 </w:t>
      </w:r>
      <w:r>
        <w:rPr>
          <w:rFonts w:hint="eastAsia" w:ascii="仿宋_GB2312" w:eastAsia="仿宋_GB2312"/>
          <w:sz w:val="30"/>
          <w:szCs w:val="30"/>
        </w:rPr>
        <w:t>因承包人违约解除合同</w:t>
      </w:r>
      <w:bookmarkEnd w:id="734"/>
    </w:p>
    <w:p w14:paraId="2478D054">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除专用合同条件另有约定外，发包人有权基于下列原因，以书面形式通知承包人解除合同，解除通知中应注明是根据第</w:t>
      </w:r>
      <w:r>
        <w:rPr>
          <w:rFonts w:ascii="仿宋_GB2312" w:eastAsia="仿宋_GB2312"/>
          <w:sz w:val="30"/>
          <w:szCs w:val="30"/>
        </w:rPr>
        <w:t>16.1.1</w:t>
      </w:r>
      <w:r>
        <w:rPr>
          <w:rFonts w:hint="eastAsia" w:ascii="仿宋_GB2312" w:eastAsia="仿宋_GB2312"/>
          <w:sz w:val="30"/>
          <w:szCs w:val="30"/>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仿宋_GB2312" w:eastAsia="仿宋_GB2312"/>
          <w:sz w:val="30"/>
          <w:szCs w:val="30"/>
        </w:rPr>
        <w:t>5</w:t>
      </w:r>
      <w:r>
        <w:rPr>
          <w:rFonts w:hint="eastAsia" w:ascii="仿宋_GB2312" w:eastAsia="仿宋_GB2312"/>
          <w:sz w:val="30"/>
          <w:szCs w:val="30"/>
        </w:rPr>
        <w:t>)目的情况下，发包人无须提前告知承包人其解除合同意向，可直接发出正式解除合同通知立即解除合同：</w:t>
      </w:r>
    </w:p>
    <w:p w14:paraId="67832774">
      <w:pPr>
        <w:wordWrap/>
        <w:topLinePunct w:val="0"/>
        <w:spacing w:after="120"/>
        <w:ind w:firstLine="600"/>
        <w:rPr>
          <w:rFonts w:ascii="仿宋_GB2312" w:eastAsia="仿宋_GB2312"/>
          <w:sz w:val="30"/>
          <w:szCs w:val="30"/>
        </w:rPr>
      </w:pPr>
      <w:bookmarkStart w:id="735" w:name="_Ref531958536"/>
      <w:r>
        <w:rPr>
          <w:rFonts w:hint="eastAsia" w:ascii="仿宋_GB2312" w:eastAsia="仿宋_GB2312"/>
          <w:sz w:val="30"/>
          <w:szCs w:val="30"/>
        </w:rPr>
        <w:t>（1） 承包人未能遵守第</w:t>
      </w:r>
      <w:r>
        <w:rPr>
          <w:rFonts w:ascii="仿宋_GB2312" w:eastAsia="仿宋_GB2312"/>
          <w:sz w:val="30"/>
          <w:szCs w:val="30"/>
        </w:rPr>
        <w:t>4.2</w:t>
      </w:r>
      <w:r>
        <w:rPr>
          <w:rFonts w:hint="eastAsia" w:ascii="仿宋_GB2312" w:eastAsia="仿宋_GB2312"/>
          <w:sz w:val="30"/>
          <w:szCs w:val="30"/>
        </w:rPr>
        <w:t>款</w:t>
      </w:r>
      <w:bookmarkStart w:id="736" w:name="_Hlk18839947"/>
      <w:r>
        <w:rPr>
          <w:rFonts w:hint="eastAsia" w:ascii="仿宋_GB2312" w:eastAsia="仿宋_GB2312"/>
          <w:sz w:val="30"/>
          <w:szCs w:val="30"/>
        </w:rPr>
        <w:t>[履约担保]</w:t>
      </w:r>
      <w:bookmarkEnd w:id="736"/>
      <w:r>
        <w:rPr>
          <w:rFonts w:hint="eastAsia" w:ascii="仿宋_GB2312" w:eastAsia="仿宋_GB2312"/>
          <w:sz w:val="30"/>
          <w:szCs w:val="30"/>
        </w:rPr>
        <w:t>的约定；</w:t>
      </w:r>
    </w:p>
    <w:p w14:paraId="4D8361E0">
      <w:pPr>
        <w:wordWrap/>
        <w:topLinePunct w:val="0"/>
        <w:spacing w:after="120"/>
        <w:ind w:firstLine="600"/>
        <w:rPr>
          <w:rFonts w:ascii="仿宋_GB2312" w:eastAsia="仿宋_GB2312"/>
          <w:sz w:val="30"/>
          <w:szCs w:val="30"/>
        </w:rPr>
      </w:pPr>
      <w:r>
        <w:rPr>
          <w:rFonts w:hint="eastAsia" w:ascii="仿宋_GB2312" w:eastAsia="仿宋_GB2312"/>
          <w:sz w:val="30"/>
          <w:szCs w:val="30"/>
        </w:rPr>
        <w:t>（2） 承包人未能遵守第</w:t>
      </w:r>
      <w:r>
        <w:rPr>
          <w:rFonts w:ascii="仿宋_GB2312" w:eastAsia="仿宋_GB2312"/>
          <w:sz w:val="30"/>
          <w:szCs w:val="30"/>
        </w:rPr>
        <w:t>4.5</w:t>
      </w:r>
      <w:r>
        <w:rPr>
          <w:rFonts w:hint="eastAsia" w:ascii="仿宋_GB2312" w:eastAsia="仿宋_GB2312"/>
          <w:sz w:val="30"/>
          <w:szCs w:val="30"/>
        </w:rPr>
        <w:t>款[分包]有关分包和转包的约定；</w:t>
      </w:r>
    </w:p>
    <w:p w14:paraId="7E0EB251">
      <w:pPr>
        <w:wordWrap/>
        <w:topLinePunct w:val="0"/>
        <w:spacing w:after="120"/>
        <w:ind w:firstLine="600"/>
        <w:rPr>
          <w:rFonts w:ascii="仿宋_GB2312" w:eastAsia="仿宋_GB2312"/>
          <w:sz w:val="30"/>
          <w:szCs w:val="30"/>
        </w:rPr>
      </w:pPr>
      <w:r>
        <w:rPr>
          <w:rFonts w:hint="eastAsia" w:ascii="仿宋_GB2312" w:eastAsia="仿宋_GB2312"/>
          <w:sz w:val="30"/>
          <w:szCs w:val="30"/>
        </w:rPr>
        <w:t>（3） 承包人实际进度明显落后于进度计划，并且未按发包人的指令采取措施并修正进度计划；</w:t>
      </w:r>
    </w:p>
    <w:p w14:paraId="3D49CF0F">
      <w:pPr>
        <w:wordWrap/>
        <w:topLinePunct w:val="0"/>
        <w:spacing w:after="120"/>
        <w:ind w:firstLine="600"/>
        <w:rPr>
          <w:rFonts w:ascii="仿宋_GB2312" w:eastAsia="仿宋_GB2312"/>
          <w:sz w:val="30"/>
          <w:szCs w:val="30"/>
        </w:rPr>
      </w:pPr>
      <w:r>
        <w:rPr>
          <w:rFonts w:hint="eastAsia" w:ascii="仿宋_GB2312" w:eastAsia="仿宋_GB2312"/>
          <w:sz w:val="30"/>
          <w:szCs w:val="30"/>
        </w:rPr>
        <w:t>（4） 工程质量有严重缺陷，承包人无正当理由使修复开始日期拖延达28天以上；</w:t>
      </w:r>
    </w:p>
    <w:p w14:paraId="37114909">
      <w:pPr>
        <w:wordWrap/>
        <w:topLinePunct w:val="0"/>
        <w:spacing w:after="120"/>
        <w:ind w:firstLine="600"/>
        <w:rPr>
          <w:rFonts w:ascii="仿宋_GB2312" w:eastAsia="仿宋_GB2312"/>
          <w:sz w:val="30"/>
          <w:szCs w:val="30"/>
        </w:rPr>
      </w:pPr>
      <w:r>
        <w:rPr>
          <w:rFonts w:hint="eastAsia" w:ascii="仿宋_GB2312" w:eastAsia="仿宋_GB2312"/>
          <w:sz w:val="30"/>
          <w:szCs w:val="30"/>
        </w:rPr>
        <w:t>（5） 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2FAB0D3D">
      <w:pPr>
        <w:wordWrap/>
        <w:topLinePunct w:val="0"/>
        <w:spacing w:after="120"/>
        <w:ind w:firstLine="600"/>
        <w:rPr>
          <w:rFonts w:ascii="仿宋_GB2312" w:eastAsia="仿宋_GB2312"/>
          <w:sz w:val="30"/>
          <w:szCs w:val="30"/>
        </w:rPr>
      </w:pPr>
      <w:r>
        <w:rPr>
          <w:rFonts w:hint="eastAsia" w:ascii="仿宋_GB2312" w:eastAsia="仿宋_GB2312"/>
          <w:sz w:val="30"/>
          <w:szCs w:val="30"/>
        </w:rPr>
        <w:t>（6） 承包人明确表示或以自己的行为表明不履行合同、或经发包人以书面形式通知其履约后仍未能依约履行合同、或以不适当的方式履行合同；</w:t>
      </w:r>
    </w:p>
    <w:p w14:paraId="63866413">
      <w:pPr>
        <w:wordWrap/>
        <w:topLinePunct w:val="0"/>
        <w:spacing w:after="120"/>
        <w:ind w:firstLine="600"/>
        <w:rPr>
          <w:rFonts w:ascii="仿宋_GB2312" w:eastAsia="仿宋_GB2312"/>
          <w:sz w:val="30"/>
          <w:szCs w:val="30"/>
        </w:rPr>
      </w:pPr>
      <w:r>
        <w:rPr>
          <w:rFonts w:hint="eastAsia" w:ascii="仿宋_GB2312" w:eastAsia="仿宋_GB2312"/>
          <w:sz w:val="30"/>
          <w:szCs w:val="30"/>
        </w:rPr>
        <w:t>（7） 未能通过的竣工试验、未能通过的竣工后试验，使工程的任何部分和（或）整个工程丧失了主要使用功能、生产功能；</w:t>
      </w:r>
    </w:p>
    <w:p w14:paraId="04353822">
      <w:pPr>
        <w:wordWrap/>
        <w:topLinePunct w:val="0"/>
        <w:spacing w:after="120"/>
        <w:ind w:firstLine="600"/>
        <w:rPr>
          <w:rFonts w:ascii="仿宋_GB2312" w:eastAsia="仿宋_GB2312"/>
          <w:sz w:val="30"/>
          <w:szCs w:val="30"/>
        </w:rPr>
      </w:pPr>
      <w:r>
        <w:rPr>
          <w:rFonts w:hint="eastAsia" w:ascii="仿宋_GB2312" w:eastAsia="仿宋_GB2312"/>
          <w:sz w:val="30"/>
          <w:szCs w:val="30"/>
        </w:rPr>
        <w:t>（8） 因承包人的原因暂停工作超过56天且暂停影响到整个工程，或因承包人的原因暂停工作超过182天；</w:t>
      </w:r>
    </w:p>
    <w:p w14:paraId="70F37A5C">
      <w:pPr>
        <w:wordWrap/>
        <w:topLinePunct w:val="0"/>
        <w:spacing w:after="120"/>
        <w:ind w:firstLine="600"/>
        <w:rPr>
          <w:rFonts w:ascii="仿宋_GB2312" w:eastAsia="仿宋_GB2312"/>
          <w:sz w:val="30"/>
          <w:szCs w:val="30"/>
        </w:rPr>
      </w:pPr>
      <w:r>
        <w:rPr>
          <w:rFonts w:hint="eastAsia" w:ascii="仿宋_GB2312" w:eastAsia="仿宋_GB2312"/>
          <w:sz w:val="30"/>
          <w:szCs w:val="30"/>
        </w:rPr>
        <w:t>（9） 承包人未能遵守第</w:t>
      </w:r>
      <w:r>
        <w:rPr>
          <w:rFonts w:ascii="仿宋_GB2312" w:eastAsia="仿宋_GB2312"/>
          <w:sz w:val="30"/>
          <w:szCs w:val="30"/>
        </w:rPr>
        <w:t>8.2</w:t>
      </w:r>
      <w:r>
        <w:rPr>
          <w:rFonts w:hint="eastAsia" w:ascii="仿宋_GB2312" w:eastAsia="仿宋_GB2312"/>
          <w:sz w:val="30"/>
          <w:szCs w:val="30"/>
        </w:rPr>
        <w:t>款[竣工日期]规定，延误超过1</w:t>
      </w:r>
      <w:r>
        <w:rPr>
          <w:rFonts w:ascii="仿宋_GB2312" w:eastAsia="仿宋_GB2312"/>
          <w:sz w:val="30"/>
          <w:szCs w:val="30"/>
        </w:rPr>
        <w:t>82</w:t>
      </w:r>
      <w:r>
        <w:rPr>
          <w:rFonts w:hint="eastAsia" w:ascii="仿宋_GB2312" w:eastAsia="仿宋_GB2312"/>
          <w:sz w:val="30"/>
          <w:szCs w:val="30"/>
        </w:rPr>
        <w:t>天；</w:t>
      </w:r>
    </w:p>
    <w:p w14:paraId="03736C20">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0</w:t>
      </w:r>
      <w:r>
        <w:rPr>
          <w:rFonts w:hint="eastAsia" w:ascii="仿宋_GB2312" w:eastAsia="仿宋_GB2312"/>
          <w:sz w:val="30"/>
          <w:szCs w:val="30"/>
        </w:rPr>
        <w:t>） 工程师根据第</w:t>
      </w:r>
      <w:r>
        <w:rPr>
          <w:rFonts w:ascii="仿宋_GB2312" w:eastAsia="仿宋_GB2312"/>
          <w:sz w:val="30"/>
          <w:szCs w:val="30"/>
        </w:rPr>
        <w:t>15.2.2</w:t>
      </w:r>
      <w:r>
        <w:rPr>
          <w:rFonts w:hint="eastAsia" w:ascii="仿宋_GB2312" w:eastAsia="仿宋_GB2312"/>
          <w:sz w:val="30"/>
          <w:szCs w:val="30"/>
        </w:rPr>
        <w:t>项[通知改正]发出整改通知后，承包人在指定的合理期限内仍不纠正违约行为并致使合同目的不能实现的。</w:t>
      </w:r>
    </w:p>
    <w:bookmarkEnd w:id="735"/>
    <w:p w14:paraId="6930ACBE">
      <w:pPr>
        <w:spacing w:after="120"/>
        <w:ind w:firstLine="560"/>
        <w:rPr>
          <w:rFonts w:ascii="仿宋_GB2312" w:eastAsia="仿宋_GB2312"/>
          <w:sz w:val="28"/>
          <w:szCs w:val="28"/>
        </w:rPr>
      </w:pPr>
      <w:bookmarkStart w:id="737" w:name="_Ref3841839"/>
      <w:bookmarkStart w:id="738" w:name="_Ref4624315"/>
      <w:r>
        <w:rPr>
          <w:rFonts w:hint="eastAsia" w:ascii="仿宋_GB2312" w:eastAsia="仿宋_GB2312"/>
          <w:sz w:val="28"/>
          <w:szCs w:val="28"/>
        </w:rPr>
        <w:t>16.1.2 因承包人违约解除合同后</w:t>
      </w:r>
      <w:bookmarkEnd w:id="737"/>
      <w:r>
        <w:rPr>
          <w:rFonts w:hint="eastAsia" w:ascii="仿宋_GB2312" w:eastAsia="仿宋_GB2312"/>
          <w:sz w:val="28"/>
          <w:szCs w:val="28"/>
        </w:rPr>
        <w:t>承包人的义务</w:t>
      </w:r>
      <w:bookmarkEnd w:id="738"/>
    </w:p>
    <w:p w14:paraId="3F210C86">
      <w:pPr>
        <w:wordWrap/>
        <w:topLinePunct w:val="0"/>
        <w:spacing w:after="120"/>
        <w:ind w:firstLine="600"/>
        <w:rPr>
          <w:rFonts w:ascii="仿宋_GB2312" w:eastAsia="仿宋_GB2312"/>
          <w:sz w:val="30"/>
          <w:szCs w:val="30"/>
        </w:rPr>
      </w:pPr>
      <w:r>
        <w:rPr>
          <w:rFonts w:hint="eastAsia" w:ascii="仿宋_GB2312" w:eastAsia="仿宋_GB2312"/>
          <w:sz w:val="30"/>
          <w:szCs w:val="30"/>
        </w:rPr>
        <w:t>合同解除后，承包人应按以下约定执行：</w:t>
      </w:r>
    </w:p>
    <w:p w14:paraId="48D1911F">
      <w:pPr>
        <w:wordWrap/>
        <w:topLinePunct w:val="0"/>
        <w:spacing w:after="120"/>
        <w:ind w:firstLine="600"/>
        <w:rPr>
          <w:rFonts w:ascii="仿宋_GB2312" w:eastAsia="仿宋_GB2312"/>
          <w:sz w:val="30"/>
          <w:szCs w:val="30"/>
        </w:rPr>
      </w:pPr>
      <w:r>
        <w:rPr>
          <w:rFonts w:hint="eastAsia" w:ascii="仿宋_GB2312" w:eastAsia="仿宋_GB2312"/>
          <w:sz w:val="30"/>
          <w:szCs w:val="30"/>
        </w:rPr>
        <w:t>（1） 除了为保护生命、财产或工程安全、清理和必须执行的工作外，停止执行所有被通知解除的工作，并将相关人员撤离现场；</w:t>
      </w:r>
    </w:p>
    <w:p w14:paraId="5CEA4116">
      <w:pPr>
        <w:wordWrap/>
        <w:topLinePunct w:val="0"/>
        <w:spacing w:after="120"/>
        <w:ind w:firstLine="600"/>
        <w:rPr>
          <w:rFonts w:ascii="仿宋_GB2312" w:eastAsia="仿宋_GB2312"/>
          <w:sz w:val="30"/>
          <w:szCs w:val="30"/>
        </w:rPr>
      </w:pPr>
      <w:r>
        <w:rPr>
          <w:rFonts w:hint="eastAsia" w:ascii="仿宋_GB2312" w:eastAsia="仿宋_GB2312"/>
          <w:sz w:val="30"/>
          <w:szCs w:val="30"/>
        </w:rPr>
        <w:t>（2） 经发包人批准，承包人应将与被解除合同相关的和正在执行的分包合同及相关的责任和义务转让至发包人和（或）发包人指定方的名下，包括永久性工程及工程物资，以及相关工作；</w:t>
      </w:r>
    </w:p>
    <w:p w14:paraId="7A7DD508">
      <w:pPr>
        <w:wordWrap/>
        <w:topLinePunct w:val="0"/>
        <w:spacing w:after="120"/>
        <w:ind w:firstLine="600"/>
        <w:rPr>
          <w:rFonts w:ascii="仿宋_GB2312" w:eastAsia="仿宋_GB2312"/>
          <w:sz w:val="30"/>
          <w:szCs w:val="30"/>
        </w:rPr>
      </w:pPr>
      <w:r>
        <w:rPr>
          <w:rFonts w:hint="eastAsia" w:ascii="仿宋_GB2312" w:eastAsia="仿宋_GB2312"/>
          <w:sz w:val="30"/>
          <w:szCs w:val="30"/>
        </w:rPr>
        <w:t>（3） 移交已完成的永久性工程及负责已运抵现场的工程物资。在移交前，妥善做好己完工程和已运抵现场的工程物资的保管、维护和保养；</w:t>
      </w:r>
    </w:p>
    <w:p w14:paraId="24D7C8F4">
      <w:pPr>
        <w:wordWrap/>
        <w:topLinePunct w:val="0"/>
        <w:spacing w:after="120"/>
        <w:ind w:firstLine="600"/>
        <w:rPr>
          <w:rFonts w:ascii="仿宋_GB2312" w:eastAsia="仿宋_GB2312"/>
          <w:sz w:val="30"/>
          <w:szCs w:val="30"/>
        </w:rPr>
      </w:pPr>
      <w:r>
        <w:rPr>
          <w:rFonts w:hint="eastAsia" w:ascii="仿宋_GB2312" w:eastAsia="仿宋_GB2312"/>
          <w:sz w:val="30"/>
          <w:szCs w:val="30"/>
        </w:rPr>
        <w:t>（4） 将发包人提供的所有信息及承包人为本工程编制的设计文件、技术资料及其它文件移交给发包人。在承包人留有的资料文件中，销毁与发包人提供的所有信息相关的数据及资料的备份；</w:t>
      </w:r>
    </w:p>
    <w:p w14:paraId="6649015D">
      <w:pPr>
        <w:wordWrap/>
        <w:topLinePunct w:val="0"/>
        <w:spacing w:after="120"/>
        <w:ind w:firstLine="600"/>
        <w:rPr>
          <w:rFonts w:ascii="仿宋_GB2312" w:eastAsia="仿宋_GB2312"/>
          <w:sz w:val="30"/>
          <w:szCs w:val="30"/>
        </w:rPr>
      </w:pPr>
      <w:r>
        <w:rPr>
          <w:rFonts w:hint="eastAsia" w:ascii="仿宋_GB2312" w:eastAsia="仿宋_GB2312"/>
          <w:sz w:val="30"/>
          <w:szCs w:val="30"/>
        </w:rPr>
        <w:t>（5） 移交相应实施阶段已经付款的并已完成的和尚待完成的设计文件、图纸、资料、操作维修手册、施工组织设计、质检资料、竣工资料等；</w:t>
      </w:r>
    </w:p>
    <w:p w14:paraId="5A9027BB">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6.1.3 </w:t>
      </w:r>
      <w:r>
        <w:rPr>
          <w:rFonts w:hint="eastAsia" w:ascii="仿宋_GB2312" w:eastAsia="仿宋_GB2312"/>
          <w:sz w:val="30"/>
          <w:szCs w:val="30"/>
        </w:rPr>
        <w:t>因承包人违约解除合同后的估价、付款和结算</w:t>
      </w:r>
    </w:p>
    <w:p w14:paraId="3C2BA03A">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因承包人原因导致合同解除的，则合同当事人应在合同解除后28天内完成估价、付款和清算，并按以下约定执行：</w:t>
      </w:r>
    </w:p>
    <w:p w14:paraId="2C3668B8">
      <w:pPr>
        <w:wordWrap/>
        <w:topLinePunct w:val="0"/>
        <w:spacing w:after="120"/>
        <w:ind w:firstLine="600"/>
        <w:rPr>
          <w:rFonts w:ascii="仿宋_GB2312" w:eastAsia="仿宋_GB2312"/>
          <w:sz w:val="30"/>
          <w:szCs w:val="30"/>
        </w:rPr>
      </w:pPr>
      <w:r>
        <w:rPr>
          <w:rFonts w:hint="eastAsia" w:ascii="仿宋_GB2312" w:eastAsia="仿宋_GB2312"/>
          <w:sz w:val="30"/>
          <w:szCs w:val="30"/>
        </w:rPr>
        <w:t>（1） 合同解除后，按第</w:t>
      </w:r>
      <w:r>
        <w:rPr>
          <w:rFonts w:ascii="仿宋_GB2312" w:eastAsia="仿宋_GB2312"/>
          <w:sz w:val="30"/>
          <w:szCs w:val="30"/>
        </w:rPr>
        <w:t>3.6</w:t>
      </w:r>
      <w:r>
        <w:rPr>
          <w:rFonts w:hint="eastAsia" w:ascii="仿宋_GB2312" w:eastAsia="仿宋_GB2312"/>
          <w:sz w:val="30"/>
          <w:szCs w:val="30"/>
        </w:rPr>
        <w:t>款[商定或确定]商定或确定承包人实际完成工作对应的合同价款，以及承包人已提供的材料、工程设备、施工设备和临时工程等的价值；</w:t>
      </w:r>
    </w:p>
    <w:p w14:paraId="0C418738">
      <w:pPr>
        <w:wordWrap/>
        <w:topLinePunct w:val="0"/>
        <w:spacing w:after="120"/>
        <w:ind w:firstLine="600"/>
        <w:rPr>
          <w:rFonts w:ascii="仿宋_GB2312" w:eastAsia="仿宋_GB2312"/>
          <w:sz w:val="30"/>
          <w:szCs w:val="30"/>
        </w:rPr>
      </w:pPr>
      <w:r>
        <w:rPr>
          <w:rFonts w:hint="eastAsia" w:ascii="仿宋_GB2312" w:eastAsia="仿宋_GB2312"/>
          <w:sz w:val="30"/>
          <w:szCs w:val="30"/>
        </w:rPr>
        <w:t>（2） 合同解除后，承包人应支付的违约金；</w:t>
      </w:r>
    </w:p>
    <w:p w14:paraId="3E040F59">
      <w:pPr>
        <w:wordWrap/>
        <w:topLinePunct w:val="0"/>
        <w:spacing w:after="120"/>
        <w:ind w:firstLine="600"/>
        <w:rPr>
          <w:rFonts w:ascii="仿宋_GB2312" w:eastAsia="仿宋_GB2312"/>
          <w:sz w:val="30"/>
          <w:szCs w:val="30"/>
        </w:rPr>
      </w:pPr>
      <w:r>
        <w:rPr>
          <w:rFonts w:hint="eastAsia" w:ascii="仿宋_GB2312" w:eastAsia="仿宋_GB2312"/>
          <w:sz w:val="30"/>
          <w:szCs w:val="30"/>
        </w:rPr>
        <w:t>（3） 合同解除后，因解除合同给发包人造成的损失；</w:t>
      </w:r>
    </w:p>
    <w:p w14:paraId="2F92B8DF">
      <w:pPr>
        <w:wordWrap/>
        <w:topLinePunct w:val="0"/>
        <w:spacing w:after="120"/>
        <w:ind w:firstLine="600"/>
        <w:rPr>
          <w:rFonts w:ascii="仿宋_GB2312" w:eastAsia="仿宋_GB2312"/>
          <w:sz w:val="30"/>
          <w:szCs w:val="30"/>
        </w:rPr>
      </w:pPr>
      <w:r>
        <w:rPr>
          <w:rFonts w:hint="eastAsia" w:ascii="仿宋_GB2312" w:eastAsia="仿宋_GB2312"/>
          <w:sz w:val="30"/>
          <w:szCs w:val="30"/>
        </w:rPr>
        <w:t>（4） 合同解除后，承包人应按照发包人的指示完成现场的清理和撤离；</w:t>
      </w:r>
    </w:p>
    <w:p w14:paraId="36071994">
      <w:pPr>
        <w:wordWrap/>
        <w:topLinePunct w:val="0"/>
        <w:spacing w:after="120"/>
        <w:ind w:firstLine="600"/>
        <w:rPr>
          <w:rFonts w:ascii="仿宋_GB2312" w:eastAsia="仿宋_GB2312"/>
          <w:sz w:val="30"/>
          <w:szCs w:val="30"/>
        </w:rPr>
      </w:pPr>
      <w:r>
        <w:rPr>
          <w:rFonts w:hint="eastAsia" w:ascii="仿宋_GB2312" w:eastAsia="仿宋_GB2312"/>
          <w:sz w:val="30"/>
          <w:szCs w:val="30"/>
        </w:rPr>
        <w:t>（5） 发包人和承包人应在合同解除后进行清算，出具最终结清付款证书，结清全部款项。</w:t>
      </w:r>
    </w:p>
    <w:p w14:paraId="1E2490BF">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因承包人违约解除合同的，发包人有权暂停对承包人的付款，查清各项付款和已扣款项，发包人和承包人未能就合同解除后的清算和款项支付达成一致的，按照第</w:t>
      </w:r>
      <w:r>
        <w:rPr>
          <w:rFonts w:ascii="仿宋_GB2312" w:eastAsia="仿宋_GB2312"/>
          <w:sz w:val="30"/>
          <w:szCs w:val="30"/>
        </w:rPr>
        <w:t>20条[争议解决]的约定处理</w:t>
      </w:r>
      <w:r>
        <w:rPr>
          <w:rFonts w:hint="eastAsia" w:ascii="仿宋_GB2312" w:eastAsia="仿宋_GB2312"/>
          <w:sz w:val="30"/>
          <w:szCs w:val="30"/>
        </w:rPr>
        <w:t>。</w:t>
      </w:r>
    </w:p>
    <w:p w14:paraId="6DC79E00">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6.1.4 </w:t>
      </w:r>
      <w:r>
        <w:rPr>
          <w:rFonts w:hint="eastAsia" w:ascii="仿宋_GB2312" w:eastAsia="仿宋_GB2312"/>
          <w:sz w:val="30"/>
          <w:szCs w:val="30"/>
        </w:rPr>
        <w:t>因承包人违约解除合同的合同权益转让</w:t>
      </w:r>
    </w:p>
    <w:p w14:paraId="4065D70C">
      <w:pPr>
        <w:wordWrap/>
        <w:topLinePunct w:val="0"/>
        <w:spacing w:after="120"/>
        <w:ind w:firstLine="600"/>
        <w:rPr>
          <w:rFonts w:ascii="仿宋_GB2312" w:eastAsia="仿宋_GB2312"/>
          <w:sz w:val="30"/>
          <w:szCs w:val="30"/>
        </w:rPr>
      </w:pPr>
      <w:r>
        <w:rPr>
          <w:rFonts w:hint="eastAsia" w:ascii="仿宋_GB2312" w:eastAsia="仿宋_GB2312"/>
          <w:sz w:val="30"/>
          <w:szCs w:val="30"/>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2A51A5EA">
      <w:pPr>
        <w:spacing w:after="120"/>
        <w:ind w:firstLine="560"/>
        <w:rPr>
          <w:rFonts w:ascii="仿宋_GB2312" w:eastAsia="仿宋_GB2312"/>
          <w:sz w:val="28"/>
          <w:szCs w:val="28"/>
        </w:rPr>
      </w:pPr>
      <w:bookmarkStart w:id="739" w:name="_Ref531958549"/>
      <w:bookmarkStart w:id="740" w:name="_Ref531958554"/>
      <w:bookmarkStart w:id="741" w:name="_Toc54862305"/>
      <w:r>
        <w:rPr>
          <w:rFonts w:hint="eastAsia" w:ascii="仿宋_GB2312" w:eastAsia="仿宋_GB2312"/>
          <w:sz w:val="28"/>
          <w:szCs w:val="28"/>
        </w:rPr>
        <w:t>16.2 由承包人解除合同</w:t>
      </w:r>
      <w:bookmarkEnd w:id="739"/>
      <w:bookmarkEnd w:id="740"/>
      <w:bookmarkEnd w:id="741"/>
    </w:p>
    <w:p w14:paraId="380FF05A">
      <w:pPr>
        <w:spacing w:after="120"/>
        <w:ind w:firstLine="600"/>
        <w:rPr>
          <w:rFonts w:ascii="仿宋_GB2312" w:eastAsia="仿宋_GB2312"/>
          <w:sz w:val="30"/>
          <w:szCs w:val="30"/>
        </w:rPr>
      </w:pPr>
      <w:bookmarkStart w:id="742" w:name="_Ref3841758"/>
      <w:r>
        <w:rPr>
          <w:rFonts w:hint="eastAsia" w:ascii="仿宋_GB2312" w:eastAsia="仿宋_GB2312"/>
          <w:sz w:val="30"/>
          <w:szCs w:val="30"/>
        </w:rPr>
        <w:t>1</w:t>
      </w:r>
      <w:r>
        <w:rPr>
          <w:rFonts w:ascii="仿宋_GB2312" w:eastAsia="仿宋_GB2312"/>
          <w:sz w:val="30"/>
          <w:szCs w:val="30"/>
        </w:rPr>
        <w:t xml:space="preserve">6.2.1 </w:t>
      </w:r>
      <w:r>
        <w:rPr>
          <w:rFonts w:hint="eastAsia" w:ascii="仿宋_GB2312" w:eastAsia="仿宋_GB2312"/>
          <w:sz w:val="30"/>
          <w:szCs w:val="30"/>
        </w:rPr>
        <w:t>因发包人违约解除合同</w:t>
      </w:r>
      <w:bookmarkEnd w:id="742"/>
    </w:p>
    <w:p w14:paraId="2C9E7F3E">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除专用合同条件另有约定外，承包人有权基于下列原因，以书面形式通知发包人解除合同，解除通知中应注明是根据第</w:t>
      </w:r>
      <w:r>
        <w:rPr>
          <w:rFonts w:ascii="仿宋_GB2312" w:eastAsia="仿宋_GB2312"/>
          <w:sz w:val="30"/>
          <w:szCs w:val="30"/>
        </w:rPr>
        <w:t>16.2.1</w:t>
      </w:r>
      <w:r>
        <w:rPr>
          <w:rFonts w:hint="eastAsia" w:ascii="仿宋_GB2312" w:eastAsia="仿宋_GB2312"/>
          <w:sz w:val="30"/>
          <w:szCs w:val="30"/>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0A533EF5">
      <w:pPr>
        <w:wordWrap/>
        <w:topLinePunct w:val="0"/>
        <w:spacing w:after="120"/>
        <w:ind w:firstLine="600"/>
        <w:rPr>
          <w:rFonts w:ascii="仿宋_GB2312" w:eastAsia="仿宋_GB2312"/>
          <w:sz w:val="30"/>
          <w:szCs w:val="30"/>
        </w:rPr>
      </w:pPr>
      <w:r>
        <w:rPr>
          <w:rFonts w:hint="eastAsia" w:ascii="仿宋_GB2312" w:eastAsia="仿宋_GB2312"/>
          <w:sz w:val="30"/>
          <w:szCs w:val="30"/>
        </w:rPr>
        <w:t>（1） 承包人就发包人未能遵守第2.</w:t>
      </w:r>
      <w:r>
        <w:rPr>
          <w:rFonts w:ascii="仿宋_GB2312" w:eastAsia="仿宋_GB2312"/>
          <w:sz w:val="30"/>
          <w:szCs w:val="30"/>
        </w:rPr>
        <w:t>5.2</w:t>
      </w:r>
      <w:r>
        <w:rPr>
          <w:rFonts w:hint="eastAsia" w:ascii="仿宋_GB2312" w:eastAsia="仿宋_GB2312"/>
          <w:sz w:val="30"/>
          <w:szCs w:val="30"/>
        </w:rPr>
        <w:t>项关于发包人的资金安排发出通知后42天内，仍未收到合理的证明；</w:t>
      </w:r>
    </w:p>
    <w:p w14:paraId="790BE997">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（2） 在第14条规定的付款时间到期后42天内，承包人仍未收到应付款项； </w:t>
      </w:r>
    </w:p>
    <w:p w14:paraId="1C0652AA">
      <w:pPr>
        <w:wordWrap/>
        <w:topLinePunct w:val="0"/>
        <w:spacing w:after="120"/>
        <w:ind w:firstLine="600"/>
        <w:rPr>
          <w:rFonts w:ascii="仿宋_GB2312" w:eastAsia="仿宋_GB2312"/>
          <w:sz w:val="30"/>
          <w:szCs w:val="30"/>
        </w:rPr>
      </w:pPr>
      <w:r>
        <w:rPr>
          <w:rFonts w:hint="eastAsia" w:ascii="仿宋_GB2312" w:eastAsia="仿宋_GB2312"/>
          <w:sz w:val="30"/>
          <w:szCs w:val="30"/>
        </w:rPr>
        <w:t>（3） 发包人实质上未能根据合同约定履行其义务，构成根本性违约；</w:t>
      </w:r>
    </w:p>
    <w:p w14:paraId="7CE38DEB">
      <w:pPr>
        <w:wordWrap/>
        <w:topLinePunct w:val="0"/>
        <w:spacing w:after="120"/>
        <w:ind w:firstLine="600"/>
        <w:rPr>
          <w:rFonts w:ascii="仿宋_GB2312" w:eastAsia="仿宋_GB2312"/>
          <w:sz w:val="30"/>
          <w:szCs w:val="30"/>
        </w:rPr>
      </w:pPr>
      <w:r>
        <w:rPr>
          <w:rFonts w:hint="eastAsia" w:ascii="仿宋_GB2312" w:eastAsia="仿宋_GB2312"/>
          <w:sz w:val="30"/>
          <w:szCs w:val="30"/>
        </w:rPr>
        <w:t>（4） 发承包双方订立本合同协议书后的84天内，承包人未收到根据第</w:t>
      </w:r>
      <w:r>
        <w:rPr>
          <w:rFonts w:ascii="仿宋_GB2312" w:eastAsia="仿宋_GB2312"/>
          <w:sz w:val="30"/>
          <w:szCs w:val="30"/>
        </w:rPr>
        <w:t>8.1</w:t>
      </w:r>
      <w:r>
        <w:rPr>
          <w:rFonts w:hint="eastAsia" w:ascii="仿宋_GB2312" w:eastAsia="仿宋_GB2312"/>
          <w:sz w:val="30"/>
          <w:szCs w:val="30"/>
        </w:rPr>
        <w:t>款[开始工作]的开始工作通知；</w:t>
      </w:r>
    </w:p>
    <w:p w14:paraId="5C45DC0E">
      <w:pPr>
        <w:wordWrap/>
        <w:topLinePunct w:val="0"/>
        <w:spacing w:after="120"/>
        <w:ind w:firstLine="600"/>
        <w:rPr>
          <w:rFonts w:ascii="仿宋_GB2312" w:eastAsia="仿宋_GB2312"/>
          <w:sz w:val="30"/>
          <w:szCs w:val="30"/>
        </w:rPr>
      </w:pPr>
      <w:r>
        <w:rPr>
          <w:rFonts w:hint="eastAsia" w:ascii="仿宋_GB2312" w:eastAsia="仿宋_GB2312"/>
          <w:sz w:val="30"/>
          <w:szCs w:val="30"/>
        </w:rPr>
        <w:t>（5） 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10136B19">
      <w:pPr>
        <w:wordWrap/>
        <w:topLinePunct w:val="0"/>
        <w:spacing w:after="120"/>
        <w:ind w:firstLine="600"/>
        <w:rPr>
          <w:rFonts w:ascii="仿宋_GB2312" w:eastAsia="仿宋_GB2312"/>
          <w:sz w:val="30"/>
          <w:szCs w:val="30"/>
        </w:rPr>
      </w:pPr>
      <w:r>
        <w:rPr>
          <w:rFonts w:hint="eastAsia" w:ascii="仿宋_GB2312" w:eastAsia="仿宋_GB2312"/>
          <w:sz w:val="30"/>
          <w:szCs w:val="30"/>
        </w:rPr>
        <w:t>（6） 发包人未能遵守第</w:t>
      </w:r>
      <w:r>
        <w:rPr>
          <w:rFonts w:ascii="仿宋_GB2312" w:eastAsia="仿宋_GB2312"/>
          <w:sz w:val="30"/>
          <w:szCs w:val="30"/>
        </w:rPr>
        <w:t>2.5.3</w:t>
      </w:r>
      <w:r>
        <w:rPr>
          <w:rFonts w:hint="eastAsia" w:ascii="仿宋_GB2312" w:eastAsia="仿宋_GB2312"/>
          <w:sz w:val="30"/>
          <w:szCs w:val="30"/>
        </w:rPr>
        <w:t>项的约定提交支付担保；</w:t>
      </w:r>
    </w:p>
    <w:p w14:paraId="47493412">
      <w:pPr>
        <w:wordWrap/>
        <w:topLinePunct w:val="0"/>
        <w:spacing w:after="120"/>
        <w:ind w:firstLine="600"/>
        <w:rPr>
          <w:rFonts w:ascii="仿宋_GB2312" w:eastAsia="仿宋_GB2312"/>
          <w:sz w:val="30"/>
          <w:szCs w:val="30"/>
        </w:rPr>
      </w:pPr>
      <w:r>
        <w:rPr>
          <w:rFonts w:hint="eastAsia" w:ascii="仿宋_GB2312" w:eastAsia="仿宋_GB2312"/>
          <w:sz w:val="30"/>
          <w:szCs w:val="30"/>
        </w:rPr>
        <w:t>（7） 发包人未能执行第</w:t>
      </w:r>
      <w:r>
        <w:rPr>
          <w:rFonts w:ascii="仿宋_GB2312" w:eastAsia="仿宋_GB2312"/>
          <w:sz w:val="30"/>
          <w:szCs w:val="30"/>
        </w:rPr>
        <w:t>15.1.2</w:t>
      </w:r>
      <w:r>
        <w:rPr>
          <w:rFonts w:hint="eastAsia" w:ascii="仿宋_GB2312" w:eastAsia="仿宋_GB2312"/>
          <w:sz w:val="30"/>
          <w:szCs w:val="30"/>
        </w:rPr>
        <w:t>项[通知改正]的约定，致使合同目的不能实现的；</w:t>
      </w:r>
    </w:p>
    <w:p w14:paraId="1F72378E">
      <w:pPr>
        <w:wordWrap/>
        <w:topLinePunct w:val="0"/>
        <w:spacing w:after="120"/>
        <w:ind w:firstLine="600"/>
        <w:rPr>
          <w:rFonts w:ascii="仿宋_GB2312" w:eastAsia="仿宋_GB2312"/>
          <w:sz w:val="30"/>
          <w:szCs w:val="30"/>
        </w:rPr>
      </w:pPr>
      <w:r>
        <w:rPr>
          <w:rFonts w:hint="eastAsia" w:ascii="仿宋_GB2312" w:eastAsia="仿宋_GB2312"/>
          <w:sz w:val="30"/>
          <w:szCs w:val="30"/>
        </w:rPr>
        <w:t>（8） 因发包人的原因暂停工作超过56天且暂停影响到整个工程，或因发包人的原因暂停工作超过182天的；</w:t>
      </w:r>
    </w:p>
    <w:p w14:paraId="710A8C08">
      <w:pPr>
        <w:wordWrap/>
        <w:topLinePunct w:val="0"/>
        <w:spacing w:after="120"/>
        <w:ind w:firstLine="600"/>
        <w:rPr>
          <w:rFonts w:ascii="仿宋_GB2312" w:eastAsia="仿宋_GB2312"/>
          <w:sz w:val="30"/>
          <w:szCs w:val="30"/>
        </w:rPr>
      </w:pPr>
      <w:r>
        <w:rPr>
          <w:rFonts w:hint="eastAsia" w:ascii="仿宋_GB2312" w:eastAsia="仿宋_GB2312"/>
          <w:sz w:val="30"/>
          <w:szCs w:val="30"/>
        </w:rPr>
        <w:t>（9） 因发包人原因造成开始工作日期迟于承包人收到中标通知书（或在无中标通知书的情况下，订立本合同之日）后第</w:t>
      </w:r>
      <w:r>
        <w:rPr>
          <w:rFonts w:ascii="仿宋_GB2312" w:eastAsia="仿宋_GB2312"/>
          <w:sz w:val="30"/>
          <w:szCs w:val="30"/>
        </w:rPr>
        <w:t>84</w:t>
      </w:r>
      <w:r>
        <w:rPr>
          <w:rFonts w:hint="eastAsia" w:ascii="仿宋_GB2312" w:eastAsia="仿宋_GB2312"/>
          <w:sz w:val="30"/>
          <w:szCs w:val="30"/>
        </w:rPr>
        <w:t>天的。</w:t>
      </w:r>
    </w:p>
    <w:p w14:paraId="13C655D6">
      <w:pPr>
        <w:wordWrap/>
        <w:topLinePunct w:val="0"/>
        <w:spacing w:after="120"/>
        <w:ind w:firstLine="600"/>
        <w:rPr>
          <w:rFonts w:ascii="仿宋_GB2312" w:eastAsia="仿宋_GB2312"/>
          <w:sz w:val="30"/>
          <w:szCs w:val="30"/>
        </w:rPr>
      </w:pPr>
      <w:r>
        <w:rPr>
          <w:rFonts w:hint="eastAsia" w:ascii="仿宋_GB2312" w:eastAsia="仿宋_GB2312"/>
          <w:sz w:val="30"/>
          <w:szCs w:val="30"/>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04A69712">
      <w:pPr>
        <w:spacing w:after="120"/>
        <w:ind w:firstLine="600"/>
        <w:rPr>
          <w:rFonts w:ascii="仿宋_GB2312" w:eastAsia="仿宋_GB2312"/>
          <w:sz w:val="30"/>
          <w:szCs w:val="30"/>
        </w:rPr>
      </w:pPr>
      <w:bookmarkStart w:id="743" w:name="_Ref3842018"/>
      <w:bookmarkStart w:id="744" w:name="_Ref4624336"/>
      <w:r>
        <w:rPr>
          <w:rFonts w:hint="eastAsia" w:ascii="仿宋_GB2312" w:eastAsia="仿宋_GB2312"/>
          <w:sz w:val="30"/>
          <w:szCs w:val="30"/>
        </w:rPr>
        <w:t>1</w:t>
      </w:r>
      <w:r>
        <w:rPr>
          <w:rFonts w:ascii="仿宋_GB2312" w:eastAsia="仿宋_GB2312"/>
          <w:sz w:val="30"/>
          <w:szCs w:val="30"/>
        </w:rPr>
        <w:t xml:space="preserve">6.2.2 </w:t>
      </w:r>
      <w:r>
        <w:rPr>
          <w:rFonts w:hint="eastAsia" w:ascii="仿宋_GB2312" w:eastAsia="仿宋_GB2312"/>
          <w:sz w:val="30"/>
          <w:szCs w:val="30"/>
        </w:rPr>
        <w:t>因发包人违约解除合同后</w:t>
      </w:r>
      <w:bookmarkEnd w:id="743"/>
      <w:r>
        <w:rPr>
          <w:rFonts w:hint="eastAsia" w:ascii="仿宋_GB2312" w:eastAsia="仿宋_GB2312"/>
          <w:sz w:val="30"/>
          <w:szCs w:val="30"/>
        </w:rPr>
        <w:t>承包人的义务</w:t>
      </w:r>
      <w:bookmarkEnd w:id="744"/>
    </w:p>
    <w:p w14:paraId="6B0B7D66">
      <w:pPr>
        <w:pStyle w:val="114"/>
        <w:numPr>
          <w:ilvl w:val="0"/>
          <w:numId w:val="0"/>
        </w:numPr>
        <w:spacing w:after="120"/>
        <w:ind w:left="1000"/>
        <w:outlineLvl w:val="9"/>
        <w:rPr>
          <w:rFonts w:ascii="仿宋_GB2312" w:eastAsia="仿宋_GB2312"/>
          <w:sz w:val="30"/>
          <w:szCs w:val="30"/>
        </w:rPr>
      </w:pPr>
      <w:r>
        <w:rPr>
          <w:rFonts w:hint="eastAsia" w:ascii="仿宋_GB2312" w:eastAsia="仿宋_GB2312"/>
          <w:sz w:val="30"/>
          <w:szCs w:val="30"/>
        </w:rPr>
        <w:t>合同解除后，承包人应按以下约定执行：</w:t>
      </w:r>
    </w:p>
    <w:p w14:paraId="34DA0C33">
      <w:pPr>
        <w:wordWrap/>
        <w:topLinePunct w:val="0"/>
        <w:spacing w:after="120"/>
        <w:ind w:firstLine="600"/>
        <w:rPr>
          <w:rFonts w:ascii="仿宋_GB2312" w:eastAsia="仿宋_GB2312"/>
          <w:sz w:val="30"/>
          <w:szCs w:val="30"/>
        </w:rPr>
      </w:pPr>
      <w:r>
        <w:rPr>
          <w:rFonts w:hint="eastAsia" w:ascii="仿宋_GB2312" w:eastAsia="仿宋_GB2312"/>
          <w:sz w:val="30"/>
          <w:szCs w:val="30"/>
        </w:rPr>
        <w:t>（1） 除为保护生命、财产、工程安全的工作外，停止所有进一步的工作；承包人因执行该保护工作而产生费用的，由发包人承担；</w:t>
      </w:r>
    </w:p>
    <w:p w14:paraId="1ADE60A0">
      <w:pPr>
        <w:wordWrap/>
        <w:topLinePunct w:val="0"/>
        <w:spacing w:after="120"/>
        <w:ind w:firstLine="600"/>
        <w:rPr>
          <w:rFonts w:ascii="仿宋_GB2312" w:eastAsia="仿宋_GB2312"/>
          <w:sz w:val="30"/>
          <w:szCs w:val="30"/>
        </w:rPr>
      </w:pPr>
      <w:r>
        <w:rPr>
          <w:rFonts w:hint="eastAsia" w:ascii="仿宋_GB2312" w:eastAsia="仿宋_GB2312"/>
          <w:sz w:val="30"/>
          <w:szCs w:val="30"/>
        </w:rPr>
        <w:t>（2） 向发包人移交承包人已获得支付的承包人文件、生产设备、材料和其他工作；</w:t>
      </w:r>
    </w:p>
    <w:p w14:paraId="53373E84">
      <w:pPr>
        <w:wordWrap/>
        <w:topLinePunct w:val="0"/>
        <w:spacing w:after="120"/>
        <w:ind w:firstLine="600"/>
        <w:rPr>
          <w:rFonts w:ascii="仿宋_GB2312" w:eastAsia="仿宋_GB2312"/>
          <w:sz w:val="30"/>
          <w:szCs w:val="30"/>
        </w:rPr>
      </w:pPr>
      <w:r>
        <w:rPr>
          <w:rFonts w:hint="eastAsia" w:ascii="仿宋_GB2312" w:eastAsia="仿宋_GB2312"/>
          <w:sz w:val="30"/>
          <w:szCs w:val="30"/>
        </w:rPr>
        <w:t>（3） 从现场运走除为了安全需要以外的所有属于承包人的其他货物，并撤离现场。</w:t>
      </w:r>
    </w:p>
    <w:p w14:paraId="40F03169">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6.2.3 </w:t>
      </w:r>
      <w:r>
        <w:rPr>
          <w:rFonts w:hint="eastAsia" w:ascii="仿宋_GB2312" w:eastAsia="仿宋_GB2312"/>
          <w:sz w:val="30"/>
          <w:szCs w:val="30"/>
        </w:rPr>
        <w:t>因发包人违约解除合同后的付款</w:t>
      </w:r>
    </w:p>
    <w:p w14:paraId="1DB88B75">
      <w:pPr>
        <w:wordWrap/>
        <w:topLinePunct w:val="0"/>
        <w:spacing w:after="120"/>
        <w:ind w:firstLine="600"/>
        <w:rPr>
          <w:rFonts w:ascii="仿宋_GB2312" w:eastAsia="仿宋_GB2312"/>
          <w:sz w:val="30"/>
          <w:szCs w:val="30"/>
        </w:rPr>
      </w:pPr>
      <w:r>
        <w:rPr>
          <w:rFonts w:hint="eastAsia" w:ascii="仿宋_GB2312" w:eastAsia="仿宋_GB2312"/>
          <w:sz w:val="30"/>
          <w:szCs w:val="30"/>
        </w:rPr>
        <w:t>承包人按照本款约定解除合同的，发包人应在解除合同后28天内支付下列款项，并退还履约担保：</w:t>
      </w:r>
    </w:p>
    <w:p w14:paraId="79F75979">
      <w:pPr>
        <w:wordWrap/>
        <w:topLinePunct w:val="0"/>
        <w:spacing w:after="120"/>
        <w:ind w:firstLine="600"/>
        <w:rPr>
          <w:rFonts w:ascii="仿宋_GB2312" w:eastAsia="仿宋_GB2312"/>
          <w:sz w:val="30"/>
          <w:szCs w:val="30"/>
        </w:rPr>
      </w:pPr>
      <w:r>
        <w:rPr>
          <w:rFonts w:hint="eastAsia" w:ascii="仿宋_GB2312" w:eastAsia="仿宋_GB2312"/>
          <w:sz w:val="30"/>
          <w:szCs w:val="30"/>
        </w:rPr>
        <w:t>（1） 合同解除前所完成工作的价款；</w:t>
      </w:r>
    </w:p>
    <w:p w14:paraId="428B92DA">
      <w:pPr>
        <w:wordWrap/>
        <w:topLinePunct w:val="0"/>
        <w:spacing w:after="120"/>
        <w:ind w:firstLine="600"/>
        <w:rPr>
          <w:rFonts w:ascii="仿宋_GB2312" w:eastAsia="仿宋_GB2312"/>
          <w:sz w:val="30"/>
          <w:szCs w:val="30"/>
        </w:rPr>
      </w:pPr>
      <w:r>
        <w:rPr>
          <w:rFonts w:hint="eastAsia" w:ascii="仿宋_GB2312" w:eastAsia="仿宋_GB2312"/>
          <w:sz w:val="30"/>
          <w:szCs w:val="30"/>
        </w:rPr>
        <w:t>（2） 承包人为工程施工订购并已付款的材料、工程设备和其他物品的价款；发包人付款后，该材料、工程设备和其他物品归发包人所有；</w:t>
      </w:r>
    </w:p>
    <w:p w14:paraId="5FC6D0CB">
      <w:pPr>
        <w:wordWrap/>
        <w:topLinePunct w:val="0"/>
        <w:spacing w:after="120"/>
        <w:ind w:firstLine="600"/>
        <w:rPr>
          <w:rFonts w:ascii="仿宋_GB2312" w:eastAsia="仿宋_GB2312"/>
          <w:sz w:val="30"/>
          <w:szCs w:val="30"/>
        </w:rPr>
      </w:pPr>
      <w:r>
        <w:rPr>
          <w:rFonts w:hint="eastAsia" w:ascii="仿宋_GB2312" w:eastAsia="仿宋_GB2312"/>
          <w:sz w:val="30"/>
          <w:szCs w:val="30"/>
        </w:rPr>
        <w:t>（3） 承包人为完成工程所发生的，而发包人未支付的金额；</w:t>
      </w:r>
    </w:p>
    <w:p w14:paraId="35A38E67">
      <w:pPr>
        <w:wordWrap/>
        <w:topLinePunct w:val="0"/>
        <w:spacing w:after="120"/>
        <w:ind w:firstLine="600"/>
        <w:rPr>
          <w:rFonts w:ascii="仿宋_GB2312" w:eastAsia="仿宋_GB2312"/>
          <w:sz w:val="30"/>
          <w:szCs w:val="30"/>
        </w:rPr>
      </w:pPr>
      <w:r>
        <w:rPr>
          <w:rFonts w:hint="eastAsia" w:ascii="仿宋_GB2312" w:eastAsia="仿宋_GB2312"/>
          <w:sz w:val="30"/>
          <w:szCs w:val="30"/>
        </w:rPr>
        <w:t>（4） 承包人撤离施工现场以及遣散承包人人员的款项；</w:t>
      </w:r>
    </w:p>
    <w:p w14:paraId="3C2E1A4E">
      <w:pPr>
        <w:wordWrap/>
        <w:topLinePunct w:val="0"/>
        <w:spacing w:after="120"/>
        <w:ind w:firstLine="600"/>
        <w:rPr>
          <w:rFonts w:ascii="仿宋_GB2312" w:eastAsia="仿宋_GB2312"/>
          <w:sz w:val="30"/>
          <w:szCs w:val="30"/>
        </w:rPr>
      </w:pPr>
      <w:r>
        <w:rPr>
          <w:rFonts w:hint="eastAsia" w:ascii="仿宋_GB2312" w:eastAsia="仿宋_GB2312"/>
          <w:sz w:val="30"/>
          <w:szCs w:val="30"/>
        </w:rPr>
        <w:t>（5） 按照合同约定在合同解除前应支付的违约金；</w:t>
      </w:r>
    </w:p>
    <w:p w14:paraId="0AE706D6">
      <w:pPr>
        <w:wordWrap/>
        <w:topLinePunct w:val="0"/>
        <w:spacing w:after="120"/>
        <w:ind w:firstLine="600"/>
        <w:rPr>
          <w:rFonts w:ascii="仿宋_GB2312" w:eastAsia="仿宋_GB2312"/>
          <w:sz w:val="30"/>
          <w:szCs w:val="30"/>
        </w:rPr>
      </w:pPr>
      <w:r>
        <w:rPr>
          <w:rFonts w:hint="eastAsia" w:ascii="仿宋_GB2312" w:eastAsia="仿宋_GB2312"/>
          <w:sz w:val="30"/>
          <w:szCs w:val="30"/>
        </w:rPr>
        <w:t>（6） 按照合同约定应当支付给承包人的其他款项；</w:t>
      </w:r>
    </w:p>
    <w:p w14:paraId="0C18568F">
      <w:pPr>
        <w:wordWrap/>
        <w:topLinePunct w:val="0"/>
        <w:spacing w:after="120"/>
        <w:ind w:firstLine="600"/>
        <w:rPr>
          <w:rFonts w:ascii="仿宋_GB2312" w:eastAsia="仿宋_GB2312"/>
          <w:sz w:val="30"/>
          <w:szCs w:val="30"/>
        </w:rPr>
      </w:pPr>
      <w:r>
        <w:rPr>
          <w:rFonts w:hint="eastAsia" w:ascii="仿宋_GB2312" w:eastAsia="仿宋_GB2312"/>
          <w:sz w:val="30"/>
          <w:szCs w:val="30"/>
        </w:rPr>
        <w:t>（7） 按照合同约定应返还的质量保证金；</w:t>
      </w:r>
    </w:p>
    <w:p w14:paraId="297E29EB">
      <w:pPr>
        <w:wordWrap/>
        <w:topLinePunct w:val="0"/>
        <w:spacing w:after="120"/>
        <w:ind w:firstLine="600"/>
        <w:rPr>
          <w:rFonts w:ascii="仿宋_GB2312" w:eastAsia="仿宋_GB2312"/>
          <w:sz w:val="30"/>
          <w:szCs w:val="30"/>
        </w:rPr>
      </w:pPr>
      <w:r>
        <w:rPr>
          <w:rFonts w:hint="eastAsia" w:ascii="仿宋_GB2312" w:eastAsia="仿宋_GB2312"/>
          <w:sz w:val="30"/>
          <w:szCs w:val="30"/>
        </w:rPr>
        <w:t>（8） 因解除合同给承包人造成的损失。</w:t>
      </w:r>
    </w:p>
    <w:p w14:paraId="3144CF9A">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承包人应妥善做好已完工程和与工程有关的已购材料、工程设备的保护和移交工作，并将施工设备和人员撤出施工现场，发包人应为承包人撤出提供必要条件。</w:t>
      </w:r>
    </w:p>
    <w:p w14:paraId="11B2405B">
      <w:pPr>
        <w:spacing w:after="120"/>
        <w:ind w:firstLine="560"/>
        <w:rPr>
          <w:rFonts w:ascii="仿宋_GB2312" w:eastAsia="仿宋_GB2312"/>
          <w:sz w:val="28"/>
          <w:szCs w:val="28"/>
        </w:rPr>
      </w:pPr>
      <w:bookmarkStart w:id="745" w:name="_Ref3841966"/>
      <w:bookmarkStart w:id="746" w:name="_Toc54862306"/>
      <w:r>
        <w:rPr>
          <w:rFonts w:hint="eastAsia" w:ascii="仿宋_GB2312" w:eastAsia="仿宋_GB2312"/>
          <w:sz w:val="28"/>
          <w:szCs w:val="28"/>
        </w:rPr>
        <w:t>16.3 合同解除后的事项</w:t>
      </w:r>
      <w:bookmarkEnd w:id="745"/>
      <w:bookmarkEnd w:id="746"/>
    </w:p>
    <w:p w14:paraId="5A33FDF2">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6.3.1 </w:t>
      </w:r>
      <w:r>
        <w:rPr>
          <w:rFonts w:hint="eastAsia" w:ascii="仿宋_GB2312" w:eastAsia="仿宋_GB2312"/>
          <w:sz w:val="30"/>
          <w:szCs w:val="30"/>
        </w:rPr>
        <w:t>结算约定依然有效</w:t>
      </w:r>
    </w:p>
    <w:p w14:paraId="5012A8CD">
      <w:pPr>
        <w:wordWrap/>
        <w:topLinePunct w:val="0"/>
        <w:spacing w:after="120"/>
        <w:ind w:firstLine="600"/>
        <w:rPr>
          <w:rFonts w:ascii="仿宋_GB2312" w:eastAsia="仿宋_GB2312"/>
          <w:sz w:val="30"/>
          <w:szCs w:val="30"/>
        </w:rPr>
      </w:pPr>
      <w:r>
        <w:rPr>
          <w:rFonts w:hint="eastAsia" w:ascii="仿宋_GB2312" w:eastAsia="仿宋_GB2312"/>
          <w:sz w:val="30"/>
          <w:szCs w:val="30"/>
        </w:rPr>
        <w:t>合同解除后，由发包人或由承包人解除合同的结算及结算后的付款约定仍然有效，直至解除合同的结算工作结清。</w:t>
      </w:r>
    </w:p>
    <w:p w14:paraId="6FB784C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6.3.2 </w:t>
      </w:r>
      <w:r>
        <w:rPr>
          <w:rFonts w:hint="eastAsia" w:ascii="仿宋_GB2312" w:eastAsia="仿宋_GB2312"/>
          <w:sz w:val="30"/>
          <w:szCs w:val="30"/>
        </w:rPr>
        <w:t>解除合同的争议</w:t>
      </w:r>
    </w:p>
    <w:p w14:paraId="3B790EEF">
      <w:pPr>
        <w:wordWrap/>
        <w:topLinePunct w:val="0"/>
        <w:spacing w:after="120"/>
        <w:ind w:firstLine="600"/>
        <w:rPr>
          <w:rFonts w:ascii="仿宋_GB2312" w:eastAsia="仿宋_GB2312"/>
          <w:sz w:val="30"/>
          <w:szCs w:val="30"/>
        </w:rPr>
      </w:pPr>
      <w:bookmarkStart w:id="747" w:name="_Hlk18988355"/>
      <w:r>
        <w:rPr>
          <w:rFonts w:hint="eastAsia" w:ascii="仿宋_GB2312" w:eastAsia="仿宋_GB2312"/>
          <w:sz w:val="30"/>
          <w:szCs w:val="30"/>
        </w:rPr>
        <w:t>双方对解除合同或解除合同后的结算有争议的，按照第</w:t>
      </w:r>
      <w:r>
        <w:rPr>
          <w:rFonts w:ascii="仿宋_GB2312" w:eastAsia="仿宋_GB2312"/>
          <w:sz w:val="30"/>
          <w:szCs w:val="30"/>
        </w:rPr>
        <w:t>20条</w:t>
      </w:r>
      <w:r>
        <w:rPr>
          <w:rFonts w:hint="eastAsia" w:ascii="仿宋_GB2312" w:eastAsia="仿宋_GB2312"/>
          <w:sz w:val="30"/>
          <w:szCs w:val="30"/>
        </w:rPr>
        <w:t>[</w:t>
      </w:r>
      <w:r>
        <w:rPr>
          <w:rFonts w:ascii="仿宋_GB2312" w:eastAsia="仿宋_GB2312"/>
          <w:sz w:val="30"/>
          <w:szCs w:val="30"/>
        </w:rPr>
        <w:t>争议解决</w:t>
      </w:r>
      <w:r>
        <w:rPr>
          <w:rFonts w:hint="eastAsia" w:ascii="仿宋_GB2312" w:eastAsia="仿宋_GB2312"/>
          <w:sz w:val="30"/>
          <w:szCs w:val="30"/>
        </w:rPr>
        <w:t>]的约定处理。</w:t>
      </w:r>
      <w:bookmarkEnd w:id="747"/>
    </w:p>
    <w:p w14:paraId="2DCAC599">
      <w:pPr>
        <w:spacing w:after="120"/>
        <w:ind w:firstLine="0" w:firstLineChars="0"/>
        <w:rPr>
          <w:rFonts w:ascii="仿宋_GB2312" w:eastAsia="仿宋_GB2312"/>
          <w:sz w:val="32"/>
          <w:szCs w:val="32"/>
        </w:rPr>
      </w:pPr>
      <w:bookmarkStart w:id="748" w:name="_Toc9904"/>
      <w:bookmarkStart w:id="749" w:name="_Ref3840974"/>
      <w:bookmarkStart w:id="750" w:name="_Toc54"/>
      <w:bookmarkStart w:id="751" w:name="_Toc30607"/>
      <w:bookmarkStart w:id="752" w:name="_Toc54862307"/>
      <w:bookmarkStart w:id="753" w:name="_Ref3840605"/>
      <w:r>
        <w:rPr>
          <w:rFonts w:hint="eastAsia" w:ascii="仿宋_GB2312" w:eastAsia="仿宋_GB2312"/>
          <w:sz w:val="32"/>
          <w:szCs w:val="32"/>
        </w:rPr>
        <w:t>第17条 不可抗力</w:t>
      </w:r>
      <w:bookmarkEnd w:id="748"/>
      <w:bookmarkEnd w:id="749"/>
      <w:bookmarkEnd w:id="750"/>
      <w:bookmarkEnd w:id="751"/>
      <w:bookmarkEnd w:id="752"/>
    </w:p>
    <w:p w14:paraId="37884C66">
      <w:pPr>
        <w:spacing w:after="120"/>
        <w:ind w:firstLine="600"/>
        <w:rPr>
          <w:rFonts w:ascii="仿宋_GB2312" w:eastAsia="仿宋_GB2312"/>
          <w:sz w:val="30"/>
          <w:szCs w:val="30"/>
        </w:rPr>
      </w:pPr>
      <w:bookmarkStart w:id="754" w:name="_Ref531958158"/>
      <w:bookmarkStart w:id="755" w:name="_Ref531958161"/>
      <w:bookmarkStart w:id="756" w:name="_Toc54862308"/>
      <w:r>
        <w:rPr>
          <w:rFonts w:hint="eastAsia" w:ascii="仿宋_GB2312" w:eastAsia="仿宋_GB2312"/>
          <w:sz w:val="30"/>
          <w:szCs w:val="30"/>
        </w:rPr>
        <w:t>17.1 不可抗力的</w:t>
      </w:r>
      <w:bookmarkEnd w:id="754"/>
      <w:bookmarkEnd w:id="755"/>
      <w:r>
        <w:rPr>
          <w:rFonts w:hint="eastAsia" w:ascii="仿宋_GB2312" w:eastAsia="仿宋_GB2312"/>
          <w:sz w:val="30"/>
          <w:szCs w:val="30"/>
        </w:rPr>
        <w:t>定义</w:t>
      </w:r>
      <w:bookmarkEnd w:id="756"/>
    </w:p>
    <w:p w14:paraId="50CC2F24">
      <w:pPr>
        <w:wordWrap/>
        <w:topLinePunct w:val="0"/>
        <w:spacing w:after="120"/>
        <w:ind w:firstLine="600"/>
        <w:rPr>
          <w:rFonts w:ascii="仿宋_GB2312" w:eastAsia="仿宋_GB2312"/>
          <w:sz w:val="30"/>
          <w:szCs w:val="30"/>
        </w:rPr>
      </w:pPr>
      <w:r>
        <w:rPr>
          <w:rFonts w:hint="eastAsia" w:ascii="仿宋_GB2312" w:eastAsia="仿宋_GB2312"/>
          <w:sz w:val="30"/>
          <w:szCs w:val="30"/>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958883A">
      <w:pPr>
        <w:spacing w:after="120"/>
        <w:ind w:firstLine="600"/>
        <w:rPr>
          <w:rFonts w:ascii="仿宋_GB2312" w:eastAsia="仿宋_GB2312"/>
          <w:sz w:val="30"/>
          <w:szCs w:val="30"/>
        </w:rPr>
      </w:pPr>
      <w:bookmarkStart w:id="757" w:name="_Toc54862309"/>
      <w:r>
        <w:rPr>
          <w:rFonts w:hint="eastAsia" w:ascii="仿宋_GB2312" w:eastAsia="仿宋_GB2312"/>
          <w:sz w:val="30"/>
          <w:szCs w:val="30"/>
        </w:rPr>
        <w:t>17.2 不可抗力的通知</w:t>
      </w:r>
      <w:bookmarkEnd w:id="757"/>
    </w:p>
    <w:p w14:paraId="34561418">
      <w:pPr>
        <w:wordWrap/>
        <w:topLinePunct w:val="0"/>
        <w:spacing w:after="120"/>
        <w:ind w:firstLine="600"/>
        <w:rPr>
          <w:rFonts w:ascii="仿宋_GB2312" w:eastAsia="仿宋_GB2312"/>
          <w:sz w:val="30"/>
          <w:szCs w:val="30"/>
        </w:rPr>
      </w:pPr>
      <w:r>
        <w:rPr>
          <w:rFonts w:hint="eastAsia" w:ascii="仿宋_GB2312" w:eastAsia="仿宋_GB2312"/>
          <w:sz w:val="30"/>
          <w:szCs w:val="30"/>
        </w:rPr>
        <w:t>合同一方当事人觉察或发现不可抗力事件发生，使其履行合同义务受到阻碍时，有义务立即通知合同另一方当事人和工程师，书面说明不可抗力和受阻碍的详细情况，并提供必要的证明。</w:t>
      </w:r>
    </w:p>
    <w:p w14:paraId="6AB97B58">
      <w:pPr>
        <w:wordWrap/>
        <w:topLinePunct w:val="0"/>
        <w:spacing w:after="120"/>
        <w:ind w:firstLine="600"/>
        <w:rPr>
          <w:rFonts w:ascii="仿宋_GB2312" w:eastAsia="仿宋_GB2312"/>
          <w:sz w:val="30"/>
          <w:szCs w:val="30"/>
        </w:rPr>
      </w:pPr>
      <w:r>
        <w:rPr>
          <w:rFonts w:hint="eastAsia" w:ascii="仿宋_GB2312" w:eastAsia="仿宋_GB2312"/>
          <w:sz w:val="30"/>
          <w:szCs w:val="30"/>
        </w:rPr>
        <w:t>不可抗力持续发生的，合同一方当事人应每隔28天向合同另一方当事人和工程师提交中间报告，说明不可抗力和履行合同受阻的情况，并于不可抗力事件结束后28天内提交最终报告及有关资料。</w:t>
      </w:r>
    </w:p>
    <w:p w14:paraId="7347645C">
      <w:pPr>
        <w:spacing w:after="120"/>
        <w:ind w:firstLine="600"/>
        <w:rPr>
          <w:rFonts w:ascii="仿宋_GB2312" w:eastAsia="仿宋_GB2312"/>
          <w:sz w:val="30"/>
          <w:szCs w:val="30"/>
        </w:rPr>
      </w:pPr>
      <w:bookmarkStart w:id="758" w:name="_Toc54862310"/>
      <w:r>
        <w:rPr>
          <w:rFonts w:hint="eastAsia" w:ascii="仿宋_GB2312" w:eastAsia="仿宋_GB2312"/>
          <w:sz w:val="30"/>
          <w:szCs w:val="30"/>
        </w:rPr>
        <w:t>17.3 将损失减至最小的义务</w:t>
      </w:r>
      <w:bookmarkEnd w:id="758"/>
    </w:p>
    <w:p w14:paraId="3C62753C">
      <w:pPr>
        <w:wordWrap/>
        <w:topLinePunct w:val="0"/>
        <w:spacing w:after="120"/>
        <w:ind w:firstLine="600"/>
        <w:rPr>
          <w:rFonts w:ascii="仿宋_GB2312" w:eastAsia="仿宋_GB2312"/>
          <w:sz w:val="30"/>
          <w:szCs w:val="30"/>
        </w:rPr>
      </w:pPr>
      <w:r>
        <w:rPr>
          <w:rFonts w:hint="eastAsia" w:ascii="仿宋_GB2312" w:eastAsia="仿宋_GB2312"/>
          <w:sz w:val="30"/>
          <w:szCs w:val="30"/>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6B7B9EC8">
      <w:pPr>
        <w:spacing w:after="120"/>
        <w:ind w:firstLine="600"/>
        <w:rPr>
          <w:rFonts w:ascii="仿宋_GB2312" w:eastAsia="仿宋_GB2312"/>
          <w:sz w:val="30"/>
          <w:szCs w:val="30"/>
        </w:rPr>
      </w:pPr>
      <w:bookmarkStart w:id="759" w:name="_Ref531958172"/>
      <w:bookmarkStart w:id="760" w:name="_Ref531958170"/>
      <w:bookmarkStart w:id="761" w:name="_Toc54862311"/>
      <w:bookmarkStart w:id="762" w:name="_Ref3840916"/>
      <w:r>
        <w:rPr>
          <w:rFonts w:hint="eastAsia" w:ascii="仿宋_GB2312" w:eastAsia="仿宋_GB2312"/>
          <w:sz w:val="30"/>
          <w:szCs w:val="30"/>
        </w:rPr>
        <w:t>17.4 不可抗力后果</w:t>
      </w:r>
      <w:bookmarkEnd w:id="759"/>
      <w:bookmarkEnd w:id="760"/>
      <w:r>
        <w:rPr>
          <w:rFonts w:hint="eastAsia" w:ascii="仿宋_GB2312" w:eastAsia="仿宋_GB2312"/>
          <w:sz w:val="30"/>
          <w:szCs w:val="30"/>
        </w:rPr>
        <w:t>的承担</w:t>
      </w:r>
      <w:bookmarkEnd w:id="761"/>
      <w:bookmarkEnd w:id="762"/>
    </w:p>
    <w:p w14:paraId="091CFCF9">
      <w:pPr>
        <w:wordWrap/>
        <w:topLinePunct w:val="0"/>
        <w:spacing w:after="120"/>
        <w:ind w:firstLine="600"/>
        <w:rPr>
          <w:rFonts w:ascii="仿宋_GB2312" w:eastAsia="仿宋_GB2312"/>
          <w:sz w:val="30"/>
          <w:szCs w:val="30"/>
        </w:rPr>
      </w:pPr>
      <w:r>
        <w:rPr>
          <w:rFonts w:hint="eastAsia" w:ascii="仿宋_GB2312" w:eastAsia="仿宋_GB2312"/>
          <w:sz w:val="30"/>
          <w:szCs w:val="30"/>
        </w:rPr>
        <w:t>不可抗力导致的人员伤亡、财产损失、费用增加和（或）工期延误等后果，由合同当事人按以下原则承担：</w:t>
      </w:r>
    </w:p>
    <w:p w14:paraId="5C77DA4E">
      <w:pPr>
        <w:wordWrap/>
        <w:topLinePunct w:val="0"/>
        <w:spacing w:after="120"/>
        <w:ind w:firstLine="600"/>
        <w:rPr>
          <w:rFonts w:ascii="仿宋_GB2312" w:eastAsia="仿宋_GB2312"/>
          <w:sz w:val="30"/>
          <w:szCs w:val="30"/>
        </w:rPr>
      </w:pPr>
      <w:r>
        <w:rPr>
          <w:rFonts w:hint="eastAsia" w:ascii="仿宋_GB2312" w:eastAsia="仿宋_GB2312"/>
          <w:sz w:val="30"/>
          <w:szCs w:val="30"/>
        </w:rPr>
        <w:t>（1） 永久工程，包括已运至施工现场的材料和工程设备的损害，以及因工程损害造成的第三人人员伤亡和财产损失由发包人承担；</w:t>
      </w:r>
    </w:p>
    <w:p w14:paraId="6E586BE0">
      <w:pPr>
        <w:wordWrap/>
        <w:topLinePunct w:val="0"/>
        <w:spacing w:after="120"/>
        <w:ind w:firstLine="600"/>
        <w:rPr>
          <w:rFonts w:ascii="仿宋_GB2312" w:eastAsia="仿宋_GB2312"/>
          <w:sz w:val="30"/>
          <w:szCs w:val="30"/>
        </w:rPr>
      </w:pPr>
      <w:r>
        <w:rPr>
          <w:rFonts w:hint="eastAsia" w:ascii="仿宋_GB2312" w:eastAsia="仿宋_GB2312"/>
          <w:sz w:val="30"/>
          <w:szCs w:val="30"/>
        </w:rPr>
        <w:t>（2） 承包人提供的施工设备的损坏由承包人承担；</w:t>
      </w:r>
    </w:p>
    <w:p w14:paraId="5450C7E7">
      <w:pPr>
        <w:wordWrap/>
        <w:topLinePunct w:val="0"/>
        <w:spacing w:after="120"/>
        <w:ind w:firstLine="600"/>
        <w:rPr>
          <w:rFonts w:ascii="仿宋_GB2312" w:eastAsia="仿宋_GB2312"/>
          <w:sz w:val="30"/>
          <w:szCs w:val="30"/>
        </w:rPr>
      </w:pPr>
      <w:r>
        <w:rPr>
          <w:rFonts w:hint="eastAsia" w:ascii="仿宋_GB2312" w:eastAsia="仿宋_GB2312"/>
          <w:sz w:val="30"/>
          <w:szCs w:val="30"/>
        </w:rPr>
        <w:t>（3） 发包人和承包人各自承担其人员伤亡及其他财产损失；</w:t>
      </w:r>
    </w:p>
    <w:p w14:paraId="1AD2EE34">
      <w:pPr>
        <w:wordWrap/>
        <w:topLinePunct w:val="0"/>
        <w:spacing w:after="120"/>
        <w:ind w:firstLine="600"/>
        <w:rPr>
          <w:rFonts w:ascii="仿宋_GB2312" w:eastAsia="仿宋_GB2312"/>
          <w:sz w:val="30"/>
          <w:szCs w:val="30"/>
        </w:rPr>
      </w:pPr>
      <w:r>
        <w:rPr>
          <w:rFonts w:hint="eastAsia" w:ascii="仿宋_GB2312" w:eastAsia="仿宋_GB2312"/>
          <w:sz w:val="30"/>
          <w:szCs w:val="30"/>
        </w:rPr>
        <w:t>（4） 因不可抗力影响承包人履行合同约定的义务，已经引起或将引起工期延误的，应当顺延工期，由此导致承包人停工的费用损失由发包人和承包人合理分担，</w:t>
      </w:r>
      <w:bookmarkStart w:id="763" w:name="_Hlk51507024"/>
      <w:r>
        <w:rPr>
          <w:rFonts w:hint="eastAsia" w:ascii="仿宋_GB2312" w:eastAsia="仿宋_GB2312"/>
          <w:sz w:val="30"/>
          <w:szCs w:val="30"/>
        </w:rPr>
        <w:t>停工期间必须支付的现场必要的工人工资</w:t>
      </w:r>
      <w:bookmarkEnd w:id="763"/>
      <w:r>
        <w:rPr>
          <w:rFonts w:hint="eastAsia" w:ascii="仿宋_GB2312" w:eastAsia="仿宋_GB2312"/>
          <w:sz w:val="30"/>
          <w:szCs w:val="30"/>
        </w:rPr>
        <w:t>由发包人承担；</w:t>
      </w:r>
    </w:p>
    <w:p w14:paraId="68C7EF44">
      <w:pPr>
        <w:wordWrap/>
        <w:topLinePunct w:val="0"/>
        <w:spacing w:after="120"/>
        <w:ind w:firstLine="600"/>
        <w:rPr>
          <w:rFonts w:ascii="仿宋_GB2312" w:eastAsia="仿宋_GB2312"/>
          <w:sz w:val="30"/>
          <w:szCs w:val="30"/>
        </w:rPr>
      </w:pPr>
      <w:r>
        <w:rPr>
          <w:rFonts w:hint="eastAsia" w:ascii="仿宋_GB2312" w:eastAsia="仿宋_GB2312"/>
          <w:sz w:val="30"/>
          <w:szCs w:val="30"/>
        </w:rPr>
        <w:t>（5） 因不可抗力引起或将引起工期延误，发包人指示赶工的，由此增加的赶工费用由发包人承担；</w:t>
      </w:r>
    </w:p>
    <w:p w14:paraId="78426CE3">
      <w:pPr>
        <w:wordWrap/>
        <w:topLinePunct w:val="0"/>
        <w:spacing w:after="120"/>
        <w:ind w:firstLine="600"/>
        <w:rPr>
          <w:rFonts w:ascii="仿宋_GB2312" w:eastAsia="仿宋_GB2312"/>
          <w:sz w:val="30"/>
          <w:szCs w:val="30"/>
        </w:rPr>
      </w:pPr>
      <w:r>
        <w:rPr>
          <w:rFonts w:hint="eastAsia" w:ascii="仿宋_GB2312" w:eastAsia="仿宋_GB2312"/>
          <w:sz w:val="30"/>
          <w:szCs w:val="30"/>
        </w:rPr>
        <w:t>（6） 承包人在停工期间按照工程师或发包人要求照管、清理和修复工程的费用由发包人承担。</w:t>
      </w:r>
    </w:p>
    <w:p w14:paraId="02A259A5">
      <w:pPr>
        <w:wordWrap/>
        <w:topLinePunct w:val="0"/>
        <w:spacing w:after="120"/>
        <w:ind w:firstLine="600"/>
        <w:rPr>
          <w:rFonts w:ascii="仿宋_GB2312" w:eastAsia="仿宋_GB2312"/>
          <w:sz w:val="30"/>
          <w:szCs w:val="30"/>
        </w:rPr>
      </w:pPr>
      <w:r>
        <w:rPr>
          <w:rFonts w:hint="eastAsia" w:ascii="仿宋_GB2312" w:eastAsia="仿宋_GB2312"/>
          <w:sz w:val="30"/>
          <w:szCs w:val="30"/>
        </w:rPr>
        <w:t>不可抗力引起的后果及造成的损失由合同当事人按照法律规定及合同约定各自承担。不可抗力发生前已完成的工程应当按照合同约定进行支付。</w:t>
      </w:r>
    </w:p>
    <w:p w14:paraId="3BD3FA0E">
      <w:pPr>
        <w:spacing w:after="120"/>
        <w:ind w:firstLine="600"/>
        <w:rPr>
          <w:rFonts w:ascii="仿宋_GB2312" w:eastAsia="仿宋_GB2312"/>
          <w:sz w:val="30"/>
          <w:szCs w:val="30"/>
        </w:rPr>
      </w:pPr>
      <w:bookmarkStart w:id="764" w:name="_Toc54862312"/>
      <w:r>
        <w:rPr>
          <w:rFonts w:hint="eastAsia" w:ascii="仿宋_GB2312" w:eastAsia="仿宋_GB2312"/>
          <w:sz w:val="30"/>
          <w:szCs w:val="30"/>
        </w:rPr>
        <w:t>17.5 不可抗力影响分包人</w:t>
      </w:r>
      <w:bookmarkEnd w:id="764"/>
    </w:p>
    <w:p w14:paraId="49971B23">
      <w:pPr>
        <w:wordWrap/>
        <w:topLinePunct w:val="0"/>
        <w:spacing w:after="120"/>
        <w:ind w:firstLine="600"/>
        <w:rPr>
          <w:rFonts w:ascii="仿宋_GB2312" w:eastAsia="仿宋_GB2312"/>
          <w:sz w:val="30"/>
          <w:szCs w:val="30"/>
        </w:rPr>
      </w:pPr>
      <w:r>
        <w:rPr>
          <w:rFonts w:hint="eastAsia" w:ascii="仿宋_GB2312" w:eastAsia="仿宋_GB2312"/>
          <w:sz w:val="30"/>
          <w:szCs w:val="30"/>
        </w:rPr>
        <w:t>分包人根据分包合同的约定，有权获得更多或者更广的不可抗力而免除某些义务时，承包人不得以分包合同中不可抗力约定向发包人抗辩免除其义务。</w:t>
      </w:r>
    </w:p>
    <w:p w14:paraId="71CB75EE">
      <w:pPr>
        <w:spacing w:after="120"/>
        <w:ind w:firstLine="600"/>
        <w:rPr>
          <w:rFonts w:ascii="仿宋_GB2312" w:eastAsia="仿宋_GB2312"/>
          <w:sz w:val="30"/>
          <w:szCs w:val="30"/>
        </w:rPr>
      </w:pPr>
      <w:bookmarkStart w:id="765" w:name="_Ref531958184"/>
      <w:bookmarkStart w:id="766" w:name="_Ref531958181"/>
      <w:bookmarkStart w:id="767" w:name="_Ref3840892"/>
      <w:bookmarkStart w:id="768" w:name="_Toc54862313"/>
      <w:bookmarkStart w:id="769" w:name="_Ref4538024"/>
      <w:r>
        <w:rPr>
          <w:rFonts w:hint="eastAsia" w:ascii="仿宋_GB2312" w:eastAsia="仿宋_GB2312"/>
          <w:sz w:val="30"/>
          <w:szCs w:val="30"/>
        </w:rPr>
        <w:t>17.6 因不可抗力解除</w:t>
      </w:r>
      <w:bookmarkEnd w:id="765"/>
      <w:bookmarkEnd w:id="766"/>
      <w:r>
        <w:rPr>
          <w:rFonts w:hint="eastAsia" w:ascii="仿宋_GB2312" w:eastAsia="仿宋_GB2312"/>
          <w:sz w:val="30"/>
          <w:szCs w:val="30"/>
        </w:rPr>
        <w:t>合同</w:t>
      </w:r>
      <w:bookmarkEnd w:id="767"/>
      <w:bookmarkEnd w:id="768"/>
      <w:bookmarkEnd w:id="769"/>
    </w:p>
    <w:p w14:paraId="16CEAAD0">
      <w:pPr>
        <w:wordWrap/>
        <w:topLinePunct w:val="0"/>
        <w:spacing w:after="120"/>
        <w:ind w:firstLine="600"/>
        <w:rPr>
          <w:rFonts w:ascii="仿宋_GB2312" w:eastAsia="仿宋_GB2312"/>
          <w:sz w:val="30"/>
          <w:szCs w:val="30"/>
        </w:rPr>
      </w:pPr>
      <w:r>
        <w:rPr>
          <w:rFonts w:hint="eastAsia" w:ascii="仿宋_GB2312" w:eastAsia="仿宋_GB2312"/>
          <w:sz w:val="30"/>
          <w:szCs w:val="30"/>
        </w:rPr>
        <w:t>因单次不可抗力导致合同无法履行连续超过84天或累计超过140天的，发包人和承包人均有权解除合同。合同解除后，承包人应按照第</w:t>
      </w:r>
      <w:r>
        <w:rPr>
          <w:rFonts w:ascii="仿宋_GB2312" w:eastAsia="仿宋_GB2312"/>
          <w:sz w:val="30"/>
          <w:szCs w:val="30"/>
        </w:rPr>
        <w:t>10.5</w:t>
      </w:r>
      <w:r>
        <w:rPr>
          <w:rFonts w:hint="eastAsia" w:ascii="仿宋_GB2312" w:eastAsia="仿宋_GB2312"/>
          <w:sz w:val="30"/>
          <w:szCs w:val="30"/>
        </w:rPr>
        <w:t>款[竣工退场]的规定进行。由双方当事人按照第</w:t>
      </w:r>
      <w:r>
        <w:rPr>
          <w:rFonts w:ascii="仿宋_GB2312" w:eastAsia="仿宋_GB2312"/>
          <w:sz w:val="30"/>
          <w:szCs w:val="30"/>
        </w:rPr>
        <w:t>3.6</w:t>
      </w:r>
      <w:r>
        <w:rPr>
          <w:rFonts w:hint="eastAsia" w:ascii="仿宋_GB2312" w:eastAsia="仿宋_GB2312"/>
          <w:sz w:val="30"/>
          <w:szCs w:val="30"/>
        </w:rPr>
        <w:t>款[商定或确定]商定或确定发包人应支付的款项，该款项包括：</w:t>
      </w:r>
    </w:p>
    <w:p w14:paraId="38C3F261">
      <w:pPr>
        <w:wordWrap/>
        <w:topLinePunct w:val="0"/>
        <w:spacing w:after="120"/>
        <w:ind w:firstLine="600"/>
        <w:rPr>
          <w:rFonts w:ascii="仿宋_GB2312" w:eastAsia="仿宋_GB2312"/>
          <w:sz w:val="30"/>
          <w:szCs w:val="30"/>
        </w:rPr>
      </w:pPr>
      <w:r>
        <w:rPr>
          <w:rFonts w:hint="eastAsia" w:ascii="仿宋_GB2312" w:eastAsia="仿宋_GB2312"/>
          <w:sz w:val="30"/>
          <w:szCs w:val="30"/>
        </w:rPr>
        <w:t>（1） 合同解除前承包人已完成工作的价款；</w:t>
      </w:r>
    </w:p>
    <w:p w14:paraId="100650CD">
      <w:pPr>
        <w:wordWrap/>
        <w:topLinePunct w:val="0"/>
        <w:spacing w:after="120"/>
        <w:ind w:firstLine="600"/>
        <w:rPr>
          <w:rFonts w:ascii="仿宋_GB2312" w:eastAsia="仿宋_GB2312"/>
          <w:sz w:val="30"/>
          <w:szCs w:val="30"/>
        </w:rPr>
      </w:pPr>
      <w:r>
        <w:rPr>
          <w:rFonts w:hint="eastAsia" w:ascii="仿宋_GB2312" w:eastAsia="仿宋_GB2312"/>
          <w:sz w:val="30"/>
          <w:szCs w:val="30"/>
        </w:rPr>
        <w:t>（2） 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0A1C851A">
      <w:pPr>
        <w:wordWrap/>
        <w:topLinePunct w:val="0"/>
        <w:spacing w:after="120"/>
        <w:ind w:firstLine="600"/>
        <w:rPr>
          <w:rFonts w:ascii="仿宋_GB2312" w:eastAsia="仿宋_GB2312"/>
          <w:sz w:val="30"/>
          <w:szCs w:val="30"/>
        </w:rPr>
      </w:pPr>
      <w:r>
        <w:rPr>
          <w:rFonts w:hint="eastAsia" w:ascii="仿宋_GB2312" w:eastAsia="仿宋_GB2312"/>
          <w:sz w:val="30"/>
          <w:szCs w:val="30"/>
        </w:rPr>
        <w:t>（3） 发包人指示承包人退货或解除订货合同而产生的费用，或因不能退货或解除合同而产生的损失；</w:t>
      </w:r>
    </w:p>
    <w:p w14:paraId="66180F74">
      <w:pPr>
        <w:wordWrap/>
        <w:topLinePunct w:val="0"/>
        <w:spacing w:after="120"/>
        <w:ind w:firstLine="600"/>
        <w:rPr>
          <w:rFonts w:ascii="仿宋_GB2312" w:eastAsia="仿宋_GB2312"/>
          <w:sz w:val="30"/>
          <w:szCs w:val="30"/>
        </w:rPr>
      </w:pPr>
      <w:r>
        <w:rPr>
          <w:rFonts w:hint="eastAsia" w:ascii="仿宋_GB2312" w:eastAsia="仿宋_GB2312"/>
          <w:sz w:val="30"/>
          <w:szCs w:val="30"/>
        </w:rPr>
        <w:t>（4） 承包人撤离施工现场以及遣散承包人人员的费用；</w:t>
      </w:r>
    </w:p>
    <w:p w14:paraId="055AFA31">
      <w:pPr>
        <w:wordWrap/>
        <w:topLinePunct w:val="0"/>
        <w:spacing w:after="120"/>
        <w:ind w:firstLine="600"/>
        <w:rPr>
          <w:rFonts w:ascii="仿宋_GB2312" w:eastAsia="仿宋_GB2312"/>
          <w:sz w:val="30"/>
          <w:szCs w:val="30"/>
        </w:rPr>
      </w:pPr>
      <w:r>
        <w:rPr>
          <w:rFonts w:hint="eastAsia" w:ascii="仿宋_GB2312" w:eastAsia="仿宋_GB2312"/>
          <w:sz w:val="30"/>
          <w:szCs w:val="30"/>
        </w:rPr>
        <w:t>（5） 按照合同约定在合同解除前应支付给承包人的其他款项；</w:t>
      </w:r>
    </w:p>
    <w:p w14:paraId="76627405">
      <w:pPr>
        <w:wordWrap/>
        <w:topLinePunct w:val="0"/>
        <w:spacing w:after="120"/>
        <w:ind w:firstLine="600"/>
        <w:rPr>
          <w:rFonts w:ascii="仿宋_GB2312" w:eastAsia="仿宋_GB2312"/>
          <w:sz w:val="30"/>
          <w:szCs w:val="30"/>
        </w:rPr>
      </w:pPr>
      <w:r>
        <w:rPr>
          <w:rFonts w:hint="eastAsia" w:ascii="仿宋_GB2312" w:eastAsia="仿宋_GB2312"/>
          <w:sz w:val="30"/>
          <w:szCs w:val="30"/>
        </w:rPr>
        <w:t>（6） 扣减承包人按照合同约定应向发包人支付的款项；</w:t>
      </w:r>
    </w:p>
    <w:p w14:paraId="7711CA0E">
      <w:pPr>
        <w:wordWrap/>
        <w:topLinePunct w:val="0"/>
        <w:spacing w:after="120"/>
        <w:ind w:firstLine="600"/>
        <w:rPr>
          <w:rFonts w:ascii="仿宋_GB2312" w:eastAsia="仿宋_GB2312"/>
          <w:sz w:val="30"/>
          <w:szCs w:val="30"/>
        </w:rPr>
      </w:pPr>
      <w:r>
        <w:rPr>
          <w:rFonts w:hint="eastAsia" w:ascii="仿宋_GB2312" w:eastAsia="仿宋_GB2312"/>
          <w:sz w:val="30"/>
          <w:szCs w:val="30"/>
        </w:rPr>
        <w:t>（7） 双方商定或确定的其他款项。</w:t>
      </w:r>
    </w:p>
    <w:p w14:paraId="28C37859">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除专用合同条件另有约定外，合同解除后，发包人应当在商定或确定上述款项后28天内完成上述款项的支付。</w:t>
      </w:r>
    </w:p>
    <w:p w14:paraId="58974C88">
      <w:pPr>
        <w:spacing w:after="120"/>
        <w:ind w:firstLine="0" w:firstLineChars="0"/>
        <w:rPr>
          <w:rFonts w:ascii="仿宋_GB2312" w:eastAsia="仿宋_GB2312"/>
          <w:sz w:val="32"/>
          <w:szCs w:val="32"/>
        </w:rPr>
      </w:pPr>
      <w:bookmarkStart w:id="770" w:name="_Ref11848274"/>
      <w:bookmarkStart w:id="771" w:name="_Toc54862314"/>
      <w:bookmarkStart w:id="772" w:name="_Toc21150"/>
      <w:bookmarkStart w:id="773" w:name="_Toc18073"/>
      <w:bookmarkStart w:id="774" w:name="_Ref11848264"/>
      <w:bookmarkStart w:id="775" w:name="_Toc28896"/>
      <w:r>
        <w:rPr>
          <w:rFonts w:hint="eastAsia" w:ascii="仿宋_GB2312" w:eastAsia="仿宋_GB2312"/>
          <w:sz w:val="32"/>
          <w:szCs w:val="32"/>
        </w:rPr>
        <w:t>第18条 保险</w:t>
      </w:r>
      <w:bookmarkEnd w:id="753"/>
      <w:bookmarkEnd w:id="770"/>
      <w:bookmarkEnd w:id="771"/>
      <w:bookmarkEnd w:id="772"/>
      <w:bookmarkEnd w:id="773"/>
      <w:bookmarkEnd w:id="774"/>
      <w:bookmarkEnd w:id="775"/>
    </w:p>
    <w:p w14:paraId="30EF7E00">
      <w:pPr>
        <w:spacing w:after="120"/>
        <w:ind w:firstLine="600"/>
        <w:rPr>
          <w:rFonts w:ascii="仿宋_GB2312" w:eastAsia="仿宋_GB2312"/>
          <w:sz w:val="30"/>
          <w:szCs w:val="30"/>
        </w:rPr>
      </w:pPr>
      <w:bookmarkStart w:id="776" w:name="_Ref3840734"/>
      <w:bookmarkStart w:id="777" w:name="_Ref3840730"/>
      <w:bookmarkStart w:id="778" w:name="_Toc54862315"/>
      <w:bookmarkStart w:id="779" w:name="_Ref531957911"/>
      <w:bookmarkStart w:id="780" w:name="_Ref531957914"/>
      <w:bookmarkStart w:id="781" w:name="_Toc351203616"/>
      <w:r>
        <w:rPr>
          <w:rFonts w:hint="eastAsia" w:ascii="仿宋_GB2312" w:eastAsia="仿宋_GB2312"/>
          <w:sz w:val="30"/>
          <w:szCs w:val="30"/>
        </w:rPr>
        <w:t>18.1 设计和工程保险</w:t>
      </w:r>
      <w:bookmarkEnd w:id="776"/>
      <w:bookmarkEnd w:id="777"/>
      <w:bookmarkEnd w:id="778"/>
    </w:p>
    <w:bookmarkEnd w:id="779"/>
    <w:bookmarkEnd w:id="780"/>
    <w:p w14:paraId="009B7EB9">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8.1.1 </w:t>
      </w:r>
      <w:r>
        <w:rPr>
          <w:rFonts w:hint="eastAsia" w:ascii="仿宋_GB2312" w:eastAsia="仿宋_GB2312"/>
          <w:sz w:val="30"/>
          <w:szCs w:val="30"/>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3851716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8.1.2 </w:t>
      </w:r>
      <w:r>
        <w:rPr>
          <w:rFonts w:hint="eastAsia" w:ascii="仿宋_GB2312" w:eastAsia="仿宋_GB2312"/>
          <w:sz w:val="30"/>
          <w:szCs w:val="30"/>
        </w:rPr>
        <w:t>双方应按照专用合同条件的约定投保第三者责任险，并在缺陷责任期终止证书颁发前维持其持续有效。第三者责任险最低投保额应在专用合同条件内约定。</w:t>
      </w:r>
    </w:p>
    <w:p w14:paraId="1CE541D0">
      <w:pPr>
        <w:spacing w:after="120"/>
        <w:ind w:firstLine="600"/>
        <w:rPr>
          <w:rFonts w:ascii="仿宋_GB2312" w:eastAsia="仿宋_GB2312"/>
          <w:sz w:val="30"/>
          <w:szCs w:val="30"/>
        </w:rPr>
      </w:pPr>
      <w:bookmarkStart w:id="782" w:name="_Ref3840683"/>
      <w:bookmarkStart w:id="783" w:name="_Toc54862316"/>
      <w:r>
        <w:rPr>
          <w:rFonts w:hint="eastAsia" w:ascii="仿宋_GB2312" w:eastAsia="仿宋_GB2312"/>
          <w:sz w:val="30"/>
          <w:szCs w:val="30"/>
        </w:rPr>
        <w:t>18.2 工伤和意外伤害保险</w:t>
      </w:r>
      <w:bookmarkEnd w:id="782"/>
      <w:bookmarkEnd w:id="783"/>
    </w:p>
    <w:p w14:paraId="369CAC69">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8.2.1 </w:t>
      </w:r>
      <w:r>
        <w:rPr>
          <w:rFonts w:hint="eastAsia" w:ascii="仿宋_GB2312" w:eastAsia="仿宋_GB2312"/>
          <w:sz w:val="30"/>
          <w:szCs w:val="30"/>
        </w:rPr>
        <w:t>发包人应依照法律规定为其在施工现场的雇用人员办理工伤保险，缴纳工伤保险费；并要求工程师及由发包人为履行合同聘请的第三方在施工现场的雇用人员依法办理工伤保险。</w:t>
      </w:r>
    </w:p>
    <w:p w14:paraId="1667BA17">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8.2.2 </w:t>
      </w:r>
      <w:r>
        <w:rPr>
          <w:rFonts w:hint="eastAsia" w:ascii="仿宋_GB2312" w:eastAsia="仿宋_GB2312"/>
          <w:sz w:val="30"/>
          <w:szCs w:val="30"/>
        </w:rPr>
        <w:t>承包人应依照法律规定为其履行合同雇用的全部人员办理工伤保险，缴纳工伤保险费，并要求分包人及由承包人为履行合同聘请的第三方雇用的全部人员依法办理工伤保险。</w:t>
      </w:r>
    </w:p>
    <w:p w14:paraId="2D2F659F">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8.2.3 </w:t>
      </w:r>
      <w:r>
        <w:rPr>
          <w:rFonts w:hint="eastAsia" w:ascii="仿宋_GB2312" w:eastAsia="仿宋_GB2312"/>
          <w:sz w:val="30"/>
          <w:szCs w:val="30"/>
        </w:rPr>
        <w:t>发包人和承包人可以为其施工现场的全部人员办理意外伤害保险并支付保险费，包括其员工及为履行合同聘请的第三方的人员，具体事项由合同当事人在专用合同条件约定。</w:t>
      </w:r>
    </w:p>
    <w:p w14:paraId="48C2FB43">
      <w:pPr>
        <w:spacing w:after="120"/>
        <w:ind w:firstLine="600"/>
        <w:rPr>
          <w:rFonts w:ascii="仿宋_GB2312" w:eastAsia="仿宋_GB2312"/>
          <w:sz w:val="30"/>
          <w:szCs w:val="30"/>
        </w:rPr>
      </w:pPr>
      <w:bookmarkStart w:id="784" w:name="_Ref3840782"/>
      <w:bookmarkStart w:id="785" w:name="_Toc54862317"/>
      <w:r>
        <w:rPr>
          <w:rFonts w:hint="eastAsia" w:ascii="仿宋_GB2312" w:eastAsia="仿宋_GB2312"/>
          <w:sz w:val="30"/>
          <w:szCs w:val="30"/>
        </w:rPr>
        <w:t>18.3 货物保险</w:t>
      </w:r>
      <w:bookmarkEnd w:id="784"/>
      <w:bookmarkEnd w:id="785"/>
    </w:p>
    <w:p w14:paraId="2B5455A5">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w:t>
      </w:r>
      <w:r>
        <w:rPr>
          <w:rFonts w:hint="eastAsia" w:ascii="仿宋_GB2312" w:eastAsia="仿宋_GB2312"/>
          <w:iCs/>
          <w:sz w:val="30"/>
          <w:szCs w:val="30"/>
        </w:rPr>
        <w:t>按照</w:t>
      </w:r>
      <w:r>
        <w:rPr>
          <w:rFonts w:hint="eastAsia" w:ascii="仿宋_GB2312" w:eastAsia="仿宋_GB2312"/>
          <w:sz w:val="30"/>
          <w:szCs w:val="30"/>
        </w:rPr>
        <w:t>专用合同条件的约定为</w:t>
      </w:r>
      <w:r>
        <w:rPr>
          <w:rFonts w:hint="eastAsia" w:ascii="仿宋_GB2312" w:eastAsia="仿宋_GB2312"/>
          <w:iCs/>
          <w:sz w:val="30"/>
          <w:szCs w:val="30"/>
        </w:rPr>
        <w:t>运抵现场的</w:t>
      </w:r>
      <w:r>
        <w:rPr>
          <w:rFonts w:hint="eastAsia" w:ascii="仿宋_GB2312" w:eastAsia="仿宋_GB2312"/>
          <w:sz w:val="30"/>
          <w:szCs w:val="30"/>
        </w:rPr>
        <w:t>施工设备、材料、工程设备和临时工程等办理财产保险，保险期限自上述货物运抵现场至其不再为工程所需要为止。</w:t>
      </w:r>
    </w:p>
    <w:p w14:paraId="4C304DF8">
      <w:pPr>
        <w:spacing w:after="120"/>
        <w:ind w:firstLine="600"/>
        <w:rPr>
          <w:rFonts w:ascii="仿宋_GB2312" w:eastAsia="仿宋_GB2312"/>
          <w:sz w:val="30"/>
          <w:szCs w:val="30"/>
        </w:rPr>
      </w:pPr>
      <w:bookmarkStart w:id="786" w:name="_Toc54862318"/>
      <w:bookmarkStart w:id="787" w:name="_Ref4692238"/>
      <w:bookmarkStart w:id="788" w:name="_Ref4692231"/>
      <w:r>
        <w:rPr>
          <w:rFonts w:hint="eastAsia" w:ascii="仿宋_GB2312" w:eastAsia="仿宋_GB2312"/>
          <w:sz w:val="30"/>
          <w:szCs w:val="30"/>
        </w:rPr>
        <w:t>18.4 其他保险</w:t>
      </w:r>
      <w:bookmarkEnd w:id="786"/>
      <w:bookmarkEnd w:id="787"/>
      <w:bookmarkEnd w:id="788"/>
    </w:p>
    <w:p w14:paraId="6E439329">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781"/>
      <w:r>
        <w:rPr>
          <w:rFonts w:hint="eastAsia" w:ascii="仿宋_GB2312" w:eastAsia="仿宋_GB2312"/>
          <w:sz w:val="30"/>
          <w:szCs w:val="30"/>
        </w:rPr>
        <w:t>保费用包含在合同价格中，但在合同执行过程中，新颁布适用的法律法规规定由承包人投保的强制保险，应根据本合同</w:t>
      </w:r>
      <w:bookmarkStart w:id="789" w:name="_Toc351203617"/>
      <w:bookmarkStart w:id="790" w:name="_Toc296503126"/>
      <w:bookmarkStart w:id="791" w:name="_Toc337558832"/>
      <w:bookmarkStart w:id="792" w:name="_Toc296346627"/>
      <w:r>
        <w:rPr>
          <w:rFonts w:hint="eastAsia" w:ascii="仿宋_GB2312" w:eastAsia="仿宋_GB2312"/>
          <w:sz w:val="30"/>
          <w:szCs w:val="30"/>
        </w:rPr>
        <w:t>第</w:t>
      </w:r>
      <w:r>
        <w:rPr>
          <w:rFonts w:ascii="仿宋_GB2312" w:eastAsia="仿宋_GB2312"/>
          <w:sz w:val="30"/>
          <w:szCs w:val="30"/>
        </w:rPr>
        <w:t>13条</w:t>
      </w:r>
      <w:r>
        <w:rPr>
          <w:rFonts w:hint="eastAsia" w:ascii="仿宋_GB2312" w:eastAsia="仿宋_GB2312"/>
          <w:sz w:val="30"/>
          <w:szCs w:val="30"/>
        </w:rPr>
        <w:t>[</w:t>
      </w:r>
      <w:r>
        <w:rPr>
          <w:rFonts w:ascii="仿宋_GB2312" w:eastAsia="仿宋_GB2312"/>
          <w:sz w:val="30"/>
          <w:szCs w:val="30"/>
        </w:rPr>
        <w:t>变更与调整</w:t>
      </w:r>
      <w:r>
        <w:rPr>
          <w:rFonts w:hint="eastAsia" w:ascii="仿宋_GB2312" w:eastAsia="仿宋_GB2312"/>
          <w:sz w:val="30"/>
          <w:szCs w:val="30"/>
        </w:rPr>
        <w:t>]的约定增加合同价款。</w:t>
      </w:r>
    </w:p>
    <w:p w14:paraId="3C95FFF0">
      <w:pPr>
        <w:spacing w:after="120"/>
        <w:ind w:firstLine="600"/>
        <w:rPr>
          <w:rFonts w:ascii="仿宋_GB2312" w:eastAsia="仿宋_GB2312"/>
          <w:sz w:val="30"/>
          <w:szCs w:val="30"/>
        </w:rPr>
      </w:pPr>
      <w:bookmarkStart w:id="793" w:name="_Toc54862319"/>
      <w:bookmarkStart w:id="794" w:name="_Ref3840659"/>
      <w:r>
        <w:rPr>
          <w:rFonts w:hint="eastAsia" w:ascii="仿宋_GB2312" w:eastAsia="仿宋_GB2312"/>
          <w:sz w:val="30"/>
          <w:szCs w:val="30"/>
        </w:rPr>
        <w:t>18.5 对各项保险的一般要求</w:t>
      </w:r>
      <w:bookmarkEnd w:id="793"/>
      <w:bookmarkEnd w:id="794"/>
    </w:p>
    <w:p w14:paraId="6889D68A">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8.5.1 </w:t>
      </w:r>
      <w:r>
        <w:rPr>
          <w:rFonts w:hint="eastAsia" w:ascii="仿宋_GB2312" w:eastAsia="仿宋_GB2312"/>
          <w:sz w:val="30"/>
          <w:szCs w:val="30"/>
        </w:rPr>
        <w:t>持续保险</w:t>
      </w:r>
    </w:p>
    <w:p w14:paraId="7D8FE0E7">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合同当事人应与保险人保持联系，使保险人能够随时了</w:t>
      </w:r>
      <w:bookmarkEnd w:id="789"/>
      <w:r>
        <w:rPr>
          <w:rFonts w:hint="eastAsia" w:ascii="仿宋_GB2312" w:eastAsia="仿宋_GB2312"/>
          <w:sz w:val="30"/>
          <w:szCs w:val="30"/>
        </w:rPr>
        <w:t>解</w:t>
      </w:r>
      <w:bookmarkEnd w:id="790"/>
      <w:bookmarkEnd w:id="791"/>
      <w:bookmarkEnd w:id="792"/>
      <w:r>
        <w:rPr>
          <w:rFonts w:hint="eastAsia" w:ascii="仿宋_GB2312" w:eastAsia="仿宋_GB2312"/>
          <w:sz w:val="30"/>
          <w:szCs w:val="30"/>
        </w:rPr>
        <w:t>工程实施中的变动，并确保按保险合同条款要求持续保险。</w:t>
      </w:r>
    </w:p>
    <w:p w14:paraId="79D550A8">
      <w:pPr>
        <w:spacing w:after="120"/>
        <w:ind w:firstLine="600"/>
        <w:rPr>
          <w:rFonts w:ascii="仿宋_GB2312" w:eastAsia="仿宋_GB2312"/>
          <w:sz w:val="30"/>
          <w:szCs w:val="30"/>
        </w:rPr>
      </w:pPr>
      <w:bookmarkStart w:id="795" w:name="_Ref4777650"/>
      <w:r>
        <w:rPr>
          <w:rFonts w:hint="eastAsia" w:ascii="仿宋_GB2312" w:eastAsia="仿宋_GB2312"/>
          <w:sz w:val="30"/>
          <w:szCs w:val="30"/>
        </w:rPr>
        <w:t>1</w:t>
      </w:r>
      <w:r>
        <w:rPr>
          <w:rFonts w:ascii="仿宋_GB2312" w:eastAsia="仿宋_GB2312"/>
          <w:sz w:val="30"/>
          <w:szCs w:val="30"/>
        </w:rPr>
        <w:t xml:space="preserve">8.5.2 </w:t>
      </w:r>
      <w:r>
        <w:rPr>
          <w:rFonts w:hint="eastAsia" w:ascii="仿宋_GB2312" w:eastAsia="仿宋_GB2312"/>
          <w:sz w:val="30"/>
          <w:szCs w:val="30"/>
        </w:rPr>
        <w:t>保险凭证</w:t>
      </w:r>
      <w:bookmarkEnd w:id="795"/>
    </w:p>
    <w:p w14:paraId="7445187C">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合同当事人应及时向另一方当事人提交其已投保的各项保险的凭证和保险单复印件，保险单必须与专用合同条件约定的条件保持一致。</w:t>
      </w:r>
    </w:p>
    <w:p w14:paraId="0FA5E441">
      <w:pPr>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8.5.3 </w:t>
      </w:r>
      <w:r>
        <w:rPr>
          <w:rFonts w:hint="eastAsia" w:ascii="仿宋_GB2312" w:eastAsia="仿宋_GB2312"/>
          <w:sz w:val="30"/>
          <w:szCs w:val="30"/>
        </w:rPr>
        <w:t>未按约定投保的补救</w:t>
      </w:r>
    </w:p>
    <w:p w14:paraId="294CB776">
      <w:pPr>
        <w:wordWrap/>
        <w:topLinePunct w:val="0"/>
        <w:spacing w:after="120"/>
        <w:ind w:firstLine="600"/>
        <w:rPr>
          <w:rFonts w:ascii="仿宋_GB2312" w:eastAsia="仿宋_GB2312"/>
          <w:sz w:val="30"/>
          <w:szCs w:val="30"/>
        </w:rPr>
      </w:pPr>
      <w:r>
        <w:rPr>
          <w:rFonts w:hint="eastAsia" w:ascii="仿宋_GB2312" w:eastAsia="仿宋_GB2312"/>
          <w:sz w:val="30"/>
          <w:szCs w:val="30"/>
        </w:rPr>
        <w:t>负有投保义务的一方当事人未按合同约定办理保险，或未能使保险持续有效的，则另一方当事人可代为办理，所需费用由负有投保义务的一方当事人承担。</w:t>
      </w:r>
    </w:p>
    <w:p w14:paraId="697AF1F5">
      <w:pPr>
        <w:wordWrap/>
        <w:topLinePunct w:val="0"/>
        <w:spacing w:after="120"/>
        <w:ind w:firstLine="600"/>
        <w:rPr>
          <w:rFonts w:ascii="仿宋_GB2312" w:eastAsia="仿宋_GB2312"/>
          <w:sz w:val="30"/>
          <w:szCs w:val="30"/>
        </w:rPr>
      </w:pPr>
      <w:r>
        <w:rPr>
          <w:rFonts w:hint="eastAsia" w:ascii="仿宋_GB2312" w:eastAsia="仿宋_GB2312"/>
          <w:sz w:val="30"/>
          <w:szCs w:val="30"/>
        </w:rPr>
        <w:t>负有投保</w:t>
      </w:r>
      <w:bookmarkStart w:id="796" w:name="_Toc351203619"/>
      <w:bookmarkStart w:id="797" w:name="_Toc337558834"/>
      <w:r>
        <w:rPr>
          <w:rFonts w:hint="eastAsia" w:ascii="仿宋_GB2312" w:eastAsia="仿宋_GB2312"/>
          <w:sz w:val="30"/>
          <w:szCs w:val="30"/>
        </w:rPr>
        <w:t>义务的一方当事人未</w:t>
      </w:r>
      <w:bookmarkEnd w:id="796"/>
      <w:r>
        <w:rPr>
          <w:rFonts w:hint="eastAsia" w:ascii="仿宋_GB2312" w:eastAsia="仿宋_GB2312"/>
          <w:sz w:val="30"/>
          <w:szCs w:val="30"/>
        </w:rPr>
        <w:t>按</w:t>
      </w:r>
      <w:bookmarkEnd w:id="797"/>
      <w:r>
        <w:rPr>
          <w:rFonts w:hint="eastAsia" w:ascii="仿宋_GB2312" w:eastAsia="仿宋_GB2312"/>
          <w:sz w:val="30"/>
          <w:szCs w:val="30"/>
        </w:rPr>
        <w:t>合同约定办理某项保险，导致受益人未能得到足额赔偿的，由负有投保义务的一方当事人负责按照原应从该项保险得到的保险金数额进行补足。</w:t>
      </w:r>
    </w:p>
    <w:p w14:paraId="66165635">
      <w:pPr>
        <w:spacing w:after="120"/>
        <w:ind w:firstLine="600"/>
        <w:rPr>
          <w:rFonts w:ascii="仿宋_GB2312" w:eastAsia="仿宋_GB2312"/>
          <w:sz w:val="30"/>
          <w:szCs w:val="30"/>
        </w:rPr>
      </w:pPr>
      <w:bookmarkStart w:id="798" w:name="_Ref4692685"/>
      <w:r>
        <w:rPr>
          <w:rFonts w:hint="eastAsia" w:ascii="仿宋_GB2312" w:eastAsia="仿宋_GB2312"/>
          <w:sz w:val="30"/>
          <w:szCs w:val="30"/>
        </w:rPr>
        <w:t>1</w:t>
      </w:r>
      <w:r>
        <w:rPr>
          <w:rFonts w:ascii="仿宋_GB2312" w:eastAsia="仿宋_GB2312"/>
          <w:sz w:val="30"/>
          <w:szCs w:val="30"/>
        </w:rPr>
        <w:t xml:space="preserve">8.5.4 </w:t>
      </w:r>
      <w:r>
        <w:rPr>
          <w:rFonts w:hint="eastAsia" w:ascii="仿宋_GB2312" w:eastAsia="仿宋_GB2312"/>
          <w:sz w:val="30"/>
          <w:szCs w:val="30"/>
        </w:rPr>
        <w:t>通知义务</w:t>
      </w:r>
      <w:bookmarkEnd w:id="798"/>
    </w:p>
    <w:p w14:paraId="1CC2F8D2">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除专用合同条件另有约定外，任何一方当事人变更除工伤保险之外的保险合同时，应事先征得另一方当事人同意，并通知工程师。</w:t>
      </w:r>
    </w:p>
    <w:p w14:paraId="23F104E9">
      <w:pPr>
        <w:wordWrap/>
        <w:topLinePunct w:val="0"/>
        <w:spacing w:after="120"/>
        <w:ind w:firstLine="600"/>
        <w:rPr>
          <w:rFonts w:ascii="仿宋_GB2312" w:eastAsia="仿宋_GB2312"/>
          <w:sz w:val="30"/>
          <w:szCs w:val="30"/>
        </w:rPr>
      </w:pPr>
      <w:r>
        <w:rPr>
          <w:rFonts w:hint="eastAsia" w:ascii="仿宋_GB2312" w:eastAsia="仿宋_GB2312"/>
          <w:sz w:val="30"/>
          <w:szCs w:val="30"/>
        </w:rPr>
        <w:t>保险事故发生时，投保人应按照保险合同规定的条件和期限及时向保险人报告。发包人和承包人应当在知道保险事故发生后及时通知对方。</w:t>
      </w:r>
    </w:p>
    <w:p w14:paraId="75502526">
      <w:pPr>
        <w:wordWrap/>
        <w:topLinePunct w:val="0"/>
        <w:spacing w:after="120"/>
        <w:ind w:firstLine="600"/>
        <w:rPr>
          <w:rFonts w:ascii="仿宋_GB2312" w:eastAsia="仿宋_GB2312"/>
          <w:sz w:val="30"/>
          <w:szCs w:val="30"/>
        </w:rPr>
      </w:pPr>
      <w:r>
        <w:rPr>
          <w:rFonts w:hint="eastAsia" w:ascii="仿宋_GB2312" w:eastAsia="仿宋_GB2312"/>
          <w:sz w:val="30"/>
          <w:szCs w:val="30"/>
        </w:rPr>
        <w:t>双方按本条规定投保不减少双方在合同下的其他义务。</w:t>
      </w:r>
    </w:p>
    <w:p w14:paraId="320BAF21">
      <w:pPr>
        <w:spacing w:after="120"/>
        <w:ind w:firstLine="0" w:firstLineChars="0"/>
        <w:jc w:val="left"/>
        <w:rPr>
          <w:rFonts w:ascii="仿宋_GB2312" w:eastAsia="仿宋_GB2312"/>
          <w:sz w:val="32"/>
          <w:szCs w:val="32"/>
        </w:rPr>
      </w:pPr>
      <w:bookmarkStart w:id="799" w:name="_Toc23296"/>
      <w:bookmarkStart w:id="800" w:name="_Ref11874997"/>
      <w:bookmarkStart w:id="801" w:name="_Toc54862320"/>
      <w:bookmarkStart w:id="802" w:name="_Toc31022"/>
      <w:bookmarkStart w:id="803" w:name="_Toc13115"/>
      <w:r>
        <w:rPr>
          <w:rFonts w:hint="eastAsia" w:ascii="仿宋_GB2312" w:eastAsia="仿宋_GB2312"/>
          <w:sz w:val="32"/>
          <w:szCs w:val="32"/>
        </w:rPr>
        <w:t>第19条 索赔</w:t>
      </w:r>
      <w:bookmarkEnd w:id="729"/>
      <w:bookmarkEnd w:id="730"/>
      <w:bookmarkEnd w:id="799"/>
      <w:bookmarkEnd w:id="800"/>
      <w:bookmarkEnd w:id="801"/>
      <w:bookmarkEnd w:id="802"/>
      <w:bookmarkEnd w:id="803"/>
    </w:p>
    <w:p w14:paraId="66B801A6">
      <w:pPr>
        <w:spacing w:after="120"/>
        <w:ind w:firstLine="600"/>
        <w:rPr>
          <w:rFonts w:ascii="仿宋_GB2312" w:eastAsia="仿宋_GB2312"/>
          <w:sz w:val="30"/>
          <w:szCs w:val="30"/>
        </w:rPr>
      </w:pPr>
      <w:bookmarkStart w:id="804" w:name="_Ref4798164"/>
      <w:bookmarkStart w:id="805" w:name="_Ref4798173"/>
      <w:bookmarkStart w:id="806" w:name="_Toc54862321"/>
      <w:r>
        <w:rPr>
          <w:rFonts w:hint="eastAsia" w:ascii="仿宋_GB2312" w:eastAsia="仿宋_GB2312"/>
          <w:sz w:val="30"/>
          <w:szCs w:val="30"/>
        </w:rPr>
        <w:t>19.1 索赔</w:t>
      </w:r>
      <w:bookmarkEnd w:id="804"/>
      <w:bookmarkEnd w:id="805"/>
      <w:r>
        <w:rPr>
          <w:rFonts w:hint="eastAsia" w:ascii="仿宋_GB2312" w:eastAsia="仿宋_GB2312"/>
          <w:sz w:val="30"/>
          <w:szCs w:val="30"/>
        </w:rPr>
        <w:t>的提出</w:t>
      </w:r>
      <w:bookmarkEnd w:id="806"/>
    </w:p>
    <w:p w14:paraId="5FD2B626">
      <w:pPr>
        <w:wordWrap/>
        <w:topLinePunct w:val="0"/>
        <w:spacing w:after="120"/>
        <w:ind w:firstLine="600"/>
        <w:rPr>
          <w:rFonts w:ascii="仿宋_GB2312" w:eastAsia="仿宋_GB2312"/>
          <w:sz w:val="30"/>
          <w:szCs w:val="30"/>
        </w:rPr>
      </w:pPr>
      <w:r>
        <w:rPr>
          <w:rFonts w:hint="eastAsia" w:ascii="仿宋_GB2312" w:eastAsia="仿宋_GB2312"/>
          <w:sz w:val="30"/>
          <w:szCs w:val="30"/>
        </w:rPr>
        <w:t>根据合同约定，任意一方认为有权得到追加/减少付款、延长缺陷责任期和（或）延长工期的，应按以下程序向对方提出索赔：</w:t>
      </w:r>
    </w:p>
    <w:p w14:paraId="02A4A9B9">
      <w:pPr>
        <w:wordWrap/>
        <w:topLinePunct w:val="0"/>
        <w:spacing w:after="120"/>
        <w:ind w:firstLine="600"/>
        <w:rPr>
          <w:rFonts w:ascii="仿宋_GB2312" w:eastAsia="仿宋_GB2312"/>
          <w:sz w:val="30"/>
          <w:szCs w:val="30"/>
        </w:rPr>
      </w:pPr>
      <w:r>
        <w:rPr>
          <w:rFonts w:hint="eastAsia" w:ascii="仿宋_GB2312" w:eastAsia="仿宋_GB2312"/>
          <w:sz w:val="30"/>
          <w:szCs w:val="30"/>
        </w:rPr>
        <w:t>（1） 索赔方应在知道或应当知道索赔事件发生后28天内，向对方递交索赔意向通知书，并说明发生索赔事件的事由；索赔方未在前述28天内发出索赔意向通知书的，丧失要求追加</w:t>
      </w:r>
      <w:r>
        <w:rPr>
          <w:rFonts w:ascii="仿宋_GB2312" w:eastAsia="仿宋_GB2312"/>
          <w:sz w:val="30"/>
          <w:szCs w:val="30"/>
        </w:rPr>
        <w:t>/减少付款、延长缺陷责任期和（或）延长工期</w:t>
      </w:r>
      <w:r>
        <w:rPr>
          <w:rFonts w:hint="eastAsia" w:ascii="仿宋_GB2312" w:eastAsia="仿宋_GB2312"/>
          <w:sz w:val="30"/>
          <w:szCs w:val="30"/>
        </w:rPr>
        <w:t>的权利；</w:t>
      </w:r>
    </w:p>
    <w:p w14:paraId="433DED44">
      <w:pPr>
        <w:wordWrap/>
        <w:topLinePunct w:val="0"/>
        <w:spacing w:after="120"/>
        <w:ind w:firstLine="600"/>
        <w:rPr>
          <w:rFonts w:ascii="仿宋_GB2312" w:eastAsia="仿宋_GB2312"/>
          <w:sz w:val="30"/>
          <w:szCs w:val="30"/>
        </w:rPr>
      </w:pPr>
      <w:r>
        <w:rPr>
          <w:rFonts w:hint="eastAsia" w:ascii="仿宋_GB2312" w:eastAsia="仿宋_GB2312"/>
          <w:sz w:val="30"/>
          <w:szCs w:val="30"/>
        </w:rPr>
        <w:t>（2） 索赔方应在发出索赔意向通知书后28天内，向对方正式递交索赔报告；索赔报告应详细说明索赔理由以及要求追加的付款金额、延长缺陷责任期和（或）延长的工期，并附必要的记录和证明材料；</w:t>
      </w:r>
    </w:p>
    <w:p w14:paraId="76238C2C">
      <w:pPr>
        <w:wordWrap/>
        <w:topLinePunct w:val="0"/>
        <w:spacing w:after="120"/>
        <w:ind w:firstLine="600"/>
        <w:rPr>
          <w:rFonts w:ascii="仿宋_GB2312" w:eastAsia="仿宋_GB2312"/>
          <w:sz w:val="30"/>
          <w:szCs w:val="30"/>
        </w:rPr>
      </w:pPr>
      <w:r>
        <w:rPr>
          <w:rFonts w:hint="eastAsia" w:ascii="仿宋_GB2312" w:eastAsia="仿宋_GB2312"/>
          <w:sz w:val="30"/>
          <w:szCs w:val="30"/>
        </w:rPr>
        <w:t>（3） 索赔事件具有持续影响的，索赔方应每月递交延续索赔通知，说明持续影响的实际情况和记录，列出累计的追加付款金额、延长缺陷责任期和（或）工期延长天数；</w:t>
      </w:r>
    </w:p>
    <w:p w14:paraId="52DF6835">
      <w:pPr>
        <w:wordWrap/>
        <w:topLinePunct w:val="0"/>
        <w:spacing w:after="120"/>
        <w:ind w:firstLine="600"/>
        <w:rPr>
          <w:rFonts w:ascii="仿宋_GB2312" w:eastAsia="仿宋_GB2312"/>
          <w:sz w:val="30"/>
          <w:szCs w:val="30"/>
        </w:rPr>
      </w:pPr>
      <w:bookmarkStart w:id="807" w:name="_Ref4796178"/>
      <w:r>
        <w:rPr>
          <w:rFonts w:hint="eastAsia" w:ascii="仿宋_GB2312" w:eastAsia="仿宋_GB2312"/>
          <w:sz w:val="30"/>
          <w:szCs w:val="30"/>
        </w:rPr>
        <w:t>（4） 在索赔事件影响结束后28天内，索赔方应向对方递交最终索赔报告，说明最终要求索赔的追加付款金额、延长缺陷责任期和（或）延长的工期，并附必要的记录和证明材料。</w:t>
      </w:r>
      <w:bookmarkEnd w:id="807"/>
    </w:p>
    <w:p w14:paraId="66621211">
      <w:pPr>
        <w:wordWrap/>
        <w:topLinePunct w:val="0"/>
        <w:spacing w:after="120"/>
        <w:ind w:firstLine="600"/>
        <w:rPr>
          <w:rFonts w:ascii="仿宋_GB2312" w:eastAsia="仿宋_GB2312"/>
          <w:sz w:val="30"/>
          <w:szCs w:val="30"/>
        </w:rPr>
      </w:pPr>
      <w:r>
        <w:rPr>
          <w:rFonts w:hint="eastAsia" w:ascii="仿宋_GB2312" w:eastAsia="仿宋_GB2312"/>
          <w:sz w:val="30"/>
          <w:szCs w:val="30"/>
        </w:rPr>
        <w:t>（5） 承包人作为索赔方时，其索赔意向通知书、索赔报告及相关索赔文件应向工程师提出；发包人作为索赔方时，其索赔意向通知书、索赔报告及相关索赔文件可自行向承包人提出或由工程师向承包人提出。</w:t>
      </w:r>
    </w:p>
    <w:p w14:paraId="7B5B643A">
      <w:pPr>
        <w:spacing w:after="120"/>
        <w:ind w:firstLine="600"/>
        <w:rPr>
          <w:rFonts w:ascii="仿宋_GB2312" w:eastAsia="仿宋_GB2312"/>
          <w:sz w:val="30"/>
          <w:szCs w:val="30"/>
        </w:rPr>
      </w:pPr>
      <w:bookmarkStart w:id="808" w:name="_Ref4796254"/>
      <w:bookmarkStart w:id="809" w:name="_Ref4796262"/>
      <w:bookmarkStart w:id="810" w:name="_Toc54862322"/>
      <w:r>
        <w:rPr>
          <w:rFonts w:hint="eastAsia" w:ascii="仿宋_GB2312" w:eastAsia="仿宋_GB2312"/>
          <w:sz w:val="30"/>
          <w:szCs w:val="30"/>
        </w:rPr>
        <w:t>19.2 承包人索赔的处理程序</w:t>
      </w:r>
      <w:bookmarkEnd w:id="808"/>
      <w:bookmarkEnd w:id="809"/>
      <w:bookmarkEnd w:id="810"/>
    </w:p>
    <w:p w14:paraId="731F15D7">
      <w:pPr>
        <w:wordWrap/>
        <w:topLinePunct w:val="0"/>
        <w:spacing w:after="120"/>
        <w:ind w:firstLine="600"/>
        <w:rPr>
          <w:rFonts w:ascii="仿宋_GB2312" w:eastAsia="仿宋_GB2312"/>
          <w:sz w:val="30"/>
          <w:szCs w:val="30"/>
        </w:rPr>
      </w:pPr>
      <w:r>
        <w:rPr>
          <w:rFonts w:hint="eastAsia" w:ascii="仿宋_GB2312" w:eastAsia="仿宋_GB2312"/>
          <w:sz w:val="30"/>
          <w:szCs w:val="30"/>
        </w:rPr>
        <w:t>（1） 工程师收到承包人提交的索赔报告后，应及时审查索赔报告的内容、查验承包人的记录和证明材料，必要时工程师可要求承包人提交全部原始记录副本。</w:t>
      </w:r>
    </w:p>
    <w:p w14:paraId="297F92BC">
      <w:pPr>
        <w:wordWrap/>
        <w:topLinePunct w:val="0"/>
        <w:spacing w:after="120"/>
        <w:ind w:firstLine="600"/>
        <w:rPr>
          <w:rFonts w:ascii="仿宋_GB2312" w:eastAsia="仿宋_GB2312"/>
          <w:sz w:val="30"/>
          <w:szCs w:val="30"/>
        </w:rPr>
      </w:pPr>
      <w:r>
        <w:rPr>
          <w:rFonts w:hint="eastAsia" w:ascii="仿宋_GB2312" w:eastAsia="仿宋_GB2312"/>
          <w:sz w:val="30"/>
          <w:szCs w:val="30"/>
        </w:rPr>
        <w:t>（2） 工程师应按第</w:t>
      </w:r>
      <w:r>
        <w:rPr>
          <w:rFonts w:ascii="仿宋_GB2312" w:eastAsia="仿宋_GB2312"/>
          <w:sz w:val="30"/>
          <w:szCs w:val="30"/>
        </w:rPr>
        <w:t>3.6</w:t>
      </w:r>
      <w:r>
        <w:rPr>
          <w:rFonts w:hint="eastAsia" w:ascii="仿宋_GB2312" w:eastAsia="仿宋_GB2312"/>
          <w:sz w:val="30"/>
          <w:szCs w:val="30"/>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2FD4D41F">
      <w:pPr>
        <w:wordWrap/>
        <w:topLinePunct w:val="0"/>
        <w:spacing w:after="120"/>
        <w:ind w:firstLine="600"/>
        <w:rPr>
          <w:rFonts w:ascii="仿宋_GB2312" w:eastAsia="仿宋_GB2312"/>
          <w:sz w:val="30"/>
          <w:szCs w:val="30"/>
        </w:rPr>
      </w:pPr>
      <w:r>
        <w:rPr>
          <w:rFonts w:hint="eastAsia" w:ascii="仿宋_GB2312" w:eastAsia="仿宋_GB2312"/>
          <w:sz w:val="30"/>
          <w:szCs w:val="30"/>
        </w:rPr>
        <w:t>（3） 承包人接受索赔处理结果的，发包人应在作出索赔处理结果答复后28天内完成支付。承包人不接受索赔处理结果的，按照第</w:t>
      </w:r>
      <w:r>
        <w:rPr>
          <w:rFonts w:ascii="仿宋_GB2312" w:eastAsia="仿宋_GB2312"/>
          <w:sz w:val="30"/>
          <w:szCs w:val="30"/>
        </w:rPr>
        <w:t>20条</w:t>
      </w:r>
      <w:r>
        <w:rPr>
          <w:rFonts w:hint="eastAsia" w:ascii="仿宋_GB2312" w:eastAsia="仿宋_GB2312"/>
          <w:sz w:val="30"/>
          <w:szCs w:val="30"/>
        </w:rPr>
        <w:t>[争议解决]约定处理。</w:t>
      </w:r>
    </w:p>
    <w:p w14:paraId="7C6EB139">
      <w:pPr>
        <w:pStyle w:val="127"/>
        <w:numPr>
          <w:ilvl w:val="0"/>
          <w:numId w:val="0"/>
        </w:numPr>
        <w:spacing w:after="120"/>
        <w:ind w:left="600"/>
        <w:rPr>
          <w:b/>
          <w:bCs/>
          <w:sz w:val="30"/>
          <w:szCs w:val="30"/>
        </w:rPr>
      </w:pPr>
      <w:bookmarkStart w:id="811" w:name="_Toc54862323"/>
      <w:r>
        <w:rPr>
          <w:rFonts w:hint="eastAsia"/>
          <w:bCs/>
          <w:sz w:val="30"/>
          <w:szCs w:val="30"/>
        </w:rPr>
        <w:t>1</w:t>
      </w:r>
      <w:r>
        <w:rPr>
          <w:bCs/>
          <w:sz w:val="30"/>
          <w:szCs w:val="30"/>
        </w:rPr>
        <w:t xml:space="preserve">9.3 </w:t>
      </w:r>
      <w:r>
        <w:rPr>
          <w:rFonts w:hint="eastAsia"/>
          <w:bCs/>
          <w:sz w:val="30"/>
          <w:szCs w:val="30"/>
        </w:rPr>
        <w:t>发包人索赔的处理程序</w:t>
      </w:r>
      <w:bookmarkEnd w:id="811"/>
    </w:p>
    <w:p w14:paraId="2CC5FD8F">
      <w:pPr>
        <w:wordWrap/>
        <w:topLinePunct w:val="0"/>
        <w:spacing w:after="120"/>
        <w:ind w:firstLine="600"/>
        <w:rPr>
          <w:rFonts w:ascii="仿宋_GB2312" w:eastAsia="仿宋_GB2312"/>
          <w:sz w:val="30"/>
          <w:szCs w:val="30"/>
        </w:rPr>
      </w:pPr>
      <w:r>
        <w:rPr>
          <w:rFonts w:hint="eastAsia" w:ascii="仿宋_GB2312" w:eastAsia="仿宋_GB2312"/>
          <w:sz w:val="30"/>
          <w:szCs w:val="30"/>
        </w:rPr>
        <w:t>（1） 承包人收到发包人提交的索赔报告后，应及时审查索赔报告的内容、查验发包人证明材料；</w:t>
      </w:r>
    </w:p>
    <w:p w14:paraId="2961F5A0">
      <w:pPr>
        <w:wordWrap/>
        <w:topLinePunct w:val="0"/>
        <w:spacing w:after="120"/>
        <w:ind w:firstLine="600"/>
        <w:rPr>
          <w:rFonts w:ascii="仿宋_GB2312" w:eastAsia="仿宋_GB2312"/>
          <w:sz w:val="30"/>
          <w:szCs w:val="30"/>
        </w:rPr>
      </w:pPr>
      <w:r>
        <w:rPr>
          <w:rFonts w:hint="eastAsia" w:ascii="仿宋_GB2312" w:eastAsia="仿宋_GB2312"/>
          <w:sz w:val="30"/>
          <w:szCs w:val="30"/>
        </w:rPr>
        <w:t>（2） 承包人应在收到上述索赔报告或有关索赔的进一步证明材料后42天内，将索赔处理结果答复发包人。承包人在收到索赔通知书或有关索赔的进一步证明材料后的42天内不予答复的，视为认可索赔。</w:t>
      </w:r>
    </w:p>
    <w:p w14:paraId="29CBC5B5">
      <w:pPr>
        <w:wordWrap/>
        <w:topLinePunct w:val="0"/>
        <w:spacing w:after="120"/>
        <w:ind w:firstLine="600"/>
        <w:rPr>
          <w:rFonts w:ascii="仿宋_GB2312" w:eastAsia="仿宋_GB2312"/>
          <w:sz w:val="30"/>
          <w:szCs w:val="30"/>
        </w:rPr>
      </w:pPr>
      <w:r>
        <w:rPr>
          <w:rFonts w:hint="eastAsia" w:ascii="仿宋_GB2312" w:eastAsia="仿宋_GB2312"/>
          <w:sz w:val="30"/>
          <w:szCs w:val="30"/>
        </w:rPr>
        <w:t>（3） 发包人接受索赔处理结果的，发包人可从应支付给承包人的合同价款中扣除赔付的金额或延长缺陷责任期；发包人不接受索赔处理结果的，按第</w:t>
      </w:r>
      <w:r>
        <w:rPr>
          <w:rFonts w:ascii="仿宋_GB2312" w:eastAsia="仿宋_GB2312"/>
          <w:sz w:val="30"/>
          <w:szCs w:val="30"/>
        </w:rPr>
        <w:t>20条</w:t>
      </w:r>
      <w:r>
        <w:rPr>
          <w:rFonts w:hint="eastAsia" w:ascii="仿宋_GB2312" w:eastAsia="仿宋_GB2312"/>
          <w:sz w:val="30"/>
          <w:szCs w:val="30"/>
        </w:rPr>
        <w:t>[争议解决]约定处理。</w:t>
      </w:r>
    </w:p>
    <w:p w14:paraId="09173007">
      <w:pPr>
        <w:spacing w:after="120"/>
        <w:ind w:firstLine="600"/>
        <w:rPr>
          <w:rFonts w:ascii="仿宋_GB2312" w:eastAsia="仿宋_GB2312"/>
          <w:sz w:val="30"/>
          <w:szCs w:val="30"/>
        </w:rPr>
      </w:pPr>
      <w:bookmarkStart w:id="812" w:name="_Toc54862324"/>
      <w:r>
        <w:rPr>
          <w:rFonts w:hint="eastAsia" w:ascii="仿宋_GB2312" w:eastAsia="仿宋_GB2312"/>
          <w:sz w:val="30"/>
          <w:szCs w:val="30"/>
        </w:rPr>
        <w:t>19.4 提出索赔的期限</w:t>
      </w:r>
      <w:bookmarkEnd w:id="812"/>
    </w:p>
    <w:p w14:paraId="750B498A">
      <w:pPr>
        <w:wordWrap/>
        <w:topLinePunct w:val="0"/>
        <w:spacing w:after="120"/>
        <w:ind w:firstLine="600"/>
        <w:rPr>
          <w:rFonts w:ascii="仿宋_GB2312" w:eastAsia="仿宋_GB2312"/>
          <w:sz w:val="30"/>
          <w:szCs w:val="30"/>
        </w:rPr>
      </w:pPr>
      <w:r>
        <w:rPr>
          <w:rFonts w:hint="eastAsia" w:ascii="仿宋_GB2312" w:eastAsia="仿宋_GB2312"/>
          <w:sz w:val="30"/>
          <w:szCs w:val="30"/>
        </w:rPr>
        <w:t>（1） 承包人按第</w:t>
      </w:r>
      <w:r>
        <w:rPr>
          <w:rFonts w:ascii="仿宋_GB2312" w:eastAsia="仿宋_GB2312"/>
          <w:sz w:val="30"/>
          <w:szCs w:val="30"/>
        </w:rPr>
        <w:t>14.5</w:t>
      </w:r>
      <w:r>
        <w:rPr>
          <w:rFonts w:hint="eastAsia" w:ascii="仿宋_GB2312" w:eastAsia="仿宋_GB2312"/>
          <w:sz w:val="30"/>
          <w:szCs w:val="30"/>
        </w:rPr>
        <w:t>款[竣工结算</w:t>
      </w:r>
      <w:bookmarkStart w:id="813" w:name="_Ref3826629"/>
      <w:bookmarkStart w:id="814" w:name="_Ref3826634"/>
      <w:r>
        <w:rPr>
          <w:rFonts w:hint="eastAsia" w:ascii="仿宋_GB2312" w:eastAsia="仿宋_GB2312"/>
          <w:sz w:val="30"/>
          <w:szCs w:val="30"/>
        </w:rPr>
        <w:t>]约定接收竣工付款证书后，应被认为已无权再提出在合同工程接收证书颁发前所发生的任何索赔。</w:t>
      </w:r>
    </w:p>
    <w:p w14:paraId="74AAFDF8">
      <w:pPr>
        <w:wordWrap/>
        <w:topLinePunct w:val="0"/>
        <w:spacing w:after="120"/>
        <w:ind w:firstLine="600"/>
        <w:rPr>
          <w:rFonts w:ascii="仿宋_GB2312" w:eastAsia="仿宋_GB2312"/>
          <w:sz w:val="30"/>
          <w:szCs w:val="30"/>
        </w:rPr>
      </w:pPr>
      <w:r>
        <w:rPr>
          <w:rFonts w:hint="eastAsia" w:ascii="仿宋_GB2312" w:eastAsia="仿宋_GB2312"/>
          <w:sz w:val="30"/>
          <w:szCs w:val="30"/>
        </w:rPr>
        <w:t>（2） 承包人按第</w:t>
      </w:r>
      <w:r>
        <w:rPr>
          <w:rFonts w:ascii="仿宋_GB2312" w:eastAsia="仿宋_GB2312"/>
          <w:sz w:val="30"/>
          <w:szCs w:val="30"/>
        </w:rPr>
        <w:t>14.7</w:t>
      </w:r>
      <w:r>
        <w:rPr>
          <w:rFonts w:hint="eastAsia" w:ascii="仿宋_GB2312" w:eastAsia="仿宋_GB2312"/>
          <w:sz w:val="30"/>
          <w:szCs w:val="30"/>
        </w:rPr>
        <w:t>款[</w:t>
      </w:r>
      <w:r>
        <w:rPr>
          <w:rFonts w:ascii="仿宋_GB2312" w:eastAsia="仿宋_GB2312"/>
          <w:sz w:val="30"/>
          <w:szCs w:val="30"/>
        </w:rPr>
        <w:t>最终结清</w:t>
      </w:r>
      <w:r>
        <w:rPr>
          <w:rFonts w:hint="eastAsia" w:ascii="仿宋_GB2312" w:eastAsia="仿宋_GB2312"/>
          <w:sz w:val="30"/>
          <w:szCs w:val="30"/>
        </w:rPr>
        <w:t>]提交的最终结清申请单中，只限于提出工程接收证书颁发后发生的索赔。提出索赔的期限均自接受最终结清证书时终止。</w:t>
      </w:r>
      <w:bookmarkEnd w:id="813"/>
      <w:bookmarkEnd w:id="814"/>
    </w:p>
    <w:p w14:paraId="460732EC">
      <w:pPr>
        <w:spacing w:after="120"/>
        <w:ind w:firstLine="0" w:firstLineChars="0"/>
        <w:jc w:val="left"/>
        <w:rPr>
          <w:rFonts w:ascii="仿宋_GB2312" w:eastAsia="仿宋_GB2312"/>
          <w:sz w:val="32"/>
          <w:szCs w:val="32"/>
        </w:rPr>
      </w:pPr>
      <w:bookmarkStart w:id="815" w:name="_Toc17916"/>
      <w:bookmarkStart w:id="816" w:name="_Toc4719"/>
      <w:bookmarkStart w:id="817" w:name="_Toc54862325"/>
      <w:bookmarkStart w:id="818" w:name="_Toc20728"/>
      <w:bookmarkStart w:id="819" w:name="_Ref532197861"/>
      <w:bookmarkStart w:id="820" w:name="_Ref532142075"/>
      <w:r>
        <w:rPr>
          <w:rFonts w:hint="eastAsia" w:ascii="仿宋_GB2312" w:eastAsia="仿宋_GB2312"/>
          <w:sz w:val="32"/>
          <w:szCs w:val="32"/>
        </w:rPr>
        <w:t>第20条 争议解决</w:t>
      </w:r>
      <w:bookmarkEnd w:id="815"/>
      <w:bookmarkEnd w:id="816"/>
      <w:bookmarkEnd w:id="817"/>
      <w:bookmarkEnd w:id="818"/>
      <w:bookmarkEnd w:id="819"/>
      <w:bookmarkEnd w:id="820"/>
    </w:p>
    <w:p w14:paraId="7F9BF3CE">
      <w:pPr>
        <w:spacing w:after="120"/>
        <w:ind w:firstLine="600"/>
        <w:rPr>
          <w:rFonts w:ascii="仿宋_GB2312" w:eastAsia="仿宋_GB2312"/>
          <w:sz w:val="30"/>
          <w:szCs w:val="30"/>
        </w:rPr>
      </w:pPr>
      <w:bookmarkStart w:id="821" w:name="_Ref415507198"/>
      <w:bookmarkStart w:id="822" w:name="_Toc54862326"/>
      <w:r>
        <w:rPr>
          <w:rFonts w:hint="eastAsia" w:ascii="仿宋_GB2312" w:eastAsia="仿宋_GB2312"/>
          <w:sz w:val="30"/>
          <w:szCs w:val="30"/>
        </w:rPr>
        <w:t>20.1 和解</w:t>
      </w:r>
      <w:bookmarkEnd w:id="821"/>
      <w:bookmarkEnd w:id="822"/>
    </w:p>
    <w:p w14:paraId="7889A7AE">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合同当事人可以就争议自行和解，自行和解达成协议的经双方签字并盖章后作为合同补充文件，双方均应遵照执行。</w:t>
      </w:r>
    </w:p>
    <w:p w14:paraId="12D0288E">
      <w:pPr>
        <w:spacing w:after="120"/>
        <w:ind w:firstLine="600"/>
        <w:rPr>
          <w:rFonts w:ascii="仿宋_GB2312" w:eastAsia="仿宋_GB2312"/>
          <w:sz w:val="30"/>
          <w:szCs w:val="30"/>
        </w:rPr>
      </w:pPr>
      <w:bookmarkStart w:id="823" w:name="_Toc54862327"/>
      <w:r>
        <w:rPr>
          <w:rFonts w:hint="eastAsia" w:ascii="仿宋_GB2312" w:eastAsia="仿宋_GB2312"/>
          <w:sz w:val="30"/>
          <w:szCs w:val="30"/>
        </w:rPr>
        <w:t>20.2 调解</w:t>
      </w:r>
      <w:bookmarkEnd w:id="823"/>
    </w:p>
    <w:p w14:paraId="1855C6C9">
      <w:pPr>
        <w:spacing w:after="120"/>
        <w:ind w:firstLine="600"/>
        <w:rPr>
          <w:rFonts w:ascii="仿宋_GB2312" w:eastAsia="仿宋_GB2312"/>
          <w:sz w:val="30"/>
          <w:szCs w:val="30"/>
        </w:rPr>
      </w:pPr>
      <w:r>
        <w:rPr>
          <w:rFonts w:hint="eastAsia" w:ascii="仿宋_GB2312" w:eastAsia="仿宋_GB2312"/>
          <w:sz w:val="30"/>
          <w:szCs w:val="30"/>
        </w:rPr>
        <w:t>合同当事人可以就争议请求建设行政主管部门、行业协会或其他第三方进行调解，调解达成协议的，经双方签字盖章后作为合同补充文件，双方均应遵照执行。</w:t>
      </w:r>
    </w:p>
    <w:p w14:paraId="23B7C250">
      <w:pPr>
        <w:spacing w:after="120"/>
        <w:ind w:firstLine="600"/>
        <w:rPr>
          <w:rFonts w:ascii="仿宋_GB2312" w:eastAsia="仿宋_GB2312"/>
          <w:sz w:val="30"/>
          <w:szCs w:val="30"/>
        </w:rPr>
      </w:pPr>
      <w:bookmarkStart w:id="824" w:name="_Ref532221532"/>
      <w:bookmarkStart w:id="825" w:name="_Toc54862328"/>
      <w:bookmarkStart w:id="826" w:name="_Ref532221527"/>
      <w:r>
        <w:rPr>
          <w:rFonts w:hint="eastAsia" w:ascii="仿宋_GB2312" w:eastAsia="仿宋_GB2312"/>
          <w:sz w:val="30"/>
          <w:szCs w:val="30"/>
        </w:rPr>
        <w:t>20.3 争议评审</w:t>
      </w:r>
      <w:bookmarkEnd w:id="824"/>
      <w:bookmarkEnd w:id="825"/>
      <w:bookmarkEnd w:id="826"/>
    </w:p>
    <w:p w14:paraId="5655764C">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合同当事人在专用合同条件中约定采取争议评审方式及评审规则解决争议的，按下列约定执行：</w:t>
      </w:r>
    </w:p>
    <w:p w14:paraId="6792900D">
      <w:pPr>
        <w:spacing w:after="120"/>
        <w:ind w:firstLine="600"/>
        <w:rPr>
          <w:rFonts w:ascii="仿宋_GB2312" w:eastAsia="仿宋_GB2312"/>
          <w:sz w:val="30"/>
          <w:szCs w:val="30"/>
        </w:rPr>
      </w:pPr>
      <w:r>
        <w:rPr>
          <w:rFonts w:hint="eastAsia" w:ascii="仿宋_GB2312" w:eastAsia="仿宋_GB2312"/>
          <w:sz w:val="30"/>
          <w:szCs w:val="30"/>
        </w:rPr>
        <w:t>2</w:t>
      </w:r>
      <w:r>
        <w:rPr>
          <w:rFonts w:ascii="仿宋_GB2312" w:eastAsia="仿宋_GB2312"/>
          <w:sz w:val="30"/>
          <w:szCs w:val="30"/>
        </w:rPr>
        <w:t xml:space="preserve">0.3.1 </w:t>
      </w:r>
      <w:r>
        <w:rPr>
          <w:rFonts w:hint="eastAsia" w:ascii="仿宋_GB2312" w:eastAsia="仿宋_GB2312"/>
          <w:sz w:val="30"/>
          <w:szCs w:val="30"/>
        </w:rPr>
        <w:t>争议评审小组的确定</w:t>
      </w:r>
    </w:p>
    <w:p w14:paraId="5AC028CB">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6B0176FF">
      <w:pPr>
        <w:wordWrap/>
        <w:topLinePunct w:val="0"/>
        <w:spacing w:after="120"/>
        <w:ind w:firstLine="600"/>
        <w:rPr>
          <w:rFonts w:ascii="仿宋_GB2312" w:eastAsia="仿宋_GB2312"/>
          <w:sz w:val="30"/>
          <w:szCs w:val="30"/>
        </w:rPr>
      </w:pPr>
      <w:r>
        <w:rPr>
          <w:rFonts w:hint="eastAsia" w:ascii="仿宋_GB2312" w:eastAsia="仿宋_GB2312"/>
          <w:sz w:val="30"/>
          <w:szCs w:val="30"/>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383E4AA6">
      <w:pPr>
        <w:wordWrap/>
        <w:topLinePunct w:val="0"/>
        <w:spacing w:after="120"/>
        <w:ind w:firstLine="600"/>
        <w:rPr>
          <w:rFonts w:ascii="仿宋_GB2312" w:eastAsia="仿宋_GB2312"/>
          <w:sz w:val="30"/>
          <w:szCs w:val="30"/>
        </w:rPr>
      </w:pPr>
      <w:r>
        <w:rPr>
          <w:rFonts w:hint="eastAsia" w:ascii="仿宋_GB2312" w:eastAsia="仿宋_GB2312"/>
          <w:sz w:val="30"/>
          <w:szCs w:val="30"/>
        </w:rPr>
        <w:t>除专用合同条件另有约定外，争议评审员报酬由发包人和承包人各承担一半。</w:t>
      </w:r>
    </w:p>
    <w:p w14:paraId="2CCE556E">
      <w:pPr>
        <w:spacing w:after="120"/>
        <w:ind w:firstLine="600"/>
        <w:rPr>
          <w:rFonts w:ascii="仿宋_GB2312" w:eastAsia="仿宋_GB2312"/>
          <w:sz w:val="30"/>
          <w:szCs w:val="30"/>
        </w:rPr>
      </w:pPr>
      <w:bookmarkStart w:id="827" w:name="_Ref532287270"/>
      <w:r>
        <w:rPr>
          <w:rFonts w:hint="eastAsia" w:ascii="仿宋_GB2312" w:eastAsia="仿宋_GB2312"/>
          <w:sz w:val="30"/>
          <w:szCs w:val="30"/>
        </w:rPr>
        <w:t>2</w:t>
      </w:r>
      <w:r>
        <w:rPr>
          <w:rFonts w:ascii="仿宋_GB2312" w:eastAsia="仿宋_GB2312"/>
          <w:sz w:val="30"/>
          <w:szCs w:val="30"/>
        </w:rPr>
        <w:t xml:space="preserve">0.3.2 </w:t>
      </w:r>
      <w:r>
        <w:rPr>
          <w:rFonts w:hint="eastAsia" w:ascii="仿宋_GB2312" w:eastAsia="仿宋_GB2312"/>
          <w:sz w:val="30"/>
          <w:szCs w:val="30"/>
        </w:rPr>
        <w:t>争议的避免</w:t>
      </w:r>
      <w:bookmarkEnd w:id="827"/>
    </w:p>
    <w:p w14:paraId="2057A8FA">
      <w:pPr>
        <w:spacing w:after="120"/>
        <w:ind w:firstLine="600"/>
        <w:rPr>
          <w:rFonts w:ascii="仿宋_GB2312" w:eastAsia="仿宋_GB2312"/>
          <w:sz w:val="30"/>
          <w:szCs w:val="30"/>
        </w:rPr>
      </w:pPr>
      <w:r>
        <w:rPr>
          <w:rFonts w:hint="eastAsia" w:ascii="仿宋_GB2312" w:eastAsia="仿宋_GB2312"/>
          <w:sz w:val="30"/>
          <w:szCs w:val="30"/>
        </w:rPr>
        <w:t>合同当事人协商一致，可以共同书面请求争议评审小组，就合同履行过程中可能出现争议的情况提供协助或进行非正式讨论，争议评审小组应给出公正的意见或建议。</w:t>
      </w:r>
    </w:p>
    <w:p w14:paraId="3153F8F5">
      <w:pPr>
        <w:wordWrap/>
        <w:topLinePunct w:val="0"/>
        <w:spacing w:after="120"/>
        <w:ind w:firstLine="600"/>
        <w:rPr>
          <w:rFonts w:ascii="仿宋_GB2312" w:eastAsia="仿宋_GB2312"/>
          <w:sz w:val="30"/>
          <w:szCs w:val="30"/>
        </w:rPr>
      </w:pPr>
      <w:r>
        <w:rPr>
          <w:rFonts w:hint="eastAsia" w:ascii="仿宋_GB2312" w:eastAsia="仿宋_GB2312"/>
          <w:sz w:val="30"/>
          <w:szCs w:val="30"/>
        </w:rPr>
        <w:t>此类协助或非正式讨论可在任何会议、施工现场视察或其他场合进行，并且除专用合同条件另有约定外，发包人和承包人均应出席。</w:t>
      </w:r>
    </w:p>
    <w:p w14:paraId="7AE226F1">
      <w:pPr>
        <w:wordWrap/>
        <w:topLinePunct w:val="0"/>
        <w:spacing w:after="120"/>
        <w:ind w:firstLine="600"/>
        <w:rPr>
          <w:rFonts w:ascii="仿宋_GB2312" w:eastAsia="仿宋_GB2312"/>
          <w:sz w:val="30"/>
          <w:szCs w:val="30"/>
        </w:rPr>
      </w:pPr>
      <w:r>
        <w:rPr>
          <w:rFonts w:hint="eastAsia" w:ascii="仿宋_GB2312" w:eastAsia="仿宋_GB2312"/>
          <w:sz w:val="30"/>
          <w:szCs w:val="30"/>
        </w:rPr>
        <w:t>争议评审小组在此类非正式讨论上给出的任何意见或建议，无论是口头还是书面的，对发包人和承包人不具有约束力，争议评审小组在之后的争议评审程序或决定中也不受此类意见或建议的约束。</w:t>
      </w:r>
    </w:p>
    <w:p w14:paraId="1C802D05">
      <w:pPr>
        <w:spacing w:after="120"/>
        <w:ind w:firstLine="600"/>
        <w:rPr>
          <w:rFonts w:ascii="仿宋_GB2312" w:eastAsia="仿宋_GB2312"/>
          <w:sz w:val="30"/>
          <w:szCs w:val="30"/>
        </w:rPr>
      </w:pPr>
      <w:bookmarkStart w:id="828" w:name="_Ref4695594"/>
      <w:r>
        <w:rPr>
          <w:rFonts w:hint="eastAsia" w:ascii="仿宋_GB2312" w:eastAsia="仿宋_GB2312"/>
          <w:sz w:val="30"/>
          <w:szCs w:val="30"/>
        </w:rPr>
        <w:t>2</w:t>
      </w:r>
      <w:r>
        <w:rPr>
          <w:rFonts w:ascii="仿宋_GB2312" w:eastAsia="仿宋_GB2312"/>
          <w:sz w:val="30"/>
          <w:szCs w:val="30"/>
        </w:rPr>
        <w:t xml:space="preserve">0.3.3 </w:t>
      </w:r>
      <w:r>
        <w:rPr>
          <w:rFonts w:hint="eastAsia" w:ascii="仿宋_GB2312" w:eastAsia="仿宋_GB2312"/>
          <w:sz w:val="30"/>
          <w:szCs w:val="30"/>
        </w:rPr>
        <w:t>争议评审小组的决定</w:t>
      </w:r>
      <w:bookmarkEnd w:id="828"/>
    </w:p>
    <w:p w14:paraId="04326DFD">
      <w:pPr>
        <w:spacing w:after="120"/>
        <w:ind w:firstLine="600"/>
        <w:rPr>
          <w:rFonts w:ascii="仿宋_GB2312" w:eastAsia="仿宋_GB2312"/>
          <w:sz w:val="30"/>
          <w:szCs w:val="30"/>
        </w:rPr>
      </w:pPr>
      <w:r>
        <w:rPr>
          <w:rFonts w:hint="eastAsia" w:ascii="仿宋_GB2312" w:eastAsia="仿宋_GB2312"/>
          <w:sz w:val="30"/>
          <w:szCs w:val="30"/>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745F44A3">
      <w:pPr>
        <w:spacing w:after="120"/>
        <w:ind w:firstLine="600"/>
        <w:rPr>
          <w:rFonts w:ascii="仿宋_GB2312" w:eastAsia="仿宋_GB2312"/>
          <w:sz w:val="30"/>
          <w:szCs w:val="30"/>
        </w:rPr>
      </w:pPr>
      <w:r>
        <w:rPr>
          <w:rFonts w:hint="eastAsia" w:ascii="仿宋_GB2312" w:eastAsia="仿宋_GB2312"/>
          <w:sz w:val="30"/>
          <w:szCs w:val="30"/>
        </w:rPr>
        <w:t>2</w:t>
      </w:r>
      <w:r>
        <w:rPr>
          <w:rFonts w:ascii="仿宋_GB2312" w:eastAsia="仿宋_GB2312"/>
          <w:sz w:val="30"/>
          <w:szCs w:val="30"/>
        </w:rPr>
        <w:t xml:space="preserve">0.3.4 </w:t>
      </w:r>
      <w:r>
        <w:rPr>
          <w:rFonts w:hint="eastAsia" w:ascii="仿宋_GB2312" w:eastAsia="仿宋_GB2312"/>
          <w:sz w:val="30"/>
          <w:szCs w:val="30"/>
        </w:rPr>
        <w:t>争议评审小组决定的效力</w:t>
      </w:r>
    </w:p>
    <w:p w14:paraId="05C830C3">
      <w:pPr>
        <w:spacing w:after="120"/>
        <w:ind w:firstLine="600"/>
        <w:rPr>
          <w:rFonts w:ascii="仿宋_GB2312" w:eastAsia="仿宋_GB2312"/>
          <w:sz w:val="30"/>
          <w:szCs w:val="30"/>
        </w:rPr>
      </w:pPr>
      <w:r>
        <w:rPr>
          <w:rFonts w:hint="eastAsia" w:ascii="仿宋_GB2312" w:eastAsia="仿宋_GB2312"/>
          <w:sz w:val="30"/>
          <w:szCs w:val="30"/>
        </w:rPr>
        <w:t>争议评审小组作出的书面决定经合同当事人签字确认后，对双方具有约束力，双方应遵照执行。</w:t>
      </w:r>
    </w:p>
    <w:p w14:paraId="5E12A488">
      <w:pPr>
        <w:spacing w:after="120"/>
        <w:ind w:firstLine="600"/>
        <w:rPr>
          <w:rFonts w:ascii="仿宋_GB2312" w:eastAsia="仿宋_GB2312"/>
          <w:sz w:val="30"/>
          <w:szCs w:val="30"/>
        </w:rPr>
      </w:pPr>
      <w:r>
        <w:rPr>
          <w:rFonts w:hint="eastAsia" w:ascii="仿宋_GB2312" w:eastAsia="仿宋_GB2312"/>
          <w:sz w:val="30"/>
          <w:szCs w:val="30"/>
        </w:rPr>
        <w:t>任何一方当事人不接受争议评审小组决定或不履行争议评审小组决定的，双方可选择采用其他争议解决方式。</w:t>
      </w:r>
    </w:p>
    <w:p w14:paraId="4D6698E1">
      <w:pPr>
        <w:spacing w:after="120"/>
        <w:ind w:firstLine="600"/>
        <w:rPr>
          <w:rFonts w:ascii="仿宋_GB2312" w:eastAsia="仿宋_GB2312"/>
          <w:sz w:val="30"/>
          <w:szCs w:val="30"/>
        </w:rPr>
      </w:pPr>
      <w:r>
        <w:rPr>
          <w:rFonts w:hint="eastAsia" w:ascii="仿宋_GB2312" w:eastAsia="仿宋_GB2312"/>
          <w:sz w:val="30"/>
          <w:szCs w:val="30"/>
        </w:rPr>
        <w:t>任何一方当事人不接受争议评审小组的决定，并不影响暂时执行争议评审小组的决定，直到在后续的采用其他争议解决方式中对争议评审小组的决定进行了改变。</w:t>
      </w:r>
    </w:p>
    <w:p w14:paraId="4D0582E2">
      <w:pPr>
        <w:spacing w:after="120"/>
        <w:ind w:firstLine="600"/>
        <w:rPr>
          <w:rFonts w:ascii="仿宋_GB2312" w:eastAsia="仿宋_GB2312"/>
          <w:sz w:val="30"/>
          <w:szCs w:val="30"/>
        </w:rPr>
      </w:pPr>
      <w:bookmarkStart w:id="829" w:name="_Toc54862329"/>
      <w:bookmarkStart w:id="830" w:name="_Ref532221748"/>
      <w:bookmarkStart w:id="831" w:name="_Ref532221752"/>
      <w:r>
        <w:rPr>
          <w:rFonts w:hint="eastAsia" w:ascii="仿宋_GB2312" w:eastAsia="仿宋_GB2312"/>
          <w:sz w:val="30"/>
          <w:szCs w:val="30"/>
        </w:rPr>
        <w:t>20.4 仲裁或诉讼</w:t>
      </w:r>
      <w:bookmarkEnd w:id="829"/>
      <w:bookmarkEnd w:id="830"/>
      <w:bookmarkEnd w:id="831"/>
    </w:p>
    <w:p w14:paraId="6B1F4B00">
      <w:pPr>
        <w:wordWrap/>
        <w:topLinePunct w:val="0"/>
        <w:spacing w:after="120"/>
        <w:ind w:firstLine="600"/>
        <w:rPr>
          <w:rFonts w:ascii="仿宋_GB2312" w:eastAsia="仿宋_GB2312"/>
          <w:sz w:val="30"/>
          <w:szCs w:val="30"/>
        </w:rPr>
      </w:pPr>
      <w:r>
        <w:rPr>
          <w:rFonts w:hint="eastAsia" w:ascii="仿宋_GB2312" w:eastAsia="仿宋_GB2312"/>
          <w:sz w:val="30"/>
          <w:szCs w:val="30"/>
        </w:rPr>
        <w:t>因合同及合同有关事项产生的争议，合同当事人可以在专用合同条件中约定以下一种方式解决争议：</w:t>
      </w:r>
    </w:p>
    <w:p w14:paraId="4599B311">
      <w:pPr>
        <w:wordWrap/>
        <w:topLinePunct w:val="0"/>
        <w:spacing w:after="120"/>
        <w:ind w:firstLine="600"/>
        <w:rPr>
          <w:rFonts w:ascii="仿宋_GB2312" w:eastAsia="仿宋_GB2312"/>
          <w:sz w:val="30"/>
          <w:szCs w:val="30"/>
        </w:rPr>
      </w:pPr>
      <w:r>
        <w:rPr>
          <w:rFonts w:hint="eastAsia" w:ascii="仿宋_GB2312" w:eastAsia="仿宋_GB2312"/>
          <w:sz w:val="30"/>
          <w:szCs w:val="30"/>
        </w:rPr>
        <w:t>（1） 向约定的仲裁委员会申请仲裁；</w:t>
      </w:r>
    </w:p>
    <w:p w14:paraId="713D9A21">
      <w:pPr>
        <w:wordWrap/>
        <w:topLinePunct w:val="0"/>
        <w:spacing w:after="120"/>
        <w:ind w:firstLine="600"/>
        <w:rPr>
          <w:rFonts w:ascii="仿宋_GB2312" w:eastAsia="仿宋_GB2312"/>
          <w:sz w:val="30"/>
          <w:szCs w:val="30"/>
        </w:rPr>
      </w:pPr>
      <w:r>
        <w:rPr>
          <w:rFonts w:hint="eastAsia" w:ascii="仿宋_GB2312" w:eastAsia="仿宋_GB2312"/>
          <w:sz w:val="30"/>
          <w:szCs w:val="30"/>
        </w:rPr>
        <w:t>（2） 向有管辖权的人民法院起诉。</w:t>
      </w:r>
    </w:p>
    <w:p w14:paraId="71F08016">
      <w:pPr>
        <w:spacing w:after="120"/>
        <w:ind w:firstLine="600"/>
        <w:rPr>
          <w:rFonts w:ascii="仿宋_GB2312" w:eastAsia="仿宋_GB2312"/>
          <w:sz w:val="30"/>
          <w:szCs w:val="30"/>
        </w:rPr>
      </w:pPr>
      <w:bookmarkStart w:id="832" w:name="_Toc54862330"/>
      <w:r>
        <w:rPr>
          <w:rFonts w:hint="eastAsia" w:ascii="仿宋_GB2312" w:eastAsia="仿宋_GB2312"/>
          <w:sz w:val="30"/>
          <w:szCs w:val="30"/>
        </w:rPr>
        <w:t>20.5 争议解决条款效力</w:t>
      </w:r>
      <w:bookmarkEnd w:id="832"/>
    </w:p>
    <w:p w14:paraId="041BFD40">
      <w:pPr>
        <w:wordWrap/>
        <w:topLinePunct w:val="0"/>
        <w:spacing w:after="120"/>
        <w:ind w:firstLine="600"/>
        <w:rPr>
          <w:rFonts w:ascii="仿宋_GB2312" w:eastAsia="仿宋_GB2312"/>
          <w:sz w:val="30"/>
          <w:szCs w:val="30"/>
        </w:rPr>
      </w:pPr>
      <w:r>
        <w:rPr>
          <w:rFonts w:hint="eastAsia" w:ascii="仿宋_GB2312" w:eastAsia="仿宋_GB2312"/>
          <w:sz w:val="30"/>
          <w:szCs w:val="30"/>
        </w:rPr>
        <w:t>合同有关争议解决的条款独立存在，合同的不生效、无效、被撤销或者终止的，不影响合同中有关争议解决条款的效力。</w:t>
      </w:r>
    </w:p>
    <w:p w14:paraId="5F8EA6B0">
      <w:pPr>
        <w:wordWrap/>
        <w:topLinePunct w:val="0"/>
        <w:spacing w:after="120"/>
        <w:ind w:firstLine="0" w:firstLineChars="0"/>
      </w:pPr>
    </w:p>
    <w:p w14:paraId="5520D9C7">
      <w:pPr>
        <w:pStyle w:val="109"/>
        <w:snapToGrid w:val="0"/>
        <w:spacing w:after="120" w:line="360" w:lineRule="auto"/>
        <w:ind w:firstLine="881"/>
        <w:rPr>
          <w:rFonts w:ascii="华文中宋" w:hAnsi="华文中宋" w:eastAsia="华文中宋"/>
          <w:sz w:val="44"/>
          <w:szCs w:val="52"/>
        </w:rPr>
      </w:pPr>
      <w:bookmarkStart w:id="833" w:name="_Toc20254"/>
      <w:bookmarkStart w:id="834" w:name="_Toc54862331"/>
      <w:bookmarkStart w:id="835" w:name="_Toc9975"/>
      <w:bookmarkStart w:id="836" w:name="_Toc12257"/>
    </w:p>
    <w:p w14:paraId="1F5356FD">
      <w:pPr>
        <w:pStyle w:val="109"/>
        <w:snapToGrid w:val="0"/>
        <w:spacing w:after="120" w:line="360" w:lineRule="auto"/>
        <w:ind w:firstLine="881"/>
        <w:rPr>
          <w:rFonts w:ascii="华文中宋" w:hAnsi="华文中宋" w:eastAsia="华文中宋"/>
          <w:sz w:val="44"/>
          <w:szCs w:val="52"/>
        </w:rPr>
      </w:pPr>
    </w:p>
    <w:p w14:paraId="63266422">
      <w:pPr>
        <w:pStyle w:val="109"/>
        <w:snapToGrid w:val="0"/>
        <w:spacing w:after="120" w:line="360" w:lineRule="auto"/>
        <w:ind w:firstLine="881"/>
        <w:rPr>
          <w:rFonts w:ascii="华文中宋" w:hAnsi="华文中宋" w:eastAsia="华文中宋"/>
          <w:sz w:val="44"/>
          <w:szCs w:val="52"/>
        </w:rPr>
      </w:pPr>
    </w:p>
    <w:p w14:paraId="6C381F39">
      <w:pPr>
        <w:pStyle w:val="109"/>
        <w:snapToGrid w:val="0"/>
        <w:spacing w:after="120" w:line="360" w:lineRule="auto"/>
        <w:ind w:firstLine="881"/>
        <w:rPr>
          <w:rFonts w:ascii="华文中宋" w:hAnsi="华文中宋" w:eastAsia="华文中宋"/>
          <w:sz w:val="44"/>
          <w:szCs w:val="52"/>
        </w:rPr>
      </w:pPr>
    </w:p>
    <w:p w14:paraId="3A27C3A8">
      <w:pPr>
        <w:pStyle w:val="109"/>
        <w:snapToGrid w:val="0"/>
        <w:spacing w:after="120" w:line="360" w:lineRule="auto"/>
        <w:ind w:firstLine="881"/>
        <w:rPr>
          <w:rFonts w:ascii="华文中宋" w:hAnsi="华文中宋" w:eastAsia="华文中宋"/>
          <w:sz w:val="44"/>
          <w:szCs w:val="52"/>
        </w:rPr>
      </w:pPr>
    </w:p>
    <w:p w14:paraId="7A8CA36B">
      <w:pPr>
        <w:pStyle w:val="109"/>
        <w:snapToGrid w:val="0"/>
        <w:spacing w:after="120" w:line="360" w:lineRule="auto"/>
        <w:ind w:firstLine="881"/>
        <w:rPr>
          <w:rFonts w:ascii="华文中宋" w:hAnsi="华文中宋" w:eastAsia="华文中宋"/>
          <w:sz w:val="44"/>
          <w:szCs w:val="52"/>
        </w:rPr>
      </w:pPr>
    </w:p>
    <w:p w14:paraId="7D5924BB">
      <w:pPr>
        <w:pStyle w:val="109"/>
        <w:snapToGrid w:val="0"/>
        <w:spacing w:after="120" w:line="360" w:lineRule="auto"/>
        <w:ind w:firstLine="881"/>
        <w:rPr>
          <w:rFonts w:ascii="华文中宋" w:hAnsi="华文中宋" w:eastAsia="华文中宋"/>
          <w:sz w:val="44"/>
          <w:szCs w:val="52"/>
        </w:rPr>
      </w:pPr>
    </w:p>
    <w:p w14:paraId="0C299E23">
      <w:pPr>
        <w:pStyle w:val="109"/>
        <w:snapToGrid w:val="0"/>
        <w:spacing w:after="120" w:line="360" w:lineRule="auto"/>
        <w:ind w:firstLine="881"/>
        <w:rPr>
          <w:rFonts w:ascii="华文中宋" w:hAnsi="华文中宋" w:eastAsia="华文中宋"/>
          <w:sz w:val="44"/>
          <w:szCs w:val="52"/>
        </w:rPr>
      </w:pPr>
    </w:p>
    <w:p w14:paraId="2FECA0DF">
      <w:pPr>
        <w:pStyle w:val="109"/>
        <w:snapToGrid w:val="0"/>
        <w:spacing w:after="120" w:line="360" w:lineRule="auto"/>
        <w:ind w:firstLine="881"/>
        <w:rPr>
          <w:rFonts w:ascii="华文中宋" w:hAnsi="华文中宋" w:eastAsia="华文中宋"/>
          <w:sz w:val="44"/>
          <w:szCs w:val="52"/>
        </w:rPr>
      </w:pPr>
    </w:p>
    <w:p w14:paraId="41925938">
      <w:pPr>
        <w:pStyle w:val="109"/>
        <w:snapToGrid w:val="0"/>
        <w:spacing w:after="120" w:line="360" w:lineRule="auto"/>
        <w:ind w:firstLine="881"/>
        <w:rPr>
          <w:rFonts w:ascii="华文中宋" w:hAnsi="华文中宋" w:eastAsia="华文中宋"/>
          <w:sz w:val="44"/>
          <w:szCs w:val="52"/>
        </w:rPr>
      </w:pPr>
    </w:p>
    <w:p w14:paraId="4B19BCF0">
      <w:pPr>
        <w:pStyle w:val="109"/>
        <w:snapToGrid w:val="0"/>
        <w:spacing w:after="120" w:line="360" w:lineRule="auto"/>
        <w:ind w:firstLine="881"/>
        <w:rPr>
          <w:rFonts w:ascii="华文中宋" w:hAnsi="华文中宋" w:eastAsia="华文中宋"/>
          <w:sz w:val="44"/>
          <w:szCs w:val="52"/>
        </w:rPr>
      </w:pPr>
    </w:p>
    <w:p w14:paraId="7C591021">
      <w:pPr>
        <w:pStyle w:val="109"/>
        <w:snapToGrid w:val="0"/>
        <w:spacing w:after="120" w:line="360" w:lineRule="auto"/>
        <w:ind w:left="0" w:leftChars="0" w:firstLine="0"/>
        <w:jc w:val="center"/>
        <w:outlineLvl w:val="0"/>
        <w:rPr>
          <w:rFonts w:ascii="仿宋" w:hAnsi="仿宋" w:eastAsia="仿宋" w:cs="仿宋"/>
          <w:sz w:val="44"/>
          <w:szCs w:val="52"/>
        </w:rPr>
      </w:pPr>
      <w:r>
        <w:rPr>
          <w:rFonts w:hint="eastAsia" w:ascii="仿宋" w:hAnsi="仿宋" w:eastAsia="仿宋" w:cs="仿宋"/>
          <w:sz w:val="44"/>
          <w:szCs w:val="52"/>
        </w:rPr>
        <w:t>第三部分 专用合同条件</w:t>
      </w:r>
      <w:bookmarkEnd w:id="833"/>
      <w:bookmarkEnd w:id="834"/>
      <w:bookmarkEnd w:id="835"/>
      <w:bookmarkEnd w:id="836"/>
    </w:p>
    <w:p w14:paraId="1F658EAD">
      <w:pPr>
        <w:spacing w:after="120"/>
        <w:ind w:firstLine="0" w:firstLineChars="0"/>
        <w:outlineLvl w:val="1"/>
        <w:rPr>
          <w:rFonts w:ascii="仿宋" w:hAnsi="仿宋" w:eastAsia="仿宋" w:cs="仿宋"/>
          <w:b/>
          <w:bCs/>
          <w:sz w:val="32"/>
          <w:szCs w:val="21"/>
        </w:rPr>
      </w:pPr>
      <w:bookmarkStart w:id="837" w:name="_Toc54862332"/>
      <w:bookmarkStart w:id="838" w:name="_Toc19535"/>
      <w:bookmarkStart w:id="839" w:name="_Toc15574"/>
      <w:bookmarkStart w:id="840" w:name="_Toc11943"/>
      <w:r>
        <w:rPr>
          <w:rFonts w:hint="eastAsia" w:ascii="仿宋" w:hAnsi="仿宋" w:eastAsia="仿宋" w:cs="仿宋"/>
          <w:bCs/>
          <w:sz w:val="32"/>
          <w:szCs w:val="21"/>
        </w:rPr>
        <w:t>第1条 一般约定</w:t>
      </w:r>
      <w:bookmarkEnd w:id="837"/>
      <w:bookmarkEnd w:id="838"/>
      <w:bookmarkEnd w:id="839"/>
      <w:bookmarkEnd w:id="840"/>
    </w:p>
    <w:p w14:paraId="147ADDB2">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1.1 词语定义和解释</w:t>
      </w:r>
    </w:p>
    <w:p w14:paraId="787C0140">
      <w:pPr>
        <w:wordWrap/>
        <w:topLinePunct w:val="0"/>
        <w:spacing w:after="120"/>
        <w:ind w:firstLine="600"/>
        <w:rPr>
          <w:rFonts w:ascii="仿宋_GB2312" w:eastAsia="仿宋_GB2312"/>
          <w:sz w:val="30"/>
          <w:szCs w:val="30"/>
        </w:rPr>
      </w:pPr>
      <w:r>
        <w:rPr>
          <w:rFonts w:ascii="仿宋_GB2312" w:eastAsia="仿宋_GB2312"/>
          <w:sz w:val="30"/>
          <w:szCs w:val="30"/>
        </w:rPr>
        <w:t xml:space="preserve">1.1.1 </w:t>
      </w:r>
      <w:r>
        <w:rPr>
          <w:rFonts w:hint="eastAsia" w:ascii="仿宋_GB2312" w:eastAsia="仿宋_GB2312"/>
          <w:sz w:val="30"/>
          <w:szCs w:val="30"/>
        </w:rPr>
        <w:t>合同</w:t>
      </w:r>
    </w:p>
    <w:p w14:paraId="195C5600">
      <w:pPr>
        <w:wordWrap/>
        <w:topLinePunct w:val="0"/>
        <w:spacing w:after="120"/>
        <w:ind w:firstLine="600"/>
        <w:rPr>
          <w:rFonts w:ascii="仿宋_GB2312" w:eastAsia="仿宋_GB2312"/>
          <w:sz w:val="30"/>
          <w:szCs w:val="30"/>
        </w:rPr>
      </w:pPr>
      <w:r>
        <w:rPr>
          <w:rFonts w:ascii="仿宋_GB2312" w:eastAsia="仿宋_GB2312"/>
          <w:sz w:val="30"/>
          <w:szCs w:val="30"/>
        </w:rPr>
        <w:t xml:space="preserve">1.1.1.10 </w:t>
      </w:r>
      <w:r>
        <w:rPr>
          <w:rFonts w:hint="eastAsia" w:ascii="仿宋_GB2312" w:eastAsia="仿宋_GB2312"/>
          <w:sz w:val="30"/>
          <w:szCs w:val="30"/>
        </w:rPr>
        <w:t>其他合同文件：</w:t>
      </w:r>
      <w:r>
        <w:rPr>
          <w:rFonts w:hint="eastAsia" w:ascii="仿宋_GB2312" w:eastAsia="仿宋_GB2312"/>
          <w:sz w:val="30"/>
          <w:szCs w:val="30"/>
          <w:u w:val="single"/>
        </w:rPr>
        <w:t>指经合同双方当事人确认构成合同文件的其他文件，包括施工图预算、各阶段图纸、双方变更、洽商、签证所形成的文件等</w:t>
      </w:r>
      <w:r>
        <w:rPr>
          <w:rFonts w:hint="eastAsia" w:ascii="仿宋_GB2312" w:eastAsia="仿宋_GB2312"/>
          <w:sz w:val="30"/>
          <w:szCs w:val="30"/>
        </w:rPr>
        <w:t>。</w:t>
      </w:r>
    </w:p>
    <w:p w14:paraId="6EDFF6B7">
      <w:pPr>
        <w:wordWrap/>
        <w:topLinePunct w:val="0"/>
        <w:spacing w:after="120"/>
        <w:ind w:firstLine="600"/>
        <w:rPr>
          <w:rFonts w:ascii="仿宋_GB2312" w:eastAsia="仿宋_GB2312"/>
          <w:sz w:val="30"/>
          <w:szCs w:val="30"/>
        </w:rPr>
      </w:pPr>
      <w:r>
        <w:rPr>
          <w:rFonts w:ascii="仿宋_GB2312" w:eastAsia="仿宋_GB2312"/>
          <w:sz w:val="30"/>
          <w:szCs w:val="30"/>
        </w:rPr>
        <w:t xml:space="preserve">1.1.3 </w:t>
      </w:r>
      <w:r>
        <w:rPr>
          <w:rFonts w:hint="eastAsia" w:ascii="仿宋_GB2312" w:eastAsia="仿宋_GB2312"/>
          <w:sz w:val="30"/>
          <w:szCs w:val="30"/>
        </w:rPr>
        <w:t>工程和设备</w:t>
      </w:r>
    </w:p>
    <w:p w14:paraId="47652F01">
      <w:pPr>
        <w:wordWrap/>
        <w:topLinePunct w:val="0"/>
        <w:spacing w:after="120"/>
        <w:ind w:firstLine="600"/>
        <w:rPr>
          <w:rFonts w:ascii="仿宋_GB2312" w:eastAsia="仿宋_GB2312"/>
          <w:sz w:val="30"/>
          <w:szCs w:val="30"/>
        </w:rPr>
      </w:pPr>
      <w:r>
        <w:rPr>
          <w:rFonts w:ascii="仿宋_GB2312" w:eastAsia="仿宋_GB2312"/>
          <w:sz w:val="30"/>
          <w:szCs w:val="30"/>
        </w:rPr>
        <w:t xml:space="preserve">1.1.3.5 </w:t>
      </w:r>
      <w:r>
        <w:rPr>
          <w:rFonts w:hint="eastAsia" w:ascii="仿宋_GB2312" w:eastAsia="仿宋_GB2312"/>
          <w:sz w:val="30"/>
          <w:szCs w:val="30"/>
        </w:rPr>
        <w:t>单位/区段工程的范围：。</w:t>
      </w:r>
    </w:p>
    <w:p w14:paraId="35F42837">
      <w:pPr>
        <w:wordWrap/>
        <w:topLinePunct w:val="0"/>
        <w:spacing w:after="120"/>
        <w:ind w:firstLine="600"/>
        <w:rPr>
          <w:rFonts w:ascii="仿宋_GB2312" w:eastAsia="仿宋_GB2312"/>
          <w:sz w:val="30"/>
          <w:szCs w:val="30"/>
        </w:rPr>
      </w:pPr>
      <w:r>
        <w:rPr>
          <w:rFonts w:ascii="仿宋_GB2312" w:eastAsia="仿宋_GB2312"/>
          <w:sz w:val="30"/>
          <w:szCs w:val="30"/>
        </w:rPr>
        <w:t xml:space="preserve">1.1.3.9 </w:t>
      </w:r>
      <w:r>
        <w:rPr>
          <w:rFonts w:hint="eastAsia" w:ascii="仿宋_GB2312" w:eastAsia="仿宋_GB2312"/>
          <w:sz w:val="30"/>
          <w:szCs w:val="30"/>
        </w:rPr>
        <w:t>作为施工场所组成部分的其他场所包括：</w:t>
      </w:r>
      <w:r>
        <w:rPr>
          <w:rFonts w:hint="eastAsia" w:ascii="仿宋_GB2312" w:eastAsia="仿宋_GB2312"/>
          <w:sz w:val="30"/>
          <w:szCs w:val="30"/>
          <w:u w:val="single"/>
        </w:rPr>
        <w:t>/</w:t>
      </w:r>
      <w:r>
        <w:rPr>
          <w:rFonts w:hint="eastAsia" w:ascii="仿宋_GB2312" w:eastAsia="仿宋_GB2312"/>
          <w:sz w:val="30"/>
          <w:szCs w:val="30"/>
        </w:rPr>
        <w:t>。</w:t>
      </w:r>
    </w:p>
    <w:p w14:paraId="706635D3">
      <w:pPr>
        <w:wordWrap/>
        <w:topLinePunct w:val="0"/>
        <w:spacing w:after="120"/>
        <w:ind w:firstLine="600"/>
        <w:rPr>
          <w:rFonts w:ascii="仿宋_GB2312" w:eastAsia="仿宋_GB2312"/>
          <w:sz w:val="30"/>
          <w:szCs w:val="30"/>
        </w:rPr>
      </w:pPr>
      <w:r>
        <w:rPr>
          <w:rFonts w:ascii="仿宋_GB2312" w:eastAsia="仿宋_GB2312"/>
          <w:sz w:val="30"/>
          <w:szCs w:val="30"/>
        </w:rPr>
        <w:t xml:space="preserve">1.1.3.10 </w:t>
      </w:r>
      <w:r>
        <w:rPr>
          <w:rFonts w:hint="eastAsia" w:ascii="仿宋_GB2312" w:eastAsia="仿宋_GB2312"/>
          <w:sz w:val="30"/>
          <w:szCs w:val="30"/>
        </w:rPr>
        <w:t>永久占地包括：。</w:t>
      </w:r>
    </w:p>
    <w:p w14:paraId="1AE4EEB5">
      <w:pPr>
        <w:wordWrap/>
        <w:topLinePunct w:val="0"/>
        <w:spacing w:after="120"/>
        <w:ind w:firstLine="600"/>
        <w:rPr>
          <w:rFonts w:ascii="仿宋_GB2312" w:eastAsia="仿宋_GB2312"/>
          <w:sz w:val="30"/>
          <w:szCs w:val="30"/>
        </w:rPr>
      </w:pPr>
      <w:r>
        <w:rPr>
          <w:rFonts w:ascii="仿宋_GB2312" w:eastAsia="仿宋_GB2312"/>
          <w:sz w:val="30"/>
          <w:szCs w:val="30"/>
        </w:rPr>
        <w:t xml:space="preserve">1.1.3.11 </w:t>
      </w:r>
      <w:r>
        <w:rPr>
          <w:rFonts w:hint="eastAsia" w:ascii="仿宋_GB2312" w:eastAsia="仿宋_GB2312"/>
          <w:sz w:val="30"/>
          <w:szCs w:val="30"/>
        </w:rPr>
        <w:t>临时占地包括：。</w:t>
      </w:r>
    </w:p>
    <w:p w14:paraId="5AA3FBBE">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1.2 语言文字</w:t>
      </w:r>
    </w:p>
    <w:p w14:paraId="6941F5BD">
      <w:pPr>
        <w:wordWrap/>
        <w:topLinePunct w:val="0"/>
        <w:spacing w:after="120"/>
        <w:ind w:firstLine="600"/>
        <w:rPr>
          <w:rFonts w:ascii="仿宋_GB2312" w:eastAsia="仿宋_GB2312"/>
          <w:sz w:val="30"/>
          <w:szCs w:val="30"/>
        </w:rPr>
      </w:pPr>
      <w:r>
        <w:rPr>
          <w:rFonts w:hint="eastAsia" w:ascii="仿宋_GB2312" w:eastAsia="仿宋_GB2312"/>
          <w:sz w:val="30"/>
          <w:szCs w:val="30"/>
        </w:rPr>
        <w:t>本合同除使用汉语外，还使用</w:t>
      </w:r>
      <w:r>
        <w:rPr>
          <w:rFonts w:hint="eastAsia" w:ascii="仿宋_GB2312" w:eastAsia="仿宋_GB2312"/>
          <w:sz w:val="30"/>
          <w:szCs w:val="30"/>
          <w:u w:val="single"/>
        </w:rPr>
        <w:t>/</w:t>
      </w:r>
      <w:r>
        <w:rPr>
          <w:rFonts w:hint="eastAsia" w:ascii="仿宋_GB2312" w:eastAsia="仿宋_GB2312"/>
          <w:sz w:val="30"/>
          <w:szCs w:val="30"/>
        </w:rPr>
        <w:t>语言。</w:t>
      </w:r>
    </w:p>
    <w:p w14:paraId="6B6B3A3B">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1.3 法律</w:t>
      </w:r>
    </w:p>
    <w:p w14:paraId="0AC6B9B3">
      <w:pPr>
        <w:wordWrap/>
        <w:topLinePunct w:val="0"/>
        <w:spacing w:after="120"/>
        <w:ind w:firstLine="600"/>
        <w:rPr>
          <w:rFonts w:ascii="仿宋_GB2312" w:eastAsia="仿宋_GB2312"/>
          <w:sz w:val="30"/>
          <w:szCs w:val="30"/>
        </w:rPr>
      </w:pPr>
      <w:r>
        <w:rPr>
          <w:rFonts w:hint="eastAsia" w:ascii="仿宋_GB2312" w:eastAsia="仿宋_GB2312"/>
          <w:sz w:val="30"/>
          <w:szCs w:val="30"/>
        </w:rPr>
        <w:t>适用于合同的其他规范性文件：</w:t>
      </w:r>
      <w:r>
        <w:rPr>
          <w:rFonts w:ascii="仿宋_GB2312" w:eastAsia="仿宋_GB2312"/>
          <w:sz w:val="30"/>
          <w:szCs w:val="30"/>
          <w:highlight w:val="lightGray"/>
        </w:rPr>
        <w:t>《广东省政府投资省属非经营性项目代建管理办法（试行）》（粤府〔2016〕36）、《广东省省级政府投资管理暂行办法》、《省代建局代建项目资金支付管理办法》，《省属代建项目工程回访管理制度（试行）》、《省属代建项目创“双优”管理办法》、《省属代建项目安全生产管理办法》、《省属代建项目灾害事故预防与应急管理办法》、《省代建局代建项目工程质量管理办法》、《省属非经营性代建项目工程变更管理办法》、《省属非经营性代建项目建设全过程管理监督规定》、《省属非经营性代建项目建筑工程验收与使用移交管理办法（试行）》和项目实施过程中省代建局颁布的其他管理办法</w:t>
      </w:r>
      <w:r>
        <w:rPr>
          <w:rFonts w:hint="eastAsia" w:ascii="仿宋_GB2312" w:eastAsia="仿宋_GB2312"/>
          <w:sz w:val="30"/>
          <w:szCs w:val="30"/>
        </w:rPr>
        <w:t>。</w:t>
      </w:r>
    </w:p>
    <w:p w14:paraId="3D094021">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1.4 标准和规范</w:t>
      </w:r>
    </w:p>
    <w:p w14:paraId="24F4D1E6">
      <w:pPr>
        <w:wordWrap/>
        <w:topLinePunct w:val="0"/>
        <w:spacing w:after="120"/>
        <w:ind w:firstLine="600"/>
        <w:rPr>
          <w:rFonts w:ascii="仿宋_GB2312" w:eastAsia="仿宋_GB2312"/>
          <w:sz w:val="30"/>
          <w:szCs w:val="30"/>
        </w:rPr>
      </w:pPr>
      <w:r>
        <w:rPr>
          <w:rFonts w:ascii="仿宋_GB2312" w:eastAsia="仿宋_GB2312"/>
          <w:sz w:val="30"/>
          <w:szCs w:val="30"/>
        </w:rPr>
        <w:t xml:space="preserve">1.4.1 </w:t>
      </w:r>
      <w:r>
        <w:rPr>
          <w:rFonts w:hint="eastAsia" w:ascii="仿宋_GB2312" w:eastAsia="仿宋_GB2312"/>
          <w:sz w:val="30"/>
          <w:szCs w:val="30"/>
        </w:rPr>
        <w:t>适用于本合同的标准、规范（名称）包括：</w:t>
      </w:r>
      <w:r>
        <w:rPr>
          <w:rFonts w:hint="eastAsia" w:ascii="仿宋_GB2312" w:eastAsia="仿宋_GB2312"/>
          <w:sz w:val="30"/>
          <w:szCs w:val="30"/>
          <w:u w:val="single"/>
        </w:rPr>
        <w:t>/</w:t>
      </w:r>
      <w:r>
        <w:rPr>
          <w:rFonts w:hint="eastAsia" w:ascii="仿宋_GB2312" w:eastAsia="仿宋_GB2312"/>
          <w:sz w:val="30"/>
          <w:szCs w:val="30"/>
        </w:rPr>
        <w:t>。</w:t>
      </w:r>
    </w:p>
    <w:p w14:paraId="6DE8B840">
      <w:pPr>
        <w:wordWrap/>
        <w:topLinePunct w:val="0"/>
        <w:spacing w:after="120"/>
        <w:ind w:firstLine="600"/>
        <w:rPr>
          <w:rFonts w:ascii="仿宋_GB2312" w:eastAsia="仿宋_GB2312"/>
          <w:sz w:val="30"/>
          <w:szCs w:val="30"/>
        </w:rPr>
      </w:pPr>
      <w:r>
        <w:rPr>
          <w:rFonts w:ascii="仿宋_GB2312" w:eastAsia="仿宋_GB2312"/>
          <w:sz w:val="30"/>
          <w:szCs w:val="30"/>
        </w:rPr>
        <w:t xml:space="preserve">1.4.2 </w:t>
      </w:r>
      <w:r>
        <w:rPr>
          <w:rFonts w:hint="eastAsia" w:ascii="仿宋_GB2312" w:eastAsia="仿宋_GB2312"/>
          <w:sz w:val="30"/>
          <w:szCs w:val="30"/>
        </w:rPr>
        <w:t>发包人提供的国外标准、规范的名称：</w:t>
      </w:r>
      <w:r>
        <w:rPr>
          <w:rFonts w:hint="eastAsia" w:ascii="仿宋_GB2312" w:eastAsia="仿宋_GB2312"/>
          <w:sz w:val="30"/>
          <w:szCs w:val="30"/>
          <w:u w:val="single"/>
        </w:rPr>
        <w:t>/</w:t>
      </w:r>
      <w:r>
        <w:rPr>
          <w:rFonts w:hint="eastAsia" w:ascii="仿宋_GB2312" w:eastAsia="仿宋_GB2312"/>
          <w:sz w:val="30"/>
          <w:szCs w:val="30"/>
        </w:rPr>
        <w:t>；发包人提供的国外标准、规范的份数：</w:t>
      </w:r>
      <w:r>
        <w:rPr>
          <w:rFonts w:hint="eastAsia" w:ascii="仿宋_GB2312" w:eastAsia="仿宋_GB2312"/>
          <w:sz w:val="30"/>
          <w:szCs w:val="30"/>
          <w:u w:val="single"/>
        </w:rPr>
        <w:t>/</w:t>
      </w:r>
      <w:r>
        <w:rPr>
          <w:rFonts w:hint="eastAsia" w:ascii="仿宋_GB2312" w:eastAsia="仿宋_GB2312"/>
          <w:sz w:val="30"/>
          <w:szCs w:val="30"/>
        </w:rPr>
        <w:t>；发包人提供的国外标准、规范的时间：</w:t>
      </w:r>
      <w:r>
        <w:rPr>
          <w:rFonts w:hint="eastAsia" w:ascii="仿宋_GB2312" w:eastAsia="仿宋_GB2312"/>
          <w:sz w:val="30"/>
          <w:szCs w:val="30"/>
          <w:u w:val="single"/>
        </w:rPr>
        <w:t>/</w:t>
      </w:r>
      <w:r>
        <w:rPr>
          <w:rFonts w:hint="eastAsia" w:ascii="仿宋_GB2312" w:eastAsia="仿宋_GB2312"/>
          <w:sz w:val="30"/>
          <w:szCs w:val="30"/>
        </w:rPr>
        <w:t>。</w:t>
      </w:r>
    </w:p>
    <w:p w14:paraId="2929BC98">
      <w:pPr>
        <w:wordWrap/>
        <w:topLinePunct w:val="0"/>
        <w:spacing w:after="120"/>
        <w:ind w:firstLine="600"/>
        <w:rPr>
          <w:rFonts w:ascii="仿宋_GB2312" w:eastAsia="仿宋_GB2312"/>
          <w:sz w:val="30"/>
          <w:szCs w:val="30"/>
        </w:rPr>
      </w:pPr>
      <w:r>
        <w:rPr>
          <w:rFonts w:ascii="仿宋_GB2312" w:eastAsia="仿宋_GB2312"/>
          <w:sz w:val="30"/>
          <w:szCs w:val="30"/>
        </w:rPr>
        <w:t xml:space="preserve">1.4.3 </w:t>
      </w:r>
      <w:r>
        <w:rPr>
          <w:rFonts w:hint="eastAsia" w:ascii="仿宋_GB2312" w:eastAsia="仿宋_GB2312"/>
          <w:sz w:val="30"/>
          <w:szCs w:val="30"/>
        </w:rPr>
        <w:t>没有成文规范、标准规定的约定：</w:t>
      </w:r>
      <w:r>
        <w:rPr>
          <w:rFonts w:hint="eastAsia" w:ascii="仿宋_GB2312" w:eastAsia="仿宋_GB2312"/>
          <w:sz w:val="30"/>
          <w:szCs w:val="30"/>
          <w:u w:val="single"/>
        </w:rPr>
        <w:t>/</w:t>
      </w:r>
      <w:r>
        <w:rPr>
          <w:rFonts w:hint="eastAsia" w:ascii="仿宋_GB2312" w:eastAsia="仿宋_GB2312"/>
          <w:sz w:val="30"/>
          <w:szCs w:val="30"/>
        </w:rPr>
        <w:t>。</w:t>
      </w:r>
    </w:p>
    <w:p w14:paraId="6DDA4768">
      <w:pPr>
        <w:wordWrap/>
        <w:topLinePunct w:val="0"/>
        <w:spacing w:after="120"/>
        <w:ind w:firstLine="600"/>
        <w:rPr>
          <w:rFonts w:ascii="仿宋_GB2312" w:eastAsia="仿宋_GB2312"/>
          <w:sz w:val="30"/>
          <w:szCs w:val="30"/>
        </w:rPr>
      </w:pPr>
      <w:r>
        <w:rPr>
          <w:rFonts w:ascii="仿宋_GB2312" w:eastAsia="仿宋_GB2312"/>
          <w:sz w:val="30"/>
          <w:szCs w:val="30"/>
        </w:rPr>
        <w:t xml:space="preserve">1.4.4 </w:t>
      </w:r>
      <w:r>
        <w:rPr>
          <w:rFonts w:hint="eastAsia" w:ascii="仿宋_GB2312" w:eastAsia="仿宋_GB2312"/>
          <w:sz w:val="30"/>
          <w:szCs w:val="30"/>
        </w:rPr>
        <w:t>发包人对于工程的技术标准、功能要求：</w:t>
      </w:r>
      <w:r>
        <w:rPr>
          <w:rFonts w:hint="eastAsia" w:ascii="仿宋_GB2312" w:eastAsia="仿宋_GB2312"/>
          <w:sz w:val="30"/>
          <w:szCs w:val="30"/>
          <w:u w:val="single"/>
        </w:rPr>
        <w:t>按发包人要求</w:t>
      </w:r>
      <w:r>
        <w:rPr>
          <w:rFonts w:hint="eastAsia" w:ascii="仿宋_GB2312" w:eastAsia="仿宋_GB2312"/>
          <w:sz w:val="30"/>
          <w:szCs w:val="30"/>
        </w:rPr>
        <w:t>。</w:t>
      </w:r>
    </w:p>
    <w:p w14:paraId="1CB45BA2">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1.5 合同文件的优先顺序</w:t>
      </w:r>
    </w:p>
    <w:p w14:paraId="438A7098">
      <w:pPr>
        <w:wordWrap/>
        <w:topLinePunct w:val="0"/>
        <w:spacing w:after="120"/>
        <w:ind w:firstLine="600"/>
        <w:rPr>
          <w:rFonts w:ascii="仿宋_GB2312" w:hAnsi="Arial" w:eastAsia="仿宋_GB2312"/>
          <w:sz w:val="30"/>
          <w:szCs w:val="30"/>
        </w:rPr>
      </w:pPr>
      <w:r>
        <w:rPr>
          <w:rFonts w:hint="eastAsia" w:ascii="仿宋_GB2312" w:hAnsi="Arial" w:eastAsia="仿宋_GB2312"/>
          <w:sz w:val="30"/>
          <w:szCs w:val="30"/>
        </w:rPr>
        <w:t>合同文件组成及优先顺序为：</w:t>
      </w:r>
      <w:r>
        <w:rPr>
          <w:rFonts w:hint="eastAsia" w:ascii="仿宋_GB2312" w:eastAsia="仿宋_GB2312"/>
          <w:sz w:val="30"/>
          <w:szCs w:val="30"/>
          <w:u w:val="single"/>
        </w:rPr>
        <w:t>按通用条款</w:t>
      </w:r>
      <w:r>
        <w:rPr>
          <w:rFonts w:hint="eastAsia" w:ascii="仿宋_GB2312" w:hAnsi="Arial" w:eastAsia="仿宋_GB2312"/>
          <w:sz w:val="30"/>
          <w:szCs w:val="30"/>
        </w:rPr>
        <w:t>。</w:t>
      </w:r>
    </w:p>
    <w:p w14:paraId="795EDB82">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1.6 文件的提供和照管</w:t>
      </w:r>
    </w:p>
    <w:p w14:paraId="690D49A8">
      <w:pPr>
        <w:wordWrap/>
        <w:topLinePunct w:val="0"/>
        <w:spacing w:after="120"/>
        <w:ind w:firstLine="600"/>
        <w:rPr>
          <w:rFonts w:ascii="仿宋_GB2312" w:eastAsia="仿宋_GB2312"/>
          <w:sz w:val="30"/>
          <w:szCs w:val="30"/>
        </w:rPr>
      </w:pPr>
      <w:r>
        <w:rPr>
          <w:rFonts w:ascii="仿宋_GB2312" w:eastAsia="仿宋_GB2312"/>
          <w:sz w:val="30"/>
          <w:szCs w:val="30"/>
        </w:rPr>
        <w:t xml:space="preserve">1.6.1 </w:t>
      </w:r>
      <w:r>
        <w:rPr>
          <w:rFonts w:hint="eastAsia" w:ascii="仿宋_GB2312" w:eastAsia="仿宋_GB2312"/>
          <w:sz w:val="30"/>
          <w:szCs w:val="30"/>
        </w:rPr>
        <w:t>发包人文件的提供</w:t>
      </w:r>
    </w:p>
    <w:p w14:paraId="341EF4FB">
      <w:pPr>
        <w:wordWrap/>
        <w:topLinePunct w:val="0"/>
        <w:spacing w:after="120"/>
        <w:ind w:firstLine="600"/>
        <w:rPr>
          <w:rFonts w:ascii="仿宋_GB2312" w:eastAsia="仿宋_GB2312"/>
          <w:sz w:val="30"/>
          <w:szCs w:val="30"/>
        </w:rPr>
      </w:pPr>
      <w:r>
        <w:rPr>
          <w:rFonts w:hint="eastAsia" w:ascii="仿宋_GB2312" w:eastAsia="仿宋_GB2312"/>
          <w:sz w:val="30"/>
          <w:szCs w:val="30"/>
        </w:rPr>
        <w:t>发包人文件的提供期限、名称、数量和形式：。</w:t>
      </w:r>
    </w:p>
    <w:p w14:paraId="1EB51E1C">
      <w:pPr>
        <w:wordWrap/>
        <w:topLinePunct w:val="0"/>
        <w:spacing w:after="120"/>
        <w:ind w:firstLine="600"/>
        <w:rPr>
          <w:rFonts w:ascii="仿宋_GB2312" w:eastAsia="仿宋_GB2312"/>
          <w:sz w:val="30"/>
          <w:szCs w:val="30"/>
        </w:rPr>
      </w:pPr>
      <w:r>
        <w:rPr>
          <w:rFonts w:ascii="仿宋_GB2312" w:eastAsia="仿宋_GB2312"/>
          <w:sz w:val="30"/>
          <w:szCs w:val="30"/>
        </w:rPr>
        <w:t xml:space="preserve">1.6.2 </w:t>
      </w:r>
      <w:r>
        <w:rPr>
          <w:rFonts w:hint="eastAsia" w:ascii="仿宋_GB2312" w:eastAsia="仿宋_GB2312"/>
          <w:sz w:val="30"/>
          <w:szCs w:val="30"/>
        </w:rPr>
        <w:t>承包人文件的提供</w:t>
      </w:r>
    </w:p>
    <w:p w14:paraId="25C5A523">
      <w:pPr>
        <w:wordWrap/>
        <w:topLinePunct w:val="0"/>
        <w:spacing w:after="120"/>
        <w:ind w:firstLine="600"/>
        <w:rPr>
          <w:rFonts w:ascii="仿宋_GB2312" w:eastAsia="仿宋_GB2312"/>
          <w:sz w:val="30"/>
          <w:szCs w:val="30"/>
        </w:rPr>
      </w:pPr>
      <w:r>
        <w:rPr>
          <w:rFonts w:hint="eastAsia" w:ascii="仿宋_GB2312" w:eastAsia="仿宋_GB2312"/>
          <w:sz w:val="30"/>
          <w:szCs w:val="30"/>
        </w:rPr>
        <w:t>承包人文件的内容、提供期限、名称、数量和形式：。</w:t>
      </w:r>
    </w:p>
    <w:p w14:paraId="79032EC0">
      <w:pPr>
        <w:wordWrap/>
        <w:topLinePunct w:val="0"/>
        <w:spacing w:after="120"/>
        <w:ind w:firstLine="600"/>
        <w:rPr>
          <w:rFonts w:ascii="仿宋_GB2312" w:eastAsia="仿宋_GB2312"/>
          <w:sz w:val="30"/>
          <w:szCs w:val="30"/>
        </w:rPr>
      </w:pPr>
      <w:r>
        <w:rPr>
          <w:rFonts w:ascii="仿宋_GB2312" w:eastAsia="仿宋_GB2312"/>
          <w:sz w:val="30"/>
          <w:szCs w:val="30"/>
        </w:rPr>
        <w:t xml:space="preserve">1.6.4 </w:t>
      </w:r>
      <w:r>
        <w:rPr>
          <w:rFonts w:hint="eastAsia" w:ascii="仿宋_GB2312" w:eastAsia="仿宋_GB2312"/>
          <w:sz w:val="30"/>
          <w:szCs w:val="30"/>
        </w:rPr>
        <w:t>文件的照管</w:t>
      </w:r>
    </w:p>
    <w:p w14:paraId="0A388040">
      <w:pPr>
        <w:wordWrap/>
        <w:topLinePunct w:val="0"/>
        <w:spacing w:after="120"/>
        <w:ind w:firstLine="600"/>
        <w:rPr>
          <w:rFonts w:ascii="仿宋_GB2312" w:eastAsia="仿宋_GB2312"/>
          <w:sz w:val="30"/>
          <w:szCs w:val="30"/>
        </w:rPr>
      </w:pPr>
      <w:r>
        <w:rPr>
          <w:rFonts w:hint="eastAsia" w:ascii="仿宋_GB2312" w:eastAsia="仿宋_GB2312"/>
          <w:sz w:val="30"/>
          <w:szCs w:val="30"/>
        </w:rPr>
        <w:t>关于现场文件准备的约定：</w:t>
      </w:r>
      <w:r>
        <w:rPr>
          <w:rFonts w:hint="eastAsia" w:ascii="仿宋_GB2312" w:eastAsia="仿宋_GB2312"/>
          <w:sz w:val="30"/>
          <w:szCs w:val="30"/>
          <w:u w:val="single"/>
        </w:rPr>
        <w:t>按发包人要求</w:t>
      </w:r>
      <w:r>
        <w:rPr>
          <w:rFonts w:hint="eastAsia" w:ascii="仿宋_GB2312" w:eastAsia="仿宋_GB2312"/>
          <w:sz w:val="30"/>
          <w:szCs w:val="30"/>
        </w:rPr>
        <w:t>。</w:t>
      </w:r>
    </w:p>
    <w:p w14:paraId="3B511252">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1.7 联络</w:t>
      </w:r>
    </w:p>
    <w:p w14:paraId="198B977B">
      <w:pPr>
        <w:wordWrap/>
        <w:topLinePunct w:val="0"/>
        <w:spacing w:after="120"/>
        <w:ind w:firstLine="600"/>
        <w:rPr>
          <w:rFonts w:ascii="仿宋_GB2312" w:eastAsia="仿宋_GB2312"/>
          <w:sz w:val="30"/>
          <w:szCs w:val="30"/>
        </w:rPr>
      </w:pPr>
      <w:r>
        <w:rPr>
          <w:rFonts w:ascii="仿宋_GB2312" w:eastAsia="仿宋_GB2312"/>
          <w:sz w:val="30"/>
          <w:szCs w:val="30"/>
        </w:rPr>
        <w:t xml:space="preserve">1.7.2 </w:t>
      </w:r>
      <w:r>
        <w:rPr>
          <w:rFonts w:hint="eastAsia" w:ascii="仿宋_GB2312" w:eastAsia="仿宋_GB2312"/>
          <w:sz w:val="30"/>
          <w:szCs w:val="30"/>
        </w:rPr>
        <w:t>发包人指定的送达方式（包括电子传输方式）：。</w:t>
      </w:r>
    </w:p>
    <w:p w14:paraId="22A05899">
      <w:pPr>
        <w:wordWrap/>
        <w:topLinePunct w:val="0"/>
        <w:spacing w:after="120"/>
        <w:ind w:firstLine="600"/>
        <w:rPr>
          <w:rFonts w:ascii="仿宋_GB2312" w:eastAsia="仿宋_GB2312"/>
          <w:sz w:val="30"/>
          <w:szCs w:val="30"/>
        </w:rPr>
      </w:pPr>
      <w:r>
        <w:rPr>
          <w:rFonts w:hint="eastAsia" w:ascii="仿宋_GB2312" w:eastAsia="仿宋_GB2312"/>
          <w:sz w:val="30"/>
          <w:szCs w:val="30"/>
        </w:rPr>
        <w:t>发包人的送达地址：。</w:t>
      </w:r>
    </w:p>
    <w:p w14:paraId="19DF649E">
      <w:pPr>
        <w:wordWrap/>
        <w:topLinePunct w:val="0"/>
        <w:spacing w:after="120"/>
        <w:ind w:firstLine="600"/>
        <w:rPr>
          <w:rFonts w:ascii="仿宋_GB2312" w:eastAsia="仿宋_GB2312"/>
          <w:sz w:val="30"/>
          <w:szCs w:val="30"/>
        </w:rPr>
      </w:pPr>
      <w:r>
        <w:rPr>
          <w:rFonts w:hint="eastAsia" w:ascii="仿宋_GB2312" w:eastAsia="仿宋_GB2312"/>
          <w:sz w:val="30"/>
          <w:szCs w:val="30"/>
        </w:rPr>
        <w:t>承包人指定的送达方式（包括电子传输方式）： 。</w:t>
      </w:r>
    </w:p>
    <w:p w14:paraId="0C08456D">
      <w:pPr>
        <w:wordWrap/>
        <w:topLinePunct w:val="0"/>
        <w:spacing w:after="120"/>
        <w:ind w:firstLine="600"/>
        <w:rPr>
          <w:rFonts w:ascii="仿宋_GB2312" w:eastAsia="仿宋_GB2312"/>
          <w:sz w:val="30"/>
          <w:szCs w:val="30"/>
        </w:rPr>
      </w:pPr>
      <w:r>
        <w:rPr>
          <w:rFonts w:hint="eastAsia" w:ascii="仿宋_GB2312" w:eastAsia="仿宋_GB2312"/>
          <w:sz w:val="30"/>
          <w:szCs w:val="30"/>
        </w:rPr>
        <w:t>承包人的送达地址：。</w:t>
      </w:r>
    </w:p>
    <w:p w14:paraId="762FA4FC">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1.10 知识产权</w:t>
      </w:r>
    </w:p>
    <w:p w14:paraId="67C91871">
      <w:pPr>
        <w:wordWrap/>
        <w:topLinePunct w:val="0"/>
        <w:spacing w:after="120"/>
        <w:ind w:firstLine="600"/>
        <w:rPr>
          <w:rFonts w:ascii="仿宋_GB2312" w:eastAsia="仿宋_GB2312"/>
          <w:sz w:val="30"/>
          <w:szCs w:val="30"/>
        </w:rPr>
      </w:pPr>
      <w:r>
        <w:rPr>
          <w:rFonts w:ascii="仿宋_GB2312" w:eastAsia="仿宋_GB2312"/>
          <w:sz w:val="30"/>
          <w:szCs w:val="30"/>
        </w:rPr>
        <w:t xml:space="preserve">1.10.1 </w:t>
      </w:r>
      <w:r>
        <w:rPr>
          <w:rFonts w:hint="eastAsia" w:ascii="仿宋_GB2312" w:eastAsia="仿宋_GB2312"/>
          <w:sz w:val="30"/>
          <w:szCs w:val="30"/>
        </w:rPr>
        <w:t>由发包人（或以发包人名义）编制的《发包人要求》和其他文件的著作权归属：</w:t>
      </w:r>
      <w:r>
        <w:rPr>
          <w:rFonts w:hint="eastAsia" w:ascii="仿宋_GB2312" w:eastAsia="仿宋_GB2312"/>
          <w:sz w:val="30"/>
          <w:szCs w:val="30"/>
          <w:u w:val="single"/>
        </w:rPr>
        <w:t>发包人</w:t>
      </w:r>
      <w:r>
        <w:rPr>
          <w:rFonts w:hint="eastAsia" w:ascii="仿宋_GB2312" w:eastAsia="仿宋_GB2312"/>
          <w:sz w:val="30"/>
          <w:szCs w:val="30"/>
        </w:rPr>
        <w:t>。</w:t>
      </w:r>
    </w:p>
    <w:p w14:paraId="040814C7">
      <w:pPr>
        <w:wordWrap/>
        <w:topLinePunct w:val="0"/>
        <w:spacing w:after="120"/>
        <w:ind w:firstLine="600"/>
        <w:rPr>
          <w:rFonts w:ascii="仿宋_GB2312" w:eastAsia="仿宋_GB2312"/>
          <w:sz w:val="30"/>
          <w:szCs w:val="30"/>
        </w:rPr>
      </w:pPr>
      <w:r>
        <w:rPr>
          <w:rFonts w:ascii="仿宋_GB2312" w:eastAsia="仿宋_GB2312"/>
          <w:sz w:val="30"/>
          <w:szCs w:val="30"/>
        </w:rPr>
        <w:t xml:space="preserve">1.10.2 </w:t>
      </w:r>
      <w:r>
        <w:rPr>
          <w:rFonts w:hint="eastAsia" w:ascii="仿宋_GB2312" w:eastAsia="仿宋_GB2312"/>
          <w:sz w:val="30"/>
          <w:szCs w:val="30"/>
        </w:rPr>
        <w:t>由承包人（或以承包人名义）为实施工程所编制的文件、承包人完成的设计工作成果和建造完成的建筑物的知识产权归属：</w:t>
      </w:r>
      <w:r>
        <w:rPr>
          <w:rFonts w:hint="eastAsia" w:ascii="仿宋_GB2312" w:eastAsia="仿宋_GB2312"/>
          <w:sz w:val="30"/>
          <w:szCs w:val="30"/>
          <w:u w:val="single"/>
        </w:rPr>
        <w:t>发包人</w:t>
      </w:r>
      <w:r>
        <w:rPr>
          <w:rFonts w:hint="eastAsia" w:ascii="仿宋_GB2312" w:eastAsia="仿宋_GB2312"/>
          <w:sz w:val="30"/>
          <w:szCs w:val="30"/>
        </w:rPr>
        <w:t>。</w:t>
      </w:r>
    </w:p>
    <w:p w14:paraId="50FAD0BD">
      <w:pPr>
        <w:wordWrap/>
        <w:topLinePunct w:val="0"/>
        <w:spacing w:after="120"/>
        <w:ind w:firstLine="600"/>
        <w:rPr>
          <w:rFonts w:ascii="仿宋_GB2312" w:eastAsia="仿宋_GB2312"/>
          <w:sz w:val="30"/>
          <w:szCs w:val="30"/>
        </w:rPr>
      </w:pPr>
      <w:r>
        <w:rPr>
          <w:rFonts w:ascii="仿宋_GB2312" w:eastAsia="仿宋_GB2312"/>
          <w:sz w:val="30"/>
          <w:szCs w:val="30"/>
        </w:rPr>
        <w:t xml:space="preserve">1.10.4 </w:t>
      </w:r>
      <w:r>
        <w:rPr>
          <w:rFonts w:hint="eastAsia" w:ascii="仿宋_GB2312" w:eastAsia="仿宋_GB2312"/>
          <w:sz w:val="30"/>
          <w:szCs w:val="30"/>
        </w:rPr>
        <w:t>承包人在投标文件中采用的专利、专有技术、技术秘密的使用费的承担方式</w:t>
      </w:r>
      <w:r>
        <w:rPr>
          <w:rFonts w:hint="eastAsia" w:ascii="仿宋_GB2312" w:eastAsia="仿宋_GB2312"/>
          <w:sz w:val="30"/>
          <w:szCs w:val="30"/>
          <w:u w:val="single"/>
        </w:rPr>
        <w:t>已包含在合同价中</w:t>
      </w:r>
      <w:r>
        <w:rPr>
          <w:rFonts w:hint="eastAsia" w:ascii="仿宋_GB2312" w:eastAsia="仿宋_GB2312"/>
          <w:sz w:val="30"/>
          <w:szCs w:val="30"/>
        </w:rPr>
        <w:t>。</w:t>
      </w:r>
    </w:p>
    <w:p w14:paraId="6B9B24B9">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1.11 保密</w:t>
      </w:r>
    </w:p>
    <w:p w14:paraId="74B10A63">
      <w:pPr>
        <w:wordWrap/>
        <w:topLinePunct w:val="0"/>
        <w:spacing w:after="120"/>
        <w:ind w:firstLine="600"/>
        <w:rPr>
          <w:rFonts w:ascii="仿宋_GB2312" w:eastAsia="仿宋_GB2312"/>
          <w:sz w:val="30"/>
          <w:szCs w:val="30"/>
        </w:rPr>
      </w:pPr>
      <w:r>
        <w:rPr>
          <w:rFonts w:hint="eastAsia" w:ascii="仿宋_GB2312" w:eastAsia="仿宋_GB2312"/>
          <w:sz w:val="30"/>
          <w:szCs w:val="30"/>
        </w:rPr>
        <w:t>双方订立的商业保密协议（名称）：</w:t>
      </w:r>
      <w:r>
        <w:rPr>
          <w:rFonts w:hint="eastAsia" w:ascii="仿宋_GB2312" w:eastAsia="仿宋_GB2312"/>
          <w:sz w:val="30"/>
          <w:szCs w:val="30"/>
          <w:u w:val="single"/>
        </w:rPr>
        <w:t>/</w:t>
      </w:r>
      <w:r>
        <w:rPr>
          <w:rFonts w:hint="eastAsia" w:ascii="仿宋_GB2312" w:eastAsia="仿宋_GB2312"/>
          <w:sz w:val="30"/>
          <w:szCs w:val="30"/>
        </w:rPr>
        <w:t>，作为本合同附件。</w:t>
      </w:r>
    </w:p>
    <w:p w14:paraId="35C3FFA4">
      <w:pPr>
        <w:wordWrap/>
        <w:topLinePunct w:val="0"/>
        <w:spacing w:after="120"/>
        <w:ind w:firstLine="600"/>
        <w:rPr>
          <w:rFonts w:ascii="仿宋_GB2312" w:eastAsia="仿宋_GB2312"/>
          <w:sz w:val="30"/>
          <w:szCs w:val="30"/>
        </w:rPr>
      </w:pPr>
      <w:r>
        <w:rPr>
          <w:rFonts w:hint="eastAsia" w:ascii="仿宋_GB2312" w:eastAsia="仿宋_GB2312"/>
          <w:sz w:val="30"/>
          <w:szCs w:val="30"/>
        </w:rPr>
        <w:t>双方订立的技术保密协议（名称）：</w:t>
      </w:r>
      <w:r>
        <w:rPr>
          <w:rFonts w:hint="eastAsia" w:ascii="仿宋_GB2312" w:eastAsia="仿宋_GB2312"/>
          <w:sz w:val="30"/>
          <w:szCs w:val="30"/>
          <w:u w:val="single"/>
        </w:rPr>
        <w:t>/</w:t>
      </w:r>
      <w:r>
        <w:rPr>
          <w:rFonts w:hint="eastAsia" w:ascii="仿宋_GB2312" w:eastAsia="仿宋_GB2312"/>
          <w:sz w:val="30"/>
          <w:szCs w:val="30"/>
        </w:rPr>
        <w:t>，作为本合同附件。</w:t>
      </w:r>
    </w:p>
    <w:p w14:paraId="546E70F6">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1.13 责任限制</w:t>
      </w:r>
    </w:p>
    <w:p w14:paraId="1003A7F4">
      <w:pPr>
        <w:wordWrap/>
        <w:topLinePunct w:val="0"/>
        <w:spacing w:after="120"/>
        <w:ind w:firstLine="600"/>
        <w:rPr>
          <w:rFonts w:ascii="仿宋_GB2312" w:eastAsia="仿宋_GB2312"/>
          <w:sz w:val="30"/>
          <w:szCs w:val="30"/>
        </w:rPr>
      </w:pPr>
      <w:r>
        <w:rPr>
          <w:rFonts w:hint="eastAsia" w:ascii="仿宋_GB2312" w:eastAsia="仿宋_GB2312"/>
          <w:sz w:val="30"/>
          <w:szCs w:val="30"/>
        </w:rPr>
        <w:t>承包人对发包人赔偿责任的最高限额为</w:t>
      </w:r>
      <w:r>
        <w:rPr>
          <w:rFonts w:hint="eastAsia" w:ascii="仿宋_GB2312" w:eastAsia="仿宋_GB2312"/>
          <w:sz w:val="30"/>
          <w:szCs w:val="30"/>
          <w:u w:val="single"/>
        </w:rPr>
        <w:t>签约合同价的10%</w:t>
      </w:r>
      <w:r>
        <w:rPr>
          <w:rFonts w:hint="eastAsia" w:ascii="仿宋_GB2312" w:eastAsia="仿宋_GB2312"/>
          <w:sz w:val="30"/>
          <w:szCs w:val="30"/>
        </w:rPr>
        <w:t>。</w:t>
      </w:r>
    </w:p>
    <w:p w14:paraId="2EB482D6">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1.14 建筑信息模型技术的应用</w:t>
      </w:r>
    </w:p>
    <w:p w14:paraId="41762103">
      <w:pPr>
        <w:wordWrap/>
        <w:topLinePunct w:val="0"/>
        <w:spacing w:after="120"/>
        <w:ind w:firstLine="600"/>
        <w:rPr>
          <w:rFonts w:ascii="仿宋" w:hAnsi="仿宋" w:eastAsia="仿宋" w:cs="仿宋"/>
          <w:sz w:val="30"/>
          <w:szCs w:val="30"/>
        </w:rPr>
      </w:pPr>
      <w:bookmarkStart w:id="841" w:name="_Toc5442"/>
      <w:bookmarkStart w:id="842" w:name="_Toc5241"/>
      <w:bookmarkStart w:id="843" w:name="_Toc54862333"/>
      <w:bookmarkStart w:id="844" w:name="_Toc29874"/>
      <w:r>
        <w:rPr>
          <w:rFonts w:hint="eastAsia" w:ascii="仿宋" w:hAnsi="仿宋" w:eastAsia="仿宋" w:cs="仿宋"/>
          <w:sz w:val="30"/>
          <w:szCs w:val="30"/>
        </w:rPr>
        <w:t>关于建筑信息模型技术的开发、使用、存储、传输、交付及费用约定如下：执行省代建局《BIM实施管理标准》《BIM实施导则》。</w:t>
      </w:r>
    </w:p>
    <w:p w14:paraId="59DDFD31">
      <w:pPr>
        <w:spacing w:after="120"/>
        <w:ind w:firstLine="640"/>
        <w:outlineLvl w:val="1"/>
        <w:rPr>
          <w:rFonts w:ascii="仿宋" w:hAnsi="仿宋" w:eastAsia="仿宋" w:cs="仿宋"/>
          <w:b/>
          <w:bCs/>
          <w:sz w:val="32"/>
          <w:szCs w:val="21"/>
        </w:rPr>
      </w:pPr>
      <w:r>
        <w:rPr>
          <w:rFonts w:hint="eastAsia" w:ascii="仿宋" w:hAnsi="仿宋" w:eastAsia="仿宋" w:cs="仿宋"/>
          <w:bCs/>
          <w:sz w:val="32"/>
          <w:szCs w:val="21"/>
        </w:rPr>
        <w:t>第2条 发包人</w:t>
      </w:r>
      <w:bookmarkEnd w:id="841"/>
      <w:bookmarkEnd w:id="842"/>
      <w:bookmarkEnd w:id="843"/>
      <w:bookmarkEnd w:id="844"/>
    </w:p>
    <w:p w14:paraId="52F79179">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2.2 提供施工现场和工作条件</w:t>
      </w:r>
    </w:p>
    <w:p w14:paraId="46962482">
      <w:pPr>
        <w:wordWrap/>
        <w:topLinePunct w:val="0"/>
        <w:spacing w:after="120"/>
        <w:ind w:firstLine="600"/>
        <w:rPr>
          <w:rFonts w:ascii="仿宋_GB2312" w:eastAsia="仿宋_GB2312"/>
          <w:sz w:val="30"/>
          <w:szCs w:val="30"/>
        </w:rPr>
      </w:pPr>
      <w:r>
        <w:rPr>
          <w:rFonts w:ascii="仿宋_GB2312" w:eastAsia="仿宋_GB2312"/>
          <w:sz w:val="30"/>
          <w:szCs w:val="30"/>
        </w:rPr>
        <w:t xml:space="preserve">2.2.1 </w:t>
      </w:r>
      <w:r>
        <w:rPr>
          <w:rFonts w:hint="eastAsia" w:ascii="仿宋_GB2312" w:eastAsia="仿宋_GB2312"/>
          <w:sz w:val="30"/>
          <w:szCs w:val="30"/>
        </w:rPr>
        <w:t>提供施工现场</w:t>
      </w:r>
    </w:p>
    <w:p w14:paraId="49B26746">
      <w:pPr>
        <w:wordWrap/>
        <w:topLinePunct w:val="0"/>
        <w:spacing w:after="120"/>
        <w:ind w:firstLine="600"/>
        <w:rPr>
          <w:rFonts w:ascii="仿宋_GB2312" w:eastAsia="仿宋_GB2312"/>
          <w:sz w:val="30"/>
          <w:szCs w:val="30"/>
        </w:rPr>
      </w:pPr>
      <w:r>
        <w:rPr>
          <w:rFonts w:hint="eastAsia" w:ascii="仿宋_GB2312" w:eastAsia="仿宋_GB2312"/>
          <w:sz w:val="30"/>
          <w:szCs w:val="30"/>
        </w:rPr>
        <w:t>关于发包人提供施工现场的范围和期限：。</w:t>
      </w:r>
    </w:p>
    <w:p w14:paraId="4980C787">
      <w:pPr>
        <w:wordWrap/>
        <w:topLinePunct w:val="0"/>
        <w:spacing w:after="120"/>
        <w:ind w:firstLine="600"/>
        <w:rPr>
          <w:rFonts w:ascii="仿宋_GB2312" w:eastAsia="仿宋_GB2312"/>
          <w:sz w:val="30"/>
          <w:szCs w:val="30"/>
        </w:rPr>
      </w:pPr>
      <w:r>
        <w:rPr>
          <w:rFonts w:ascii="仿宋_GB2312" w:eastAsia="仿宋_GB2312"/>
          <w:sz w:val="30"/>
          <w:szCs w:val="30"/>
        </w:rPr>
        <w:t xml:space="preserve">2.2.2 </w:t>
      </w:r>
      <w:r>
        <w:rPr>
          <w:rFonts w:hint="eastAsia" w:ascii="仿宋_GB2312" w:eastAsia="仿宋_GB2312"/>
          <w:sz w:val="30"/>
          <w:szCs w:val="30"/>
        </w:rPr>
        <w:t>提供工作条件</w:t>
      </w:r>
    </w:p>
    <w:p w14:paraId="599677C2">
      <w:pPr>
        <w:wordWrap/>
        <w:topLinePunct w:val="0"/>
        <w:spacing w:after="120"/>
        <w:ind w:firstLine="600"/>
        <w:rPr>
          <w:rFonts w:ascii="仿宋_GB2312" w:eastAsia="仿宋_GB2312"/>
          <w:sz w:val="30"/>
          <w:szCs w:val="30"/>
        </w:rPr>
      </w:pPr>
      <w:r>
        <w:rPr>
          <w:rFonts w:hint="eastAsia" w:ascii="仿宋_GB2312" w:eastAsia="仿宋_GB2312"/>
          <w:sz w:val="30"/>
          <w:szCs w:val="30"/>
        </w:rPr>
        <w:t>关于发包人应负责提供的工作条件包括：。</w:t>
      </w:r>
    </w:p>
    <w:p w14:paraId="014EE4B7">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2.3 提供基础资料</w:t>
      </w:r>
    </w:p>
    <w:p w14:paraId="2FEE2C9C">
      <w:pPr>
        <w:wordWrap/>
        <w:topLinePunct w:val="0"/>
        <w:spacing w:after="120"/>
        <w:ind w:firstLine="600"/>
        <w:rPr>
          <w:rFonts w:ascii="仿宋_GB2312" w:eastAsia="仿宋_GB2312"/>
          <w:sz w:val="30"/>
          <w:szCs w:val="30"/>
        </w:rPr>
      </w:pPr>
      <w:r>
        <w:rPr>
          <w:rFonts w:hint="eastAsia" w:ascii="仿宋_GB2312" w:eastAsia="仿宋_GB2312"/>
          <w:sz w:val="30"/>
          <w:szCs w:val="30"/>
        </w:rPr>
        <w:t>关于发包人应提供的基础资料的范围和期限：。</w:t>
      </w:r>
    </w:p>
    <w:p w14:paraId="720C4D32">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2.5 支付合同价款</w:t>
      </w:r>
    </w:p>
    <w:p w14:paraId="7781B060">
      <w:pPr>
        <w:wordWrap/>
        <w:topLinePunct w:val="0"/>
        <w:spacing w:after="120"/>
        <w:ind w:firstLine="600"/>
        <w:rPr>
          <w:rFonts w:ascii="仿宋_GB2312" w:eastAsia="仿宋_GB2312"/>
          <w:sz w:val="30"/>
          <w:szCs w:val="30"/>
        </w:rPr>
      </w:pPr>
      <w:r>
        <w:rPr>
          <w:rFonts w:ascii="仿宋_GB2312" w:eastAsia="仿宋_GB2312"/>
          <w:sz w:val="30"/>
          <w:szCs w:val="30"/>
        </w:rPr>
        <w:t xml:space="preserve">2.5.2 </w:t>
      </w:r>
      <w:r>
        <w:rPr>
          <w:rFonts w:hint="eastAsia" w:ascii="仿宋_GB2312" w:eastAsia="仿宋_GB2312"/>
          <w:sz w:val="30"/>
          <w:szCs w:val="30"/>
        </w:rPr>
        <w:t>发包人提供资金来源证明及资金安排的期限要求：</w:t>
      </w:r>
      <w:r>
        <w:rPr>
          <w:rFonts w:hint="eastAsia" w:ascii="仿宋_GB2312" w:eastAsia="仿宋_GB2312"/>
          <w:sz w:val="30"/>
          <w:szCs w:val="30"/>
          <w:u w:val="single"/>
        </w:rPr>
        <w:t>/</w:t>
      </w:r>
      <w:r>
        <w:rPr>
          <w:rFonts w:hint="eastAsia" w:ascii="仿宋_GB2312" w:eastAsia="仿宋_GB2312"/>
          <w:sz w:val="30"/>
          <w:szCs w:val="30"/>
        </w:rPr>
        <w:t>。</w:t>
      </w:r>
    </w:p>
    <w:p w14:paraId="43A86AE4">
      <w:pPr>
        <w:wordWrap/>
        <w:topLinePunct w:val="0"/>
        <w:spacing w:after="120"/>
        <w:ind w:firstLine="600"/>
        <w:rPr>
          <w:rFonts w:ascii="仿宋_GB2312" w:eastAsia="仿宋_GB2312"/>
          <w:sz w:val="30"/>
          <w:szCs w:val="30"/>
        </w:rPr>
      </w:pPr>
      <w:r>
        <w:rPr>
          <w:rFonts w:ascii="仿宋_GB2312" w:eastAsia="仿宋_GB2312"/>
          <w:sz w:val="30"/>
          <w:szCs w:val="30"/>
        </w:rPr>
        <w:t xml:space="preserve">2.5.3 </w:t>
      </w:r>
      <w:r>
        <w:rPr>
          <w:rFonts w:hint="eastAsia" w:ascii="仿宋_GB2312" w:eastAsia="仿宋_GB2312"/>
          <w:sz w:val="30"/>
          <w:szCs w:val="30"/>
        </w:rPr>
        <w:t>发包人提供支付担保的形式、期限、金额（或比例）：</w:t>
      </w:r>
      <w:r>
        <w:rPr>
          <w:rFonts w:hint="eastAsia" w:ascii="仿宋_GB2312" w:eastAsia="仿宋_GB2312"/>
          <w:sz w:val="30"/>
          <w:szCs w:val="30"/>
          <w:u w:val="single"/>
        </w:rPr>
        <w:t>不提供</w:t>
      </w:r>
      <w:r>
        <w:rPr>
          <w:rFonts w:hint="eastAsia" w:ascii="仿宋_GB2312" w:eastAsia="仿宋_GB2312"/>
          <w:sz w:val="30"/>
          <w:szCs w:val="30"/>
        </w:rPr>
        <w:t>。</w:t>
      </w:r>
    </w:p>
    <w:p w14:paraId="603DB5A3">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2.7 其他义务</w:t>
      </w:r>
    </w:p>
    <w:p w14:paraId="512C2727">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发包人应履行的其他义务：</w:t>
      </w:r>
    </w:p>
    <w:p w14:paraId="69A0A913">
      <w:pPr>
        <w:wordWrap/>
        <w:topLinePunct w:val="0"/>
        <w:spacing w:after="120"/>
        <w:ind w:firstLine="600"/>
        <w:rPr>
          <w:rFonts w:ascii="仿宋_GB2312" w:eastAsia="仿宋_GB2312"/>
          <w:sz w:val="30"/>
          <w:szCs w:val="30"/>
        </w:rPr>
      </w:pPr>
      <w:r>
        <w:rPr>
          <w:rFonts w:hint="eastAsia" w:ascii="仿宋_GB2312" w:eastAsia="仿宋_GB2312"/>
          <w:sz w:val="30"/>
          <w:szCs w:val="30"/>
        </w:rPr>
        <w:t>本项目由承包人负责办理本工程建设必须履行的各类报批报建、核准或备案手续，包括但不限于勘察文件审查、设计核查、概算申报、工程规划许可、消防设计审核、节能及绿色建筑报审、人防报审、用水用电手续（含临水临电）、防雷、水土保持、用水节水评估报告、施工许可证、路口开设、工程验收等所有报批报建工作。其中应当以发包人名义申报的，亦由承包人办理，发包人审核并给予必要的协助。法律规定和（或）合同约定的有关设计、施工证件和批件，发包人应给予必要的协助。</w:t>
      </w:r>
    </w:p>
    <w:p w14:paraId="48D1084F">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2.8 补充条款：</w:t>
      </w:r>
    </w:p>
    <w:p w14:paraId="036CD49C">
      <w:pPr>
        <w:wordWrap/>
        <w:topLinePunct w:val="0"/>
        <w:spacing w:after="120"/>
        <w:ind w:firstLine="600"/>
        <w:rPr>
          <w:rFonts w:ascii="仿宋_GB2312" w:eastAsia="仿宋_GB2312"/>
          <w:sz w:val="30"/>
          <w:szCs w:val="30"/>
        </w:rPr>
      </w:pPr>
      <w:r>
        <w:rPr>
          <w:rFonts w:hint="eastAsia" w:ascii="仿宋_GB2312" w:eastAsia="仿宋_GB2312"/>
          <w:sz w:val="30"/>
          <w:szCs w:val="30"/>
        </w:rPr>
        <w:t>发包人保留下列权利：</w:t>
      </w:r>
    </w:p>
    <w:p w14:paraId="5C44294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1）对本合同工程的设计标准、设计内容进行调整的权利，承包人不得拒绝或另行收费，招标文件及本合同另有规定的除外。</w:t>
      </w:r>
    </w:p>
    <w:p w14:paraId="3577EE25">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2）享有承包人勘察、设计文件的版权和全部使用权。</w:t>
      </w:r>
    </w:p>
    <w:p w14:paraId="06116419">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承包人在设计-施工进度、勘察、设计-施工质量、指派人员、提供服务、协作等方面义务的履行不符合本合同约定时，发包人有追究违约责任、要求赔偿损失、直至解除合同等权利；同时，发包人还有权将承包人存在的上述违约事实公诸于众和向有关部门反映情况的权利。</w:t>
      </w:r>
    </w:p>
    <w:p w14:paraId="26AE17B2">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4）发包人有权按国家相关规定聘请施工图设计审查单位，承包人应接受该施工图审查单位按照相关法律、法规和发包人赋予的权利所进行的施工图审查工作。</w:t>
      </w:r>
    </w:p>
    <w:p w14:paraId="4CAA5F10">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5）对用于本合同工程的材料设备的品质、质量提交质量监督检验机构审查确认的权利。</w:t>
      </w:r>
    </w:p>
    <w:p w14:paraId="726F18A5">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依据合同的约定对合同承包范围及内容进行调整（包括增加或减少部分工程），并保留对主要材料设备的分类及采购方式进行调整的权利，承包人不得拒绝或要求调整任何单价及收费，招标文件及本合同另有规定的除外。</w:t>
      </w:r>
    </w:p>
    <w:p w14:paraId="6A5CB0EE">
      <w:pPr>
        <w:wordWrap/>
        <w:topLinePunct w:val="0"/>
        <w:spacing w:after="120"/>
        <w:ind w:firstLine="600"/>
        <w:rPr>
          <w:rFonts w:ascii="仿宋_GB2312" w:eastAsia="仿宋_GB2312"/>
          <w:sz w:val="30"/>
          <w:szCs w:val="30"/>
        </w:rPr>
      </w:pPr>
      <w:r>
        <w:rPr>
          <w:rFonts w:hint="eastAsia" w:ascii="仿宋_GB2312" w:eastAsia="仿宋_GB2312"/>
          <w:sz w:val="30"/>
          <w:szCs w:val="30"/>
        </w:rPr>
        <w:t>（7）发包人有权对项目的全过程进行审计或审计调查，并提出审计意见和建议；乙方应配合并根据意见和建议作出相应的调整。</w:t>
      </w:r>
    </w:p>
    <w:p w14:paraId="7D02E9EC">
      <w:pPr>
        <w:spacing w:after="120"/>
        <w:ind w:firstLine="0" w:firstLineChars="0"/>
        <w:outlineLvl w:val="1"/>
        <w:rPr>
          <w:rFonts w:ascii="仿宋" w:hAnsi="仿宋" w:eastAsia="仿宋" w:cs="仿宋"/>
          <w:b/>
          <w:bCs/>
          <w:sz w:val="32"/>
          <w:szCs w:val="21"/>
        </w:rPr>
      </w:pPr>
      <w:bookmarkStart w:id="845" w:name="_Toc14013"/>
      <w:bookmarkStart w:id="846" w:name="_Toc54862334"/>
      <w:bookmarkStart w:id="847" w:name="_Toc17029"/>
      <w:bookmarkStart w:id="848" w:name="_Toc17516"/>
      <w:r>
        <w:rPr>
          <w:rFonts w:hint="eastAsia" w:ascii="仿宋" w:hAnsi="仿宋" w:eastAsia="仿宋" w:cs="仿宋"/>
          <w:bCs/>
          <w:sz w:val="32"/>
          <w:szCs w:val="21"/>
        </w:rPr>
        <w:t>第3条 发包人的管理</w:t>
      </w:r>
      <w:bookmarkEnd w:id="845"/>
      <w:bookmarkEnd w:id="846"/>
      <w:bookmarkEnd w:id="847"/>
      <w:bookmarkEnd w:id="848"/>
    </w:p>
    <w:p w14:paraId="471A1E47">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3.1 发包人代表</w:t>
      </w:r>
    </w:p>
    <w:p w14:paraId="288A4DB0">
      <w:pPr>
        <w:wordWrap/>
        <w:topLinePunct w:val="0"/>
        <w:spacing w:after="120"/>
        <w:ind w:firstLine="600"/>
        <w:rPr>
          <w:rFonts w:ascii="仿宋_GB2312" w:eastAsia="仿宋_GB2312"/>
          <w:sz w:val="30"/>
          <w:szCs w:val="30"/>
        </w:rPr>
      </w:pPr>
      <w:r>
        <w:rPr>
          <w:rFonts w:hint="eastAsia" w:ascii="仿宋_GB2312" w:eastAsia="仿宋_GB2312"/>
          <w:sz w:val="30"/>
          <w:szCs w:val="30"/>
        </w:rPr>
        <w:t>发包人代表的姓名：；</w:t>
      </w:r>
    </w:p>
    <w:p w14:paraId="30E24969">
      <w:pPr>
        <w:wordWrap/>
        <w:topLinePunct w:val="0"/>
        <w:spacing w:after="120"/>
        <w:ind w:firstLine="600"/>
        <w:rPr>
          <w:rFonts w:ascii="仿宋_GB2312" w:eastAsia="仿宋_GB2312"/>
          <w:sz w:val="30"/>
          <w:szCs w:val="30"/>
        </w:rPr>
      </w:pPr>
      <w:r>
        <w:rPr>
          <w:rFonts w:hint="eastAsia" w:ascii="仿宋_GB2312" w:eastAsia="仿宋_GB2312"/>
          <w:sz w:val="30"/>
          <w:szCs w:val="30"/>
        </w:rPr>
        <w:t>发包人代表的身份证号：；</w:t>
      </w:r>
    </w:p>
    <w:p w14:paraId="7D161256">
      <w:pPr>
        <w:wordWrap/>
        <w:topLinePunct w:val="0"/>
        <w:spacing w:after="120"/>
        <w:ind w:firstLine="600"/>
        <w:rPr>
          <w:rFonts w:ascii="仿宋_GB2312" w:eastAsia="仿宋_GB2312"/>
          <w:sz w:val="30"/>
          <w:szCs w:val="30"/>
        </w:rPr>
      </w:pPr>
      <w:r>
        <w:rPr>
          <w:rFonts w:hint="eastAsia" w:ascii="仿宋_GB2312" w:eastAsia="仿宋_GB2312"/>
          <w:sz w:val="30"/>
          <w:szCs w:val="30"/>
        </w:rPr>
        <w:t>发包人代表的职务：；</w:t>
      </w:r>
    </w:p>
    <w:p w14:paraId="55231552">
      <w:pPr>
        <w:wordWrap/>
        <w:topLinePunct w:val="0"/>
        <w:spacing w:after="120"/>
        <w:ind w:firstLine="600"/>
        <w:rPr>
          <w:rFonts w:ascii="仿宋_GB2312" w:eastAsia="仿宋_GB2312"/>
          <w:sz w:val="30"/>
          <w:szCs w:val="30"/>
        </w:rPr>
      </w:pPr>
      <w:r>
        <w:rPr>
          <w:rFonts w:hint="eastAsia" w:ascii="仿宋_GB2312" w:eastAsia="仿宋_GB2312"/>
          <w:sz w:val="30"/>
          <w:szCs w:val="30"/>
        </w:rPr>
        <w:t>发包人代表的联系电话：；</w:t>
      </w:r>
    </w:p>
    <w:p w14:paraId="6CF8F041">
      <w:pPr>
        <w:wordWrap/>
        <w:topLinePunct w:val="0"/>
        <w:spacing w:after="120"/>
        <w:ind w:firstLine="600"/>
        <w:rPr>
          <w:rFonts w:ascii="仿宋_GB2312" w:eastAsia="仿宋_GB2312"/>
          <w:sz w:val="30"/>
          <w:szCs w:val="30"/>
        </w:rPr>
      </w:pPr>
      <w:r>
        <w:rPr>
          <w:rFonts w:hint="eastAsia" w:ascii="仿宋_GB2312" w:eastAsia="仿宋_GB2312"/>
          <w:sz w:val="30"/>
          <w:szCs w:val="30"/>
        </w:rPr>
        <w:t>发包人代表的电子邮箱：；</w:t>
      </w:r>
    </w:p>
    <w:p w14:paraId="13495B21">
      <w:pPr>
        <w:wordWrap/>
        <w:topLinePunct w:val="0"/>
        <w:spacing w:after="120"/>
        <w:ind w:firstLine="600"/>
        <w:rPr>
          <w:rFonts w:ascii="仿宋_GB2312" w:eastAsia="仿宋_GB2312"/>
          <w:sz w:val="30"/>
          <w:szCs w:val="30"/>
        </w:rPr>
      </w:pPr>
      <w:r>
        <w:rPr>
          <w:rFonts w:hint="eastAsia" w:ascii="仿宋_GB2312" w:eastAsia="仿宋_GB2312"/>
          <w:sz w:val="30"/>
          <w:szCs w:val="30"/>
        </w:rPr>
        <w:t>发包人代表的通信地址：；</w:t>
      </w:r>
    </w:p>
    <w:p w14:paraId="7A432641">
      <w:pPr>
        <w:wordWrap/>
        <w:topLinePunct w:val="0"/>
        <w:spacing w:after="120"/>
        <w:ind w:firstLine="600"/>
        <w:rPr>
          <w:rFonts w:ascii="仿宋_GB2312" w:eastAsia="仿宋_GB2312"/>
          <w:sz w:val="30"/>
          <w:szCs w:val="30"/>
        </w:rPr>
      </w:pPr>
      <w:r>
        <w:rPr>
          <w:rFonts w:hint="eastAsia" w:ascii="仿宋_GB2312" w:eastAsia="仿宋_GB2312"/>
          <w:sz w:val="30"/>
          <w:szCs w:val="30"/>
        </w:rPr>
        <w:t>发包人对发包人代表的授权范围如下：</w:t>
      </w:r>
      <w:r>
        <w:rPr>
          <w:rFonts w:hint="eastAsia" w:ascii="仿宋_GB2312" w:eastAsia="仿宋_GB2312"/>
          <w:sz w:val="30"/>
          <w:szCs w:val="30"/>
          <w:highlight w:val="lightGray"/>
          <w:u w:val="single"/>
        </w:rPr>
        <w:t>现场管理、业务联系、签证</w:t>
      </w:r>
      <w:r>
        <w:rPr>
          <w:rFonts w:hint="eastAsia" w:ascii="仿宋_GB2312" w:eastAsia="仿宋_GB2312"/>
          <w:sz w:val="30"/>
          <w:szCs w:val="30"/>
        </w:rPr>
        <w:t>；</w:t>
      </w:r>
    </w:p>
    <w:p w14:paraId="7DD1BB15">
      <w:pPr>
        <w:wordWrap/>
        <w:topLinePunct w:val="0"/>
        <w:spacing w:after="120"/>
        <w:ind w:firstLine="600"/>
        <w:rPr>
          <w:rFonts w:ascii="仿宋_GB2312" w:eastAsia="仿宋_GB2312"/>
          <w:sz w:val="30"/>
          <w:szCs w:val="30"/>
        </w:rPr>
      </w:pPr>
      <w:r>
        <w:rPr>
          <w:rFonts w:hint="eastAsia" w:ascii="仿宋_GB2312" w:eastAsia="仿宋_GB2312"/>
          <w:sz w:val="30"/>
          <w:szCs w:val="30"/>
        </w:rPr>
        <w:t>发包人代表的职责：。</w:t>
      </w:r>
    </w:p>
    <w:p w14:paraId="256697BA">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3.2 发包人人员</w:t>
      </w:r>
    </w:p>
    <w:p w14:paraId="25B2C069">
      <w:pPr>
        <w:wordWrap/>
        <w:topLinePunct w:val="0"/>
        <w:spacing w:after="120"/>
        <w:ind w:firstLine="600"/>
        <w:rPr>
          <w:rFonts w:ascii="仿宋_GB2312" w:eastAsia="仿宋_GB2312"/>
          <w:sz w:val="30"/>
          <w:szCs w:val="30"/>
        </w:rPr>
      </w:pPr>
      <w:r>
        <w:rPr>
          <w:rFonts w:ascii="仿宋_GB2312" w:eastAsia="仿宋_GB2312"/>
          <w:sz w:val="30"/>
          <w:szCs w:val="30"/>
        </w:rPr>
        <w:t>发包人人员姓名：；</w:t>
      </w:r>
    </w:p>
    <w:p w14:paraId="1C03624F">
      <w:pPr>
        <w:wordWrap/>
        <w:topLinePunct w:val="0"/>
        <w:spacing w:after="120"/>
        <w:ind w:firstLine="600"/>
        <w:rPr>
          <w:rFonts w:ascii="仿宋_GB2312" w:eastAsia="仿宋_GB2312"/>
          <w:sz w:val="30"/>
          <w:szCs w:val="30"/>
        </w:rPr>
      </w:pPr>
      <w:r>
        <w:rPr>
          <w:rFonts w:ascii="仿宋_GB2312" w:eastAsia="仿宋_GB2312"/>
          <w:sz w:val="30"/>
          <w:szCs w:val="30"/>
        </w:rPr>
        <w:t>发包人人员职务：；</w:t>
      </w:r>
    </w:p>
    <w:p w14:paraId="52CD5662">
      <w:pPr>
        <w:wordWrap/>
        <w:topLinePunct w:val="0"/>
        <w:spacing w:after="120"/>
        <w:ind w:firstLine="600"/>
        <w:rPr>
          <w:rFonts w:ascii="仿宋_GB2312" w:eastAsia="仿宋_GB2312"/>
          <w:sz w:val="30"/>
          <w:szCs w:val="30"/>
        </w:rPr>
      </w:pPr>
      <w:r>
        <w:rPr>
          <w:rFonts w:ascii="仿宋_GB2312" w:eastAsia="仿宋_GB2312"/>
          <w:sz w:val="30"/>
          <w:szCs w:val="30"/>
        </w:rPr>
        <w:t>发包人人员职责：</w:t>
      </w:r>
      <w:r>
        <w:rPr>
          <w:rFonts w:hint="eastAsia" w:ascii="仿宋_GB2312" w:eastAsia="仿宋_GB2312"/>
          <w:sz w:val="30"/>
          <w:szCs w:val="30"/>
        </w:rPr>
        <w:t>。</w:t>
      </w:r>
    </w:p>
    <w:p w14:paraId="4611AA98">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3.3 工程师</w:t>
      </w:r>
    </w:p>
    <w:p w14:paraId="464C134B">
      <w:pPr>
        <w:wordWrap/>
        <w:topLinePunct w:val="0"/>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.3.1 </w:t>
      </w:r>
      <w:r>
        <w:rPr>
          <w:rFonts w:hint="eastAsia" w:ascii="仿宋_GB2312" w:eastAsia="仿宋_GB2312"/>
          <w:sz w:val="30"/>
          <w:szCs w:val="30"/>
        </w:rPr>
        <w:t>工程师名称</w:t>
      </w:r>
      <w:r>
        <w:rPr>
          <w:rFonts w:ascii="仿宋_GB2312" w:eastAsia="仿宋_GB2312"/>
          <w:sz w:val="30"/>
          <w:szCs w:val="30"/>
        </w:rPr>
        <w:t>：</w:t>
      </w:r>
      <w:r>
        <w:rPr>
          <w:rFonts w:hint="eastAsia" w:ascii="仿宋_GB2312" w:eastAsia="仿宋_GB2312"/>
          <w:sz w:val="30"/>
          <w:szCs w:val="30"/>
          <w:u w:val="single"/>
        </w:rPr>
        <w:t xml:space="preserve">       </w:t>
      </w:r>
      <w:r>
        <w:rPr>
          <w:rFonts w:ascii="仿宋_GB2312" w:eastAsia="仿宋_GB2312"/>
          <w:sz w:val="30"/>
          <w:szCs w:val="30"/>
        </w:rPr>
        <w:t>；</w:t>
      </w:r>
      <w:r>
        <w:rPr>
          <w:rFonts w:hint="eastAsia" w:ascii="仿宋_GB2312" w:eastAsia="仿宋_GB2312"/>
          <w:sz w:val="30"/>
          <w:szCs w:val="30"/>
        </w:rPr>
        <w:t>工程师监督管理</w:t>
      </w:r>
      <w:r>
        <w:rPr>
          <w:rFonts w:ascii="仿宋_GB2312" w:eastAsia="仿宋_GB2312"/>
          <w:sz w:val="30"/>
          <w:szCs w:val="30"/>
        </w:rPr>
        <w:t>范围</w:t>
      </w:r>
      <w:r>
        <w:rPr>
          <w:rFonts w:hint="eastAsia" w:ascii="仿宋_GB2312" w:eastAsia="仿宋_GB2312"/>
          <w:sz w:val="30"/>
          <w:szCs w:val="30"/>
        </w:rPr>
        <w:t>、内容：</w:t>
      </w:r>
      <w:r>
        <w:rPr>
          <w:rFonts w:hint="eastAsia" w:ascii="仿宋_GB2312" w:eastAsia="仿宋_GB2312"/>
          <w:sz w:val="30"/>
          <w:szCs w:val="30"/>
          <w:highlight w:val="lightGray"/>
          <w:u w:val="single"/>
        </w:rPr>
        <w:t>按发包人与监理人签订的监理合同有关约定为准</w:t>
      </w:r>
      <w:r>
        <w:rPr>
          <w:rFonts w:hint="eastAsia" w:ascii="仿宋_GB2312" w:eastAsia="仿宋_GB2312"/>
          <w:sz w:val="30"/>
          <w:szCs w:val="30"/>
        </w:rPr>
        <w:t>；工程师</w:t>
      </w:r>
      <w:r>
        <w:rPr>
          <w:rFonts w:ascii="仿宋_GB2312" w:eastAsia="仿宋_GB2312"/>
          <w:sz w:val="30"/>
          <w:szCs w:val="30"/>
        </w:rPr>
        <w:t>权限：</w:t>
      </w:r>
      <w:r>
        <w:rPr>
          <w:rFonts w:hint="eastAsia" w:ascii="仿宋_GB2312" w:eastAsia="仿宋_GB2312"/>
          <w:sz w:val="30"/>
          <w:szCs w:val="30"/>
          <w:u w:val="single"/>
        </w:rPr>
        <w:t>涉及工程量确认、工期调整、工程进度款确认、单项工程验收、工程竣工验收、工程交工、设计变更、现场签证、材料进场检验及工程价格变更、确认和费用增减等涉及合同履行管理、工程监督管理的的事项，需经工程师同意后，再交由发包人审批确认</w:t>
      </w:r>
      <w:r>
        <w:rPr>
          <w:rFonts w:hint="eastAsia" w:ascii="仿宋_GB2312" w:eastAsia="仿宋_GB2312"/>
          <w:sz w:val="30"/>
          <w:szCs w:val="30"/>
        </w:rPr>
        <w:t>。</w:t>
      </w:r>
    </w:p>
    <w:p w14:paraId="32F80C74">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3.6 商定或确定</w:t>
      </w:r>
    </w:p>
    <w:p w14:paraId="06745F94">
      <w:pPr>
        <w:wordWrap/>
        <w:topLinePunct w:val="0"/>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.6.2 关于</w:t>
      </w:r>
      <w:r>
        <w:rPr>
          <w:rFonts w:hint="eastAsia" w:ascii="仿宋_GB2312" w:eastAsia="仿宋_GB2312"/>
          <w:sz w:val="30"/>
          <w:szCs w:val="30"/>
        </w:rPr>
        <w:t>商定</w:t>
      </w:r>
      <w:r>
        <w:rPr>
          <w:rFonts w:ascii="仿宋_GB2312" w:eastAsia="仿宋_GB2312"/>
          <w:sz w:val="30"/>
          <w:szCs w:val="30"/>
        </w:rPr>
        <w:t>时间限制的具体约定：</w:t>
      </w:r>
      <w:r>
        <w:rPr>
          <w:rFonts w:hint="eastAsia" w:ascii="仿宋_GB2312" w:eastAsia="仿宋_GB2312"/>
          <w:sz w:val="30"/>
          <w:szCs w:val="30"/>
          <w:u w:val="single"/>
        </w:rPr>
        <w:t>按通用条款</w:t>
      </w:r>
      <w:r>
        <w:rPr>
          <w:rFonts w:hint="eastAsia" w:ascii="仿宋_GB2312" w:eastAsia="仿宋_GB2312"/>
          <w:sz w:val="30"/>
          <w:szCs w:val="30"/>
        </w:rPr>
        <w:t>。</w:t>
      </w:r>
    </w:p>
    <w:p w14:paraId="3CF5A304">
      <w:pPr>
        <w:wordWrap/>
        <w:topLinePunct w:val="0"/>
        <w:spacing w:after="120"/>
        <w:ind w:firstLine="600"/>
        <w:rPr>
          <w:rFonts w:ascii="仿宋_GB2312" w:eastAsia="仿宋_GB2312"/>
          <w:sz w:val="30"/>
          <w:szCs w:val="30"/>
        </w:rPr>
      </w:pPr>
      <w:r>
        <w:rPr>
          <w:rFonts w:ascii="仿宋_GB2312" w:eastAsia="仿宋_GB2312"/>
          <w:sz w:val="30"/>
          <w:szCs w:val="30"/>
        </w:rPr>
        <w:t>3.6.3 关于</w:t>
      </w:r>
      <w:r>
        <w:rPr>
          <w:rFonts w:hint="eastAsia" w:ascii="仿宋_GB2312" w:eastAsia="仿宋_GB2312"/>
          <w:sz w:val="30"/>
          <w:szCs w:val="30"/>
        </w:rPr>
        <w:t>商定或确定</w:t>
      </w:r>
      <w:r>
        <w:rPr>
          <w:rFonts w:ascii="仿宋_GB2312" w:eastAsia="仿宋_GB2312"/>
          <w:sz w:val="30"/>
          <w:szCs w:val="30"/>
        </w:rPr>
        <w:t>效力的具体约定：</w:t>
      </w:r>
      <w:r>
        <w:rPr>
          <w:rFonts w:hint="eastAsia" w:ascii="仿宋_GB2312" w:eastAsia="仿宋_GB2312"/>
          <w:sz w:val="30"/>
          <w:szCs w:val="30"/>
          <w:u w:val="single"/>
        </w:rPr>
        <w:t>按通用条款</w:t>
      </w:r>
      <w:r>
        <w:rPr>
          <w:rFonts w:hint="eastAsia" w:ascii="仿宋_GB2312" w:eastAsia="仿宋_GB2312"/>
          <w:sz w:val="30"/>
          <w:szCs w:val="30"/>
        </w:rPr>
        <w:t>；</w:t>
      </w:r>
    </w:p>
    <w:p w14:paraId="7C141236">
      <w:pPr>
        <w:wordWrap/>
        <w:topLinePunct w:val="0"/>
        <w:spacing w:after="120"/>
        <w:ind w:firstLine="600"/>
        <w:rPr>
          <w:rFonts w:ascii="仿宋_GB2312" w:eastAsia="仿宋_GB2312"/>
          <w:sz w:val="30"/>
          <w:szCs w:val="30"/>
        </w:rPr>
      </w:pPr>
      <w:r>
        <w:rPr>
          <w:rFonts w:ascii="仿宋_GB2312" w:eastAsia="仿宋_GB2312"/>
          <w:sz w:val="30"/>
          <w:szCs w:val="30"/>
        </w:rPr>
        <w:t>关于对</w:t>
      </w:r>
      <w:r>
        <w:rPr>
          <w:rFonts w:hint="eastAsia" w:ascii="仿宋_GB2312" w:eastAsia="仿宋_GB2312"/>
          <w:sz w:val="30"/>
          <w:szCs w:val="30"/>
        </w:rPr>
        <w:t>工程师的确定提出异议</w:t>
      </w:r>
      <w:r>
        <w:rPr>
          <w:rFonts w:ascii="仿宋_GB2312" w:eastAsia="仿宋_GB2312"/>
          <w:sz w:val="30"/>
          <w:szCs w:val="30"/>
        </w:rPr>
        <w:t>的具体约定：</w:t>
      </w:r>
      <w:r>
        <w:rPr>
          <w:rFonts w:hint="eastAsia" w:ascii="仿宋_GB2312" w:eastAsia="仿宋_GB2312"/>
          <w:sz w:val="30"/>
          <w:szCs w:val="30"/>
          <w:u w:val="single"/>
        </w:rPr>
        <w:t>按通用条款</w:t>
      </w:r>
      <w:r>
        <w:rPr>
          <w:rFonts w:hint="eastAsia" w:ascii="仿宋_GB2312" w:eastAsia="仿宋_GB2312"/>
          <w:sz w:val="30"/>
          <w:szCs w:val="30"/>
        </w:rPr>
        <w:t>。</w:t>
      </w:r>
    </w:p>
    <w:p w14:paraId="273B6555">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3.7 会议</w:t>
      </w:r>
    </w:p>
    <w:p w14:paraId="5B174CF6">
      <w:pPr>
        <w:wordWrap/>
        <w:topLinePunct w:val="0"/>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.7.1 关于召开会议</w:t>
      </w:r>
      <w:r>
        <w:rPr>
          <w:rFonts w:hint="eastAsia" w:ascii="仿宋_GB2312" w:eastAsia="仿宋_GB2312"/>
          <w:sz w:val="30"/>
          <w:szCs w:val="30"/>
        </w:rPr>
        <w:t>的具体约定：</w:t>
      </w:r>
      <w:r>
        <w:rPr>
          <w:rFonts w:hint="eastAsia" w:ascii="仿宋_GB2312" w:eastAsia="仿宋_GB2312"/>
          <w:sz w:val="30"/>
          <w:szCs w:val="30"/>
          <w:u w:val="single"/>
        </w:rPr>
        <w:t>按通用条款</w:t>
      </w:r>
      <w:r>
        <w:rPr>
          <w:rFonts w:hint="eastAsia" w:ascii="仿宋_GB2312" w:eastAsia="仿宋_GB2312"/>
          <w:sz w:val="30"/>
          <w:szCs w:val="30"/>
        </w:rPr>
        <w:t>。</w:t>
      </w:r>
    </w:p>
    <w:p w14:paraId="5B2EDEA1">
      <w:pPr>
        <w:wordWrap/>
        <w:topLinePunct w:val="0"/>
        <w:spacing w:after="120"/>
        <w:ind w:firstLine="6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 xml:space="preserve">.7.2 </w:t>
      </w:r>
      <w:r>
        <w:rPr>
          <w:rFonts w:hint="eastAsia" w:ascii="仿宋_GB2312" w:eastAsia="仿宋_GB2312"/>
          <w:sz w:val="30"/>
          <w:szCs w:val="30"/>
        </w:rPr>
        <w:t>关于保存和提供会议纪要</w:t>
      </w:r>
      <w:r>
        <w:rPr>
          <w:rFonts w:ascii="仿宋_GB2312" w:eastAsia="仿宋_GB2312"/>
          <w:sz w:val="30"/>
          <w:szCs w:val="30"/>
        </w:rPr>
        <w:t>的具体约定：</w:t>
      </w:r>
      <w:r>
        <w:rPr>
          <w:rFonts w:hint="eastAsia" w:ascii="仿宋_GB2312" w:eastAsia="仿宋_GB2312"/>
          <w:sz w:val="30"/>
          <w:szCs w:val="30"/>
          <w:u w:val="single"/>
        </w:rPr>
        <w:t>按通用条款</w:t>
      </w:r>
      <w:r>
        <w:rPr>
          <w:rFonts w:hint="eastAsia" w:ascii="仿宋_GB2312" w:eastAsia="仿宋_GB2312"/>
          <w:sz w:val="30"/>
          <w:szCs w:val="30"/>
        </w:rPr>
        <w:t>。</w:t>
      </w:r>
    </w:p>
    <w:p w14:paraId="5A206E38">
      <w:pPr>
        <w:spacing w:after="120"/>
        <w:ind w:firstLine="0" w:firstLineChars="0"/>
        <w:outlineLvl w:val="1"/>
        <w:rPr>
          <w:rFonts w:ascii="仿宋" w:hAnsi="仿宋" w:eastAsia="仿宋" w:cs="仿宋"/>
          <w:bCs/>
          <w:sz w:val="32"/>
          <w:szCs w:val="21"/>
        </w:rPr>
      </w:pPr>
      <w:bookmarkStart w:id="849" w:name="_Toc54862335"/>
      <w:bookmarkStart w:id="850" w:name="_Toc9821"/>
      <w:bookmarkStart w:id="851" w:name="_Toc1368"/>
      <w:bookmarkStart w:id="852" w:name="_Toc15127"/>
      <w:r>
        <w:rPr>
          <w:rFonts w:hint="eastAsia" w:ascii="仿宋" w:hAnsi="仿宋" w:eastAsia="仿宋" w:cs="仿宋"/>
          <w:bCs/>
          <w:sz w:val="32"/>
          <w:szCs w:val="21"/>
        </w:rPr>
        <w:t>第4条 承包人</w:t>
      </w:r>
      <w:bookmarkEnd w:id="849"/>
      <w:bookmarkEnd w:id="850"/>
      <w:bookmarkEnd w:id="851"/>
      <w:bookmarkEnd w:id="852"/>
    </w:p>
    <w:p w14:paraId="41C522A5">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4.1 承包人的一般义务</w:t>
      </w:r>
    </w:p>
    <w:p w14:paraId="195C7873">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承包人应履行的其他义务：</w:t>
      </w:r>
    </w:p>
    <w:p w14:paraId="4D1FA43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承包人应按月提交《项目设计施工总承包管理报告》，报告应对工程总承包项目的综合进度、投资、质量、安全、环保、安全文明施工、存在问题及需发包人协调解决的问题等进行全面阐述，具体格式和内容双方协商，《工程总承包管理报告》需经承包人签字、盖章确认后一式六份报送发包人。</w:t>
      </w:r>
    </w:p>
    <w:p w14:paraId="3B6D9015">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2）承包人应根据合同规定的工期要求，严格按照进度计划和出图计划开展和组织设计工作，保证各阶段设计工作如期完成。</w:t>
      </w:r>
    </w:p>
    <w:p w14:paraId="1A6BA232">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承包人应积极配合发包人另行委托的相关单位进行定期检查，如会议、巡检、技术论证、设计文件审查等。并履行总承包管理与协调服务，统一负责对分包企业的分包工程质量、安全生产、施工进度及文明施工工作进行指导、管理和监督。定期或不定期对分包工程进行检查，发现问题及时告诫约谈，会知分包企业负责人，督促现场采取措施整改，消除隐患。承包人与分包企业签订分包合同时，必须明确分包工程的价款支付方式并严格执行。如果基于生效的判决、裁定或者行政命令，致使发包人需向分包人支付分包工程价款，发包人有权将此款项从应付承包人工程款中予以扣除。</w:t>
      </w:r>
    </w:p>
    <w:p w14:paraId="2EB126C6">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4）按照发包人建立的会议制度，承包人相关人员应参加设计例会、工程例会、技术研讨会、协调会、设计文件审查会等。</w:t>
      </w:r>
    </w:p>
    <w:p w14:paraId="54BF7676">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5）承包人应积极配合发包人对设计工作的全面检查，包括投资额、设计进度、设计深度与质量、人员到位和投入力量等，对存在的问题，应及时进行整改。</w:t>
      </w:r>
    </w:p>
    <w:p w14:paraId="44DDEEB8">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6）设计过程中，承包人应及时向发包人提交各种方案、建议、以及拟采用的新技术、新工艺、新材料、新设备的有关技术文件，以便发包人对此进行审查，确保各种方案的可行性。</w:t>
      </w:r>
    </w:p>
    <w:p w14:paraId="0F98042F">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7）在保证设计质量的前提下，承包人应按设计限额进行设计，</w:t>
      </w:r>
      <w:r>
        <w:rPr>
          <w:rFonts w:hint="eastAsia" w:ascii="仿宋_GB2312" w:eastAsia="仿宋_GB2312"/>
          <w:sz w:val="30"/>
          <w:szCs w:val="30"/>
        </w:rPr>
        <w:t>做好设计变更的成本控制工作</w:t>
      </w:r>
      <w:r>
        <w:rPr>
          <w:rFonts w:ascii="仿宋_GB2312" w:eastAsia="仿宋_GB2312"/>
          <w:sz w:val="30"/>
          <w:szCs w:val="30"/>
        </w:rPr>
        <w:t>。</w:t>
      </w:r>
    </w:p>
    <w:p w14:paraId="14395F79">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8）承包人应遵循适用、经济、美观、安全的原则开展设计，在投资限额目标的基础上结合工程设计内容进一步分解投资，明确投资控制主要指标，在编制</w:t>
      </w:r>
      <w:r>
        <w:rPr>
          <w:rFonts w:hint="eastAsia" w:ascii="仿宋" w:hAnsi="仿宋" w:eastAsia="仿宋" w:cs="仿宋"/>
          <w:sz w:val="32"/>
          <w:szCs w:val="32"/>
        </w:rPr>
        <w:t>施工图预算</w:t>
      </w:r>
      <w:r>
        <w:rPr>
          <w:rFonts w:ascii="仿宋_GB2312" w:eastAsia="仿宋_GB2312"/>
          <w:sz w:val="30"/>
          <w:szCs w:val="30"/>
        </w:rPr>
        <w:t>时逐步细化落实。</w:t>
      </w:r>
    </w:p>
    <w:p w14:paraId="312BB16A">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9）承包人在工程建设过程中需免费为发包人提供一名专业技术人员（设计单位需安排至少一名设计工程师）接受发包人安排及管理。</w:t>
      </w:r>
    </w:p>
    <w:p w14:paraId="7A05C7C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0</w:t>
      </w:r>
      <w:r>
        <w:rPr>
          <w:rFonts w:ascii="仿宋_GB2312" w:eastAsia="仿宋_GB2312"/>
          <w:sz w:val="30"/>
          <w:szCs w:val="30"/>
        </w:rPr>
        <w:t>）承包人指定本工程安全生产责任人。严格执行国家有关安全的法律法规和遵守政府主管部门有关安全生产、消防安全等规定，认真贯彻《广东省住房和城乡建设厅建筑工程安全生产动态管理办法》的规定。本工程安全管理目标：不发生工伤死亡，不发生工伤重伤，不发生火灾事故，不发生坍塌事故，不发生中毒事故。承包人须承担与本工程有关或本工程进行期间发生或本工程引致的人身伤亡的费用、责任、损失、索偿或诉讼的法律责任，并须保障发包人免负该等责任，除非有关伤亡是发包人或其应负责的人士所引致的。承包人须对其雇员的意外或伤亡负全责。发包人对任何雇员的意外或伤亡，不论该人是受雇于承包人或其联合单位、分包单位，皆不负任何法律上的赔偿责任，承包人须保障发包人免负任何有关的索偿、要求、诉讼、费用和支出。</w:t>
      </w:r>
    </w:p>
    <w:p w14:paraId="047AEEE0">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1</w:t>
      </w:r>
      <w:r>
        <w:rPr>
          <w:rFonts w:ascii="仿宋_GB2312" w:eastAsia="仿宋_GB2312"/>
          <w:sz w:val="30"/>
          <w:szCs w:val="30"/>
        </w:rPr>
        <w:t>）承包人须承担与本工程有关或本工程进行期间发生或本工程引致的财产损坏的费用、责任、损失、索偿或诉讼的法律责任，并须保障发包人免负该等责任，除非有关损坏是发包人或其余负责的人士所引致的。</w:t>
      </w:r>
    </w:p>
    <w:p w14:paraId="7E6598B5">
      <w:pPr>
        <w:wordWrap/>
        <w:topLinePunct w:val="0"/>
        <w:spacing w:after="120"/>
        <w:ind w:firstLine="600"/>
        <w:rPr>
          <w:rFonts w:ascii="仿宋_GB2312" w:eastAsia="仿宋_GB2312"/>
          <w:b/>
          <w:color w:val="FF0000"/>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2</w:t>
      </w:r>
      <w:r>
        <w:rPr>
          <w:rFonts w:ascii="仿宋_GB2312" w:eastAsia="仿宋_GB2312"/>
          <w:sz w:val="30"/>
          <w:szCs w:val="30"/>
        </w:rPr>
        <w:t>）承包人必须严格遵守《建筑工程现场文明施工管理办法》，本工程文明施工管理目标为：</w:t>
      </w:r>
      <w:r>
        <w:rPr>
          <w:rFonts w:hint="eastAsia" w:ascii="仿宋_GB2312" w:eastAsia="仿宋_GB2312"/>
          <w:sz w:val="30"/>
          <w:szCs w:val="30"/>
        </w:rPr>
        <w:t>确保不发生一般事故等级及以上的安全生产事故且死亡人数为零，</w:t>
      </w:r>
      <w:r>
        <w:rPr>
          <w:rFonts w:hint="eastAsia" w:ascii="仿宋_GB2312" w:eastAsia="仿宋_GB2312"/>
          <w:b/>
          <w:color w:val="FF0000"/>
          <w:sz w:val="30"/>
          <w:szCs w:val="30"/>
        </w:rPr>
        <w:t>达到协议书中“三、质量标准”中的约定。</w:t>
      </w:r>
    </w:p>
    <w:p w14:paraId="25B66708">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3</w:t>
      </w:r>
      <w:r>
        <w:rPr>
          <w:rFonts w:ascii="仿宋_GB2312" w:eastAsia="仿宋_GB2312"/>
          <w:sz w:val="30"/>
          <w:szCs w:val="30"/>
        </w:rPr>
        <w:t>）承包人有接受发包人进行全过程审计或审计调查的义务。承包人应积极配合发包人的审计工作，提供必要的办公场所、条件及有关资料，对发包人审计意见和合理建议应予以采纳，并进行整改。</w:t>
      </w:r>
    </w:p>
    <w:p w14:paraId="7F5D2D98">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4</w:t>
      </w:r>
      <w:r>
        <w:rPr>
          <w:rFonts w:ascii="仿宋_GB2312" w:eastAsia="仿宋_GB2312"/>
          <w:sz w:val="30"/>
          <w:szCs w:val="30"/>
        </w:rPr>
        <w:t>）承包人配合发包人和使用单位负责办理规划、专业报建等项目前期阶段和验收阶段的所有报建报批手续。报建和验收手续所需的书面文件和电子文件由承包人自行负责（除前期已取得的有关批准资料外），并应根据报建和验收主管部门的意见对有关申报资料进行修改和补充，发包人配合</w:t>
      </w:r>
      <w:r>
        <w:rPr>
          <w:rFonts w:hint="eastAsia" w:ascii="仿宋_GB2312" w:eastAsia="仿宋_GB2312"/>
          <w:sz w:val="30"/>
          <w:szCs w:val="30"/>
        </w:rPr>
        <w:t>总承包单位完善有关资料。</w:t>
      </w:r>
    </w:p>
    <w:p w14:paraId="792D8D61">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5</w:t>
      </w:r>
      <w:r>
        <w:rPr>
          <w:rFonts w:ascii="仿宋_GB2312" w:eastAsia="仿宋_GB2312"/>
          <w:sz w:val="30"/>
          <w:szCs w:val="30"/>
        </w:rPr>
        <w:t>）按发包人要求提供发包人代表和工程师单位工作人员必要足够的办公场所和办公生活设施。</w:t>
      </w:r>
    </w:p>
    <w:p w14:paraId="01900D51">
      <w:pPr>
        <w:wordWrap/>
        <w:topLinePunct w:val="0"/>
        <w:spacing w:after="120"/>
        <w:ind w:firstLine="600"/>
        <w:rPr>
          <w:rFonts w:ascii="仿宋_GB2312" w:eastAsia="仿宋_GB2312"/>
          <w:b/>
          <w:bCs/>
          <w:color w:val="FF0000"/>
          <w:sz w:val="30"/>
          <w:szCs w:val="30"/>
        </w:rPr>
      </w:pPr>
      <w:r>
        <w:rPr>
          <w:rFonts w:hint="eastAsia" w:ascii="仿宋_GB2312" w:eastAsia="仿宋_GB2312"/>
          <w:sz w:val="30"/>
          <w:szCs w:val="30"/>
        </w:rPr>
        <w:t>（16）承包人施工现场需配备包含且不限于施工现场视频监控、劳务实名制、车辆出入监控、塔吊安全监控、升降机安全监控、环境噪音扬尘监测、用电管理等数据的软硬件及网络，需满足附件《广东省代建局施工单位智慧工地设备技术要求文档》的要求。承包人配合发包人做好省代建智慧工地指挥中心的数据对接和维护，对接接口会不定期更新，承包人需按发包人发布的最新接口文件版本同步进行修改，</w:t>
      </w:r>
      <w:r>
        <w:rPr>
          <w:rFonts w:hint="eastAsia" w:ascii="仿宋_GB2312" w:eastAsia="仿宋_GB2312"/>
          <w:b/>
          <w:color w:val="FF0000"/>
          <w:sz w:val="30"/>
          <w:szCs w:val="30"/>
        </w:rPr>
        <w:t>合同期内每年的数据对接和维护费用包含在措施费中，发包人不另行支付。</w:t>
      </w:r>
      <w:r>
        <w:rPr>
          <w:rFonts w:hint="eastAsia" w:ascii="仿宋_GB2312" w:eastAsia="仿宋_GB2312"/>
          <w:b/>
          <w:color w:val="FF0000"/>
          <w:sz w:val="30"/>
          <w:szCs w:val="30"/>
        </w:rPr>
        <w:t>/</w:t>
      </w:r>
      <w:r>
        <w:rPr>
          <w:rFonts w:hint="eastAsia" w:ascii="仿宋_GB2312" w:eastAsia="仿宋_GB2312"/>
          <w:b/>
          <w:bCs/>
          <w:color w:val="FF0000"/>
          <w:sz w:val="30"/>
          <w:szCs w:val="30"/>
        </w:rPr>
        <w:t>投标人在投标报价下浮时综合考虑每年的数据对接和维护费用，由此产生的所有费用均已包含在合同价内，不另行计取每年的数据对接和维护费用，项目结算时不再单独列项计价。</w:t>
      </w:r>
    </w:p>
    <w:p w14:paraId="22F180EE">
      <w:pPr>
        <w:wordWrap/>
        <w:topLinePunct w:val="0"/>
        <w:spacing w:after="120"/>
        <w:ind w:firstLine="600"/>
        <w:rPr>
          <w:rFonts w:ascii="仿宋_GB2312" w:eastAsia="仿宋_GB2312"/>
          <w:sz w:val="30"/>
          <w:szCs w:val="30"/>
        </w:rPr>
      </w:pPr>
      <w:r>
        <w:rPr>
          <w:rFonts w:hint="eastAsia" w:ascii="仿宋" w:hAnsi="仿宋" w:eastAsia="仿宋" w:cs="仿宋"/>
          <w:sz w:val="30"/>
          <w:szCs w:val="30"/>
        </w:rPr>
        <w:t>4.2 履约担保</w:t>
      </w:r>
    </w:p>
    <w:p w14:paraId="1DB6B4D3">
      <w:pPr>
        <w:wordWrap/>
        <w:topLinePunct w:val="0"/>
        <w:spacing w:after="120"/>
        <w:ind w:firstLine="600"/>
        <w:rPr>
          <w:rFonts w:ascii="仿宋_GB2312" w:eastAsia="仿宋_GB2312"/>
          <w:sz w:val="30"/>
          <w:szCs w:val="30"/>
        </w:rPr>
      </w:pPr>
      <w:r>
        <w:rPr>
          <w:rFonts w:hint="eastAsia" w:ascii="仿宋_GB2312" w:eastAsia="仿宋_GB2312"/>
          <w:sz w:val="30"/>
          <w:szCs w:val="30"/>
        </w:rPr>
        <w:t>承包人是否提供履约担保：</w:t>
      </w:r>
      <w:r>
        <w:rPr>
          <w:rFonts w:ascii="仿宋_GB2312" w:eastAsia="仿宋_GB2312"/>
          <w:szCs w:val="24"/>
          <w:u w:val="single"/>
        </w:rPr>
        <w:t>是</w:t>
      </w:r>
      <w:r>
        <w:rPr>
          <w:rFonts w:hint="eastAsia" w:ascii="仿宋_GB2312" w:eastAsia="仿宋_GB2312"/>
          <w:sz w:val="30"/>
          <w:szCs w:val="30"/>
        </w:rPr>
        <w:t>。</w:t>
      </w:r>
    </w:p>
    <w:p w14:paraId="3AC89E1D">
      <w:pPr>
        <w:pStyle w:val="26"/>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一、履约担保的方式、金额及期限:履约保函，签约合同价的10%。大写：元（小写：¥    元），合同签订前由承包人（牵头人）提交。</w:t>
      </w:r>
    </w:p>
    <w:p w14:paraId="3892480B">
      <w:pPr>
        <w:pStyle w:val="26"/>
        <w:wordWrap/>
        <w:topLinePunct w:val="0"/>
        <w:spacing w:after="120"/>
        <w:ind w:firstLine="600" w:firstLineChars="0"/>
        <w:rPr>
          <w:rFonts w:ascii="仿宋_GB2312" w:eastAsia="仿宋_GB2312"/>
          <w:b/>
          <w:color w:val="FF0000"/>
          <w:sz w:val="30"/>
          <w:szCs w:val="30"/>
        </w:rPr>
      </w:pPr>
      <w:r>
        <w:rPr>
          <w:rFonts w:ascii="仿宋_GB2312" w:eastAsia="仿宋_GB2312"/>
          <w:b/>
          <w:color w:val="FF0000"/>
          <w:sz w:val="30"/>
          <w:szCs w:val="30"/>
        </w:rPr>
        <w:t>☑履约保函的担保期限从提供履约担保之日起至工程结算审定完成并移交工程档案后止。首开保函的保证期间不少于三年。若发包人与承包人协商变更合同，承包人应书面告知担保机构并将变更后的合同送一份给担保机构备案。履约保函担保期限未满前，无论何种原因，承包人承诺无条件续保，如履约保函到期前7天未提交续保保函或其他担保，视为一般违约责任。</w:t>
      </w:r>
    </w:p>
    <w:p w14:paraId="2EE61583">
      <w:pPr>
        <w:pStyle w:val="26"/>
        <w:wordWrap/>
        <w:topLinePunct w:val="0"/>
        <w:spacing w:after="120"/>
        <w:ind w:firstLine="600" w:firstLineChars="0"/>
        <w:rPr>
          <w:rFonts w:ascii="仿宋_GB2312" w:eastAsia="仿宋_GB2312"/>
          <w:b/>
          <w:color w:val="FF0000"/>
          <w:sz w:val="30"/>
          <w:szCs w:val="30"/>
        </w:rPr>
      </w:pPr>
      <w:r>
        <w:rPr>
          <w:rFonts w:hint="eastAsia" w:ascii="仿宋_GB2312" w:eastAsia="仿宋_GB2312"/>
          <w:b/>
          <w:color w:val="FF0000"/>
          <w:sz w:val="30"/>
          <w:szCs w:val="30"/>
        </w:rPr>
        <w:t>二、联合竣工验收结束，并移交竣工档案，且违约事项清理完毕后，经发包人确认送审结算金额未超批复的概算金额，承包人可提前申请部分解除（履约保函及履约担保形式详见合同附件）。</w:t>
      </w:r>
    </w:p>
    <w:p w14:paraId="27E72256">
      <w:pPr>
        <w:wordWrap/>
        <w:topLinePunct w:val="0"/>
        <w:spacing w:after="120"/>
        <w:ind w:firstLine="600"/>
        <w:rPr>
          <w:rFonts w:ascii="仿宋_GB2312" w:eastAsia="仿宋_GB2312"/>
          <w:sz w:val="30"/>
          <w:szCs w:val="30"/>
        </w:rPr>
      </w:pPr>
      <w:r>
        <w:rPr>
          <w:rFonts w:hint="eastAsia" w:ascii="仿宋" w:hAnsi="仿宋" w:eastAsia="仿宋" w:cs="仿宋"/>
          <w:sz w:val="30"/>
          <w:szCs w:val="30"/>
        </w:rPr>
        <w:t>4.3 工程总承包项目经理</w:t>
      </w:r>
    </w:p>
    <w:p w14:paraId="3AA07B79">
      <w:pPr>
        <w:wordWrap/>
        <w:topLinePunct w:val="0"/>
        <w:spacing w:after="120"/>
        <w:ind w:firstLine="600"/>
        <w:rPr>
          <w:rFonts w:ascii="仿宋_GB2312" w:eastAsia="仿宋_GB2312"/>
          <w:sz w:val="30"/>
          <w:szCs w:val="30"/>
        </w:rPr>
      </w:pPr>
      <w:r>
        <w:rPr>
          <w:rFonts w:ascii="仿宋_GB2312" w:eastAsia="仿宋_GB2312"/>
          <w:sz w:val="30"/>
          <w:szCs w:val="30"/>
        </w:rPr>
        <w:t xml:space="preserve">4.3.1 </w:t>
      </w:r>
      <w:r>
        <w:rPr>
          <w:rFonts w:hint="eastAsia" w:ascii="仿宋_GB2312" w:eastAsia="仿宋_GB2312"/>
          <w:sz w:val="30"/>
          <w:szCs w:val="30"/>
        </w:rPr>
        <w:t>工程总承包项目经理姓名：；</w:t>
      </w:r>
    </w:p>
    <w:p w14:paraId="22B50F2C">
      <w:pPr>
        <w:wordWrap/>
        <w:topLinePunct w:val="0"/>
        <w:spacing w:after="120"/>
        <w:ind w:firstLine="600"/>
        <w:rPr>
          <w:rFonts w:ascii="仿宋_GB2312" w:eastAsia="仿宋_GB2312"/>
          <w:sz w:val="30"/>
          <w:szCs w:val="30"/>
        </w:rPr>
      </w:pPr>
      <w:r>
        <w:rPr>
          <w:rFonts w:hint="eastAsia" w:ascii="仿宋_GB2312" w:eastAsia="仿宋_GB2312"/>
          <w:sz w:val="30"/>
          <w:szCs w:val="30"/>
        </w:rPr>
        <w:t>执业资格或职称类型：；</w:t>
      </w:r>
    </w:p>
    <w:p w14:paraId="11525E5B">
      <w:pPr>
        <w:wordWrap/>
        <w:topLinePunct w:val="0"/>
        <w:spacing w:after="120"/>
        <w:ind w:firstLine="600"/>
        <w:rPr>
          <w:rFonts w:ascii="仿宋_GB2312" w:eastAsia="仿宋_GB2312"/>
          <w:sz w:val="30"/>
          <w:szCs w:val="30"/>
        </w:rPr>
      </w:pPr>
      <w:r>
        <w:rPr>
          <w:rFonts w:hint="eastAsia" w:ascii="仿宋_GB2312" w:eastAsia="仿宋_GB2312"/>
          <w:sz w:val="30"/>
          <w:szCs w:val="30"/>
        </w:rPr>
        <w:t>执业资格证或职称证号码：；</w:t>
      </w:r>
    </w:p>
    <w:p w14:paraId="55A3E7D3">
      <w:pPr>
        <w:wordWrap/>
        <w:topLinePunct w:val="0"/>
        <w:spacing w:after="120"/>
        <w:ind w:firstLine="600"/>
        <w:rPr>
          <w:rFonts w:ascii="仿宋_GB2312" w:eastAsia="仿宋_GB2312"/>
          <w:sz w:val="30"/>
          <w:szCs w:val="30"/>
        </w:rPr>
      </w:pPr>
      <w:r>
        <w:rPr>
          <w:rFonts w:hint="eastAsia" w:ascii="仿宋_GB2312" w:eastAsia="仿宋_GB2312"/>
          <w:sz w:val="30"/>
          <w:szCs w:val="30"/>
        </w:rPr>
        <w:t>联系电话：；</w:t>
      </w:r>
    </w:p>
    <w:p w14:paraId="0686E0BF">
      <w:pPr>
        <w:wordWrap/>
        <w:topLinePunct w:val="0"/>
        <w:spacing w:after="120"/>
        <w:ind w:firstLine="600"/>
        <w:rPr>
          <w:rFonts w:ascii="仿宋_GB2312" w:eastAsia="仿宋_GB2312"/>
          <w:sz w:val="30"/>
          <w:szCs w:val="30"/>
        </w:rPr>
      </w:pPr>
      <w:r>
        <w:rPr>
          <w:rFonts w:hint="eastAsia" w:ascii="仿宋_GB2312" w:eastAsia="仿宋_GB2312"/>
          <w:sz w:val="30"/>
          <w:szCs w:val="30"/>
        </w:rPr>
        <w:t>电子邮箱：；</w:t>
      </w:r>
    </w:p>
    <w:p w14:paraId="40EA58A3">
      <w:pPr>
        <w:wordWrap/>
        <w:topLinePunct w:val="0"/>
        <w:spacing w:after="120"/>
        <w:ind w:firstLine="600"/>
        <w:rPr>
          <w:rFonts w:ascii="仿宋_GB2312" w:eastAsia="仿宋_GB2312"/>
          <w:sz w:val="30"/>
          <w:szCs w:val="30"/>
        </w:rPr>
      </w:pPr>
      <w:r>
        <w:rPr>
          <w:rFonts w:hint="eastAsia" w:ascii="仿宋_GB2312" w:eastAsia="仿宋_GB2312"/>
          <w:sz w:val="30"/>
          <w:szCs w:val="30"/>
        </w:rPr>
        <w:t>通信地址：。</w:t>
      </w:r>
    </w:p>
    <w:p w14:paraId="6A3E7547">
      <w:pPr>
        <w:wordWrap/>
        <w:topLinePunct w:val="0"/>
        <w:spacing w:after="120"/>
        <w:ind w:firstLine="600"/>
        <w:rPr>
          <w:rFonts w:ascii="仿宋_GB2312" w:eastAsia="仿宋_GB2312"/>
          <w:sz w:val="30"/>
          <w:szCs w:val="30"/>
        </w:rPr>
      </w:pPr>
      <w:r>
        <w:rPr>
          <w:rFonts w:ascii="仿宋_GB2312" w:eastAsia="仿宋_GB2312"/>
          <w:sz w:val="30"/>
          <w:szCs w:val="30"/>
        </w:rPr>
        <w:t>承包人未提交劳动合同，以及没有为工程总承包项目经理缴纳社会保险证明的违约责任：</w:t>
      </w:r>
      <w:r>
        <w:rPr>
          <w:rFonts w:hint="eastAsia" w:ascii="仿宋_GB2312" w:eastAsia="仿宋_GB2312"/>
          <w:sz w:val="30"/>
          <w:szCs w:val="30"/>
          <w:u w:val="single"/>
        </w:rPr>
        <w:t>按专用条款第15.2.1.3条</w:t>
      </w:r>
      <w:r>
        <w:rPr>
          <w:rFonts w:hint="eastAsia" w:ascii="仿宋_GB2312" w:eastAsia="仿宋_GB2312"/>
          <w:sz w:val="30"/>
          <w:szCs w:val="30"/>
        </w:rPr>
        <w:t>。</w:t>
      </w:r>
    </w:p>
    <w:p w14:paraId="2997D569">
      <w:pPr>
        <w:wordWrap/>
        <w:topLinePunct w:val="0"/>
        <w:spacing w:after="120"/>
        <w:ind w:firstLine="600"/>
        <w:rPr>
          <w:rFonts w:ascii="仿宋_GB2312" w:eastAsia="仿宋_GB2312"/>
          <w:sz w:val="30"/>
          <w:szCs w:val="30"/>
          <w:u w:val="single"/>
        </w:rPr>
      </w:pPr>
      <w:r>
        <w:rPr>
          <w:rFonts w:ascii="仿宋_GB2312" w:eastAsia="仿宋_GB2312"/>
          <w:sz w:val="30"/>
          <w:szCs w:val="30"/>
        </w:rPr>
        <w:t xml:space="preserve">4.3.2 </w:t>
      </w:r>
      <w:r>
        <w:rPr>
          <w:rFonts w:hint="eastAsia" w:ascii="仿宋_GB2312" w:eastAsia="仿宋_GB2312"/>
          <w:sz w:val="30"/>
          <w:szCs w:val="30"/>
        </w:rPr>
        <w:t>工程总承包项目经理每月在现场的时间要求：</w:t>
      </w:r>
      <w:r>
        <w:rPr>
          <w:rFonts w:hint="eastAsia" w:ascii="仿宋_GB2312" w:eastAsia="仿宋_GB2312"/>
          <w:sz w:val="30"/>
          <w:szCs w:val="30"/>
          <w:u w:val="single"/>
        </w:rPr>
        <w:t>承包人应按合同协议书的约定指派工程总承包项目经理，并在约定的期限内到职，必须全职在现场办公，不得兼职或者擅自离岗。本工程严格执行签到制度。因特殊情况需短暂离岗的，应当事先报工程师及发包人批准，且须妥善安排工作交接，并按以下约定执行：</w:t>
      </w:r>
    </w:p>
    <w:p w14:paraId="55509E7F">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 xml:space="preserve">① 离场半天内，须经工程师批准同意； </w:t>
      </w:r>
    </w:p>
    <w:p w14:paraId="4FC7089C">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 xml:space="preserve">② 离场 1 天内，须经工程师同意，并经发包人代表批准； </w:t>
      </w:r>
    </w:p>
    <w:p w14:paraId="7C7CF657">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 xml:space="preserve">③ 离场 2 天以上（含 2 天），须经工程师及发包人代表同意，并经发包人批准； </w:t>
      </w:r>
    </w:p>
    <w:p w14:paraId="7418AB13">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 xml:space="preserve">④ 一个月内累计离场时间不得超过 4 天（经发包人批准的除外）。 </w:t>
      </w:r>
    </w:p>
    <w:p w14:paraId="5FD44C87">
      <w:pPr>
        <w:wordWrap/>
        <w:topLinePunct w:val="0"/>
        <w:spacing w:after="120"/>
        <w:ind w:firstLine="600"/>
        <w:rPr>
          <w:rFonts w:ascii="仿宋_GB2312" w:eastAsia="仿宋_GB2312"/>
          <w:sz w:val="30"/>
          <w:szCs w:val="30"/>
        </w:rPr>
      </w:pPr>
      <w:r>
        <w:rPr>
          <w:rFonts w:hint="eastAsia" w:ascii="仿宋_GB2312" w:eastAsia="仿宋_GB2312"/>
          <w:sz w:val="30"/>
          <w:szCs w:val="30"/>
          <w:u w:val="single"/>
        </w:rPr>
        <w:t>⑤ 项目总负责人不论离场多久，均应经发包人批准</w:t>
      </w:r>
      <w:r>
        <w:rPr>
          <w:rFonts w:hint="eastAsia" w:ascii="仿宋_GB2312" w:eastAsia="仿宋_GB2312"/>
          <w:sz w:val="30"/>
          <w:szCs w:val="30"/>
        </w:rPr>
        <w:t>。</w:t>
      </w:r>
    </w:p>
    <w:p w14:paraId="51910459">
      <w:pPr>
        <w:wordWrap/>
        <w:topLinePunct w:val="0"/>
        <w:spacing w:after="120"/>
        <w:ind w:firstLine="600"/>
        <w:rPr>
          <w:rFonts w:ascii="仿宋_GB2312" w:eastAsia="仿宋_GB2312"/>
          <w:sz w:val="30"/>
          <w:szCs w:val="30"/>
        </w:rPr>
      </w:pPr>
      <w:r>
        <w:rPr>
          <w:rFonts w:hint="eastAsia" w:ascii="仿宋_GB2312" w:eastAsia="仿宋_GB2312"/>
          <w:sz w:val="30"/>
          <w:szCs w:val="30"/>
        </w:rPr>
        <w:t>工程总承包项目经理未经批准擅自离开施工现场的违约责任：</w:t>
      </w:r>
      <w:r>
        <w:rPr>
          <w:rFonts w:hint="eastAsia" w:ascii="仿宋_GB2312" w:eastAsia="仿宋_GB2312"/>
          <w:sz w:val="30"/>
          <w:szCs w:val="30"/>
          <w:u w:val="single"/>
        </w:rPr>
        <w:t>按专用条款第15.2.1.3条</w:t>
      </w:r>
      <w:r>
        <w:rPr>
          <w:rFonts w:hint="eastAsia" w:ascii="仿宋_GB2312" w:eastAsia="仿宋_GB2312"/>
          <w:sz w:val="30"/>
          <w:szCs w:val="30"/>
        </w:rPr>
        <w:t>。</w:t>
      </w:r>
    </w:p>
    <w:p w14:paraId="7D593993">
      <w:pPr>
        <w:wordWrap/>
        <w:topLinePunct w:val="0"/>
        <w:spacing w:after="120"/>
        <w:ind w:firstLine="600"/>
        <w:rPr>
          <w:rFonts w:ascii="仿宋_GB2312" w:eastAsia="仿宋_GB2312"/>
          <w:sz w:val="30"/>
          <w:szCs w:val="30"/>
        </w:rPr>
      </w:pPr>
      <w:r>
        <w:rPr>
          <w:rFonts w:ascii="仿宋_GB2312" w:eastAsia="仿宋_GB2312"/>
          <w:sz w:val="30"/>
          <w:szCs w:val="30"/>
        </w:rPr>
        <w:t xml:space="preserve">4.3.3 </w:t>
      </w:r>
      <w:r>
        <w:rPr>
          <w:rFonts w:hint="eastAsia" w:ascii="仿宋_GB2312" w:eastAsia="仿宋_GB2312"/>
          <w:sz w:val="30"/>
          <w:szCs w:val="30"/>
        </w:rPr>
        <w:t>承包人对工程总承包项目经理的授权范围:</w:t>
      </w:r>
      <w:r>
        <w:rPr>
          <w:rFonts w:hint="eastAsia" w:ascii="仿宋_GB2312" w:eastAsia="仿宋_GB2312" w:cs="Calibri"/>
          <w:sz w:val="30"/>
          <w:szCs w:val="30"/>
          <w:highlight w:val="lightGray"/>
          <w:u w:val="single"/>
        </w:rPr>
        <w:t>负责组织设计、施工，对工程的质量、安全、进度的管理，协调业主、监理和对外关系</w:t>
      </w:r>
      <w:r>
        <w:rPr>
          <w:rFonts w:hint="eastAsia" w:ascii="仿宋_GB2312" w:eastAsia="仿宋_GB2312"/>
          <w:sz w:val="30"/>
          <w:szCs w:val="30"/>
        </w:rPr>
        <w:t>。</w:t>
      </w:r>
    </w:p>
    <w:p w14:paraId="11C098B6">
      <w:pPr>
        <w:wordWrap/>
        <w:topLinePunct w:val="0"/>
        <w:spacing w:after="120"/>
        <w:ind w:firstLine="600"/>
        <w:rPr>
          <w:rFonts w:ascii="仿宋_GB2312" w:eastAsia="仿宋_GB2312"/>
          <w:sz w:val="30"/>
          <w:szCs w:val="30"/>
        </w:rPr>
      </w:pPr>
      <w:r>
        <w:rPr>
          <w:rFonts w:ascii="仿宋_GB2312" w:eastAsia="仿宋_GB2312"/>
          <w:sz w:val="30"/>
          <w:szCs w:val="30"/>
        </w:rPr>
        <w:t xml:space="preserve">4.3.4 </w:t>
      </w:r>
      <w:r>
        <w:rPr>
          <w:rFonts w:hint="eastAsia" w:ascii="仿宋_GB2312" w:eastAsia="仿宋_GB2312"/>
          <w:sz w:val="30"/>
          <w:szCs w:val="30"/>
        </w:rPr>
        <w:t>承包人</w:t>
      </w:r>
      <w:r>
        <w:rPr>
          <w:rFonts w:ascii="仿宋_GB2312" w:eastAsia="仿宋_GB2312"/>
          <w:sz w:val="30"/>
          <w:szCs w:val="30"/>
        </w:rPr>
        <w:t>擅自更换工程总承包项目经理的违约</w:t>
      </w:r>
      <w:r>
        <w:rPr>
          <w:rFonts w:hint="eastAsia" w:ascii="仿宋_GB2312" w:eastAsia="仿宋_GB2312"/>
          <w:sz w:val="30"/>
          <w:szCs w:val="30"/>
        </w:rPr>
        <w:t>责任：</w:t>
      </w:r>
      <w:r>
        <w:rPr>
          <w:rFonts w:hint="eastAsia" w:ascii="仿宋_GB2312" w:eastAsia="仿宋_GB2312"/>
          <w:sz w:val="30"/>
          <w:szCs w:val="30"/>
          <w:u w:val="single"/>
        </w:rPr>
        <w:t>按专用条款第15.2.1.3条。</w:t>
      </w:r>
    </w:p>
    <w:p w14:paraId="50C8100F">
      <w:pPr>
        <w:wordWrap/>
        <w:topLinePunct w:val="0"/>
        <w:spacing w:after="120"/>
        <w:ind w:firstLine="600"/>
        <w:rPr>
          <w:rFonts w:ascii="仿宋_GB2312" w:eastAsia="仿宋_GB2312"/>
          <w:sz w:val="30"/>
          <w:szCs w:val="30"/>
        </w:rPr>
      </w:pPr>
      <w:r>
        <w:rPr>
          <w:rFonts w:ascii="仿宋_GB2312" w:eastAsia="仿宋_GB2312"/>
          <w:sz w:val="30"/>
          <w:szCs w:val="30"/>
        </w:rPr>
        <w:t>4.3.5 承包人无正当理由拒绝更换工程总承包项目经理的违约责任</w:t>
      </w:r>
      <w:r>
        <w:rPr>
          <w:rFonts w:hint="eastAsia" w:ascii="仿宋_GB2312" w:eastAsia="仿宋_GB2312"/>
          <w:sz w:val="30"/>
          <w:szCs w:val="30"/>
        </w:rPr>
        <w:t>:</w:t>
      </w:r>
      <w:r>
        <w:rPr>
          <w:rFonts w:hint="eastAsia" w:ascii="仿宋_GB2312" w:eastAsia="仿宋_GB2312"/>
          <w:sz w:val="30"/>
          <w:szCs w:val="30"/>
          <w:u w:val="single"/>
        </w:rPr>
        <w:t>按专用条款第15.2.1.3条</w:t>
      </w:r>
      <w:r>
        <w:rPr>
          <w:rFonts w:ascii="仿宋_GB2312" w:eastAsia="仿宋_GB2312"/>
          <w:sz w:val="30"/>
          <w:szCs w:val="30"/>
        </w:rPr>
        <w:t>。</w:t>
      </w:r>
    </w:p>
    <w:p w14:paraId="30525911">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4.4 承包人人员</w:t>
      </w:r>
    </w:p>
    <w:p w14:paraId="2D360704">
      <w:pPr>
        <w:wordWrap/>
        <w:topLinePunct w:val="0"/>
        <w:spacing w:after="120"/>
        <w:ind w:firstLine="600"/>
        <w:rPr>
          <w:rFonts w:ascii="仿宋_GB2312" w:eastAsia="仿宋_GB2312"/>
          <w:sz w:val="30"/>
          <w:szCs w:val="30"/>
        </w:rPr>
      </w:pPr>
      <w:r>
        <w:rPr>
          <w:rFonts w:ascii="仿宋_GB2312" w:eastAsia="仿宋_GB2312"/>
          <w:sz w:val="30"/>
          <w:szCs w:val="30"/>
        </w:rPr>
        <w:t xml:space="preserve">4.4.1 </w:t>
      </w:r>
      <w:r>
        <w:rPr>
          <w:rFonts w:hint="eastAsia" w:ascii="仿宋_GB2312" w:eastAsia="仿宋_GB2312"/>
          <w:sz w:val="30"/>
          <w:szCs w:val="30"/>
        </w:rPr>
        <w:t>人员安排</w:t>
      </w:r>
    </w:p>
    <w:p w14:paraId="6C14B1EA">
      <w:pPr>
        <w:wordWrap/>
        <w:topLinePunct w:val="0"/>
        <w:spacing w:after="120"/>
        <w:ind w:firstLine="600"/>
        <w:rPr>
          <w:rFonts w:ascii="仿宋_GB2312" w:eastAsia="仿宋_GB2312"/>
          <w:sz w:val="30"/>
          <w:szCs w:val="30"/>
        </w:rPr>
      </w:pPr>
      <w:r>
        <w:rPr>
          <w:rFonts w:ascii="仿宋_GB2312" w:eastAsia="仿宋_GB2312"/>
          <w:sz w:val="30"/>
          <w:szCs w:val="30"/>
        </w:rPr>
        <w:t>承包人</w:t>
      </w:r>
      <w:r>
        <w:rPr>
          <w:rFonts w:hint="eastAsia" w:ascii="仿宋_GB2312" w:eastAsia="仿宋_GB2312"/>
          <w:sz w:val="30"/>
          <w:szCs w:val="30"/>
        </w:rPr>
        <w:t>提交</w:t>
      </w:r>
      <w:r>
        <w:rPr>
          <w:rFonts w:ascii="仿宋_GB2312" w:eastAsia="仿宋_GB2312"/>
          <w:sz w:val="30"/>
          <w:szCs w:val="30"/>
        </w:rPr>
        <w:t>项目管理机构及施工现场人员安排的报告</w:t>
      </w:r>
      <w:r>
        <w:rPr>
          <w:rFonts w:hint="eastAsia" w:ascii="仿宋_GB2312" w:eastAsia="仿宋_GB2312"/>
          <w:sz w:val="30"/>
          <w:szCs w:val="30"/>
        </w:rPr>
        <w:t>的期限：</w:t>
      </w:r>
      <w:r>
        <w:rPr>
          <w:rFonts w:hint="eastAsia" w:ascii="仿宋_GB2312" w:eastAsia="仿宋_GB2312"/>
          <w:sz w:val="30"/>
          <w:szCs w:val="30"/>
          <w:u w:val="single"/>
        </w:rPr>
        <w:t>按投标文件在签订合同时一并提供，作为合同附件</w:t>
      </w:r>
      <w:r>
        <w:rPr>
          <w:rFonts w:hint="eastAsia" w:ascii="仿宋_GB2312" w:eastAsia="仿宋_GB2312"/>
          <w:sz w:val="30"/>
          <w:szCs w:val="30"/>
        </w:rPr>
        <w:t>。</w:t>
      </w:r>
    </w:p>
    <w:p w14:paraId="442946DE">
      <w:pPr>
        <w:wordWrap/>
        <w:topLinePunct w:val="0"/>
        <w:spacing w:after="120"/>
        <w:ind w:firstLine="600"/>
        <w:rPr>
          <w:rFonts w:ascii="仿宋_GB2312" w:eastAsia="仿宋_GB2312"/>
          <w:sz w:val="30"/>
          <w:szCs w:val="30"/>
        </w:rPr>
      </w:pPr>
      <w:r>
        <w:rPr>
          <w:rFonts w:hint="eastAsia" w:ascii="仿宋_GB2312" w:eastAsia="仿宋_GB2312"/>
          <w:sz w:val="30"/>
          <w:szCs w:val="30"/>
        </w:rPr>
        <w:t>承包人提交关键人员信息及注册执业资格等证明其具备担任关键人员能力的相关文件的期限：</w:t>
      </w:r>
      <w:r>
        <w:rPr>
          <w:rFonts w:hint="eastAsia" w:ascii="仿宋_GB2312" w:eastAsia="仿宋_GB2312"/>
          <w:sz w:val="30"/>
          <w:szCs w:val="30"/>
          <w:u w:val="single"/>
        </w:rPr>
        <w:t>按投标文件在签订合同时一并提供，作为合同附件</w:t>
      </w:r>
      <w:r>
        <w:rPr>
          <w:rFonts w:hint="eastAsia" w:ascii="仿宋_GB2312" w:eastAsia="仿宋_GB2312"/>
          <w:sz w:val="30"/>
          <w:szCs w:val="30"/>
        </w:rPr>
        <w:t>。</w:t>
      </w:r>
    </w:p>
    <w:p w14:paraId="66B63C79">
      <w:pPr>
        <w:wordWrap/>
        <w:topLinePunct w:val="0"/>
        <w:spacing w:after="120"/>
        <w:ind w:firstLine="600"/>
        <w:rPr>
          <w:rFonts w:ascii="仿宋_GB2312" w:eastAsia="仿宋_GB2312"/>
          <w:sz w:val="30"/>
          <w:szCs w:val="30"/>
        </w:rPr>
      </w:pPr>
      <w:r>
        <w:rPr>
          <w:rFonts w:ascii="仿宋_GB2312" w:eastAsia="仿宋_GB2312"/>
          <w:sz w:val="30"/>
          <w:szCs w:val="30"/>
        </w:rPr>
        <w:t xml:space="preserve">4.4.2 </w:t>
      </w:r>
      <w:r>
        <w:rPr>
          <w:rFonts w:hint="eastAsia" w:ascii="仿宋_GB2312" w:eastAsia="仿宋_GB2312"/>
          <w:sz w:val="30"/>
          <w:szCs w:val="30"/>
        </w:rPr>
        <w:t>关键人员更换</w:t>
      </w:r>
    </w:p>
    <w:p w14:paraId="3B209B3E">
      <w:pPr>
        <w:wordWrap/>
        <w:topLinePunct w:val="0"/>
        <w:spacing w:after="120"/>
        <w:ind w:firstLine="600"/>
        <w:rPr>
          <w:rFonts w:ascii="仿宋_GB2312" w:eastAsia="仿宋_GB2312"/>
          <w:sz w:val="30"/>
          <w:szCs w:val="30"/>
        </w:rPr>
      </w:pPr>
      <w:r>
        <w:rPr>
          <w:rFonts w:ascii="仿宋_GB2312" w:eastAsia="仿宋_GB2312"/>
          <w:sz w:val="30"/>
          <w:szCs w:val="30"/>
        </w:rPr>
        <w:t>承包人擅自更换</w:t>
      </w:r>
      <w:r>
        <w:rPr>
          <w:rFonts w:hint="eastAsia" w:ascii="仿宋_GB2312" w:eastAsia="仿宋_GB2312"/>
          <w:sz w:val="30"/>
          <w:szCs w:val="30"/>
        </w:rPr>
        <w:t>关键人员</w:t>
      </w:r>
      <w:r>
        <w:rPr>
          <w:rFonts w:ascii="仿宋_GB2312" w:eastAsia="仿宋_GB2312"/>
          <w:sz w:val="30"/>
          <w:szCs w:val="30"/>
        </w:rPr>
        <w:t>的违约责任：</w:t>
      </w:r>
      <w:r>
        <w:rPr>
          <w:rFonts w:hint="eastAsia" w:ascii="仿宋_GB2312" w:eastAsia="仿宋_GB2312"/>
          <w:sz w:val="30"/>
          <w:szCs w:val="30"/>
          <w:u w:val="single"/>
        </w:rPr>
        <w:t>按专用条款第15.2.1.3条</w:t>
      </w:r>
      <w:r>
        <w:rPr>
          <w:rFonts w:hint="eastAsia" w:ascii="仿宋_GB2312" w:eastAsia="仿宋_GB2312"/>
          <w:sz w:val="30"/>
          <w:szCs w:val="30"/>
        </w:rPr>
        <w:t>。</w:t>
      </w:r>
    </w:p>
    <w:p w14:paraId="37A986A1">
      <w:pPr>
        <w:wordWrap/>
        <w:topLinePunct w:val="0"/>
        <w:spacing w:after="120"/>
        <w:ind w:firstLine="600"/>
        <w:rPr>
          <w:rFonts w:ascii="仿宋_GB2312" w:eastAsia="仿宋_GB2312"/>
          <w:sz w:val="30"/>
          <w:szCs w:val="30"/>
        </w:rPr>
      </w:pPr>
      <w:r>
        <w:rPr>
          <w:rFonts w:ascii="仿宋_GB2312" w:eastAsia="仿宋_GB2312"/>
          <w:sz w:val="30"/>
          <w:szCs w:val="30"/>
        </w:rPr>
        <w:t>承包人无正当理由拒绝撤换</w:t>
      </w:r>
      <w:r>
        <w:rPr>
          <w:rFonts w:hint="eastAsia" w:ascii="仿宋_GB2312" w:eastAsia="仿宋_GB2312"/>
          <w:sz w:val="30"/>
          <w:szCs w:val="30"/>
        </w:rPr>
        <w:t>关键人员</w:t>
      </w:r>
      <w:r>
        <w:rPr>
          <w:rFonts w:ascii="仿宋_GB2312" w:eastAsia="仿宋_GB2312"/>
          <w:sz w:val="30"/>
          <w:szCs w:val="30"/>
        </w:rPr>
        <w:t>的违约责任：</w:t>
      </w:r>
      <w:r>
        <w:rPr>
          <w:rFonts w:hint="eastAsia" w:ascii="仿宋_GB2312" w:eastAsia="仿宋_GB2312"/>
          <w:sz w:val="30"/>
          <w:szCs w:val="30"/>
          <w:u w:val="single"/>
        </w:rPr>
        <w:t>按专用条款第15.2.1.3条</w:t>
      </w:r>
      <w:r>
        <w:rPr>
          <w:rFonts w:hint="eastAsia" w:ascii="仿宋_GB2312" w:eastAsia="仿宋_GB2312"/>
          <w:sz w:val="30"/>
          <w:szCs w:val="30"/>
        </w:rPr>
        <w:t>。</w:t>
      </w:r>
    </w:p>
    <w:p w14:paraId="535E01ED">
      <w:pPr>
        <w:wordWrap/>
        <w:topLinePunct w:val="0"/>
        <w:spacing w:after="120"/>
        <w:ind w:firstLine="600"/>
        <w:rPr>
          <w:rFonts w:ascii="仿宋_GB2312" w:eastAsia="仿宋_GB2312"/>
          <w:sz w:val="30"/>
          <w:szCs w:val="30"/>
        </w:rPr>
      </w:pPr>
      <w:r>
        <w:rPr>
          <w:rFonts w:ascii="仿宋_GB2312" w:eastAsia="仿宋_GB2312"/>
          <w:sz w:val="30"/>
          <w:szCs w:val="30"/>
        </w:rPr>
        <w:t xml:space="preserve">4.4.3 </w:t>
      </w:r>
      <w:r>
        <w:rPr>
          <w:rFonts w:hint="eastAsia" w:ascii="仿宋_GB2312" w:eastAsia="仿宋_GB2312"/>
          <w:sz w:val="30"/>
          <w:szCs w:val="30"/>
        </w:rPr>
        <w:t>现场管理关键人员在岗要求</w:t>
      </w:r>
    </w:p>
    <w:p w14:paraId="00167C4F">
      <w:pPr>
        <w:wordWrap/>
        <w:topLinePunct w:val="0"/>
        <w:spacing w:after="120"/>
        <w:ind w:firstLine="600"/>
        <w:rPr>
          <w:rFonts w:ascii="仿宋_GB2312" w:eastAsia="仿宋_GB2312"/>
          <w:sz w:val="30"/>
          <w:szCs w:val="30"/>
        </w:rPr>
      </w:pPr>
      <w:r>
        <w:rPr>
          <w:rFonts w:ascii="仿宋_GB2312" w:eastAsia="仿宋_GB2312"/>
          <w:sz w:val="30"/>
          <w:szCs w:val="30"/>
        </w:rPr>
        <w:t>承包人</w:t>
      </w:r>
      <w:r>
        <w:rPr>
          <w:rFonts w:hint="eastAsia" w:ascii="仿宋_GB2312" w:eastAsia="仿宋_GB2312"/>
          <w:sz w:val="30"/>
          <w:szCs w:val="30"/>
        </w:rPr>
        <w:t>现场管理关键</w:t>
      </w:r>
      <w:r>
        <w:rPr>
          <w:rFonts w:ascii="仿宋_GB2312" w:eastAsia="仿宋_GB2312"/>
          <w:sz w:val="30"/>
          <w:szCs w:val="30"/>
        </w:rPr>
        <w:t>人员离开施工现场的批准要求</w:t>
      </w:r>
      <w:r>
        <w:rPr>
          <w:rFonts w:hint="eastAsia" w:ascii="仿宋_GB2312" w:eastAsia="仿宋_GB2312"/>
          <w:sz w:val="30"/>
          <w:szCs w:val="30"/>
        </w:rPr>
        <w:t>：</w:t>
      </w:r>
      <w:r>
        <w:rPr>
          <w:rFonts w:hint="eastAsia" w:ascii="仿宋_GB2312" w:eastAsia="仿宋_GB2312"/>
          <w:sz w:val="30"/>
          <w:szCs w:val="30"/>
          <w:u w:val="single"/>
        </w:rPr>
        <w:t>应书面报工程师及发包人确认同意后方可离开，具体细则可根据现场施工情况另行约定</w:t>
      </w:r>
      <w:r>
        <w:rPr>
          <w:rFonts w:hint="eastAsia" w:ascii="仿宋_GB2312" w:eastAsia="仿宋_GB2312"/>
          <w:sz w:val="30"/>
          <w:szCs w:val="30"/>
        </w:rPr>
        <w:t>。</w:t>
      </w:r>
    </w:p>
    <w:p w14:paraId="1A6148C9">
      <w:pPr>
        <w:wordWrap/>
        <w:topLinePunct w:val="0"/>
        <w:spacing w:after="120"/>
        <w:ind w:firstLine="600"/>
        <w:rPr>
          <w:rFonts w:ascii="仿宋_GB2312" w:eastAsia="仿宋_GB2312"/>
          <w:sz w:val="30"/>
          <w:szCs w:val="30"/>
        </w:rPr>
      </w:pPr>
      <w:r>
        <w:rPr>
          <w:rFonts w:hint="eastAsia" w:ascii="仿宋_GB2312" w:eastAsia="仿宋_GB2312"/>
          <w:sz w:val="30"/>
          <w:szCs w:val="30"/>
        </w:rPr>
        <w:t>承包人现场管理关键人员擅自离开施工现场的违约责任：</w:t>
      </w:r>
      <w:r>
        <w:rPr>
          <w:rFonts w:hint="eastAsia" w:ascii="仿宋_GB2312" w:eastAsia="仿宋_GB2312"/>
          <w:sz w:val="30"/>
          <w:szCs w:val="30"/>
          <w:u w:val="single"/>
        </w:rPr>
        <w:t>按专用条款第15.2.1.3条</w:t>
      </w:r>
      <w:r>
        <w:rPr>
          <w:rFonts w:hint="eastAsia" w:ascii="仿宋_GB2312" w:eastAsia="仿宋_GB2312"/>
          <w:sz w:val="30"/>
          <w:szCs w:val="30"/>
        </w:rPr>
        <w:t>。</w:t>
      </w:r>
    </w:p>
    <w:p w14:paraId="518A1FAE">
      <w:pPr>
        <w:wordWrap/>
        <w:topLinePunct w:val="0"/>
        <w:spacing w:after="120"/>
        <w:ind w:firstLine="600"/>
        <w:rPr>
          <w:rFonts w:ascii="仿宋_GB2312" w:eastAsia="仿宋_GB2312"/>
          <w:sz w:val="30"/>
          <w:szCs w:val="30"/>
        </w:rPr>
      </w:pPr>
      <w:r>
        <w:rPr>
          <w:rFonts w:hint="eastAsia" w:ascii="仿宋" w:hAnsi="仿宋" w:eastAsia="仿宋" w:cs="仿宋"/>
          <w:sz w:val="30"/>
          <w:szCs w:val="30"/>
        </w:rPr>
        <w:t>4.5 分包</w:t>
      </w:r>
    </w:p>
    <w:p w14:paraId="645A3DCF">
      <w:pPr>
        <w:wordWrap/>
        <w:topLinePunct w:val="0"/>
        <w:spacing w:after="120"/>
        <w:ind w:firstLine="600"/>
        <w:rPr>
          <w:rFonts w:ascii="仿宋_GB2312" w:eastAsia="仿宋_GB2312"/>
          <w:sz w:val="30"/>
          <w:szCs w:val="30"/>
        </w:rPr>
      </w:pPr>
      <w:r>
        <w:rPr>
          <w:rFonts w:ascii="仿宋_GB2312" w:eastAsia="仿宋_GB2312"/>
          <w:sz w:val="30"/>
          <w:szCs w:val="30"/>
        </w:rPr>
        <w:t xml:space="preserve">4.5.1 </w:t>
      </w:r>
      <w:r>
        <w:rPr>
          <w:rFonts w:hint="eastAsia" w:ascii="仿宋_GB2312" w:eastAsia="仿宋_GB2312"/>
          <w:sz w:val="30"/>
          <w:szCs w:val="30"/>
        </w:rPr>
        <w:t>一般约定</w:t>
      </w:r>
    </w:p>
    <w:p w14:paraId="543DCECC">
      <w:pPr>
        <w:wordWrap/>
        <w:topLinePunct w:val="0"/>
        <w:spacing w:after="120"/>
        <w:ind w:firstLine="600"/>
        <w:rPr>
          <w:rFonts w:ascii="仿宋_GB2312" w:eastAsia="仿宋_GB2312"/>
          <w:sz w:val="30"/>
          <w:szCs w:val="30"/>
        </w:rPr>
      </w:pPr>
      <w:r>
        <w:rPr>
          <w:rFonts w:ascii="仿宋_GB2312" w:eastAsia="仿宋_GB2312"/>
          <w:sz w:val="30"/>
          <w:szCs w:val="30"/>
        </w:rPr>
        <w:t>禁止分包的工程包括：</w:t>
      </w:r>
      <w:r>
        <w:rPr>
          <w:rFonts w:hint="eastAsia" w:ascii="仿宋_GB2312" w:eastAsia="仿宋_GB2312"/>
          <w:sz w:val="30"/>
          <w:szCs w:val="30"/>
          <w:u w:val="single"/>
        </w:rPr>
        <w:t>本工程项目范围内依法依规禁止分包的工程</w:t>
      </w:r>
      <w:r>
        <w:rPr>
          <w:rFonts w:ascii="仿宋_GB2312" w:eastAsia="仿宋_GB2312"/>
          <w:sz w:val="30"/>
          <w:szCs w:val="30"/>
        </w:rPr>
        <w:t>。</w:t>
      </w:r>
    </w:p>
    <w:p w14:paraId="6CB32804">
      <w:pPr>
        <w:wordWrap/>
        <w:topLinePunct w:val="0"/>
        <w:spacing w:after="120"/>
        <w:ind w:firstLine="600"/>
        <w:rPr>
          <w:rFonts w:ascii="仿宋_GB2312" w:eastAsia="仿宋_GB2312"/>
          <w:sz w:val="30"/>
          <w:szCs w:val="30"/>
        </w:rPr>
      </w:pPr>
      <w:r>
        <w:rPr>
          <w:rFonts w:ascii="仿宋_GB2312" w:eastAsia="仿宋_GB2312"/>
          <w:sz w:val="30"/>
          <w:szCs w:val="30"/>
        </w:rPr>
        <w:t xml:space="preserve">4.5.2 </w:t>
      </w:r>
      <w:r>
        <w:rPr>
          <w:rFonts w:hint="eastAsia" w:ascii="仿宋_GB2312" w:eastAsia="仿宋_GB2312"/>
          <w:sz w:val="30"/>
          <w:szCs w:val="30"/>
        </w:rPr>
        <w:t>分包的确定</w:t>
      </w:r>
    </w:p>
    <w:p w14:paraId="2F4022DF">
      <w:pPr>
        <w:wordWrap/>
        <w:topLinePunct w:val="0"/>
        <w:spacing w:after="120"/>
        <w:ind w:firstLine="600"/>
        <w:rPr>
          <w:rFonts w:ascii="仿宋_GB2312" w:eastAsia="仿宋_GB2312"/>
          <w:sz w:val="30"/>
          <w:szCs w:val="30"/>
        </w:rPr>
      </w:pPr>
      <w:r>
        <w:rPr>
          <w:rFonts w:ascii="仿宋_GB2312" w:eastAsia="仿宋_GB2312"/>
          <w:sz w:val="30"/>
          <w:szCs w:val="30"/>
        </w:rPr>
        <w:t>允许分包的工程包括：</w:t>
      </w:r>
      <w:r>
        <w:rPr>
          <w:rFonts w:hint="eastAsia" w:ascii="仿宋_GB2312" w:eastAsia="仿宋_GB2312"/>
          <w:sz w:val="30"/>
          <w:szCs w:val="30"/>
          <w:u w:val="single"/>
        </w:rPr>
        <w:t>按发包人根据具体项目约定</w:t>
      </w:r>
      <w:r>
        <w:rPr>
          <w:rFonts w:ascii="仿宋_GB2312" w:eastAsia="仿宋_GB2312"/>
          <w:sz w:val="30"/>
          <w:szCs w:val="30"/>
        </w:rPr>
        <w:t>。</w:t>
      </w:r>
    </w:p>
    <w:p w14:paraId="23CC464B">
      <w:pPr>
        <w:wordWrap/>
        <w:topLinePunct w:val="0"/>
        <w:spacing w:after="120"/>
        <w:ind w:firstLine="600"/>
        <w:rPr>
          <w:rFonts w:ascii="仿宋_GB2312" w:eastAsia="仿宋_GB2312"/>
          <w:sz w:val="30"/>
          <w:szCs w:val="30"/>
        </w:rPr>
      </w:pPr>
      <w:r>
        <w:rPr>
          <w:rFonts w:ascii="仿宋_GB2312" w:eastAsia="仿宋_GB2312"/>
          <w:sz w:val="30"/>
          <w:szCs w:val="30"/>
        </w:rPr>
        <w:t>其他关于分包的约定：</w:t>
      </w:r>
    </w:p>
    <w:p w14:paraId="6424713C">
      <w:pPr>
        <w:numPr>
          <w:ilvl w:val="255"/>
          <w:numId w:val="0"/>
        </w:numPr>
        <w:wordWrap/>
        <w:topLinePunct w:val="0"/>
        <w:spacing w:after="120"/>
        <w:ind w:firstLine="600"/>
        <w:rPr>
          <w:rFonts w:ascii="仿宋_GB2312" w:eastAsia="仿宋_GB2312"/>
          <w:sz w:val="30"/>
          <w:szCs w:val="30"/>
        </w:rPr>
      </w:pPr>
      <w:r>
        <w:rPr>
          <w:rFonts w:hint="eastAsia" w:ascii="仿宋_GB2312" w:eastAsia="仿宋_GB2312"/>
          <w:sz w:val="30"/>
          <w:szCs w:val="30"/>
        </w:rPr>
        <w:t>设计部分分包：见本合同《设计部分合同专章》</w:t>
      </w:r>
    </w:p>
    <w:p w14:paraId="394234B7">
      <w:pPr>
        <w:wordWrap/>
        <w:topLinePunct w:val="0"/>
        <w:spacing w:after="120"/>
        <w:ind w:firstLine="600"/>
        <w:rPr>
          <w:rFonts w:ascii="仿宋_GB2312" w:eastAsia="仿宋_GB2312"/>
          <w:sz w:val="30"/>
          <w:szCs w:val="30"/>
        </w:rPr>
      </w:pPr>
      <w:r>
        <w:rPr>
          <w:rFonts w:hint="eastAsia" w:ascii="仿宋_GB2312" w:eastAsia="仿宋_GB2312"/>
          <w:sz w:val="30"/>
          <w:szCs w:val="30"/>
        </w:rPr>
        <w:t>施工部分分包：</w:t>
      </w:r>
    </w:p>
    <w:p w14:paraId="7FFB7BCA">
      <w:pPr>
        <w:wordWrap/>
        <w:topLinePunct w:val="0"/>
        <w:spacing w:after="120"/>
        <w:ind w:firstLine="600"/>
        <w:rPr>
          <w:rFonts w:ascii="仿宋_GB2312" w:eastAsia="仿宋_GB2312"/>
          <w:sz w:val="30"/>
          <w:szCs w:val="30"/>
        </w:rPr>
      </w:pPr>
      <w:r>
        <w:rPr>
          <w:rFonts w:hint="eastAsia" w:ascii="仿宋_GB2312" w:eastAsia="仿宋_GB2312"/>
          <w:sz w:val="30"/>
          <w:szCs w:val="30"/>
        </w:rPr>
        <w:t>（1）对于非主体、非关键性工程，承包人不具备相应资质的，需经发包人审核批准后分包给具有相应资质和能力的专业单位实施。</w:t>
      </w:r>
    </w:p>
    <w:p w14:paraId="191C9539">
      <w:pPr>
        <w:wordWrap/>
        <w:topLinePunct w:val="0"/>
        <w:spacing w:after="120"/>
        <w:ind w:firstLine="600"/>
        <w:rPr>
          <w:rFonts w:ascii="仿宋_GB2312" w:eastAsia="仿宋_GB2312"/>
          <w:sz w:val="30"/>
          <w:szCs w:val="30"/>
        </w:rPr>
      </w:pPr>
      <w:r>
        <w:rPr>
          <w:rFonts w:hint="eastAsia" w:ascii="仿宋_GB2312" w:eastAsia="仿宋_GB2312"/>
          <w:sz w:val="30"/>
          <w:szCs w:val="30"/>
        </w:rPr>
        <w:t>（2）承包人应严格按照《房屋建筑和市政基础设施工程施工分包管理办法》（建设部令第 124 号）和本合同的约定做好分包管理工作，禁止将承包的工程进行转包或违法分包，禁止转让、出借企业资质证书或者以其他方式允许他人以本企业名义承揽工程，严禁个人承揽分包工程业务。</w:t>
      </w:r>
    </w:p>
    <w:p w14:paraId="08EA86DC">
      <w:pPr>
        <w:numPr>
          <w:ilvl w:val="255"/>
          <w:numId w:val="0"/>
        </w:numPr>
        <w:wordWrap/>
        <w:topLinePunct w:val="0"/>
        <w:spacing w:after="120"/>
        <w:ind w:firstLine="600"/>
        <w:rPr>
          <w:b/>
          <w:color w:val="FF0000"/>
        </w:rPr>
      </w:pPr>
      <w:r>
        <w:rPr>
          <w:rFonts w:hint="eastAsia" w:ascii="仿宋_GB2312" w:eastAsia="仿宋_GB2312"/>
          <w:b/>
          <w:color w:val="FF0000"/>
          <w:sz w:val="30"/>
          <w:szCs w:val="30"/>
        </w:rPr>
        <w:t>（</w:t>
      </w:r>
      <w:r>
        <w:rPr>
          <w:rFonts w:ascii="仿宋_GB2312" w:eastAsia="仿宋_GB2312"/>
          <w:b/>
          <w:color w:val="FF0000"/>
          <w:sz w:val="30"/>
          <w:szCs w:val="30"/>
        </w:rPr>
        <w:t>3）签订本合同后，承包人60</w:t>
      </w:r>
      <w:r>
        <w:rPr>
          <w:rFonts w:hint="eastAsia" w:ascii="仿宋_GB2312" w:eastAsia="仿宋_GB2312"/>
          <w:b/>
          <w:color w:val="FF0000"/>
          <w:sz w:val="30"/>
          <w:szCs w:val="30"/>
        </w:rPr>
        <w:t>日历天内提交分包计划，如有特殊原因经发包人确认后，最迟需在开工前上报分包计划。</w:t>
      </w:r>
    </w:p>
    <w:p w14:paraId="65DC30B7">
      <w:pPr>
        <w:wordWrap/>
        <w:topLinePunct w:val="0"/>
        <w:spacing w:after="120"/>
        <w:ind w:firstLine="602"/>
        <w:rPr>
          <w:rFonts w:ascii="仿宋_GB2312" w:eastAsia="仿宋_GB2312"/>
          <w:b/>
          <w:color w:val="FF0000"/>
          <w:sz w:val="30"/>
          <w:szCs w:val="30"/>
        </w:rPr>
      </w:pPr>
      <w:r>
        <w:rPr>
          <w:rFonts w:hint="eastAsia" w:ascii="仿宋_GB2312" w:eastAsia="仿宋_GB2312"/>
          <w:b/>
          <w:color w:val="FF0000"/>
          <w:sz w:val="30"/>
          <w:szCs w:val="30"/>
        </w:rPr>
        <w:t>（</w:t>
      </w:r>
      <w:r>
        <w:rPr>
          <w:rFonts w:ascii="仿宋_GB2312" w:eastAsia="仿宋_GB2312"/>
          <w:b/>
          <w:color w:val="FF0000"/>
          <w:sz w:val="30"/>
          <w:szCs w:val="30"/>
        </w:rPr>
        <w:t>4）承包人选择的专业分包单位，应提前30天以上，自行选择3家或以上分包单位进行比选，将比选后最优的分包单位报送发包人确认。上报资料包括分包单位的资质、现场管理人员（项目经理、技术负责人、质量负责人、安全负责人）及其资格证书、劳动合同、社保等。承包人由于专业分包而产生的费用已包含在本工程合同价款中。如承包人违反本条款第（5）、（6）点的要求承包人须按合同专用条款第15条的约定承担违约责任。</w:t>
      </w:r>
    </w:p>
    <w:p w14:paraId="710950E0">
      <w:pPr>
        <w:wordWrap/>
        <w:topLinePunct w:val="0"/>
        <w:spacing w:after="120"/>
        <w:ind w:firstLine="600"/>
        <w:rPr>
          <w:rFonts w:ascii="仿宋_GB2312" w:eastAsia="仿宋_GB2312"/>
          <w:sz w:val="30"/>
          <w:szCs w:val="30"/>
        </w:rPr>
      </w:pPr>
      <w:r>
        <w:rPr>
          <w:rFonts w:hint="eastAsia" w:ascii="仿宋_GB2312" w:eastAsia="仿宋_GB2312"/>
          <w:sz w:val="30"/>
          <w:szCs w:val="30"/>
        </w:rPr>
        <w:t>（5）承包人不履行合同约定，将其承包的全部工程发包给他人，或者将其承包的全部工程肢解后以分包的名义分别发包给他人的，属于转包行为；将工程分包后，未在施工现场设立项目管理机构和派驻相应人员，并未对该工程的施工活动进行组织管理的，视同转包行为。</w:t>
      </w:r>
    </w:p>
    <w:p w14:paraId="196469CF">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（6）下列行为，属于违法分包： </w:t>
      </w:r>
    </w:p>
    <w:p w14:paraId="4B15110A">
      <w:pPr>
        <w:wordWrap/>
        <w:topLinePunct w:val="0"/>
        <w:spacing w:after="120"/>
        <w:ind w:firstLine="600"/>
        <w:rPr>
          <w:rFonts w:ascii="仿宋_GB2312" w:eastAsia="仿宋_GB2312"/>
          <w:sz w:val="30"/>
          <w:szCs w:val="30"/>
        </w:rPr>
      </w:pPr>
      <w:r>
        <w:rPr>
          <w:rFonts w:hint="eastAsia" w:ascii="仿宋_GB2312" w:eastAsia="仿宋_GB2312"/>
          <w:sz w:val="30"/>
          <w:szCs w:val="30"/>
        </w:rPr>
        <w:t>①承包人将专业工程或者劳务作业分包给不具备相应资质条件的分包人的；</w:t>
      </w:r>
    </w:p>
    <w:p w14:paraId="3974F2F7">
      <w:pPr>
        <w:wordWrap/>
        <w:topLinePunct w:val="0"/>
        <w:spacing w:after="120"/>
        <w:ind w:firstLine="600"/>
        <w:rPr>
          <w:rFonts w:ascii="仿宋_GB2312" w:eastAsia="仿宋_GB2312"/>
          <w:sz w:val="30"/>
          <w:szCs w:val="30"/>
        </w:rPr>
      </w:pPr>
      <w:r>
        <w:rPr>
          <w:rFonts w:hint="eastAsia" w:ascii="仿宋_GB2312" w:eastAsia="仿宋_GB2312"/>
          <w:sz w:val="30"/>
          <w:szCs w:val="30"/>
        </w:rPr>
        <w:t>②本合同中未有约定，又未经发包人认可，承包人将承包工程中的部分专业工程分包给他人的。</w:t>
      </w:r>
    </w:p>
    <w:p w14:paraId="4348D0C2">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7）承包人虽然没有将其承包的工程进行分包，但在施工现场所设项目管理机构的施工负责人、技术管理人员、核算管理人员、质量管理人员、安全管理人员不是承包人本单位人员的，视同允许他人以本企业名义承揽工程。 </w:t>
      </w:r>
    </w:p>
    <w:p w14:paraId="210529E9">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（8）承包人应参照有关约定，在发包人批准分包后5天内将分包单位工程技术管理人员名单及劳动力、施工机械设备投入计划报送发包人且负责落实到位，并接受工程师和发包人代表的查验。 </w:t>
      </w:r>
    </w:p>
    <w:p w14:paraId="7F6EE268">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（9）分包工程价款由承包人与发包人结算。承包人应按本合同及分包合同的有关约定及时审核、申请支付各种工程、劳务及材料设备款项，并向发包人提交下列资料： </w:t>
      </w:r>
    </w:p>
    <w:p w14:paraId="7D1D7D89">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属专业工程分包的，应向发包人提交分包人提交给承包人的履约担保文件复印件（应同时携带原件供发包人复核），具体按招标文件或发包人要求执行。 </w:t>
      </w:r>
    </w:p>
    <w:p w14:paraId="220F9EE5">
      <w:pPr>
        <w:pStyle w:val="26"/>
        <w:spacing w:after="120"/>
        <w:ind w:firstLine="602"/>
        <w:rPr>
          <w:b/>
          <w:color w:val="FF0000"/>
        </w:rPr>
      </w:pPr>
      <w:r>
        <w:rPr>
          <w:rFonts w:hint="eastAsia" w:ascii="仿宋_GB2312" w:eastAsia="仿宋_GB2312" w:cs="Times New Roman"/>
          <w:b/>
          <w:color w:val="FF0000"/>
          <w:kern w:val="0"/>
          <w:sz w:val="30"/>
          <w:szCs w:val="30"/>
        </w:rPr>
        <w:t>（</w:t>
      </w:r>
      <w:r>
        <w:rPr>
          <w:rFonts w:ascii="仿宋_GB2312" w:eastAsia="仿宋_GB2312" w:cs="Times New Roman"/>
          <w:b/>
          <w:color w:val="FF0000"/>
          <w:kern w:val="0"/>
          <w:sz w:val="30"/>
          <w:szCs w:val="30"/>
        </w:rPr>
        <w:t>10）如承包人所承担的专项工程（含承包人的分包工程）由于工作内容、工艺、质量、价格等原因而达不到发包人要求的，</w:t>
      </w:r>
      <w:r>
        <w:rPr>
          <w:rFonts w:hint="eastAsia" w:ascii="仿宋_GB2312" w:eastAsia="仿宋_GB2312" w:cs="Times New Roman"/>
          <w:b/>
          <w:color w:val="FF0000"/>
          <w:kern w:val="0"/>
          <w:sz w:val="30"/>
          <w:szCs w:val="30"/>
        </w:rPr>
        <w:t>发包人有权以合法方式另行选择分包单位实施，承包人应无条件接受。</w:t>
      </w:r>
    </w:p>
    <w:p w14:paraId="418DA984">
      <w:pPr>
        <w:wordWrap/>
        <w:topLinePunct w:val="0"/>
        <w:spacing w:after="120"/>
        <w:ind w:firstLine="600"/>
        <w:rPr>
          <w:rFonts w:ascii="仿宋_GB2312" w:eastAsia="仿宋_GB2312"/>
          <w:sz w:val="30"/>
          <w:szCs w:val="30"/>
        </w:rPr>
      </w:pPr>
      <w:r>
        <w:rPr>
          <w:rFonts w:ascii="仿宋_GB2312" w:eastAsia="仿宋_GB2312"/>
          <w:sz w:val="30"/>
          <w:szCs w:val="30"/>
        </w:rPr>
        <w:t xml:space="preserve">4.5.5 </w:t>
      </w:r>
      <w:r>
        <w:rPr>
          <w:rFonts w:hint="eastAsia" w:ascii="仿宋_GB2312" w:eastAsia="仿宋_GB2312"/>
          <w:sz w:val="30"/>
          <w:szCs w:val="30"/>
        </w:rPr>
        <w:t>分包合同价款支付</w:t>
      </w:r>
    </w:p>
    <w:p w14:paraId="00884BCC">
      <w:pPr>
        <w:wordWrap/>
        <w:topLinePunct w:val="0"/>
        <w:spacing w:after="120"/>
        <w:ind w:firstLine="600"/>
        <w:rPr>
          <w:rFonts w:ascii="仿宋_GB2312" w:eastAsia="仿宋_GB2312"/>
          <w:sz w:val="30"/>
          <w:szCs w:val="30"/>
        </w:rPr>
      </w:pPr>
      <w:r>
        <w:rPr>
          <w:rFonts w:hint="eastAsia" w:ascii="仿宋_GB2312" w:eastAsia="仿宋_GB2312"/>
          <w:sz w:val="30"/>
          <w:szCs w:val="30"/>
        </w:rPr>
        <w:t>关于分包合同价款支付的约定：</w:t>
      </w:r>
      <w:r>
        <w:rPr>
          <w:rFonts w:ascii="仿宋_GB2312" w:eastAsia="仿宋_GB2312"/>
          <w:sz w:val="30"/>
          <w:szCs w:val="30"/>
          <w:u w:val="single"/>
        </w:rPr>
        <w:t xml:space="preserve"> 按分包合同</w:t>
      </w:r>
      <w:r>
        <w:rPr>
          <w:rFonts w:hint="eastAsia" w:ascii="仿宋_GB2312" w:eastAsia="仿宋_GB2312"/>
          <w:sz w:val="30"/>
          <w:szCs w:val="30"/>
          <w:u w:val="single"/>
        </w:rPr>
        <w:t>。</w:t>
      </w:r>
    </w:p>
    <w:p w14:paraId="3D4788E5">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4.6 联合体</w:t>
      </w:r>
    </w:p>
    <w:p w14:paraId="502E0CD7">
      <w:pPr>
        <w:wordWrap/>
        <w:topLinePunct w:val="0"/>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.6.2 </w:t>
      </w:r>
      <w:r>
        <w:rPr>
          <w:rFonts w:hint="eastAsia" w:ascii="仿宋_GB2312" w:eastAsia="仿宋_GB2312"/>
          <w:sz w:val="30"/>
          <w:szCs w:val="30"/>
        </w:rPr>
        <w:t>联合体各成员的分工、费用收取、发票开具等事项：</w:t>
      </w:r>
      <w:r>
        <w:rPr>
          <w:rFonts w:hint="eastAsia" w:ascii="仿宋_GB2312" w:eastAsia="仿宋_GB2312"/>
          <w:sz w:val="30"/>
          <w:szCs w:val="30"/>
          <w:u w:val="single"/>
        </w:rPr>
        <w:t>如承包人为联合体形式的，则</w:t>
      </w:r>
      <w:r>
        <w:rPr>
          <w:rFonts w:hint="eastAsia" w:ascii="仿宋_GB2312" w:eastAsia="仿宋_GB2312"/>
          <w:sz w:val="28"/>
          <w:szCs w:val="28"/>
          <w:u w:val="single"/>
        </w:rPr>
        <w:t>合同各项费用由牵头人向甲方发起申请，</w:t>
      </w:r>
      <w:r>
        <w:rPr>
          <w:rFonts w:hint="eastAsia" w:ascii="仿宋_GB2312" w:eastAsia="仿宋_GB2312"/>
          <w:sz w:val="30"/>
          <w:szCs w:val="30"/>
          <w:u w:val="single"/>
        </w:rPr>
        <w:t>承包人（施工方与设计方）分别负责设计及工程施工部分工作，设计费及施工总承包费分别开具合法的发票，向发包人独立申请收取，但承包人（施工方与设计方）应就本工程项目共同向发包人承担连带的法律责任</w:t>
      </w:r>
      <w:r>
        <w:rPr>
          <w:rFonts w:hint="eastAsia" w:ascii="仿宋_GB2312" w:eastAsia="仿宋_GB2312"/>
          <w:sz w:val="30"/>
          <w:szCs w:val="30"/>
        </w:rPr>
        <w:t>。</w:t>
      </w:r>
    </w:p>
    <w:p w14:paraId="5D619839">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4.7 承包人现场查勘</w:t>
      </w:r>
    </w:p>
    <w:p w14:paraId="6D7C8DCD">
      <w:pPr>
        <w:wordWrap/>
        <w:topLinePunct w:val="0"/>
        <w:spacing w:after="120"/>
        <w:ind w:firstLine="60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 xml:space="preserve">.7.1 </w:t>
      </w:r>
      <w:r>
        <w:rPr>
          <w:rFonts w:hint="eastAsia" w:ascii="仿宋_GB2312" w:eastAsia="仿宋_GB2312"/>
          <w:sz w:val="30"/>
          <w:szCs w:val="30"/>
        </w:rPr>
        <w:t>双方当事人对现场查勘的责任承担的约定：</w:t>
      </w:r>
      <w:r>
        <w:rPr>
          <w:rFonts w:hint="eastAsia" w:ascii="微软雅黑" w:hAnsi="微软雅黑" w:eastAsia="微软雅黑" w:cs="微软雅黑"/>
          <w:sz w:val="30"/>
          <w:szCs w:val="30"/>
          <w:u w:val="single"/>
        </w:rPr>
        <w:t>/</w:t>
      </w:r>
      <w:r>
        <w:rPr>
          <w:rFonts w:hint="eastAsia" w:ascii="仿宋_GB2312" w:eastAsia="仿宋_GB2312"/>
          <w:sz w:val="30"/>
          <w:szCs w:val="30"/>
        </w:rPr>
        <w:t>。</w:t>
      </w:r>
    </w:p>
    <w:p w14:paraId="6F551D96">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4.8 不可预见的困难</w:t>
      </w:r>
    </w:p>
    <w:p w14:paraId="5FB198DA">
      <w:pPr>
        <w:wordWrap/>
        <w:topLinePunct w:val="0"/>
        <w:spacing w:after="120"/>
        <w:ind w:firstLine="600"/>
        <w:rPr>
          <w:rFonts w:ascii="仿宋_GB2312" w:eastAsia="仿宋_GB2312"/>
          <w:sz w:val="30"/>
          <w:szCs w:val="30"/>
        </w:rPr>
      </w:pPr>
      <w:r>
        <w:rPr>
          <w:rFonts w:hint="eastAsia" w:ascii="仿宋_GB2312" w:eastAsia="仿宋_GB2312"/>
          <w:sz w:val="30"/>
          <w:szCs w:val="30"/>
        </w:rPr>
        <w:t>不可预见的困难包括：</w:t>
      </w:r>
      <w:r>
        <w:rPr>
          <w:rFonts w:hint="eastAsia" w:ascii="微软雅黑" w:hAnsi="微软雅黑" w:eastAsia="微软雅黑" w:cs="微软雅黑"/>
          <w:sz w:val="30"/>
          <w:szCs w:val="30"/>
          <w:u w:val="single"/>
        </w:rPr>
        <w:t>/</w:t>
      </w:r>
      <w:r>
        <w:rPr>
          <w:rFonts w:ascii="仿宋_GB2312" w:eastAsia="仿宋_GB2312"/>
          <w:sz w:val="30"/>
          <w:szCs w:val="30"/>
        </w:rPr>
        <w:t>。</w:t>
      </w:r>
    </w:p>
    <w:p w14:paraId="0D683D21">
      <w:pPr>
        <w:spacing w:after="120"/>
        <w:ind w:firstLine="0" w:firstLineChars="0"/>
        <w:outlineLvl w:val="1"/>
        <w:rPr>
          <w:rFonts w:ascii="仿宋" w:hAnsi="仿宋" w:eastAsia="仿宋" w:cs="仿宋"/>
          <w:b/>
          <w:bCs/>
          <w:sz w:val="32"/>
          <w:szCs w:val="21"/>
        </w:rPr>
      </w:pPr>
      <w:bookmarkStart w:id="853" w:name="_Toc27635"/>
      <w:bookmarkStart w:id="854" w:name="_Toc54862336"/>
      <w:bookmarkStart w:id="855" w:name="_Toc7782"/>
      <w:bookmarkStart w:id="856" w:name="_Toc29755"/>
      <w:r>
        <w:rPr>
          <w:rFonts w:hint="eastAsia" w:ascii="仿宋" w:hAnsi="仿宋" w:eastAsia="仿宋" w:cs="仿宋"/>
          <w:bCs/>
          <w:sz w:val="32"/>
          <w:szCs w:val="21"/>
        </w:rPr>
        <w:t>第5条 设计</w:t>
      </w:r>
      <w:bookmarkEnd w:id="853"/>
      <w:bookmarkEnd w:id="854"/>
      <w:bookmarkEnd w:id="855"/>
      <w:bookmarkEnd w:id="856"/>
    </w:p>
    <w:p w14:paraId="73014F70">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5.2 承包人文件审查</w:t>
      </w:r>
    </w:p>
    <w:p w14:paraId="72AA8935">
      <w:pPr>
        <w:wordWrap/>
        <w:topLinePunct w:val="0"/>
        <w:spacing w:after="120"/>
        <w:ind w:firstLine="600"/>
        <w:rPr>
          <w:rFonts w:ascii="仿宋_GB2312" w:eastAsia="仿宋_GB2312"/>
          <w:sz w:val="30"/>
          <w:szCs w:val="30"/>
        </w:rPr>
      </w:pPr>
      <w:r>
        <w:rPr>
          <w:rFonts w:hint="eastAsia" w:ascii="仿宋_GB2312" w:eastAsia="仿宋_GB2312"/>
          <w:sz w:val="30"/>
          <w:szCs w:val="30"/>
        </w:rPr>
        <w:t>5</w:t>
      </w:r>
      <w:r>
        <w:rPr>
          <w:rFonts w:ascii="仿宋_GB2312" w:eastAsia="仿宋_GB2312"/>
          <w:sz w:val="30"/>
          <w:szCs w:val="30"/>
        </w:rPr>
        <w:t xml:space="preserve">.2.1 </w:t>
      </w:r>
      <w:r>
        <w:rPr>
          <w:rFonts w:hint="eastAsia" w:ascii="仿宋_GB2312" w:eastAsia="仿宋_GB2312"/>
          <w:sz w:val="30"/>
          <w:szCs w:val="30"/>
        </w:rPr>
        <w:t>承包人文件审查的期限：</w:t>
      </w:r>
      <w:r>
        <w:rPr>
          <w:rFonts w:hint="eastAsia" w:ascii="仿宋_GB2312" w:eastAsia="仿宋_GB2312"/>
          <w:sz w:val="30"/>
          <w:szCs w:val="30"/>
          <w:u w:val="single"/>
        </w:rPr>
        <w:t>按通用条款要求</w:t>
      </w:r>
      <w:r>
        <w:rPr>
          <w:rFonts w:hint="eastAsia" w:ascii="仿宋_GB2312" w:eastAsia="仿宋_GB2312"/>
          <w:sz w:val="30"/>
          <w:szCs w:val="30"/>
        </w:rPr>
        <w:t>。</w:t>
      </w:r>
    </w:p>
    <w:p w14:paraId="56FAC540">
      <w:pPr>
        <w:wordWrap/>
        <w:topLinePunct w:val="0"/>
        <w:spacing w:after="120"/>
        <w:ind w:firstLine="600"/>
        <w:rPr>
          <w:rFonts w:ascii="仿宋_GB2312" w:eastAsia="仿宋_GB2312"/>
          <w:sz w:val="30"/>
          <w:szCs w:val="30"/>
        </w:rPr>
      </w:pPr>
      <w:r>
        <w:rPr>
          <w:rFonts w:ascii="仿宋_GB2312" w:eastAsia="仿宋_GB2312"/>
          <w:sz w:val="30"/>
          <w:szCs w:val="30"/>
        </w:rPr>
        <w:t xml:space="preserve">5.2.2 </w:t>
      </w:r>
      <w:r>
        <w:rPr>
          <w:rFonts w:hint="eastAsia" w:ascii="仿宋_GB2312" w:eastAsia="仿宋_GB2312"/>
          <w:sz w:val="30"/>
          <w:szCs w:val="30"/>
        </w:rPr>
        <w:t>审查会议的审查形式和时间安排为：</w:t>
      </w:r>
      <w:r>
        <w:rPr>
          <w:rFonts w:hint="eastAsia" w:ascii="仿宋_GB2312" w:eastAsia="仿宋_GB2312"/>
          <w:sz w:val="30"/>
          <w:szCs w:val="30"/>
          <w:u w:val="single"/>
        </w:rPr>
        <w:t>以发包人实际要求为准</w:t>
      </w:r>
      <w:r>
        <w:rPr>
          <w:rFonts w:hint="eastAsia" w:ascii="仿宋_GB2312" w:eastAsia="仿宋_GB2312"/>
          <w:sz w:val="30"/>
          <w:szCs w:val="30"/>
        </w:rPr>
        <w:t>，审查会议的相关费用由</w:t>
      </w:r>
      <w:r>
        <w:rPr>
          <w:rFonts w:ascii="仿宋_GB2312" w:eastAsia="仿宋_GB2312"/>
          <w:sz w:val="30"/>
          <w:szCs w:val="30"/>
          <w:u w:val="single"/>
        </w:rPr>
        <w:t xml:space="preserve"> 承包人  </w:t>
      </w:r>
      <w:r>
        <w:rPr>
          <w:rFonts w:hint="eastAsia" w:ascii="仿宋_GB2312" w:eastAsia="仿宋_GB2312"/>
          <w:sz w:val="30"/>
          <w:szCs w:val="30"/>
        </w:rPr>
        <w:t>承担。</w:t>
      </w:r>
    </w:p>
    <w:p w14:paraId="3E7C60BE">
      <w:pPr>
        <w:wordWrap/>
        <w:topLinePunct w:val="0"/>
        <w:spacing w:after="120"/>
        <w:ind w:firstLine="600"/>
        <w:rPr>
          <w:rFonts w:ascii="仿宋_GB2312" w:eastAsia="仿宋_GB2312"/>
          <w:sz w:val="30"/>
          <w:szCs w:val="30"/>
        </w:rPr>
      </w:pPr>
      <w:r>
        <w:rPr>
          <w:rFonts w:hint="eastAsia" w:ascii="仿宋_GB2312" w:eastAsia="仿宋_GB2312"/>
          <w:sz w:val="30"/>
          <w:szCs w:val="30"/>
        </w:rPr>
        <w:t>5</w:t>
      </w:r>
      <w:r>
        <w:rPr>
          <w:rFonts w:ascii="仿宋_GB2312" w:eastAsia="仿宋_GB2312"/>
          <w:sz w:val="30"/>
          <w:szCs w:val="30"/>
        </w:rPr>
        <w:t xml:space="preserve">.2.3 </w:t>
      </w:r>
      <w:r>
        <w:rPr>
          <w:rFonts w:hint="eastAsia" w:ascii="仿宋_GB2312" w:eastAsia="仿宋_GB2312"/>
          <w:sz w:val="30"/>
          <w:szCs w:val="30"/>
        </w:rPr>
        <w:t>关于第三方审查单位的约定：。</w:t>
      </w:r>
    </w:p>
    <w:p w14:paraId="50F6C155">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5.3 培训</w:t>
      </w:r>
    </w:p>
    <w:p w14:paraId="43DC1EEC">
      <w:pPr>
        <w:wordWrap/>
        <w:topLinePunct w:val="0"/>
        <w:spacing w:after="120"/>
        <w:ind w:firstLine="600"/>
        <w:rPr>
          <w:rFonts w:ascii="仿宋_GB2312" w:eastAsia="仿宋_GB2312"/>
          <w:sz w:val="30"/>
          <w:szCs w:val="30"/>
        </w:rPr>
      </w:pPr>
      <w:r>
        <w:rPr>
          <w:rFonts w:hint="eastAsia" w:ascii="仿宋_GB2312" w:eastAsia="仿宋_GB2312"/>
          <w:sz w:val="30"/>
          <w:szCs w:val="30"/>
        </w:rPr>
        <w:t>培训的时长为</w:t>
      </w:r>
      <w:r>
        <w:rPr>
          <w:rFonts w:hint="eastAsia" w:ascii="仿宋_GB2312" w:eastAsia="仿宋_GB2312"/>
          <w:sz w:val="30"/>
          <w:szCs w:val="30"/>
          <w:u w:val="single"/>
        </w:rPr>
        <w:t xml:space="preserve"> /</w:t>
      </w:r>
      <w:r>
        <w:rPr>
          <w:rFonts w:hint="eastAsia" w:ascii="仿宋_GB2312" w:eastAsia="仿宋_GB2312"/>
          <w:sz w:val="30"/>
          <w:szCs w:val="30"/>
        </w:rPr>
        <w:t>，承包人应为培训提供的人员、设施和其它必要条件为</w:t>
      </w:r>
      <w:r>
        <w:rPr>
          <w:rFonts w:hint="eastAsia" w:ascii="仿宋_GB2312" w:eastAsia="仿宋_GB2312"/>
          <w:sz w:val="30"/>
          <w:szCs w:val="30"/>
          <w:u w:val="single"/>
        </w:rPr>
        <w:t xml:space="preserve"> /</w:t>
      </w:r>
      <w:r>
        <w:rPr>
          <w:rFonts w:hint="eastAsia" w:ascii="仿宋_GB2312" w:eastAsia="仿宋_GB2312"/>
          <w:sz w:val="30"/>
          <w:szCs w:val="30"/>
        </w:rPr>
        <w:t>。</w:t>
      </w:r>
    </w:p>
    <w:p w14:paraId="6185B22D">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5.4 竣工文件</w:t>
      </w:r>
    </w:p>
    <w:p w14:paraId="2324FDA7">
      <w:pPr>
        <w:wordWrap/>
        <w:topLinePunct w:val="0"/>
        <w:spacing w:after="120"/>
        <w:ind w:firstLine="600"/>
        <w:rPr>
          <w:rFonts w:ascii="仿宋_GB2312" w:eastAsia="仿宋_GB2312"/>
          <w:sz w:val="30"/>
          <w:szCs w:val="30"/>
        </w:rPr>
      </w:pPr>
      <w:r>
        <w:rPr>
          <w:rFonts w:ascii="仿宋_GB2312" w:eastAsia="仿宋_GB2312"/>
          <w:sz w:val="30"/>
          <w:szCs w:val="30"/>
        </w:rPr>
        <w:t xml:space="preserve">5.4.1 </w:t>
      </w:r>
      <w:r>
        <w:rPr>
          <w:rFonts w:hint="eastAsia" w:ascii="仿宋_GB2312" w:eastAsia="仿宋_GB2312"/>
          <w:sz w:val="30"/>
          <w:szCs w:val="30"/>
        </w:rPr>
        <w:t>竣工文件的形式、提供的份数、技术标准以及其它相关要求：</w:t>
      </w:r>
      <w:r>
        <w:rPr>
          <w:rFonts w:hint="eastAsia" w:ascii="仿宋_GB2312" w:eastAsia="仿宋_GB2312"/>
          <w:sz w:val="30"/>
          <w:szCs w:val="30"/>
          <w:u w:val="single"/>
        </w:rPr>
        <w:t>①竣工文件资料、竣工图档案（原件）各一式三份；②与本款①项内容相同的电子版档案一式三份；具体按发包人要求</w:t>
      </w:r>
      <w:r>
        <w:rPr>
          <w:rFonts w:hint="eastAsia" w:ascii="仿宋_GB2312" w:eastAsia="仿宋_GB2312"/>
          <w:sz w:val="30"/>
          <w:szCs w:val="30"/>
        </w:rPr>
        <w:t>。</w:t>
      </w:r>
    </w:p>
    <w:p w14:paraId="394537F0">
      <w:pPr>
        <w:wordWrap/>
        <w:topLinePunct w:val="0"/>
        <w:spacing w:after="120"/>
        <w:ind w:firstLine="600"/>
        <w:rPr>
          <w:rFonts w:ascii="仿宋_GB2312" w:eastAsia="仿宋_GB2312"/>
          <w:sz w:val="30"/>
          <w:szCs w:val="30"/>
        </w:rPr>
      </w:pPr>
      <w:r>
        <w:rPr>
          <w:rFonts w:hint="eastAsia" w:ascii="仿宋_GB2312" w:eastAsia="仿宋_GB2312"/>
          <w:sz w:val="30"/>
          <w:szCs w:val="30"/>
        </w:rPr>
        <w:t>5</w:t>
      </w:r>
      <w:r>
        <w:rPr>
          <w:rFonts w:ascii="仿宋_GB2312" w:eastAsia="仿宋_GB2312"/>
          <w:sz w:val="30"/>
          <w:szCs w:val="30"/>
        </w:rPr>
        <w:t xml:space="preserve">.4.3 </w:t>
      </w:r>
      <w:r>
        <w:rPr>
          <w:rFonts w:hint="eastAsia" w:ascii="仿宋_GB2312" w:eastAsia="仿宋_GB2312"/>
          <w:sz w:val="30"/>
          <w:szCs w:val="30"/>
        </w:rPr>
        <w:t>关于竣工文件的其他约定：。</w:t>
      </w:r>
    </w:p>
    <w:p w14:paraId="1F19A226">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5.5 操作和维修手册</w:t>
      </w:r>
    </w:p>
    <w:p w14:paraId="09E84D9B">
      <w:pPr>
        <w:wordWrap/>
        <w:topLinePunct w:val="0"/>
        <w:spacing w:after="120"/>
        <w:ind w:firstLine="600"/>
        <w:rPr>
          <w:rFonts w:ascii="仿宋_GB2312" w:eastAsia="仿宋_GB2312"/>
          <w:sz w:val="30"/>
          <w:szCs w:val="30"/>
        </w:rPr>
      </w:pPr>
      <w:r>
        <w:rPr>
          <w:rFonts w:ascii="仿宋_GB2312" w:eastAsia="仿宋_GB2312"/>
          <w:sz w:val="30"/>
          <w:szCs w:val="30"/>
        </w:rPr>
        <w:t xml:space="preserve">5.5.3 </w:t>
      </w:r>
      <w:r>
        <w:rPr>
          <w:rFonts w:hint="eastAsia" w:ascii="仿宋_GB2312" w:eastAsia="仿宋_GB2312"/>
          <w:sz w:val="30"/>
          <w:szCs w:val="30"/>
        </w:rPr>
        <w:t>对最终操作和维修手册的约定：</w:t>
      </w:r>
      <w:r>
        <w:rPr>
          <w:rFonts w:hint="eastAsia" w:ascii="仿宋_GB2312" w:eastAsia="仿宋_GB2312"/>
          <w:sz w:val="30"/>
          <w:szCs w:val="30"/>
          <w:u w:val="single"/>
        </w:rPr>
        <w:t xml:space="preserve"> /</w:t>
      </w:r>
      <w:r>
        <w:rPr>
          <w:rFonts w:hint="eastAsia" w:ascii="仿宋_GB2312" w:eastAsia="仿宋_GB2312"/>
          <w:sz w:val="30"/>
          <w:szCs w:val="30"/>
        </w:rPr>
        <w:t>。</w:t>
      </w:r>
    </w:p>
    <w:p w14:paraId="7AAB4E8E">
      <w:pPr>
        <w:wordWrap/>
        <w:topLinePunct w:val="0"/>
        <w:spacing w:after="120"/>
        <w:ind w:firstLine="0" w:firstLineChars="0"/>
        <w:outlineLvl w:val="1"/>
        <w:rPr>
          <w:rFonts w:ascii="仿宋" w:hAnsi="仿宋" w:eastAsia="仿宋" w:cs="仿宋"/>
          <w:sz w:val="32"/>
          <w:szCs w:val="32"/>
        </w:rPr>
      </w:pPr>
      <w:bookmarkStart w:id="857" w:name="_Toc17149"/>
      <w:bookmarkStart w:id="858" w:name="_Toc28726"/>
      <w:bookmarkStart w:id="859" w:name="_Toc31727"/>
      <w:bookmarkStart w:id="860" w:name="_Toc54862337"/>
      <w:r>
        <w:rPr>
          <w:rFonts w:hint="eastAsia" w:ascii="仿宋" w:hAnsi="仿宋" w:eastAsia="仿宋" w:cs="仿宋"/>
          <w:sz w:val="32"/>
          <w:szCs w:val="32"/>
        </w:rPr>
        <w:t>第6条 材料、工程设备</w:t>
      </w:r>
      <w:bookmarkEnd w:id="857"/>
      <w:bookmarkEnd w:id="858"/>
      <w:bookmarkEnd w:id="859"/>
      <w:bookmarkEnd w:id="860"/>
    </w:p>
    <w:p w14:paraId="77E00C8E">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6.1 实施方法</w:t>
      </w:r>
    </w:p>
    <w:p w14:paraId="39D0649C">
      <w:pPr>
        <w:wordWrap/>
        <w:topLinePunct w:val="0"/>
        <w:spacing w:after="120"/>
        <w:ind w:firstLine="600"/>
        <w:rPr>
          <w:rFonts w:ascii="仿宋_GB2312" w:eastAsia="仿宋_GB2312"/>
          <w:sz w:val="30"/>
          <w:szCs w:val="30"/>
        </w:rPr>
      </w:pPr>
      <w:r>
        <w:rPr>
          <w:rFonts w:hint="eastAsia" w:ascii="仿宋_GB2312" w:eastAsia="仿宋_GB2312"/>
          <w:sz w:val="30"/>
          <w:szCs w:val="30"/>
        </w:rPr>
        <w:t>双方当事人约定的实施方法、设备、设施和材料：</w:t>
      </w:r>
      <w:r>
        <w:rPr>
          <w:rFonts w:hint="eastAsia" w:ascii="仿宋_GB2312" w:eastAsia="仿宋_GB2312"/>
          <w:sz w:val="30"/>
          <w:szCs w:val="30"/>
          <w:u w:val="single"/>
        </w:rPr>
        <w:t>双方协商</w:t>
      </w:r>
      <w:r>
        <w:rPr>
          <w:rFonts w:hint="eastAsia" w:ascii="仿宋_GB2312" w:eastAsia="仿宋_GB2312"/>
          <w:sz w:val="30"/>
          <w:szCs w:val="30"/>
        </w:rPr>
        <w:t>。</w:t>
      </w:r>
    </w:p>
    <w:p w14:paraId="33D26EA5">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6.2 材料和工程设备</w:t>
      </w:r>
    </w:p>
    <w:p w14:paraId="7D0E6770">
      <w:pPr>
        <w:wordWrap/>
        <w:topLinePunct w:val="0"/>
        <w:spacing w:after="120"/>
        <w:ind w:firstLine="600"/>
        <w:rPr>
          <w:rFonts w:ascii="仿宋_GB2312" w:eastAsia="仿宋_GB2312"/>
          <w:sz w:val="30"/>
          <w:szCs w:val="30"/>
        </w:rPr>
      </w:pPr>
      <w:r>
        <w:rPr>
          <w:rFonts w:ascii="仿宋_GB2312" w:eastAsia="仿宋_GB2312"/>
          <w:sz w:val="30"/>
          <w:szCs w:val="30"/>
        </w:rPr>
        <w:t xml:space="preserve">6.2.1 </w:t>
      </w:r>
      <w:r>
        <w:rPr>
          <w:rFonts w:hint="eastAsia" w:ascii="仿宋_GB2312" w:eastAsia="仿宋_GB2312"/>
          <w:sz w:val="30"/>
          <w:szCs w:val="30"/>
        </w:rPr>
        <w:t>发包人提供的材料和工程设备</w:t>
      </w:r>
    </w:p>
    <w:p w14:paraId="53B7FE1C">
      <w:pPr>
        <w:wordWrap/>
        <w:topLinePunct w:val="0"/>
        <w:spacing w:after="120"/>
        <w:ind w:firstLine="600"/>
        <w:rPr>
          <w:rFonts w:ascii="仿宋_GB2312" w:eastAsia="仿宋_GB2312"/>
          <w:sz w:val="30"/>
          <w:szCs w:val="30"/>
        </w:rPr>
      </w:pPr>
      <w:r>
        <w:rPr>
          <w:rFonts w:hint="eastAsia" w:ascii="仿宋_GB2312" w:eastAsia="仿宋_GB2312"/>
          <w:sz w:val="30"/>
          <w:szCs w:val="30"/>
        </w:rPr>
        <w:t>发包人提供的材料和工程设备验收后，由</w:t>
      </w:r>
      <w:r>
        <w:rPr>
          <w:rFonts w:ascii="仿宋_GB2312" w:eastAsia="仿宋_GB2312"/>
          <w:sz w:val="30"/>
          <w:szCs w:val="30"/>
          <w:u w:val="single"/>
        </w:rPr>
        <w:t xml:space="preserve">   承包人   </w:t>
      </w:r>
      <w:r>
        <w:rPr>
          <w:rFonts w:hint="eastAsia" w:ascii="仿宋_GB2312" w:eastAsia="仿宋_GB2312"/>
          <w:sz w:val="30"/>
          <w:szCs w:val="30"/>
        </w:rPr>
        <w:t>负责接收、运输和保管。</w:t>
      </w:r>
    </w:p>
    <w:p w14:paraId="64839411">
      <w:pPr>
        <w:wordWrap/>
        <w:topLinePunct w:val="0"/>
        <w:spacing w:after="120"/>
        <w:ind w:firstLine="600"/>
        <w:rPr>
          <w:rFonts w:ascii="仿宋_GB2312" w:eastAsia="仿宋_GB2312"/>
          <w:sz w:val="30"/>
          <w:szCs w:val="30"/>
        </w:rPr>
      </w:pPr>
      <w:r>
        <w:rPr>
          <w:rFonts w:hint="eastAsia" w:ascii="仿宋_GB2312" w:eastAsia="仿宋_GB2312"/>
          <w:sz w:val="30"/>
          <w:szCs w:val="30"/>
        </w:rPr>
        <w:t>增加：发包人提供的工程物资</w:t>
      </w:r>
    </w:p>
    <w:p w14:paraId="58DBE6B5">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发包人依据设计文件规定的技术参数、技术条件、性能要求、使用要求和数量，负责组织工程物资（包括其备品备件、专用工具及厂商提交的技术文件）的采购，负责运抵现场，并对其需用量、质量检查结果和性能负责。</w:t>
      </w:r>
    </w:p>
    <w:p w14:paraId="41559F1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2）因发包人采购提供的工程物资（包括建筑构件等）不符合国家强制性标准、规范的规定，存在质量缺陷、延误抵达现场，给承包人造成窝工、停工、或导致关键路径延误的，按变更和合同价调整的约定执行。</w:t>
      </w:r>
    </w:p>
    <w:p w14:paraId="7A6FA112">
      <w:pPr>
        <w:wordWrap/>
        <w:topLinePunct w:val="0"/>
        <w:spacing w:after="120"/>
        <w:ind w:firstLine="600"/>
        <w:rPr>
          <w:rFonts w:ascii="仿宋_GB2312" w:eastAsia="仿宋_GB2312"/>
          <w:sz w:val="30"/>
          <w:szCs w:val="30"/>
        </w:rPr>
      </w:pPr>
      <w:r>
        <w:rPr>
          <w:rFonts w:hint="eastAsia" w:ascii="仿宋_GB2312" w:eastAsia="仿宋_GB2312"/>
          <w:sz w:val="30"/>
          <w:szCs w:val="30"/>
        </w:rPr>
        <w:t>在履行合同过程中，由于国家新颁布的强制性标准、规范，造成发包人负责提供的工程物资（包括建筑构件等）不符合新颁布的强制性标准时，由发包人负责修复或重新订货。如委托承包人修复，作为变更处理。</w:t>
      </w:r>
    </w:p>
    <w:p w14:paraId="3E5F9D19">
      <w:pPr>
        <w:wordWrap/>
        <w:topLinePunct w:val="0"/>
        <w:spacing w:after="120"/>
        <w:ind w:firstLine="600"/>
        <w:rPr>
          <w:szCs w:val="21"/>
        </w:rPr>
      </w:pPr>
      <w:r>
        <w:rPr>
          <w:rFonts w:hint="eastAsia" w:ascii="仿宋_GB2312" w:eastAsia="仿宋_GB2312"/>
          <w:sz w:val="30"/>
          <w:szCs w:val="30"/>
        </w:rPr>
        <w:t>（</w:t>
      </w:r>
      <w:r>
        <w:rPr>
          <w:rFonts w:ascii="仿宋_GB2312" w:eastAsia="仿宋_GB2312"/>
          <w:sz w:val="30"/>
          <w:szCs w:val="30"/>
        </w:rPr>
        <w:t>3）发包人请承包人参加境外采购工作时，所发生的费用由发包人承担。</w:t>
      </w:r>
    </w:p>
    <w:p w14:paraId="230A14EC">
      <w:pPr>
        <w:wordWrap/>
        <w:topLinePunct w:val="0"/>
        <w:spacing w:after="120"/>
        <w:ind w:firstLine="600"/>
        <w:rPr>
          <w:rFonts w:ascii="仿宋_GB2312" w:eastAsia="仿宋_GB2312"/>
          <w:sz w:val="30"/>
          <w:szCs w:val="30"/>
        </w:rPr>
      </w:pPr>
      <w:r>
        <w:rPr>
          <w:rFonts w:ascii="仿宋_GB2312" w:eastAsia="仿宋_GB2312"/>
          <w:sz w:val="30"/>
          <w:szCs w:val="30"/>
        </w:rPr>
        <w:t xml:space="preserve">6.2.2 </w:t>
      </w:r>
      <w:r>
        <w:rPr>
          <w:rFonts w:hint="eastAsia" w:ascii="仿宋_GB2312" w:eastAsia="仿宋_GB2312"/>
          <w:sz w:val="30"/>
          <w:szCs w:val="30"/>
        </w:rPr>
        <w:t>承包人提供的材料和工程设备</w:t>
      </w:r>
    </w:p>
    <w:p w14:paraId="7FF88F84">
      <w:pPr>
        <w:wordWrap/>
        <w:topLinePunct w:val="0"/>
        <w:spacing w:after="120"/>
        <w:ind w:firstLine="600"/>
        <w:rPr>
          <w:rFonts w:ascii="仿宋_GB2312" w:eastAsia="仿宋_GB2312"/>
          <w:sz w:val="30"/>
          <w:szCs w:val="30"/>
        </w:rPr>
      </w:pPr>
      <w:r>
        <w:rPr>
          <w:rFonts w:hint="eastAsia" w:ascii="仿宋_GB2312" w:eastAsia="仿宋_GB2312"/>
          <w:sz w:val="30"/>
          <w:szCs w:val="30"/>
        </w:rPr>
        <w:t>材料和工程设备的类别、估算数量：</w:t>
      </w:r>
      <w:r>
        <w:rPr>
          <w:rFonts w:hint="eastAsia" w:ascii="仿宋_GB2312" w:eastAsia="仿宋_GB2312"/>
          <w:sz w:val="30"/>
          <w:szCs w:val="30"/>
          <w:u w:val="single"/>
        </w:rPr>
        <w:t>根据具体项目附件列明</w:t>
      </w:r>
      <w:r>
        <w:rPr>
          <w:rFonts w:hint="eastAsia" w:ascii="仿宋_GB2312" w:eastAsia="仿宋_GB2312"/>
          <w:sz w:val="30"/>
          <w:szCs w:val="30"/>
        </w:rPr>
        <w:t>。</w:t>
      </w:r>
    </w:p>
    <w:p w14:paraId="0F4C9D3B">
      <w:pPr>
        <w:wordWrap/>
        <w:topLinePunct w:val="0"/>
        <w:spacing w:after="120"/>
        <w:ind w:firstLine="600"/>
        <w:rPr>
          <w:rFonts w:ascii="仿宋_GB2312" w:eastAsia="仿宋_GB2312"/>
          <w:sz w:val="30"/>
          <w:szCs w:val="30"/>
        </w:rPr>
      </w:pPr>
      <w:r>
        <w:rPr>
          <w:rFonts w:hint="eastAsia" w:ascii="仿宋_GB2312" w:eastAsia="仿宋_GB2312"/>
          <w:sz w:val="30"/>
          <w:szCs w:val="30"/>
        </w:rPr>
        <w:t>竣工后试验的生产性材料的类别或（和）清单：</w:t>
      </w:r>
      <w:r>
        <w:rPr>
          <w:rFonts w:hint="eastAsia" w:ascii="仿宋_GB2312" w:eastAsia="仿宋_GB2312"/>
          <w:sz w:val="30"/>
          <w:szCs w:val="30"/>
          <w:u w:val="single"/>
        </w:rPr>
        <w:t>根据竣工文件要求</w:t>
      </w:r>
      <w:r>
        <w:rPr>
          <w:rFonts w:hint="eastAsia" w:ascii="仿宋_GB2312" w:eastAsia="仿宋_GB2312"/>
          <w:sz w:val="30"/>
          <w:szCs w:val="30"/>
        </w:rPr>
        <w:t>。</w:t>
      </w:r>
    </w:p>
    <w:p w14:paraId="71214F82">
      <w:pPr>
        <w:wordWrap/>
        <w:topLinePunct w:val="0"/>
        <w:spacing w:after="120"/>
        <w:ind w:firstLine="600"/>
        <w:rPr>
          <w:rFonts w:ascii="仿宋_GB2312" w:eastAsia="仿宋_GB2312"/>
          <w:sz w:val="30"/>
          <w:szCs w:val="30"/>
        </w:rPr>
      </w:pPr>
      <w:r>
        <w:rPr>
          <w:rFonts w:hint="eastAsia" w:ascii="仿宋_GB2312" w:eastAsia="仿宋_GB2312"/>
          <w:sz w:val="30"/>
          <w:szCs w:val="30"/>
        </w:rPr>
        <w:t>增加：承包人采购材料设备</w:t>
      </w:r>
    </w:p>
    <w:p w14:paraId="476F9EEB">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承包人负责采购材料设备的，应按照合同条款约定、招标时设计和有关标准要求采购，所有材料的设备必须报发包人批准后方可供货，其中主材（含主要材料及工程设备）应由承包人选定三家或以上厂家和品牌并提供样板等资料。并提供产品合格证明，报发包人最终选择确定。承包人对材料设备质量负责。承包人在材料设备到货前24小时通知总监理工程师清点。</w:t>
      </w:r>
    </w:p>
    <w:p w14:paraId="6B617E41">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2）承包人采购的材料设备与设计和标准要求不符时，承包人应按总监理工程师要求的时间运出施工场地，重新采购符合要求的产品，承担由此发生的费用，由此延误的工期不予顺延。</w:t>
      </w:r>
    </w:p>
    <w:p w14:paraId="59B6E8EF">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3）承包人采购的材料设备在使用前，承包人应按总监理工程师的要求进行检验或试验，不合格的不得使用，检验或试验费用由承包人承担。</w:t>
      </w:r>
    </w:p>
    <w:p w14:paraId="6ED163B9">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4）总监理工程师发现承包人采购并使用不符合设计或标准要求的材料或设备时，应要求由承包人负责修复、拆除或重新采购，并承担发生的费用，由此延误的工期不予顺延。</w:t>
      </w:r>
    </w:p>
    <w:p w14:paraId="33B7DBA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5）承包人在施工过程中提出更换品牌的，必须经过发包人、设计单位、监理工程</w:t>
      </w:r>
      <w:r>
        <w:rPr>
          <w:rFonts w:hint="eastAsia" w:ascii="仿宋_GB2312" w:eastAsia="仿宋_GB2312"/>
          <w:sz w:val="30"/>
          <w:szCs w:val="30"/>
        </w:rPr>
        <w:t>师</w:t>
      </w:r>
      <w:r>
        <w:rPr>
          <w:rFonts w:ascii="仿宋_GB2312" w:eastAsia="仿宋_GB2312"/>
          <w:sz w:val="30"/>
          <w:szCs w:val="30"/>
        </w:rPr>
        <w:t>批准后才能使用，且更换后的材料必须达到或高于投标报价时所选品牌的同等质量及技术要求。</w:t>
      </w:r>
    </w:p>
    <w:p w14:paraId="6209C50A">
      <w:pPr>
        <w:wordWrap/>
        <w:topLinePunct w:val="0"/>
        <w:spacing w:after="120"/>
        <w:ind w:firstLine="600"/>
        <w:rPr>
          <w:rFonts w:ascii="仿宋_GB2312" w:eastAsia="仿宋_GB2312"/>
          <w:sz w:val="30"/>
          <w:szCs w:val="30"/>
        </w:rPr>
      </w:pPr>
      <w:r>
        <w:rPr>
          <w:rFonts w:hint="eastAsia" w:ascii="仿宋_GB2312" w:eastAsia="仿宋_GB2312"/>
          <w:sz w:val="30"/>
          <w:szCs w:val="30"/>
        </w:rPr>
        <w:t>若规定使用的物料或技术因来源短缺或时间紧迫或有更好的选择，则承包人可向发包人建议使用代替的物料和技术。发包人有绝对的权力不给予任何理由或解释批准或不批准承包人的建议。在获得书面批准前，承包人不能使用代替的物料和技术。除发包人在批准建议时书面确认可增加费用外，其他任何情况下批准的建议均不能增加费用；如批准的建议有费用减少，则减少的费用由承包人与造价咨询单位、发包人协商确定后从合同价款中扣除。在任何情况下，发包人的批准或不批准不会免除或减轻承包人按合同所承担的义务和责任。</w:t>
      </w:r>
    </w:p>
    <w:p w14:paraId="08D5A2F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7）对材料设备采购的相关要求</w:t>
      </w:r>
    </w:p>
    <w:p w14:paraId="110AA3B9">
      <w:pPr>
        <w:wordWrap/>
        <w:topLinePunct w:val="0"/>
        <w:spacing w:after="120"/>
        <w:ind w:firstLine="600"/>
        <w:rPr>
          <w:rFonts w:ascii="仿宋_GB2312" w:eastAsia="仿宋_GB2312"/>
          <w:sz w:val="30"/>
          <w:szCs w:val="30"/>
        </w:rPr>
      </w:pPr>
      <w:r>
        <w:rPr>
          <w:rFonts w:ascii="仿宋_GB2312" w:eastAsia="仿宋_GB2312"/>
          <w:sz w:val="30"/>
          <w:szCs w:val="30"/>
        </w:rPr>
        <w:t>1）承包人提供材料设备</w:t>
      </w:r>
    </w:p>
    <w:p w14:paraId="3021B94E">
      <w:pPr>
        <w:wordWrap/>
        <w:topLinePunct w:val="0"/>
        <w:spacing w:after="120"/>
        <w:ind w:firstLine="600"/>
        <w:rPr>
          <w:rFonts w:ascii="仿宋_GB2312" w:eastAsia="仿宋_GB2312"/>
          <w:sz w:val="30"/>
          <w:szCs w:val="30"/>
        </w:rPr>
      </w:pPr>
      <w:r>
        <w:rPr>
          <w:rFonts w:hint="eastAsia" w:ascii="仿宋_GB2312" w:eastAsia="仿宋_GB2312"/>
          <w:sz w:val="30"/>
          <w:szCs w:val="30"/>
        </w:rPr>
        <w:t>①承包人提供材料设备品牌的选用按国内名牌、国家免检产品、省知名品牌的顺序确定。</w:t>
      </w:r>
    </w:p>
    <w:p w14:paraId="6E2D2A1A">
      <w:pPr>
        <w:wordWrap/>
        <w:topLinePunct w:val="0"/>
        <w:spacing w:after="120"/>
        <w:ind w:firstLine="600"/>
        <w:rPr>
          <w:rFonts w:ascii="仿宋_GB2312" w:eastAsia="仿宋_GB2312"/>
          <w:sz w:val="30"/>
          <w:szCs w:val="30"/>
        </w:rPr>
      </w:pPr>
      <w:r>
        <w:rPr>
          <w:rFonts w:hint="eastAsia" w:ascii="仿宋_GB2312" w:eastAsia="仿宋_GB2312"/>
          <w:sz w:val="30"/>
          <w:szCs w:val="30"/>
        </w:rPr>
        <w:t>②承包人必须在提交施工图预算时同时注明所选用材料设备的品牌、产地、规格、等级，该材料设备信息仅作为预算审核的依据，乙供材料最终的选用按合同条款约定及发包人下发的《乙供材料看样定板管理办法》执行。</w:t>
      </w:r>
    </w:p>
    <w:p w14:paraId="2E06EF3B">
      <w:pPr>
        <w:wordWrap/>
        <w:topLinePunct w:val="0"/>
        <w:spacing w:after="120"/>
        <w:ind w:firstLine="600"/>
        <w:rPr>
          <w:rFonts w:ascii="仿宋_GB2312" w:eastAsia="仿宋_GB2312"/>
          <w:sz w:val="30"/>
          <w:szCs w:val="30"/>
        </w:rPr>
      </w:pPr>
      <w:r>
        <w:rPr>
          <w:rFonts w:hint="eastAsia" w:ascii="仿宋_GB2312" w:eastAsia="仿宋_GB2312"/>
          <w:sz w:val="30"/>
          <w:szCs w:val="30"/>
        </w:rPr>
        <w:t>③承包人必须在满足或优于招标文件（包括各专业主要设备材料技术参数）、招标图纸和相关规范要求的前提下，可以选择一种或多种品牌；履约中只要发包人未有对各专业主要设备材料技术参数的相关要求按乙供材料看样定板管理办法进行调整，则均不因承包人改变选用的品牌而调整其承包价。</w:t>
      </w:r>
    </w:p>
    <w:p w14:paraId="5C9B4018">
      <w:pPr>
        <w:wordWrap/>
        <w:topLinePunct w:val="0"/>
        <w:spacing w:after="120"/>
        <w:ind w:firstLine="600"/>
        <w:rPr>
          <w:rFonts w:ascii="仿宋_GB2312" w:eastAsia="仿宋_GB2312"/>
          <w:sz w:val="30"/>
          <w:szCs w:val="30"/>
        </w:rPr>
      </w:pPr>
      <w:r>
        <w:rPr>
          <w:rFonts w:ascii="仿宋_GB2312" w:eastAsia="仿宋_GB2312"/>
          <w:sz w:val="30"/>
          <w:szCs w:val="30"/>
        </w:rPr>
        <w:t>2）承包人在投标报价时所选定的材料设备供应商，应是有良好商业信誉和雄厚实力的材料设备生产供应能力的合格供应商。以保证按项目的质量、数量和时间要求，以合理的价格和可靠的供货来源，获得所需的设备、材料及有关服务。</w:t>
      </w:r>
    </w:p>
    <w:p w14:paraId="565C039A">
      <w:pPr>
        <w:wordWrap/>
        <w:topLinePunct w:val="0"/>
        <w:spacing w:after="120"/>
        <w:ind w:firstLine="600"/>
        <w:rPr>
          <w:rFonts w:ascii="仿宋_GB2312" w:eastAsia="仿宋_GB2312"/>
          <w:sz w:val="30"/>
          <w:szCs w:val="30"/>
        </w:rPr>
      </w:pPr>
      <w:r>
        <w:rPr>
          <w:rFonts w:ascii="仿宋_GB2312" w:eastAsia="仿宋_GB2312"/>
          <w:sz w:val="30"/>
          <w:szCs w:val="30"/>
        </w:rPr>
        <w:t>3）承包人在投标时所选定材料设备的品牌、规格和供应商，一经发包人确认，承包人不得对此进行更改。如因特殊原因（如不可抗力、生产厂商破产）确需变更供应商时，承包人须按发包人关于乙供材料设备、工程变更及设计变更管理的相关规定向发包人申请变更材料设备的供应商（品牌），经发包人审批同意后方可进行变更。承包人应优先在招标文件推荐品牌范围中选择变更后的供应商（品牌）和供应商。</w:t>
      </w:r>
    </w:p>
    <w:p w14:paraId="7120C326">
      <w:pPr>
        <w:wordWrap/>
        <w:topLinePunct w:val="0"/>
        <w:spacing w:after="120"/>
        <w:ind w:firstLine="600"/>
        <w:rPr>
          <w:rFonts w:ascii="仿宋_GB2312" w:eastAsia="仿宋_GB2312"/>
          <w:sz w:val="30"/>
          <w:szCs w:val="30"/>
        </w:rPr>
      </w:pPr>
      <w:r>
        <w:rPr>
          <w:rFonts w:ascii="仿宋_GB2312" w:eastAsia="仿宋_GB2312"/>
          <w:sz w:val="30"/>
          <w:szCs w:val="30"/>
        </w:rPr>
        <w:t>4）材料设备采购的变更</w:t>
      </w:r>
    </w:p>
    <w:p w14:paraId="41AB2060">
      <w:pPr>
        <w:wordWrap/>
        <w:topLinePunct w:val="0"/>
        <w:spacing w:after="120"/>
        <w:ind w:firstLine="600"/>
        <w:rPr>
          <w:rFonts w:ascii="仿宋_GB2312" w:eastAsia="仿宋_GB2312"/>
          <w:sz w:val="30"/>
          <w:szCs w:val="30"/>
        </w:rPr>
      </w:pPr>
      <w:r>
        <w:rPr>
          <w:rFonts w:hint="eastAsia" w:ascii="仿宋_GB2312" w:eastAsia="仿宋_GB2312"/>
          <w:sz w:val="30"/>
          <w:szCs w:val="30"/>
        </w:rPr>
        <w:t>①</w:t>
      </w:r>
      <w:r>
        <w:rPr>
          <w:rFonts w:ascii="仿宋_GB2312" w:eastAsia="仿宋_GB2312"/>
          <w:sz w:val="30"/>
          <w:szCs w:val="30"/>
        </w:rPr>
        <w:t>在工程施工过程中，根据工程的具体情况，从有利于保证工程质量、进度和投资控制角度考虑，发包人有权对相应材料设备的采购供应方式进行适当的变更（如改为甲供或甲招乙供），承包人在接到发包人的变更通知后，应无条件地接受发包人对材料设备采购供应方式的变更并予以积极配合。</w:t>
      </w:r>
    </w:p>
    <w:p w14:paraId="7DE2415A">
      <w:pPr>
        <w:wordWrap/>
        <w:topLinePunct w:val="0"/>
        <w:spacing w:after="120"/>
        <w:ind w:firstLine="600"/>
        <w:rPr>
          <w:rFonts w:ascii="仿宋_GB2312" w:eastAsia="仿宋_GB2312"/>
          <w:sz w:val="30"/>
          <w:szCs w:val="30"/>
        </w:rPr>
      </w:pPr>
      <w:r>
        <w:rPr>
          <w:rFonts w:hint="eastAsia" w:ascii="仿宋_GB2312" w:eastAsia="仿宋_GB2312"/>
          <w:sz w:val="30"/>
          <w:szCs w:val="30"/>
        </w:rPr>
        <w:t>②</w:t>
      </w:r>
      <w:r>
        <w:rPr>
          <w:rFonts w:ascii="仿宋_GB2312" w:eastAsia="仿宋_GB2312"/>
          <w:sz w:val="30"/>
          <w:szCs w:val="30"/>
        </w:rPr>
        <w:t>出于为保证本工程的整体质量和效果等特殊原因，发包人决定将某种材料设备的供货方式由乙供改为甲供或甲招乙供时，承包人应提前做好材料到货及使用时间计划给发包人，发包人根据材料到货及使用时间计划确定购买时间后将书面通知承包人。发包人将以设计图纸结算用量（含定额规定的损耗）乘以预算中的相应材料设备价格后从合同总价款中扣除相应的材料设备价款及其相关取费。若实际供应的甲供材料设备数量超出按图纸计算用量（含定额规定的损耗）的差异部分则从承包人的工程结算款中扣除。如不由承包人安装，安装费也相应扣除。</w:t>
      </w:r>
    </w:p>
    <w:p w14:paraId="2E34725E">
      <w:pPr>
        <w:pStyle w:val="26"/>
        <w:spacing w:after="120"/>
        <w:ind w:firstLine="602"/>
        <w:rPr>
          <w:rFonts w:eastAsia="仿宋_GB2312"/>
          <w:b/>
          <w:color w:val="FF0000"/>
        </w:rPr>
      </w:pPr>
      <w:r>
        <w:rPr>
          <w:rFonts w:hint="eastAsia" w:ascii="仿宋_GB2312" w:eastAsia="仿宋_GB2312"/>
          <w:b/>
          <w:color w:val="FF0000"/>
          <w:sz w:val="30"/>
          <w:szCs w:val="30"/>
        </w:rPr>
        <w:t>（</w:t>
      </w:r>
      <w:r>
        <w:rPr>
          <w:rFonts w:ascii="仿宋_GB2312" w:eastAsia="仿宋_GB2312"/>
          <w:b/>
          <w:color w:val="FF0000"/>
          <w:sz w:val="30"/>
          <w:szCs w:val="30"/>
        </w:rPr>
        <w:t>8）承包人采购材料设备的流程应符合发包人要求及项目管理要求。材料设备采购前应先与发包人确认材料设备的品牌、样品、参数规格等是否符合要求，材料设备进场时应按要求做好进场确认及报验手续。</w:t>
      </w:r>
    </w:p>
    <w:p w14:paraId="16750D7B">
      <w:pPr>
        <w:wordWrap/>
        <w:topLinePunct w:val="0"/>
        <w:spacing w:after="120"/>
        <w:ind w:firstLine="600"/>
        <w:rPr>
          <w:rFonts w:ascii="仿宋_GB2312" w:eastAsia="仿宋_GB2312"/>
          <w:sz w:val="30"/>
          <w:szCs w:val="30"/>
        </w:rPr>
      </w:pPr>
      <w:r>
        <w:rPr>
          <w:rFonts w:ascii="仿宋_GB2312" w:eastAsia="仿宋_GB2312"/>
          <w:sz w:val="30"/>
          <w:szCs w:val="30"/>
        </w:rPr>
        <w:t xml:space="preserve">6.2.3 </w:t>
      </w:r>
      <w:r>
        <w:rPr>
          <w:rFonts w:hint="eastAsia" w:ascii="仿宋_GB2312" w:eastAsia="仿宋_GB2312"/>
          <w:sz w:val="30"/>
          <w:szCs w:val="30"/>
        </w:rPr>
        <w:t>材料和工程设备的保管</w:t>
      </w:r>
    </w:p>
    <w:p w14:paraId="42425B05">
      <w:pPr>
        <w:wordWrap/>
        <w:topLinePunct w:val="0"/>
        <w:spacing w:after="120"/>
        <w:ind w:firstLine="600"/>
        <w:rPr>
          <w:rFonts w:ascii="仿宋_GB2312" w:eastAsia="仿宋_GB2312"/>
          <w:sz w:val="30"/>
          <w:szCs w:val="30"/>
        </w:rPr>
      </w:pPr>
      <w:r>
        <w:rPr>
          <w:rFonts w:hint="eastAsia" w:ascii="仿宋_GB2312" w:eastAsia="仿宋_GB2312"/>
          <w:sz w:val="30"/>
          <w:szCs w:val="30"/>
        </w:rPr>
        <w:t>发包人供应的材料和工程设备的保管费用由</w:t>
      </w:r>
      <w:r>
        <w:rPr>
          <w:rFonts w:hint="eastAsia" w:ascii="仿宋_GB2312" w:eastAsia="仿宋_GB2312"/>
          <w:sz w:val="30"/>
          <w:szCs w:val="30"/>
          <w:u w:val="single"/>
        </w:rPr>
        <w:t>承包人</w:t>
      </w:r>
      <w:r>
        <w:rPr>
          <w:rFonts w:hint="eastAsia" w:ascii="仿宋_GB2312" w:eastAsia="仿宋_GB2312"/>
          <w:sz w:val="30"/>
          <w:szCs w:val="30"/>
        </w:rPr>
        <w:t>承担。</w:t>
      </w:r>
    </w:p>
    <w:p w14:paraId="7D4D5A48">
      <w:pPr>
        <w:wordWrap/>
        <w:topLinePunct w:val="0"/>
        <w:spacing w:after="120"/>
        <w:ind w:firstLine="600"/>
        <w:rPr>
          <w:rFonts w:ascii="仿宋_GB2312" w:eastAsia="仿宋_GB2312"/>
          <w:sz w:val="30"/>
          <w:szCs w:val="30"/>
        </w:rPr>
      </w:pPr>
      <w:r>
        <w:rPr>
          <w:rFonts w:hint="eastAsia" w:ascii="仿宋_GB2312" w:eastAsia="仿宋_GB2312"/>
          <w:sz w:val="30"/>
          <w:szCs w:val="30"/>
        </w:rPr>
        <w:t>承包人提交保管、维护方案的时间：</w:t>
      </w:r>
      <w:r>
        <w:rPr>
          <w:rFonts w:hint="eastAsia" w:ascii="仿宋_GB2312" w:eastAsia="仿宋_GB2312"/>
          <w:sz w:val="30"/>
          <w:szCs w:val="30"/>
          <w:u w:val="single"/>
        </w:rPr>
        <w:t>按合同要求</w:t>
      </w:r>
      <w:r>
        <w:rPr>
          <w:rFonts w:hint="eastAsia" w:ascii="仿宋_GB2312" w:eastAsia="仿宋_GB2312"/>
          <w:sz w:val="30"/>
          <w:szCs w:val="30"/>
        </w:rPr>
        <w:t>。</w:t>
      </w:r>
    </w:p>
    <w:p w14:paraId="7F203D35">
      <w:pPr>
        <w:wordWrap/>
        <w:topLinePunct w:val="0"/>
        <w:spacing w:after="120"/>
        <w:ind w:firstLine="600"/>
        <w:rPr>
          <w:rFonts w:ascii="仿宋_GB2312" w:eastAsia="仿宋_GB2312"/>
          <w:sz w:val="30"/>
          <w:szCs w:val="30"/>
        </w:rPr>
      </w:pPr>
      <w:r>
        <w:rPr>
          <w:rFonts w:hint="eastAsia" w:ascii="仿宋_GB2312" w:eastAsia="仿宋_GB2312"/>
          <w:sz w:val="30"/>
          <w:szCs w:val="30"/>
        </w:rPr>
        <w:t>发包人提供的库房、堆场、设施和设备：</w:t>
      </w:r>
      <w:r>
        <w:rPr>
          <w:rFonts w:hint="eastAsia" w:ascii="仿宋_GB2312" w:eastAsia="仿宋_GB2312"/>
          <w:sz w:val="30"/>
          <w:szCs w:val="30"/>
          <w:u w:val="single"/>
        </w:rPr>
        <w:t>按合同要求</w:t>
      </w:r>
      <w:r>
        <w:rPr>
          <w:rFonts w:hint="eastAsia" w:ascii="仿宋_GB2312" w:eastAsia="仿宋_GB2312"/>
          <w:sz w:val="30"/>
          <w:szCs w:val="30"/>
        </w:rPr>
        <w:t>。</w:t>
      </w:r>
    </w:p>
    <w:p w14:paraId="0AA9F039">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6.3 样品</w:t>
      </w:r>
    </w:p>
    <w:p w14:paraId="75412563">
      <w:pPr>
        <w:wordWrap/>
        <w:topLinePunct w:val="0"/>
        <w:spacing w:after="120"/>
        <w:ind w:firstLine="600"/>
        <w:rPr>
          <w:rFonts w:ascii="仿宋_GB2312" w:eastAsia="仿宋_GB2312"/>
          <w:sz w:val="30"/>
          <w:szCs w:val="30"/>
        </w:rPr>
      </w:pPr>
      <w:r>
        <w:rPr>
          <w:rFonts w:hint="eastAsia" w:ascii="仿宋_GB2312" w:eastAsia="仿宋_GB2312"/>
          <w:sz w:val="30"/>
          <w:szCs w:val="30"/>
        </w:rPr>
        <w:t>6</w:t>
      </w:r>
      <w:r>
        <w:rPr>
          <w:rFonts w:ascii="仿宋_GB2312" w:eastAsia="仿宋_GB2312"/>
          <w:sz w:val="30"/>
          <w:szCs w:val="30"/>
        </w:rPr>
        <w:t xml:space="preserve">.3.1 </w:t>
      </w:r>
      <w:r>
        <w:rPr>
          <w:rFonts w:hint="eastAsia" w:ascii="仿宋_GB2312" w:eastAsia="仿宋_GB2312"/>
          <w:sz w:val="30"/>
          <w:szCs w:val="30"/>
        </w:rPr>
        <w:t>样品的报送与封存</w:t>
      </w:r>
    </w:p>
    <w:p w14:paraId="55A6D10A">
      <w:pPr>
        <w:wordWrap/>
        <w:topLinePunct w:val="0"/>
        <w:spacing w:after="120"/>
        <w:ind w:firstLine="600"/>
        <w:rPr>
          <w:rFonts w:ascii="仿宋_GB2312" w:eastAsia="仿宋_GB2312"/>
          <w:sz w:val="30"/>
          <w:szCs w:val="30"/>
        </w:rPr>
      </w:pPr>
      <w:r>
        <w:rPr>
          <w:rFonts w:ascii="仿宋_GB2312" w:eastAsia="仿宋_GB2312"/>
          <w:sz w:val="30"/>
          <w:szCs w:val="30"/>
        </w:rPr>
        <w:t>需要承包人报送样品的材料或工程设备</w:t>
      </w:r>
      <w:r>
        <w:rPr>
          <w:rFonts w:hint="eastAsia" w:ascii="仿宋_GB2312" w:eastAsia="仿宋_GB2312"/>
          <w:sz w:val="30"/>
          <w:szCs w:val="30"/>
        </w:rPr>
        <w:t>，样品种类、名称、规格、数量：</w:t>
      </w:r>
      <w:r>
        <w:rPr>
          <w:rFonts w:hint="eastAsia" w:ascii="仿宋_GB2312" w:eastAsia="仿宋_GB2312"/>
          <w:sz w:val="30"/>
          <w:szCs w:val="30"/>
          <w:u w:val="single"/>
        </w:rPr>
        <w:t>按发包人要求</w:t>
      </w:r>
      <w:r>
        <w:rPr>
          <w:rFonts w:hint="eastAsia" w:ascii="仿宋_GB2312" w:eastAsia="仿宋_GB2312"/>
          <w:sz w:val="30"/>
          <w:szCs w:val="30"/>
        </w:rPr>
        <w:t>。</w:t>
      </w:r>
    </w:p>
    <w:p w14:paraId="5105F40F">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6.4 质量检查</w:t>
      </w:r>
    </w:p>
    <w:p w14:paraId="7832D2A2">
      <w:pPr>
        <w:wordWrap/>
        <w:topLinePunct w:val="0"/>
        <w:spacing w:after="120"/>
        <w:ind w:firstLine="600"/>
        <w:rPr>
          <w:rFonts w:ascii="仿宋_GB2312" w:eastAsia="仿宋_GB2312"/>
          <w:sz w:val="30"/>
          <w:szCs w:val="30"/>
        </w:rPr>
      </w:pPr>
      <w:r>
        <w:rPr>
          <w:rFonts w:ascii="仿宋_GB2312" w:eastAsia="仿宋_GB2312"/>
          <w:sz w:val="30"/>
          <w:szCs w:val="30"/>
        </w:rPr>
        <w:t xml:space="preserve">6.4.1 </w:t>
      </w:r>
      <w:r>
        <w:rPr>
          <w:rFonts w:hint="eastAsia" w:ascii="仿宋_GB2312" w:eastAsia="仿宋_GB2312"/>
          <w:sz w:val="30"/>
          <w:szCs w:val="30"/>
        </w:rPr>
        <w:t>工程质量要求</w:t>
      </w:r>
    </w:p>
    <w:p w14:paraId="2FD18F2E">
      <w:pPr>
        <w:wordWrap/>
        <w:topLinePunct w:val="0"/>
        <w:spacing w:after="120"/>
        <w:ind w:firstLine="600"/>
        <w:rPr>
          <w:rFonts w:ascii="仿宋_GB2312" w:eastAsia="仿宋_GB2312"/>
          <w:sz w:val="30"/>
          <w:szCs w:val="30"/>
        </w:rPr>
      </w:pPr>
      <w:r>
        <w:rPr>
          <w:rFonts w:hint="eastAsia" w:ascii="仿宋_GB2312" w:eastAsia="仿宋_GB2312"/>
          <w:sz w:val="30"/>
          <w:szCs w:val="30"/>
        </w:rPr>
        <w:t>工程质量的特殊标准或要求：</w:t>
      </w:r>
      <w:r>
        <w:rPr>
          <w:rFonts w:hint="eastAsia" w:ascii="微软雅黑" w:hAnsi="微软雅黑" w:eastAsia="微软雅黑" w:cs="微软雅黑"/>
          <w:sz w:val="30"/>
          <w:szCs w:val="30"/>
          <w:u w:val="single"/>
        </w:rPr>
        <w:t>/</w:t>
      </w:r>
      <w:r>
        <w:rPr>
          <w:rFonts w:hint="eastAsia" w:ascii="仿宋_GB2312" w:eastAsia="仿宋_GB2312"/>
          <w:sz w:val="30"/>
          <w:szCs w:val="30"/>
        </w:rPr>
        <w:t>。</w:t>
      </w:r>
    </w:p>
    <w:p w14:paraId="556C5A88">
      <w:pPr>
        <w:wordWrap/>
        <w:topLinePunct w:val="0"/>
        <w:spacing w:after="120"/>
        <w:ind w:firstLine="600" w:firstLineChars="0"/>
        <w:rPr>
          <w:rFonts w:ascii="仿宋_GB2312" w:eastAsia="仿宋_GB2312"/>
          <w:sz w:val="30"/>
          <w:szCs w:val="30"/>
        </w:rPr>
      </w:pPr>
      <w:r>
        <w:rPr>
          <w:rFonts w:ascii="仿宋_GB2312" w:eastAsia="仿宋_GB2312"/>
          <w:sz w:val="30"/>
          <w:szCs w:val="30"/>
        </w:rPr>
        <w:t>6.4.1.1工程质量争议与鉴定</w:t>
      </w:r>
    </w:p>
    <w:p w14:paraId="127D09F4">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双方一致同意，对于本合同履行过程中的工程质量争议，应由工程所在地负责工程质量监督的政府主管机构或部门依据《建筑工程施工质量验收统一标准》（</w:t>
      </w:r>
      <w:r>
        <w:rPr>
          <w:rFonts w:ascii="仿宋_GB2312" w:eastAsia="仿宋_GB2312"/>
          <w:sz w:val="30"/>
          <w:szCs w:val="30"/>
        </w:rPr>
        <w:t>GB50300-2013）等专业验收、技术规范和设计图纸要求的质量标准做出鉴定。同时，承包人应积极配合工程质量第三方检测工作，并积极采用新材料、新工艺、新技术。</w:t>
      </w:r>
    </w:p>
    <w:p w14:paraId="3E841DED">
      <w:pPr>
        <w:wordWrap/>
        <w:topLinePunct w:val="0"/>
        <w:spacing w:after="120"/>
        <w:ind w:firstLine="600" w:firstLineChars="0"/>
        <w:rPr>
          <w:rFonts w:ascii="仿宋_GB2312" w:eastAsia="仿宋_GB2312"/>
          <w:sz w:val="30"/>
          <w:szCs w:val="30"/>
        </w:rPr>
      </w:pPr>
      <w:r>
        <w:rPr>
          <w:rFonts w:ascii="仿宋_GB2312" w:eastAsia="仿宋_GB2312"/>
          <w:sz w:val="30"/>
          <w:szCs w:val="30"/>
        </w:rPr>
        <w:t>6.4.1.2工程质量保证体系</w:t>
      </w:r>
    </w:p>
    <w:p w14:paraId="66FB5D3A">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承包人应当完善质量管理制度，建立质量控制流程，进行全面质量管理（</w:t>
      </w:r>
      <w:r>
        <w:rPr>
          <w:rFonts w:ascii="仿宋_GB2312" w:eastAsia="仿宋_GB2312"/>
          <w:sz w:val="30"/>
          <w:szCs w:val="30"/>
        </w:rPr>
        <w:t>TQC），以20</w:t>
      </w:r>
      <w:r>
        <w:rPr>
          <w:rFonts w:hint="eastAsia" w:ascii="仿宋_GB2312" w:eastAsia="仿宋_GB2312"/>
          <w:sz w:val="30"/>
          <w:szCs w:val="30"/>
        </w:rPr>
        <w:t>16</w:t>
      </w:r>
      <w:r>
        <w:rPr>
          <w:rFonts w:ascii="仿宋_GB2312" w:eastAsia="仿宋_GB2312"/>
          <w:sz w:val="30"/>
          <w:szCs w:val="30"/>
        </w:rPr>
        <w:t>版的GB/T19000</w:t>
      </w:r>
      <w:r>
        <w:rPr>
          <w:rFonts w:hint="eastAsia" w:ascii="仿宋_GB2312" w:eastAsia="仿宋_GB2312"/>
          <w:sz w:val="30"/>
          <w:szCs w:val="30"/>
        </w:rPr>
        <w:t>-2016</w:t>
      </w:r>
      <w:r>
        <w:rPr>
          <w:rFonts w:ascii="仿宋_GB2312" w:eastAsia="仿宋_GB2312"/>
          <w:sz w:val="30"/>
          <w:szCs w:val="30"/>
        </w:rPr>
        <w:t>《质量管理与质量保证》为标准，建立并保持一个健全的工程质量保证体系。为此，承包人必须做到但不限于：</w:t>
      </w:r>
    </w:p>
    <w:p w14:paraId="3A710AA4">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1）建立完整的质量保证体系，委派专人负责工程质量管理，现场管理机构、工区（段）设有专职质检人员，班组设质检员，必须附有项目架构人员名单，各类人员必须持有上岗资格证，于本合同签订后 14天内将上述人员报总监理工程师备查。承包人还应建立并完善各项目质量管理检查制度及企业质量管理文件等。</w:t>
      </w:r>
    </w:p>
    <w:p w14:paraId="1B801904">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承包人提交总监理工程师批准的施工组织设计或者施工方案必须附有完备的工程质量保证措施，包括：工程质量预控措施，工序质量控制点，工程的标准工艺流程图和技术、组织措施，制造工程各分部、分项的关键工序、特殊工序控制及样板制度。重点分部（项）工程的施工方法，材料、制品试件取样及送检试验的方法或检测方案，成品保护的措施和方法，质量报表和质量事故的报告制度等。</w:t>
      </w:r>
    </w:p>
    <w:p w14:paraId="35864D2D">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3）单项工程开工前，承包人必须对职工进行技术交底，组织学习有关规程、标准、规范和工艺要求（规程包括但不限于施工企业标准和作业指导书）</w:t>
      </w:r>
      <w:r>
        <w:rPr>
          <w:rFonts w:hint="eastAsia" w:ascii="仿宋_GB2312" w:eastAsia="仿宋_GB2312"/>
          <w:sz w:val="30"/>
          <w:szCs w:val="30"/>
        </w:rPr>
        <w:t>，在施工中必须按规程及工艺进行操作等。</w:t>
      </w:r>
    </w:p>
    <w:p w14:paraId="174377DC">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单项工程和重要部位必须遵循先试验后铺开施工的程序，开工前承包人应熟悉施工图纸会审和设计变更内容并完成施工组织设计和必要的施工准备，送总监理工程师审查批准后方可进行试验性施工，完工后由总监理工程师检验，符合要求后才能铺开施工或者批量生产。</w:t>
      </w:r>
    </w:p>
    <w:p w14:paraId="6EC3DB99">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5）按现行国家规范和标准有关规定对标准产品进场100％见证检试验和30％监督抽检试验。结构混凝土试件必须确保有同条件养护送检试验。</w:t>
      </w:r>
    </w:p>
    <w:p w14:paraId="428A22BC">
      <w:pPr>
        <w:wordWrap/>
        <w:topLinePunct w:val="0"/>
        <w:spacing w:after="120"/>
        <w:ind w:firstLine="600" w:firstLineChars="0"/>
        <w:rPr>
          <w:rFonts w:ascii="仿宋_GB2312" w:eastAsia="仿宋_GB2312"/>
          <w:sz w:val="30"/>
          <w:szCs w:val="30"/>
        </w:rPr>
      </w:pPr>
      <w:r>
        <w:rPr>
          <w:rFonts w:ascii="仿宋_GB2312" w:eastAsia="仿宋_GB2312"/>
          <w:sz w:val="30"/>
          <w:szCs w:val="30"/>
        </w:rPr>
        <w:t>6.4.1.3工程绿色建筑要求</w:t>
      </w:r>
    </w:p>
    <w:p w14:paraId="626C277E">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承包人应当按照施工图设计文件和绿色建筑强制性标准进行施工。对不符合施工图设计文件要求的墙体材料、保温材料、门窗、供暖制冷系统、照明设备、非传统水源利用设施、可再生能源利用设施、节水器具等建筑材料、建筑构配件和设施设备，不得使用。</w:t>
      </w:r>
    </w:p>
    <w:p w14:paraId="71350B11">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2）承包人应当在施工中采取降低施工能耗、水耗，减少废弃物排放、减少噪声污染和防治扬尘等节能减排和环境保护措施。防治扬尘所需费用已包含在合同价中。</w:t>
      </w:r>
    </w:p>
    <w:p w14:paraId="2E39969B">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发包人组织承包人、监理等有关单位进行竣工验收时，应当对民用建筑围护结构、节能和节水设施设备等是否符合施工图设计文件要求和绿色建筑强制性标准进行查验；不符合施工图设计文件要求或者绿色建筑强制性标准的，不得通过竣工验收。</w:t>
      </w:r>
    </w:p>
    <w:p w14:paraId="0A99773D">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4）绿色建筑完工后的运营应当符合下列要求：</w:t>
      </w:r>
    </w:p>
    <w:p w14:paraId="28CFDC2F">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①节能、节水、室内外环境维护等管理制度完备；</w:t>
      </w:r>
    </w:p>
    <w:p w14:paraId="5480856D">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②节能、节水和建筑用能分项计量及数据采集传输装置等设施设备运行正常；</w:t>
      </w:r>
    </w:p>
    <w:p w14:paraId="6DE24862">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③供暖、通风、空调、照明等设备的自动监控系统运行正常，空调使用遵守国家规定的温度控制要求；</w:t>
      </w:r>
    </w:p>
    <w:p w14:paraId="5065283B">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④运行过程中产生的废气、污水等污染物达标排放；</w:t>
      </w:r>
    </w:p>
    <w:p w14:paraId="76B14D92">
      <w:pPr>
        <w:wordWrap/>
        <w:topLinePunct w:val="0"/>
        <w:spacing w:after="120" w:line="240" w:lineRule="auto"/>
        <w:ind w:firstLine="600" w:firstLineChars="0"/>
        <w:rPr>
          <w:rFonts w:ascii="仿宋_GB2312" w:eastAsia="仿宋_GB2312"/>
          <w:sz w:val="30"/>
          <w:szCs w:val="30"/>
        </w:rPr>
      </w:pPr>
      <w:r>
        <w:rPr>
          <w:rFonts w:hint="eastAsia" w:ascii="仿宋_GB2312" w:eastAsia="仿宋_GB2312"/>
          <w:sz w:val="30"/>
          <w:szCs w:val="30"/>
        </w:rPr>
        <w:t>⑤分类收集生活垃圾，规范设置垃圾收集容器。</w:t>
      </w:r>
    </w:p>
    <w:p w14:paraId="44676D9C">
      <w:pPr>
        <w:wordWrap/>
        <w:topLinePunct w:val="0"/>
        <w:spacing w:after="120" w:line="240" w:lineRule="auto"/>
        <w:ind w:firstLine="600" w:firstLineChars="0"/>
        <w:rPr>
          <w:rFonts w:ascii="仿宋_GB2312" w:eastAsia="仿宋_GB2312"/>
          <w:sz w:val="30"/>
          <w:szCs w:val="30"/>
        </w:rPr>
      </w:pPr>
      <w:r>
        <w:rPr>
          <w:rFonts w:ascii="仿宋_GB2312" w:eastAsia="仿宋_GB2312"/>
          <w:sz w:val="30"/>
          <w:szCs w:val="30"/>
        </w:rPr>
        <w:t>6.4.1.4对承包人采购的工程材料、设备及采用的工艺的查验。</w:t>
      </w:r>
    </w:p>
    <w:p w14:paraId="24C75D77">
      <w:pPr>
        <w:numPr>
          <w:ilvl w:val="255"/>
          <w:numId w:val="0"/>
        </w:numPr>
        <w:wordWrap/>
        <w:topLinePunct w:val="0"/>
        <w:spacing w:after="120"/>
        <w:ind w:firstLine="600" w:firstLineChars="200"/>
        <w:rPr>
          <w:rFonts w:ascii="仿宋_GB2312" w:eastAsia="仿宋_GB2312"/>
          <w:sz w:val="30"/>
          <w:szCs w:val="30"/>
        </w:rPr>
      </w:pPr>
      <w:r>
        <w:rPr>
          <w:rFonts w:hint="eastAsia" w:ascii="仿宋_GB2312" w:eastAsia="仿宋_GB2312"/>
          <w:sz w:val="30"/>
          <w:szCs w:val="30"/>
        </w:rPr>
        <w:t>实施工程的一切材料、设备及工艺，都必须符合工程设计及技术标准、规范的要求，应按照招标文件的约定及设备和有关标准要求采购，所用材料、设备均为一年内生产的全新材料、设备，并提供产品合格证明，对材料质量负责（不允许有负公差）。承包人在材料到货前</w:t>
      </w:r>
      <w:r>
        <w:rPr>
          <w:rFonts w:ascii="仿宋_GB2312" w:eastAsia="仿宋_GB2312"/>
          <w:sz w:val="30"/>
          <w:szCs w:val="30"/>
        </w:rPr>
        <w:t>24小时通知监理工程师清点，并应当在用于工程之前经过检验或试验，不合格的不得使用。承包人要建立检验、试验制度，随时按总监理工程师的要求，在材料、设备的制造、加工，或制配地点，或施工场地进行检验或试验，并应提供一切正常需要的手段，在材料、设备及工艺用于工程之前提供样品、样件，按照总监理工程师的选择和要求进行检验或试验。</w:t>
      </w:r>
    </w:p>
    <w:p w14:paraId="2C65652C">
      <w:pPr>
        <w:numPr>
          <w:ilvl w:val="255"/>
          <w:numId w:val="0"/>
        </w:numPr>
        <w:wordWrap/>
        <w:topLinePunct w:val="0"/>
        <w:spacing w:after="120"/>
        <w:ind w:firstLine="600" w:firstLineChars="200"/>
        <w:rPr>
          <w:rFonts w:ascii="仿宋_GB2312" w:eastAsia="仿宋_GB2312"/>
          <w:sz w:val="30"/>
          <w:szCs w:val="30"/>
        </w:rPr>
      </w:pPr>
      <w:r>
        <w:rPr>
          <w:rFonts w:hint="eastAsia" w:ascii="仿宋_GB2312" w:eastAsia="仿宋_GB2312"/>
          <w:sz w:val="30"/>
          <w:szCs w:val="30"/>
        </w:rPr>
        <w:t>使用替换材料的申请与批准：承包人在投标文件中所选用的材料，发包人认为需要时可与总监理工程师、承包人共同重新选定；如承包人需要使用替换材料的，应向总监理工程师提出书面申请，报总监理工程师审批同意签章后，经发包人批准，书面回复（须加盖公章）后才能使用。</w:t>
      </w:r>
    </w:p>
    <w:p w14:paraId="071FF8D5">
      <w:pPr>
        <w:numPr>
          <w:ilvl w:val="255"/>
          <w:numId w:val="0"/>
        </w:numPr>
        <w:wordWrap/>
        <w:topLinePunct w:val="0"/>
        <w:spacing w:after="120"/>
        <w:ind w:firstLine="600" w:firstLineChars="200"/>
        <w:rPr>
          <w:rFonts w:ascii="仿宋_GB2312" w:eastAsia="仿宋_GB2312"/>
          <w:sz w:val="30"/>
          <w:szCs w:val="30"/>
        </w:rPr>
      </w:pPr>
      <w:r>
        <w:rPr>
          <w:rFonts w:hint="eastAsia" w:ascii="仿宋_GB2312" w:eastAsia="仿宋_GB2312"/>
          <w:sz w:val="30"/>
          <w:szCs w:val="30"/>
        </w:rPr>
        <w:t>总监理工程师有权在施工场地、库房以及为工程生产、加工、制配材料、设备的地点（无论这些地点是否属于承包人管辖）检查和检验按合同提供的材料、设备。承包人应为总监理工程师的检查和检验提供一切便利，包括提供人员和设备、材料等。总监理工程师的检查结果证明该材料、设备不符合合同要求的，必须拒绝这些材料、设备的使用，立即通知承包人并说明拒绝的理由。承包人在接到总监理工程师的通知后必须立即更换被拒绝的材料、设备。承包人拒不执行上述指令，则发包人有权雇佣他人代为实施，由此产生的其他相关费用由承包人承担。</w:t>
      </w:r>
    </w:p>
    <w:p w14:paraId="5DCE367A">
      <w:pPr>
        <w:numPr>
          <w:ilvl w:val="255"/>
          <w:numId w:val="0"/>
        </w:numPr>
        <w:wordWrap/>
        <w:topLinePunct w:val="0"/>
        <w:spacing w:after="120"/>
        <w:ind w:firstLine="600" w:firstLineChars="200"/>
        <w:rPr>
          <w:rFonts w:ascii="仿宋_GB2312" w:eastAsia="仿宋_GB2312"/>
          <w:sz w:val="30"/>
          <w:szCs w:val="30"/>
        </w:rPr>
      </w:pPr>
      <w:r>
        <w:rPr>
          <w:rFonts w:hint="eastAsia" w:ascii="仿宋_GB2312" w:eastAsia="仿宋_GB2312"/>
          <w:sz w:val="30"/>
          <w:szCs w:val="30"/>
        </w:rPr>
        <w:t>发包人和总监理工程师认为有必要的，有权对已检查、检验过的材料、设备进行重复检查、检验，承包人应遵照执行。重复检查、检验的程序和内容适用前款约定。</w:t>
      </w:r>
    </w:p>
    <w:p w14:paraId="56B140A3">
      <w:pPr>
        <w:numPr>
          <w:ilvl w:val="255"/>
          <w:numId w:val="0"/>
        </w:numPr>
        <w:wordWrap/>
        <w:topLinePunct w:val="0"/>
        <w:spacing w:after="120"/>
        <w:ind w:firstLine="600" w:firstLineChars="200"/>
        <w:rPr>
          <w:rFonts w:ascii="仿宋_GB2312" w:eastAsia="仿宋_GB2312"/>
          <w:sz w:val="30"/>
          <w:szCs w:val="30"/>
        </w:rPr>
      </w:pPr>
      <w:r>
        <w:rPr>
          <w:rFonts w:hint="eastAsia" w:ascii="仿宋_GB2312" w:eastAsia="仿宋_GB2312"/>
          <w:sz w:val="30"/>
          <w:szCs w:val="30"/>
        </w:rPr>
        <w:t>在施工过程中，总监理工程师有权随时对工程材料、设备的使用进行抽查，包括成品、半成品、器具、设备、附件、小五金等。抽查范围、比例、数量、批次及检查深度可比照国家现行施工质量验收规范和相关规定有所提高。</w:t>
      </w:r>
    </w:p>
    <w:p w14:paraId="55C179E9">
      <w:pPr>
        <w:numPr>
          <w:ilvl w:val="255"/>
          <w:numId w:val="0"/>
        </w:numPr>
        <w:wordWrap/>
        <w:topLinePunct w:val="0"/>
        <w:spacing w:after="120"/>
        <w:ind w:firstLine="600" w:firstLineChars="200"/>
        <w:rPr>
          <w:rFonts w:ascii="仿宋_GB2312" w:eastAsia="仿宋_GB2312"/>
          <w:sz w:val="30"/>
          <w:szCs w:val="30"/>
        </w:rPr>
      </w:pPr>
      <w:r>
        <w:rPr>
          <w:rFonts w:hint="eastAsia" w:ascii="仿宋_GB2312" w:eastAsia="仿宋_GB2312"/>
          <w:sz w:val="30"/>
          <w:szCs w:val="30"/>
        </w:rPr>
        <w:t>工程材料、设备的质量依据下列顺序之标准认定（排序在前者优先）：</w:t>
      </w:r>
    </w:p>
    <w:p w14:paraId="421BCCDD">
      <w:pPr>
        <w:wordWrap/>
        <w:topLinePunct w:val="0"/>
        <w:spacing w:after="120"/>
        <w:ind w:firstLine="600"/>
        <w:rPr>
          <w:rFonts w:ascii="仿宋_GB2312" w:eastAsia="仿宋_GB2312"/>
          <w:sz w:val="30"/>
          <w:szCs w:val="30"/>
        </w:rPr>
      </w:pPr>
      <w:r>
        <w:rPr>
          <w:rFonts w:hint="eastAsia" w:ascii="仿宋_GB2312" w:eastAsia="仿宋_GB2312"/>
          <w:sz w:val="30"/>
          <w:szCs w:val="30"/>
        </w:rPr>
        <w:t>①经设计单位（方案及初步设计单位以及施工图设计单位）、监理人、承包人、发包人共同认定的产品封样、样板（包括样板房等）；</w:t>
      </w:r>
    </w:p>
    <w:p w14:paraId="1FAB50D0">
      <w:pPr>
        <w:wordWrap/>
        <w:topLinePunct w:val="0"/>
        <w:spacing w:after="120"/>
        <w:ind w:firstLine="600"/>
        <w:rPr>
          <w:rFonts w:ascii="仿宋_GB2312" w:eastAsia="仿宋_GB2312"/>
          <w:sz w:val="30"/>
          <w:szCs w:val="30"/>
        </w:rPr>
      </w:pPr>
      <w:r>
        <w:rPr>
          <w:rFonts w:hint="eastAsia" w:ascii="仿宋_GB2312" w:eastAsia="仿宋_GB2312"/>
          <w:sz w:val="30"/>
          <w:szCs w:val="30"/>
        </w:rPr>
        <w:t>②本合同工程设计图纸规定的设计标准和发包人制定的材料标准及技术要求；</w:t>
      </w:r>
    </w:p>
    <w:p w14:paraId="0F548709">
      <w:pPr>
        <w:wordWrap/>
        <w:topLinePunct w:val="0"/>
        <w:spacing w:after="120"/>
        <w:ind w:firstLine="600"/>
        <w:rPr>
          <w:rFonts w:ascii="仿宋_GB2312" w:eastAsia="仿宋_GB2312"/>
          <w:sz w:val="30"/>
          <w:szCs w:val="30"/>
        </w:rPr>
      </w:pPr>
      <w:r>
        <w:rPr>
          <w:rFonts w:hint="eastAsia" w:ascii="仿宋_GB2312" w:eastAsia="仿宋_GB2312"/>
          <w:sz w:val="30"/>
          <w:szCs w:val="30"/>
        </w:rPr>
        <w:t>③招投标时确定的规格、技术指标、质量标准、品牌等；</w:t>
      </w:r>
    </w:p>
    <w:p w14:paraId="02FA4D43">
      <w:pPr>
        <w:wordWrap/>
        <w:topLinePunct w:val="0"/>
        <w:spacing w:after="120"/>
        <w:ind w:firstLine="600"/>
        <w:rPr>
          <w:rFonts w:ascii="仿宋_GB2312" w:eastAsia="仿宋_GB2312"/>
          <w:sz w:val="30"/>
          <w:szCs w:val="30"/>
        </w:rPr>
      </w:pPr>
      <w:r>
        <w:rPr>
          <w:rFonts w:hint="eastAsia" w:ascii="仿宋_GB2312" w:eastAsia="仿宋_GB2312"/>
          <w:sz w:val="30"/>
          <w:szCs w:val="30"/>
        </w:rPr>
        <w:t>④国家或行业强制执行的技术标准、技术规范。</w:t>
      </w:r>
    </w:p>
    <w:p w14:paraId="194C83EB">
      <w:pPr>
        <w:numPr>
          <w:ilvl w:val="255"/>
          <w:numId w:val="0"/>
        </w:numPr>
        <w:wordWrap/>
        <w:topLinePunct w:val="0"/>
        <w:spacing w:after="120"/>
        <w:ind w:firstLine="600"/>
        <w:rPr>
          <w:rFonts w:ascii="仿宋_GB2312" w:eastAsia="仿宋_GB2312"/>
          <w:sz w:val="30"/>
          <w:szCs w:val="30"/>
        </w:rPr>
      </w:pPr>
      <w:r>
        <w:rPr>
          <w:rFonts w:hint="eastAsia" w:ascii="仿宋_GB2312" w:eastAsia="仿宋_GB2312"/>
          <w:sz w:val="30"/>
          <w:szCs w:val="30"/>
        </w:rPr>
        <w:t>工程材料、设备的抽查、检验结果与前款约定不符的，总监理工程师必须扩大对该批材料的抽查范围、增加数量抽检，同时，涉及工程结构安全和使用功能的检测必须是委托有资质的第三方检测试验单位进行检测试验并执行《建筑节能工程施工质量验收规范（GB50411-2019</w:t>
      </w:r>
      <w:r>
        <w:rPr>
          <w:rFonts w:ascii="仿宋_GB2312" w:eastAsia="仿宋_GB2312"/>
          <w:sz w:val="30"/>
          <w:szCs w:val="30"/>
        </w:rPr>
        <w:t>）》。扩大检测检验仍不合格的，承包人必须在发包人或监理人书面通知的限期内全部无条件拆除、更换，并运出施工现场；由此所造成的工期延误、费用增加等一切损失均由承包人承担。同时，承包人还应当按合同专用条款第15条相关约定承担违约责任。</w:t>
      </w:r>
    </w:p>
    <w:p w14:paraId="3937C031">
      <w:pPr>
        <w:numPr>
          <w:ilvl w:val="255"/>
          <w:numId w:val="0"/>
        </w:numPr>
        <w:wordWrap/>
        <w:topLinePunct w:val="0"/>
        <w:spacing w:after="120"/>
        <w:ind w:firstLine="600" w:firstLineChars="200"/>
        <w:rPr>
          <w:rFonts w:ascii="仿宋_GB2312" w:eastAsia="仿宋_GB2312"/>
          <w:sz w:val="30"/>
          <w:szCs w:val="30"/>
        </w:rPr>
      </w:pPr>
      <w:r>
        <w:rPr>
          <w:rFonts w:hint="eastAsia" w:ascii="仿宋_GB2312" w:eastAsia="仿宋_GB2312"/>
          <w:sz w:val="30"/>
          <w:szCs w:val="30"/>
        </w:rPr>
        <w:t>总监理工程师对材料、设备或工程进行检查、检验的费用由承包人负担。总监理工程师或发包人进行重复检查、检验的，检查、检验的结果证明材料、设备或工程不符合合同、技术规范要求的，费用由承包人承担；符合合同、招标文件、技术规范要求的，费用由发包人承担。</w:t>
      </w:r>
    </w:p>
    <w:p w14:paraId="51FCCCE5">
      <w:pPr>
        <w:numPr>
          <w:ilvl w:val="255"/>
          <w:numId w:val="0"/>
        </w:numPr>
        <w:wordWrap/>
        <w:topLinePunct w:val="0"/>
        <w:spacing w:after="120"/>
        <w:ind w:firstLine="600" w:firstLineChars="200"/>
        <w:rPr>
          <w:rFonts w:ascii="仿宋_GB2312" w:eastAsia="仿宋_GB2312"/>
          <w:sz w:val="30"/>
          <w:szCs w:val="30"/>
        </w:rPr>
      </w:pPr>
      <w:r>
        <w:rPr>
          <w:rFonts w:hint="eastAsia" w:ascii="仿宋_GB2312" w:eastAsia="仿宋_GB2312"/>
          <w:sz w:val="30"/>
          <w:szCs w:val="30"/>
        </w:rPr>
        <w:t>本工程施工采用的主要材料推荐须选用《</w:t>
      </w:r>
      <w:r>
        <w:rPr>
          <w:rFonts w:ascii="仿宋_GB2312" w:eastAsia="仿宋_GB2312"/>
          <w:sz w:val="30"/>
          <w:szCs w:val="30"/>
        </w:rPr>
        <w:t>******</w:t>
      </w:r>
      <w:r>
        <w:rPr>
          <w:rFonts w:hint="eastAsia" w:ascii="仿宋_GB2312" w:eastAsia="仿宋_GB2312"/>
          <w:sz w:val="30"/>
          <w:szCs w:val="30"/>
        </w:rPr>
        <w:t>项目主要材料设备参考品牌》中的品牌（或厂家）或选用相当于该档次（或以上）的产品。所有材料品牌选择均须在采购前</w:t>
      </w:r>
      <w:r>
        <w:rPr>
          <w:rFonts w:ascii="仿宋_GB2312" w:eastAsia="仿宋_GB2312"/>
          <w:sz w:val="30"/>
          <w:szCs w:val="30"/>
        </w:rPr>
        <w:t>42天报使用方、发包人、总监理工程师确认，且经检验合格后方能使用。发包人要求提交样板时，承包人应提交样板材料设备。</w:t>
      </w:r>
    </w:p>
    <w:p w14:paraId="3AD700CA">
      <w:pPr>
        <w:numPr>
          <w:ilvl w:val="255"/>
          <w:numId w:val="0"/>
        </w:numPr>
        <w:wordWrap/>
        <w:topLinePunct w:val="0"/>
        <w:spacing w:after="120"/>
        <w:ind w:firstLine="600" w:firstLineChars="200"/>
        <w:rPr>
          <w:rFonts w:ascii="仿宋_GB2312" w:eastAsia="仿宋_GB2312"/>
          <w:sz w:val="30"/>
          <w:szCs w:val="30"/>
        </w:rPr>
      </w:pPr>
      <w:r>
        <w:rPr>
          <w:rFonts w:hint="eastAsia" w:ascii="仿宋_GB2312" w:eastAsia="仿宋_GB2312"/>
          <w:sz w:val="30"/>
          <w:szCs w:val="30"/>
        </w:rPr>
        <w:t>承包人在采购不是发包人在招标文件发布的主要推荐品牌表中所确定的主要材料品牌，须将拟定采购供应的材料生产或供应的厂家的企业概况（包括名称、注册资金、生产许可证、年产量等）、产品质量合格证书以及反映厂家实力的证明材料等报给监理工程师，待批准后才能采购使用。否则，监理工程师认为其提供不合格材料，并按规定处理。</w:t>
      </w:r>
    </w:p>
    <w:p w14:paraId="6CEBC711">
      <w:pPr>
        <w:wordWrap/>
        <w:topLinePunct w:val="0"/>
        <w:spacing w:after="120"/>
        <w:ind w:firstLine="600"/>
        <w:rPr>
          <w:rFonts w:ascii="仿宋_GB2312" w:eastAsia="仿宋_GB2312"/>
          <w:sz w:val="30"/>
          <w:szCs w:val="30"/>
        </w:rPr>
      </w:pPr>
      <w:r>
        <w:rPr>
          <w:rFonts w:hint="eastAsia" w:ascii="仿宋_GB2312" w:eastAsia="仿宋_GB2312"/>
          <w:sz w:val="30"/>
          <w:szCs w:val="30"/>
        </w:rPr>
        <w:t>6.4.1.5承包人应当按照发包人、总监理工程师及有关规范要求，对施工各工序报验检查的质量控制点，先自检后报请监理工程师复检。总监理工程师在接到承包人的自检结果后，应当及时复检。经复检发现存在质量问题的，则该工序质量为不合格，承包人必须全部返工，由此所产生的工期延误和费用增加等全部损失由承包人承担，并由承包人按合同专用条款第15条</w:t>
      </w:r>
      <w:r>
        <w:rPr>
          <w:rFonts w:ascii="仿宋_GB2312" w:eastAsia="仿宋_GB2312"/>
          <w:sz w:val="30"/>
          <w:szCs w:val="30"/>
        </w:rPr>
        <w:t>相关约定承担违约责任。</w:t>
      </w:r>
    </w:p>
    <w:p w14:paraId="2549E924">
      <w:pPr>
        <w:wordWrap/>
        <w:topLinePunct w:val="0"/>
        <w:spacing w:after="120"/>
        <w:ind w:firstLine="600"/>
        <w:rPr>
          <w:rFonts w:ascii="仿宋_GB2312" w:eastAsia="仿宋_GB2312"/>
          <w:sz w:val="30"/>
          <w:szCs w:val="30"/>
        </w:rPr>
      </w:pPr>
      <w:r>
        <w:rPr>
          <w:rFonts w:ascii="仿宋_GB2312" w:eastAsia="仿宋_GB2312"/>
          <w:sz w:val="30"/>
          <w:szCs w:val="30"/>
        </w:rPr>
        <w:t>6.4.1.</w:t>
      </w:r>
      <w:r>
        <w:rPr>
          <w:rFonts w:hint="eastAsia" w:ascii="仿宋_GB2312" w:eastAsia="仿宋_GB2312"/>
          <w:sz w:val="30"/>
          <w:szCs w:val="30"/>
        </w:rPr>
        <w:t>6总监理工程师发现工程存在重大质量问题时，必须立即下达停工整改令。承包人必须在</w:t>
      </w:r>
      <w:r>
        <w:rPr>
          <w:rFonts w:ascii="仿宋_GB2312" w:eastAsia="仿宋_GB2312"/>
          <w:sz w:val="30"/>
          <w:szCs w:val="30"/>
        </w:rPr>
        <w:t>5天内书面提出整改措施，经总监理工程师和发包人批准后实施整改，由此所产生的工期延误和费用增加等全部损失，由承包人承担。承包人拒绝整改的，发包人有权暂停拨付工程款，并将未完工程另行发包。</w:t>
      </w:r>
    </w:p>
    <w:p w14:paraId="0FF81BDD">
      <w:pPr>
        <w:wordWrap/>
        <w:topLinePunct w:val="0"/>
        <w:spacing w:after="120"/>
        <w:ind w:firstLine="600"/>
        <w:rPr>
          <w:rFonts w:ascii="仿宋_GB2312" w:eastAsia="仿宋_GB2312"/>
          <w:sz w:val="30"/>
          <w:szCs w:val="30"/>
        </w:rPr>
      </w:pPr>
      <w:r>
        <w:rPr>
          <w:rFonts w:ascii="仿宋_GB2312" w:eastAsia="仿宋_GB2312"/>
          <w:sz w:val="30"/>
          <w:szCs w:val="30"/>
        </w:rPr>
        <w:t>6.4.1.</w:t>
      </w:r>
      <w:r>
        <w:rPr>
          <w:rFonts w:hint="eastAsia" w:ascii="仿宋_GB2312" w:eastAsia="仿宋_GB2312"/>
          <w:sz w:val="30"/>
          <w:szCs w:val="30"/>
        </w:rPr>
        <w:t>7承包人承诺：无论总监理工程师对工程是否进行并通过了各项检验，均不解除承包人对其承包的工程的质量所负的任何责任，除非质量问题是由于发包人责任原因引起，而此类质量问题承包人须及时通知总监理工程师。在采用承包人设计的施工图施工和由承包人自行采购的材料、设备时，设计和制造所引起的质量责任由承包人承担。</w:t>
      </w:r>
    </w:p>
    <w:p w14:paraId="58F82405">
      <w:pPr>
        <w:wordWrap/>
        <w:topLinePunct w:val="0"/>
        <w:spacing w:after="120"/>
        <w:ind w:firstLine="600"/>
        <w:rPr>
          <w:rFonts w:ascii="仿宋_GB2312" w:eastAsia="仿宋_GB2312"/>
          <w:sz w:val="30"/>
          <w:szCs w:val="30"/>
        </w:rPr>
      </w:pPr>
      <w:r>
        <w:rPr>
          <w:rFonts w:ascii="仿宋_GB2312" w:eastAsia="仿宋_GB2312"/>
          <w:sz w:val="30"/>
          <w:szCs w:val="30"/>
        </w:rPr>
        <w:t>6.4.1.</w:t>
      </w:r>
      <w:r>
        <w:rPr>
          <w:rFonts w:hint="eastAsia" w:ascii="仿宋_GB2312" w:eastAsia="仿宋_GB2312"/>
          <w:sz w:val="30"/>
          <w:szCs w:val="30"/>
        </w:rPr>
        <w:t>8承包人承诺：无论工程材料是由承包人自行供应或是由发包人通过公开择优选定的供应商供应，均不解除承包人所负的工程全面质量的责任。承包人应该对各种材料按规范进行检查验收，拒绝不符合要求的材料用于工程。无论何种原因，出现不合格材料用于工程的情况，均由承包人承担应有的责任。</w:t>
      </w:r>
    </w:p>
    <w:p w14:paraId="7CAE55E5">
      <w:pPr>
        <w:wordWrap/>
        <w:topLinePunct w:val="0"/>
        <w:spacing w:after="120"/>
        <w:ind w:firstLine="600"/>
        <w:rPr>
          <w:rFonts w:ascii="仿宋_GB2312" w:eastAsia="仿宋_GB2312"/>
          <w:sz w:val="30"/>
          <w:szCs w:val="30"/>
        </w:rPr>
      </w:pPr>
      <w:r>
        <w:rPr>
          <w:rFonts w:ascii="仿宋_GB2312" w:eastAsia="仿宋_GB2312"/>
          <w:sz w:val="30"/>
          <w:szCs w:val="30"/>
        </w:rPr>
        <w:t>6.4.1.</w:t>
      </w:r>
      <w:r>
        <w:rPr>
          <w:rFonts w:hint="eastAsia" w:ascii="仿宋_GB2312" w:eastAsia="仿宋_GB2312"/>
          <w:sz w:val="30"/>
          <w:szCs w:val="30"/>
        </w:rPr>
        <w:t>9承包人应保证按照国家、地方、行业的有关规定，准确、及时做好日常工程技术资料的记录、整理和归档工作，保证记录中原始数据的真实性和及时性，监理人或发包人有权抽查承包人日常工程技术资料的整理工作，若发现未按照规定及时做好资料整理工作，每发现三次，则按合同条款第15条</w:t>
      </w:r>
      <w:r>
        <w:rPr>
          <w:rFonts w:ascii="仿宋_GB2312" w:eastAsia="仿宋_GB2312"/>
          <w:sz w:val="30"/>
          <w:szCs w:val="30"/>
        </w:rPr>
        <w:t>相关条款的约定承担违约责任。若发现原始记录数据不存在、不真实、不完整，经监理人确认，发包人有权拒绝相应部分工程的工程量计量与支付，并视情节轻重，由承包人按照合同条款第15条相关条款的约定承担违约责任。</w:t>
      </w:r>
    </w:p>
    <w:p w14:paraId="109D17AD">
      <w:pPr>
        <w:wordWrap/>
        <w:topLinePunct w:val="0"/>
        <w:spacing w:after="120"/>
        <w:ind w:firstLine="600"/>
        <w:rPr>
          <w:rFonts w:ascii="仿宋_GB2312" w:eastAsia="仿宋_GB2312"/>
          <w:sz w:val="30"/>
          <w:szCs w:val="30"/>
        </w:rPr>
      </w:pPr>
      <w:r>
        <w:rPr>
          <w:rFonts w:ascii="仿宋_GB2312" w:eastAsia="仿宋_GB2312"/>
          <w:sz w:val="30"/>
          <w:szCs w:val="30"/>
        </w:rPr>
        <w:t xml:space="preserve">6.4.2 </w:t>
      </w:r>
      <w:r>
        <w:rPr>
          <w:rFonts w:hint="eastAsia" w:ascii="仿宋_GB2312" w:eastAsia="仿宋_GB2312"/>
          <w:sz w:val="30"/>
          <w:szCs w:val="30"/>
        </w:rPr>
        <w:t>质量检查</w:t>
      </w:r>
    </w:p>
    <w:p w14:paraId="00756E4C">
      <w:pPr>
        <w:wordWrap/>
        <w:topLinePunct w:val="0"/>
        <w:spacing w:after="120"/>
        <w:ind w:firstLine="600"/>
        <w:rPr>
          <w:rFonts w:ascii="仿宋_GB2312" w:eastAsia="仿宋_GB2312"/>
          <w:sz w:val="30"/>
          <w:szCs w:val="30"/>
        </w:rPr>
      </w:pPr>
      <w:r>
        <w:rPr>
          <w:rFonts w:hint="eastAsia" w:ascii="仿宋_GB2312" w:eastAsia="仿宋_GB2312"/>
          <w:sz w:val="30"/>
          <w:szCs w:val="30"/>
        </w:rPr>
        <w:t>除通用合同条件已列明的质量检查的地点外，发包人有权进行质量检查的其他地点：</w:t>
      </w:r>
      <w:r>
        <w:rPr>
          <w:rFonts w:hint="eastAsia" w:ascii="仿宋_GB2312" w:eastAsia="仿宋_GB2312"/>
          <w:sz w:val="30"/>
          <w:szCs w:val="30"/>
          <w:u w:val="single"/>
        </w:rPr>
        <w:t>按合同要求</w:t>
      </w:r>
      <w:r>
        <w:rPr>
          <w:rFonts w:hint="eastAsia" w:ascii="仿宋_GB2312" w:eastAsia="仿宋_GB2312"/>
          <w:sz w:val="30"/>
          <w:szCs w:val="30"/>
        </w:rPr>
        <w:t>。</w:t>
      </w:r>
    </w:p>
    <w:p w14:paraId="54FF9767">
      <w:pPr>
        <w:wordWrap/>
        <w:topLinePunct w:val="0"/>
        <w:spacing w:after="120"/>
        <w:ind w:firstLine="600"/>
        <w:rPr>
          <w:rFonts w:ascii="仿宋_GB2312" w:eastAsia="仿宋_GB2312"/>
          <w:sz w:val="30"/>
          <w:szCs w:val="30"/>
        </w:rPr>
      </w:pPr>
      <w:r>
        <w:rPr>
          <w:rFonts w:ascii="仿宋_GB2312" w:eastAsia="仿宋_GB2312"/>
          <w:sz w:val="30"/>
          <w:szCs w:val="30"/>
        </w:rPr>
        <w:t xml:space="preserve">6.4.3 </w:t>
      </w:r>
      <w:r>
        <w:rPr>
          <w:rFonts w:hint="eastAsia" w:ascii="仿宋_GB2312" w:eastAsia="仿宋_GB2312"/>
          <w:sz w:val="30"/>
          <w:szCs w:val="30"/>
        </w:rPr>
        <w:t>隐蔽工程检查</w:t>
      </w:r>
    </w:p>
    <w:p w14:paraId="191EBA9C">
      <w:pPr>
        <w:wordWrap/>
        <w:topLinePunct w:val="0"/>
        <w:spacing w:after="120"/>
        <w:ind w:firstLine="600"/>
        <w:rPr>
          <w:rFonts w:ascii="仿宋_GB2312" w:eastAsia="仿宋_GB2312"/>
          <w:sz w:val="30"/>
          <w:szCs w:val="30"/>
        </w:rPr>
      </w:pPr>
      <w:r>
        <w:rPr>
          <w:rFonts w:hint="eastAsia" w:ascii="仿宋_GB2312" w:eastAsia="仿宋_GB2312"/>
          <w:sz w:val="30"/>
          <w:szCs w:val="30"/>
        </w:rPr>
        <w:t>关于隐蔽工程和中间验收的特别约定：</w:t>
      </w:r>
      <w:r>
        <w:rPr>
          <w:rFonts w:hint="eastAsia" w:ascii="仿宋_GB2312" w:eastAsia="仿宋_GB2312"/>
          <w:sz w:val="30"/>
          <w:szCs w:val="30"/>
          <w:u w:val="single"/>
        </w:rPr>
        <w:t>按穗建监字（</w:t>
      </w:r>
      <w:r>
        <w:rPr>
          <w:rFonts w:ascii="仿宋_GB2312" w:eastAsia="仿宋_GB2312"/>
          <w:sz w:val="30"/>
          <w:szCs w:val="30"/>
          <w:u w:val="single"/>
        </w:rPr>
        <w:t>2001）068号文件执行</w:t>
      </w:r>
      <w:r>
        <w:rPr>
          <w:rFonts w:hint="eastAsia" w:ascii="仿宋_GB2312" w:eastAsia="仿宋_GB2312"/>
          <w:sz w:val="30"/>
          <w:szCs w:val="30"/>
        </w:rPr>
        <w:t>。验收人员组成：发包人、监理人、承包人、专业承包人及其它有关单位。验收程序如下：</w:t>
      </w:r>
    </w:p>
    <w:p w14:paraId="1F483279">
      <w:pPr>
        <w:wordWrap/>
        <w:topLinePunct w:val="0"/>
        <w:spacing w:after="120"/>
        <w:ind w:firstLine="600"/>
        <w:rPr>
          <w:rFonts w:ascii="仿宋_GB2312" w:eastAsia="仿宋_GB2312"/>
          <w:sz w:val="30"/>
          <w:szCs w:val="30"/>
        </w:rPr>
      </w:pPr>
      <w:r>
        <w:rPr>
          <w:rFonts w:hint="eastAsia" w:ascii="仿宋_GB2312" w:eastAsia="仿宋_GB2312"/>
          <w:sz w:val="30"/>
          <w:szCs w:val="30"/>
        </w:rPr>
        <w:t>（1）工程具备隐蔽条件或达到专用条款约定的中间验收部位，承包人进行自检，并在隐蔽或中间验收前48小时以书面形式通知监理工程师验收。通知包括隐蔽和中间验收的内容、验收时间和地点。承包人准备验收记录，验收合格，监理工程师在验收记录上签字后，承包人可进行隐蔽和继续施工。验收不合格，承包人在监理工程师限定的时间内修改后重新验收。</w:t>
      </w:r>
    </w:p>
    <w:p w14:paraId="0320EB46">
      <w:pPr>
        <w:wordWrap/>
        <w:topLinePunct w:val="0"/>
        <w:spacing w:after="120"/>
        <w:ind w:firstLine="600"/>
        <w:rPr>
          <w:rFonts w:ascii="仿宋_GB2312" w:eastAsia="仿宋_GB2312"/>
          <w:sz w:val="30"/>
          <w:szCs w:val="30"/>
        </w:rPr>
      </w:pPr>
      <w:r>
        <w:rPr>
          <w:rFonts w:hint="eastAsia" w:ascii="仿宋_GB2312" w:eastAsia="仿宋_GB2312"/>
          <w:sz w:val="30"/>
          <w:szCs w:val="30"/>
        </w:rPr>
        <w:t>（2）监理工程师不能按时进行验收，应在验收前24小时以书面形式向承包人提出延期要求，延期不能超过48小时。监理工程师未能按以上时间提出延期要求，不进行验收，承包人可自行组织验收，监理工程师应承认验收记录。</w:t>
      </w:r>
    </w:p>
    <w:p w14:paraId="7D59A3E3">
      <w:pPr>
        <w:wordWrap/>
        <w:topLinePunct w:val="0"/>
        <w:spacing w:after="120"/>
        <w:ind w:firstLine="600"/>
        <w:rPr>
          <w:rFonts w:ascii="仿宋_GB2312" w:eastAsia="仿宋_GB2312"/>
          <w:sz w:val="30"/>
          <w:szCs w:val="30"/>
        </w:rPr>
      </w:pPr>
      <w:r>
        <w:rPr>
          <w:rFonts w:hint="eastAsia" w:ascii="仿宋_GB2312" w:eastAsia="仿宋_GB2312"/>
          <w:sz w:val="30"/>
          <w:szCs w:val="30"/>
        </w:rPr>
        <w:t>（3）经监理工程师验收，工程质量符合标准、规范和设计图纸等要求，验收24小时后，监理工程师不在验收记录上签字，视为监理工程师已经认可验收记录，承包人可进行隐蔽或继续施工。</w:t>
      </w:r>
    </w:p>
    <w:p w14:paraId="02B294EF">
      <w:pPr>
        <w:wordWrap/>
        <w:topLinePunct w:val="0"/>
        <w:spacing w:after="120"/>
        <w:ind w:firstLine="600"/>
        <w:rPr>
          <w:rFonts w:ascii="仿宋_GB2312" w:eastAsia="仿宋_GB2312"/>
          <w:sz w:val="30"/>
          <w:szCs w:val="30"/>
        </w:rPr>
      </w:pPr>
      <w:r>
        <w:rPr>
          <w:rFonts w:hint="eastAsia" w:ascii="仿宋_GB2312" w:eastAsia="仿宋_GB2312"/>
          <w:sz w:val="30"/>
          <w:szCs w:val="30"/>
        </w:rPr>
        <w:t>（4）隐蔽工程或中间验收部位未经监理工程师验收合格，不得隐蔽或继续施工；否则，该部分工程被视为不合格，由此所产生的返工费用由承包人承担。</w:t>
      </w:r>
    </w:p>
    <w:p w14:paraId="2BA5AD55">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6.5 由承包人试验和检验</w:t>
      </w:r>
    </w:p>
    <w:p w14:paraId="29452BEF">
      <w:pPr>
        <w:wordWrap/>
        <w:topLinePunct w:val="0"/>
        <w:spacing w:after="120"/>
        <w:ind w:firstLine="600"/>
        <w:rPr>
          <w:rFonts w:ascii="仿宋_GB2312" w:eastAsia="仿宋_GB2312"/>
          <w:sz w:val="30"/>
          <w:szCs w:val="30"/>
        </w:rPr>
      </w:pPr>
      <w:r>
        <w:rPr>
          <w:rFonts w:hint="eastAsia" w:ascii="仿宋_GB2312" w:eastAsia="仿宋_GB2312"/>
          <w:sz w:val="30"/>
          <w:szCs w:val="30"/>
        </w:rPr>
        <w:t>6</w:t>
      </w:r>
      <w:r>
        <w:rPr>
          <w:rFonts w:ascii="仿宋_GB2312" w:eastAsia="仿宋_GB2312"/>
          <w:sz w:val="30"/>
          <w:szCs w:val="30"/>
        </w:rPr>
        <w:t xml:space="preserve">.5.1 </w:t>
      </w:r>
      <w:r>
        <w:rPr>
          <w:rFonts w:hint="eastAsia" w:ascii="仿宋_GB2312" w:eastAsia="仿宋_GB2312"/>
          <w:sz w:val="30"/>
          <w:szCs w:val="30"/>
        </w:rPr>
        <w:t>试验设备与试验人员</w:t>
      </w:r>
    </w:p>
    <w:p w14:paraId="2A85894A">
      <w:pPr>
        <w:wordWrap/>
        <w:topLinePunct w:val="0"/>
        <w:spacing w:after="120"/>
        <w:ind w:firstLine="600"/>
        <w:rPr>
          <w:rFonts w:ascii="仿宋_GB2312" w:eastAsia="仿宋_GB2312"/>
          <w:sz w:val="30"/>
          <w:szCs w:val="30"/>
        </w:rPr>
      </w:pPr>
      <w:r>
        <w:rPr>
          <w:rFonts w:hint="eastAsia" w:ascii="仿宋_GB2312" w:eastAsia="仿宋_GB2312"/>
          <w:sz w:val="30"/>
          <w:szCs w:val="30"/>
        </w:rPr>
        <w:t>试验的内容、时间和地点：</w:t>
      </w:r>
      <w:r>
        <w:rPr>
          <w:rFonts w:ascii="仿宋_GB2312" w:eastAsia="仿宋_GB2312"/>
          <w:sz w:val="30"/>
          <w:szCs w:val="30"/>
          <w:u w:val="single"/>
        </w:rPr>
        <w:t xml:space="preserve">     按工程师通知           </w:t>
      </w:r>
      <w:r>
        <w:rPr>
          <w:rFonts w:hint="eastAsia" w:ascii="仿宋_GB2312" w:eastAsia="仿宋_GB2312"/>
          <w:sz w:val="30"/>
          <w:szCs w:val="30"/>
        </w:rPr>
        <w:t>。</w:t>
      </w:r>
    </w:p>
    <w:p w14:paraId="68F7DD58">
      <w:pPr>
        <w:wordWrap/>
        <w:topLinePunct w:val="0"/>
        <w:spacing w:after="120"/>
        <w:ind w:firstLine="600"/>
        <w:rPr>
          <w:rFonts w:ascii="仿宋_GB2312" w:eastAsia="仿宋_GB2312"/>
          <w:sz w:val="30"/>
          <w:szCs w:val="30"/>
        </w:rPr>
      </w:pPr>
      <w:r>
        <w:rPr>
          <w:rFonts w:hint="eastAsia" w:ascii="仿宋_GB2312" w:eastAsia="仿宋_GB2312"/>
          <w:sz w:val="30"/>
          <w:szCs w:val="30"/>
        </w:rPr>
        <w:t>试验所需要的试验设备、取样装置、试验场所和试验条件：</w:t>
      </w:r>
      <w:r>
        <w:rPr>
          <w:rFonts w:ascii="仿宋_GB2312" w:eastAsia="仿宋_GB2312"/>
          <w:sz w:val="30"/>
          <w:szCs w:val="30"/>
          <w:u w:val="single"/>
        </w:rPr>
        <w:t xml:space="preserve">        按工程师</w:t>
      </w:r>
      <w:r>
        <w:rPr>
          <w:rFonts w:hint="eastAsia" w:ascii="仿宋_GB2312" w:eastAsia="仿宋_GB2312"/>
          <w:sz w:val="30"/>
          <w:szCs w:val="30"/>
          <w:u w:val="single"/>
        </w:rPr>
        <w:t>要求</w:t>
      </w:r>
      <w:r>
        <w:rPr>
          <w:rFonts w:hint="eastAsia" w:ascii="仿宋_GB2312" w:eastAsia="仿宋_GB2312"/>
          <w:sz w:val="30"/>
          <w:szCs w:val="30"/>
        </w:rPr>
        <w:t>。</w:t>
      </w:r>
    </w:p>
    <w:p w14:paraId="7DD4B5AA">
      <w:pPr>
        <w:wordWrap/>
        <w:topLinePunct w:val="0"/>
        <w:spacing w:after="120"/>
        <w:ind w:firstLine="600"/>
        <w:rPr>
          <w:rFonts w:ascii="仿宋_GB2312" w:eastAsia="仿宋_GB2312"/>
          <w:sz w:val="30"/>
          <w:szCs w:val="30"/>
          <w:u w:val="single"/>
        </w:rPr>
      </w:pPr>
      <w:r>
        <w:rPr>
          <w:rFonts w:hint="eastAsia" w:ascii="仿宋_GB2312" w:eastAsia="仿宋_GB2312"/>
          <w:sz w:val="30"/>
          <w:szCs w:val="30"/>
        </w:rPr>
        <w:t>试验和检验费用的计价原则：</w:t>
      </w:r>
      <w:r>
        <w:rPr>
          <w:rFonts w:hint="eastAsia" w:ascii="仿宋_GB2312" w:eastAsia="仿宋_GB2312"/>
          <w:sz w:val="30"/>
          <w:szCs w:val="30"/>
          <w:u w:val="single"/>
        </w:rPr>
        <w:t xml:space="preserve"> 双方协商</w:t>
      </w:r>
      <w:r>
        <w:rPr>
          <w:rFonts w:hint="eastAsia" w:ascii="仿宋_GB2312" w:eastAsia="仿宋_GB2312"/>
          <w:sz w:val="30"/>
          <w:szCs w:val="30"/>
        </w:rPr>
        <w:t>。</w:t>
      </w:r>
    </w:p>
    <w:p w14:paraId="2EEA8B96">
      <w:pPr>
        <w:wordWrap/>
        <w:topLinePunct w:val="0"/>
        <w:spacing w:after="120"/>
        <w:ind w:firstLine="0" w:firstLineChars="0"/>
        <w:outlineLvl w:val="1"/>
        <w:rPr>
          <w:rFonts w:ascii="仿宋" w:hAnsi="仿宋" w:eastAsia="仿宋" w:cs="仿宋"/>
          <w:sz w:val="32"/>
          <w:szCs w:val="32"/>
        </w:rPr>
      </w:pPr>
      <w:bookmarkStart w:id="861" w:name="_Toc14445"/>
      <w:bookmarkStart w:id="862" w:name="_Toc5721"/>
      <w:bookmarkStart w:id="863" w:name="_Toc19151"/>
      <w:bookmarkStart w:id="864" w:name="_Toc54862338"/>
      <w:r>
        <w:rPr>
          <w:rFonts w:hint="eastAsia" w:ascii="仿宋" w:hAnsi="仿宋" w:eastAsia="仿宋" w:cs="仿宋"/>
          <w:sz w:val="32"/>
          <w:szCs w:val="32"/>
        </w:rPr>
        <w:t>第7条 施工</w:t>
      </w:r>
      <w:bookmarkEnd w:id="861"/>
      <w:bookmarkEnd w:id="862"/>
      <w:bookmarkEnd w:id="863"/>
      <w:bookmarkEnd w:id="864"/>
    </w:p>
    <w:p w14:paraId="0CCD7292">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7.1 交通运输</w:t>
      </w:r>
    </w:p>
    <w:p w14:paraId="1C626EB9">
      <w:pPr>
        <w:wordWrap/>
        <w:topLinePunct w:val="0"/>
        <w:spacing w:after="120"/>
        <w:ind w:firstLine="600"/>
        <w:rPr>
          <w:rFonts w:ascii="仿宋_GB2312" w:eastAsia="仿宋_GB2312"/>
          <w:sz w:val="30"/>
          <w:szCs w:val="30"/>
        </w:rPr>
      </w:pPr>
      <w:r>
        <w:rPr>
          <w:rFonts w:ascii="仿宋_GB2312" w:eastAsia="仿宋_GB2312"/>
          <w:sz w:val="30"/>
          <w:szCs w:val="30"/>
        </w:rPr>
        <w:t xml:space="preserve">7.1.1 </w:t>
      </w:r>
      <w:r>
        <w:rPr>
          <w:rFonts w:hint="eastAsia" w:ascii="仿宋_GB2312" w:eastAsia="仿宋_GB2312"/>
          <w:sz w:val="30"/>
          <w:szCs w:val="30"/>
        </w:rPr>
        <w:t>出入现场的权利</w:t>
      </w:r>
    </w:p>
    <w:p w14:paraId="11583959">
      <w:pPr>
        <w:wordWrap/>
        <w:topLinePunct w:val="0"/>
        <w:spacing w:after="120"/>
        <w:ind w:firstLine="600"/>
        <w:rPr>
          <w:rFonts w:ascii="仿宋_GB2312" w:eastAsia="仿宋_GB2312"/>
          <w:sz w:val="30"/>
          <w:szCs w:val="30"/>
        </w:rPr>
      </w:pPr>
      <w:r>
        <w:rPr>
          <w:rFonts w:hint="eastAsia" w:ascii="仿宋_GB2312" w:eastAsia="仿宋_GB2312"/>
          <w:sz w:val="30"/>
          <w:szCs w:val="30"/>
        </w:rPr>
        <w:t>关于出入现场的权利的约定：</w:t>
      </w:r>
      <w:r>
        <w:rPr>
          <w:rFonts w:hint="eastAsia" w:ascii="仿宋_GB2312" w:eastAsia="仿宋_GB2312"/>
          <w:sz w:val="30"/>
          <w:szCs w:val="30"/>
          <w:u w:val="single"/>
        </w:rPr>
        <w:t>按通用条款</w:t>
      </w:r>
      <w:r>
        <w:rPr>
          <w:rFonts w:ascii="仿宋_GB2312" w:eastAsia="仿宋_GB2312"/>
          <w:sz w:val="30"/>
          <w:szCs w:val="30"/>
        </w:rPr>
        <w:t>。</w:t>
      </w:r>
    </w:p>
    <w:p w14:paraId="59F766E6">
      <w:pPr>
        <w:wordWrap/>
        <w:topLinePunct w:val="0"/>
        <w:spacing w:after="120"/>
        <w:ind w:firstLine="600"/>
        <w:rPr>
          <w:rFonts w:ascii="仿宋_GB2312" w:eastAsia="仿宋_GB2312"/>
          <w:sz w:val="30"/>
          <w:szCs w:val="30"/>
        </w:rPr>
      </w:pPr>
      <w:r>
        <w:rPr>
          <w:rFonts w:ascii="仿宋_GB2312" w:eastAsia="仿宋_GB2312"/>
          <w:sz w:val="30"/>
          <w:szCs w:val="30"/>
        </w:rPr>
        <w:t xml:space="preserve">7.1.2 </w:t>
      </w:r>
      <w:r>
        <w:rPr>
          <w:rFonts w:hint="eastAsia" w:ascii="仿宋_GB2312" w:eastAsia="仿宋_GB2312"/>
          <w:sz w:val="30"/>
          <w:szCs w:val="30"/>
        </w:rPr>
        <w:t>场外交通</w:t>
      </w:r>
    </w:p>
    <w:p w14:paraId="42F582D4">
      <w:pPr>
        <w:wordWrap/>
        <w:topLinePunct w:val="0"/>
        <w:spacing w:after="120"/>
        <w:ind w:firstLine="600"/>
        <w:rPr>
          <w:rFonts w:ascii="仿宋_GB2312" w:eastAsia="仿宋_GB2312"/>
          <w:sz w:val="30"/>
          <w:szCs w:val="30"/>
        </w:rPr>
      </w:pPr>
      <w:r>
        <w:rPr>
          <w:rFonts w:hint="eastAsia" w:ascii="仿宋_GB2312" w:eastAsia="仿宋_GB2312"/>
          <w:sz w:val="30"/>
          <w:szCs w:val="30"/>
        </w:rPr>
        <w:t>关于场外交通的特别约定：</w:t>
      </w:r>
      <w:r>
        <w:rPr>
          <w:rFonts w:hint="eastAsia" w:ascii="仿宋_GB2312" w:eastAsia="仿宋_GB2312"/>
          <w:sz w:val="30"/>
          <w:szCs w:val="30"/>
          <w:u w:val="single"/>
        </w:rPr>
        <w:t>按通用条款</w:t>
      </w:r>
      <w:r>
        <w:rPr>
          <w:rFonts w:hint="eastAsia" w:ascii="仿宋_GB2312" w:eastAsia="仿宋_GB2312"/>
          <w:sz w:val="30"/>
          <w:szCs w:val="30"/>
        </w:rPr>
        <w:t>。</w:t>
      </w:r>
    </w:p>
    <w:p w14:paraId="5E702F35">
      <w:pPr>
        <w:wordWrap/>
        <w:topLinePunct w:val="0"/>
        <w:spacing w:after="120"/>
        <w:ind w:firstLine="600"/>
        <w:rPr>
          <w:rFonts w:ascii="仿宋_GB2312" w:eastAsia="仿宋_GB2312"/>
          <w:sz w:val="30"/>
          <w:szCs w:val="30"/>
        </w:rPr>
      </w:pPr>
      <w:r>
        <w:rPr>
          <w:rFonts w:ascii="仿宋_GB2312" w:eastAsia="仿宋_GB2312"/>
          <w:sz w:val="30"/>
          <w:szCs w:val="30"/>
        </w:rPr>
        <w:t xml:space="preserve">7.1.3 </w:t>
      </w:r>
      <w:r>
        <w:rPr>
          <w:rFonts w:hint="eastAsia" w:ascii="仿宋_GB2312" w:eastAsia="仿宋_GB2312"/>
          <w:sz w:val="30"/>
          <w:szCs w:val="30"/>
        </w:rPr>
        <w:t>场内交通</w:t>
      </w:r>
    </w:p>
    <w:p w14:paraId="3A1EC11E">
      <w:pPr>
        <w:wordWrap/>
        <w:topLinePunct w:val="0"/>
        <w:spacing w:after="120"/>
        <w:ind w:firstLine="600"/>
        <w:rPr>
          <w:rFonts w:ascii="仿宋_GB2312" w:eastAsia="仿宋_GB2312"/>
          <w:sz w:val="30"/>
          <w:szCs w:val="30"/>
        </w:rPr>
      </w:pPr>
      <w:r>
        <w:rPr>
          <w:rFonts w:hint="eastAsia" w:ascii="仿宋_GB2312" w:eastAsia="仿宋_GB2312"/>
          <w:sz w:val="30"/>
          <w:szCs w:val="30"/>
        </w:rPr>
        <w:t>关于场内交通的特别约定：</w:t>
      </w:r>
      <w:r>
        <w:rPr>
          <w:rFonts w:hint="eastAsia" w:ascii="仿宋_GB2312" w:eastAsia="仿宋_GB2312"/>
          <w:sz w:val="30"/>
          <w:szCs w:val="30"/>
          <w:u w:val="single"/>
        </w:rPr>
        <w:t>按通用条款</w:t>
      </w:r>
      <w:r>
        <w:rPr>
          <w:rFonts w:hint="eastAsia" w:ascii="仿宋_GB2312" w:eastAsia="仿宋_GB2312"/>
          <w:sz w:val="30"/>
          <w:szCs w:val="30"/>
        </w:rPr>
        <w:t>。</w:t>
      </w:r>
    </w:p>
    <w:p w14:paraId="572B318F">
      <w:pPr>
        <w:wordWrap/>
        <w:topLinePunct w:val="0"/>
        <w:spacing w:after="120"/>
        <w:ind w:firstLine="600"/>
        <w:rPr>
          <w:rFonts w:ascii="仿宋_GB2312" w:eastAsia="仿宋_GB2312"/>
          <w:sz w:val="30"/>
          <w:szCs w:val="30"/>
        </w:rPr>
      </w:pPr>
      <w:r>
        <w:rPr>
          <w:rFonts w:hint="eastAsia" w:ascii="仿宋_GB2312" w:eastAsia="仿宋_GB2312"/>
          <w:sz w:val="30"/>
          <w:szCs w:val="30"/>
        </w:rPr>
        <w:t>关于场内交通与场外交通边界的约定：</w:t>
      </w:r>
      <w:r>
        <w:rPr>
          <w:rFonts w:hint="eastAsia" w:ascii="仿宋_GB2312" w:eastAsia="仿宋_GB2312"/>
          <w:sz w:val="30"/>
          <w:szCs w:val="30"/>
          <w:u w:val="single"/>
        </w:rPr>
        <w:t>发包人依据具体项目约定</w:t>
      </w:r>
      <w:r>
        <w:rPr>
          <w:rFonts w:ascii="仿宋_GB2312" w:eastAsia="仿宋_GB2312"/>
          <w:sz w:val="30"/>
          <w:szCs w:val="30"/>
        </w:rPr>
        <w:t>。</w:t>
      </w:r>
    </w:p>
    <w:p w14:paraId="5C726B03">
      <w:pPr>
        <w:wordWrap/>
        <w:topLinePunct w:val="0"/>
        <w:spacing w:after="120"/>
        <w:ind w:firstLine="600"/>
        <w:rPr>
          <w:rFonts w:ascii="仿宋_GB2312" w:eastAsia="仿宋_GB2312"/>
          <w:sz w:val="30"/>
          <w:szCs w:val="30"/>
        </w:rPr>
      </w:pPr>
      <w:r>
        <w:rPr>
          <w:rFonts w:ascii="仿宋_GB2312" w:eastAsia="仿宋_GB2312"/>
          <w:sz w:val="30"/>
          <w:szCs w:val="30"/>
        </w:rPr>
        <w:t xml:space="preserve">7.1.4 </w:t>
      </w:r>
      <w:r>
        <w:rPr>
          <w:rFonts w:hint="eastAsia" w:ascii="仿宋_GB2312" w:eastAsia="仿宋_GB2312"/>
          <w:sz w:val="30"/>
          <w:szCs w:val="30"/>
        </w:rPr>
        <w:t>超大件和超重件的运输</w:t>
      </w:r>
    </w:p>
    <w:p w14:paraId="08E7EA3A">
      <w:pPr>
        <w:wordWrap/>
        <w:topLinePunct w:val="0"/>
        <w:spacing w:after="120"/>
        <w:ind w:firstLine="600"/>
        <w:rPr>
          <w:rFonts w:ascii="仿宋_GB2312" w:eastAsia="仿宋_GB2312"/>
          <w:sz w:val="30"/>
          <w:szCs w:val="30"/>
        </w:rPr>
      </w:pPr>
      <w:r>
        <w:rPr>
          <w:rFonts w:hint="eastAsia" w:ascii="仿宋_GB2312" w:eastAsia="仿宋_GB2312"/>
          <w:sz w:val="30"/>
          <w:szCs w:val="30"/>
        </w:rPr>
        <w:t>运输超大件或超重件所需的道路和桥梁临时加固改造费用和其他有关费用由</w:t>
      </w:r>
      <w:r>
        <w:rPr>
          <w:rFonts w:hint="eastAsia" w:ascii="仿宋_GB2312" w:eastAsia="仿宋_GB2312"/>
          <w:sz w:val="30"/>
          <w:szCs w:val="30"/>
          <w:u w:val="single"/>
        </w:rPr>
        <w:t>承包人</w:t>
      </w:r>
      <w:r>
        <w:rPr>
          <w:rFonts w:ascii="仿宋_GB2312" w:eastAsia="仿宋_GB2312"/>
          <w:sz w:val="30"/>
          <w:szCs w:val="30"/>
        </w:rPr>
        <w:t>承担。</w:t>
      </w:r>
    </w:p>
    <w:p w14:paraId="4B0FD157">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7.2 施工设备和临时设施</w:t>
      </w:r>
    </w:p>
    <w:p w14:paraId="41385F23">
      <w:pPr>
        <w:wordWrap/>
        <w:topLinePunct w:val="0"/>
        <w:spacing w:after="120"/>
        <w:ind w:firstLine="600"/>
        <w:rPr>
          <w:rFonts w:ascii="仿宋_GB2312" w:eastAsia="仿宋_GB2312"/>
          <w:sz w:val="30"/>
          <w:szCs w:val="30"/>
        </w:rPr>
      </w:pPr>
      <w:r>
        <w:rPr>
          <w:rFonts w:ascii="仿宋_GB2312" w:eastAsia="仿宋_GB2312"/>
          <w:sz w:val="30"/>
          <w:szCs w:val="30"/>
        </w:rPr>
        <w:t xml:space="preserve">7.2.1 </w:t>
      </w:r>
      <w:r>
        <w:rPr>
          <w:rFonts w:hint="eastAsia" w:ascii="仿宋_GB2312" w:eastAsia="仿宋_GB2312"/>
          <w:sz w:val="30"/>
          <w:szCs w:val="30"/>
        </w:rPr>
        <w:t>承包人提供的施工设备和临时设施</w:t>
      </w:r>
    </w:p>
    <w:p w14:paraId="7D16E498">
      <w:pPr>
        <w:wordWrap/>
        <w:topLinePunct w:val="0"/>
        <w:spacing w:after="120"/>
        <w:ind w:firstLine="600"/>
        <w:rPr>
          <w:rFonts w:ascii="仿宋_GB2312" w:eastAsia="仿宋_GB2312"/>
          <w:sz w:val="30"/>
          <w:szCs w:val="30"/>
          <w:u w:val="single"/>
        </w:rPr>
      </w:pPr>
      <w:r>
        <w:rPr>
          <w:rFonts w:hint="eastAsia" w:ascii="仿宋_GB2312" w:eastAsia="仿宋_GB2312"/>
          <w:sz w:val="30"/>
          <w:szCs w:val="30"/>
        </w:rPr>
        <w:t>临时设施的费用和临时占地手续和费用承担的特别约定：</w:t>
      </w:r>
      <w:r>
        <w:rPr>
          <w:rFonts w:hint="eastAsia" w:ascii="仿宋_GB2312" w:eastAsia="仿宋_GB2312"/>
          <w:sz w:val="30"/>
          <w:szCs w:val="30"/>
          <w:u w:val="single"/>
        </w:rPr>
        <w:t>由承包人承担 。</w:t>
      </w:r>
    </w:p>
    <w:p w14:paraId="2EAC61F4">
      <w:pPr>
        <w:wordWrap/>
        <w:topLinePunct w:val="0"/>
        <w:spacing w:after="120"/>
        <w:ind w:firstLine="562"/>
        <w:rPr>
          <w:rFonts w:ascii="仿宋" w:hAnsi="仿宋" w:eastAsia="仿宋" w:cs="仿宋"/>
          <w:b/>
          <w:color w:val="FF0000"/>
          <w:sz w:val="28"/>
          <w:szCs w:val="28"/>
        </w:rPr>
      </w:pPr>
      <w:r>
        <w:rPr>
          <w:rFonts w:hint="eastAsia" w:ascii="仿宋" w:hAnsi="仿宋" w:eastAsia="仿宋" w:cs="仿宋"/>
          <w:b/>
          <w:color w:val="FF0000"/>
          <w:sz w:val="28"/>
          <w:szCs w:val="28"/>
          <w:u w:val="single"/>
        </w:rPr>
        <w:t>发包人（含监理单位）临时办公室由发包人负责。</w:t>
      </w:r>
      <w:r>
        <w:rPr>
          <w:rFonts w:hint="eastAsia" w:ascii="仿宋" w:hAnsi="仿宋" w:eastAsia="仿宋" w:cs="仿宋"/>
          <w:b/>
          <w:color w:val="FF0000"/>
          <w:sz w:val="28"/>
          <w:szCs w:val="28"/>
        </w:rPr>
        <w:t>如需承包人提供的，发包人需向承包人支付该费用。</w:t>
      </w:r>
    </w:p>
    <w:p w14:paraId="68EA21C8">
      <w:pPr>
        <w:wordWrap/>
        <w:topLinePunct w:val="0"/>
        <w:spacing w:after="120"/>
        <w:ind w:firstLine="600"/>
        <w:rPr>
          <w:rFonts w:ascii="仿宋_GB2312" w:eastAsia="仿宋_GB2312"/>
          <w:sz w:val="30"/>
          <w:szCs w:val="30"/>
        </w:rPr>
      </w:pPr>
      <w:r>
        <w:rPr>
          <w:rFonts w:ascii="仿宋_GB2312" w:eastAsia="仿宋_GB2312"/>
          <w:sz w:val="30"/>
          <w:szCs w:val="30"/>
        </w:rPr>
        <w:t xml:space="preserve">7.2.2 </w:t>
      </w:r>
      <w:r>
        <w:rPr>
          <w:rFonts w:hint="eastAsia" w:ascii="仿宋_GB2312" w:eastAsia="仿宋_GB2312"/>
          <w:sz w:val="30"/>
          <w:szCs w:val="30"/>
        </w:rPr>
        <w:t>发包人提供的施工设备和临时设施</w:t>
      </w:r>
    </w:p>
    <w:p w14:paraId="62A856D2">
      <w:pPr>
        <w:wordWrap/>
        <w:topLinePunct w:val="0"/>
        <w:spacing w:after="120"/>
        <w:ind w:firstLine="600"/>
        <w:rPr>
          <w:rFonts w:ascii="仿宋_GB2312" w:eastAsia="仿宋_GB2312"/>
          <w:sz w:val="30"/>
          <w:szCs w:val="30"/>
        </w:rPr>
      </w:pPr>
      <w:r>
        <w:rPr>
          <w:rFonts w:hint="eastAsia" w:ascii="仿宋_GB2312" w:eastAsia="仿宋_GB2312"/>
          <w:sz w:val="30"/>
          <w:szCs w:val="30"/>
        </w:rPr>
        <w:t>发包人提供的施工设备或临时设施范围：</w:t>
      </w:r>
      <w:r>
        <w:rPr>
          <w:rFonts w:hint="eastAsia" w:ascii="仿宋_GB2312" w:eastAsia="仿宋_GB2312"/>
          <w:sz w:val="30"/>
          <w:szCs w:val="30"/>
          <w:u w:val="single"/>
        </w:rPr>
        <w:t>发包人依据具体项目约定</w:t>
      </w:r>
      <w:r>
        <w:rPr>
          <w:rFonts w:hint="eastAsia" w:ascii="仿宋_GB2312" w:eastAsia="仿宋_GB2312"/>
          <w:sz w:val="30"/>
          <w:szCs w:val="30"/>
        </w:rPr>
        <w:t>。</w:t>
      </w:r>
    </w:p>
    <w:p w14:paraId="062516BB">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7.3 现场合作</w:t>
      </w:r>
    </w:p>
    <w:p w14:paraId="23BF60E9">
      <w:pPr>
        <w:wordWrap/>
        <w:topLinePunct w:val="0"/>
        <w:spacing w:after="120"/>
        <w:ind w:firstLine="600"/>
        <w:rPr>
          <w:rFonts w:ascii="仿宋_GB2312" w:eastAsia="仿宋_GB2312"/>
          <w:sz w:val="30"/>
          <w:szCs w:val="30"/>
        </w:rPr>
      </w:pPr>
      <w:r>
        <w:rPr>
          <w:rFonts w:hint="eastAsia" w:ascii="仿宋_GB2312" w:eastAsia="仿宋_GB2312"/>
          <w:sz w:val="30"/>
          <w:szCs w:val="30"/>
        </w:rPr>
        <w:t>关于现场合作费用的特别约定：</w:t>
      </w:r>
      <w:r>
        <w:rPr>
          <w:rFonts w:hint="eastAsia" w:ascii="仿宋_GB2312" w:eastAsia="仿宋_GB2312"/>
          <w:sz w:val="30"/>
          <w:szCs w:val="30"/>
          <w:u w:val="single"/>
        </w:rPr>
        <w:t>双方协商</w:t>
      </w:r>
      <w:r>
        <w:rPr>
          <w:rFonts w:hint="eastAsia" w:ascii="仿宋_GB2312" w:eastAsia="仿宋_GB2312"/>
          <w:sz w:val="30"/>
          <w:szCs w:val="30"/>
        </w:rPr>
        <w:t>。</w:t>
      </w:r>
    </w:p>
    <w:p w14:paraId="23F67450">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7.4 测量放线</w:t>
      </w:r>
    </w:p>
    <w:p w14:paraId="416495B7">
      <w:pPr>
        <w:wordWrap/>
        <w:topLinePunct w:val="0"/>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.4.1 </w:t>
      </w:r>
      <w:r>
        <w:rPr>
          <w:rFonts w:hint="eastAsia" w:ascii="仿宋_GB2312" w:eastAsia="仿宋_GB2312"/>
          <w:sz w:val="30"/>
          <w:szCs w:val="30"/>
        </w:rPr>
        <w:t>关于测量放线的特别约定的技术规范：</w:t>
      </w:r>
      <w:r>
        <w:rPr>
          <w:rFonts w:hint="eastAsia" w:ascii="仿宋_GB2312" w:eastAsia="仿宋_GB2312"/>
          <w:sz w:val="30"/>
          <w:szCs w:val="30"/>
          <w:u w:val="single"/>
        </w:rPr>
        <w:t>按最新规范</w:t>
      </w:r>
      <w:r>
        <w:rPr>
          <w:rFonts w:hint="eastAsia" w:ascii="仿宋_GB2312" w:eastAsia="仿宋_GB2312"/>
          <w:sz w:val="30"/>
          <w:szCs w:val="30"/>
        </w:rPr>
        <w:t>。施工控制网资料的告知期限：</w:t>
      </w:r>
      <w:r>
        <w:rPr>
          <w:rFonts w:hint="eastAsia" w:ascii="仿宋_GB2312" w:eastAsia="仿宋_GB2312"/>
          <w:sz w:val="30"/>
          <w:szCs w:val="30"/>
          <w:u w:val="single"/>
        </w:rPr>
        <w:t>按工程师通知</w:t>
      </w:r>
      <w:r>
        <w:rPr>
          <w:rFonts w:hint="eastAsia" w:ascii="仿宋_GB2312" w:eastAsia="仿宋_GB2312"/>
          <w:sz w:val="30"/>
          <w:szCs w:val="30"/>
        </w:rPr>
        <w:t>。</w:t>
      </w:r>
    </w:p>
    <w:p w14:paraId="3799F0BA">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7.5 现场劳动用工</w:t>
      </w:r>
    </w:p>
    <w:p w14:paraId="01EC3876">
      <w:pPr>
        <w:wordWrap/>
        <w:topLinePunct w:val="0"/>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 xml:space="preserve">.5.2 </w:t>
      </w:r>
      <w:r>
        <w:rPr>
          <w:rFonts w:hint="eastAsia" w:ascii="仿宋_GB2312" w:eastAsia="仿宋_GB2312"/>
          <w:sz w:val="30"/>
          <w:szCs w:val="30"/>
        </w:rPr>
        <w:t>合同当事人对建筑工人工资清偿事宜和违约责任的约定：</w:t>
      </w:r>
    </w:p>
    <w:p w14:paraId="4AD0D766">
      <w:pPr>
        <w:wordWrap/>
        <w:topLinePunct w:val="0"/>
        <w:spacing w:after="120"/>
        <w:ind w:firstLine="600"/>
        <w:rPr>
          <w:rFonts w:ascii="仿宋_GB2312" w:eastAsia="仿宋_GB2312"/>
          <w:sz w:val="30"/>
          <w:szCs w:val="30"/>
        </w:rPr>
      </w:pPr>
      <w:r>
        <w:rPr>
          <w:rFonts w:hint="eastAsia" w:ascii="仿宋_GB2312" w:eastAsia="仿宋_GB2312"/>
          <w:sz w:val="30"/>
          <w:szCs w:val="30"/>
        </w:rPr>
        <w:t>（1）承包人应当根据《国务院办公厅关于全面治理拖欠农民工工资问题的意见》（国办发〔2016〕1号）、《广东省人民政府办公厅关于全面治理拖欠异地务工人员工资问题的实施意见》（粤府办〔2016〕111号）</w:t>
      </w:r>
      <w:r>
        <w:rPr>
          <w:rFonts w:hint="eastAsia" w:ascii="仿宋_GB2312" w:eastAsia="仿宋_GB2312"/>
          <w:b/>
          <w:color w:val="FF0000"/>
          <w:sz w:val="30"/>
          <w:szCs w:val="30"/>
        </w:rPr>
        <w:t>、</w:t>
      </w:r>
      <w:r>
        <w:rPr>
          <w:rFonts w:ascii="仿宋" w:hAnsi="仿宋" w:eastAsia="仿宋" w:cs="仿宋"/>
          <w:b/>
          <w:color w:val="FF0000"/>
          <w:sz w:val="30"/>
          <w:szCs w:val="30"/>
        </w:rPr>
        <w:sym w:font="Wingdings 2" w:char="00A3"/>
      </w:r>
      <w:r>
        <w:rPr>
          <w:rFonts w:hint="eastAsia" w:ascii="仿宋" w:hAnsi="仿宋" w:eastAsia="仿宋" w:cs="仿宋"/>
          <w:b/>
          <w:color w:val="FF0000"/>
          <w:sz w:val="30"/>
          <w:szCs w:val="30"/>
        </w:rPr>
        <w:t>《广州市住房和城乡建设局</w:t>
      </w:r>
      <w:r>
        <w:rPr>
          <w:rFonts w:ascii="仿宋" w:hAnsi="仿宋" w:eastAsia="仿宋" w:cs="仿宋"/>
          <w:b/>
          <w:color w:val="FF0000"/>
          <w:sz w:val="30"/>
          <w:szCs w:val="30"/>
        </w:rPr>
        <w:t xml:space="preserve"> </w:t>
      </w:r>
      <w:r>
        <w:rPr>
          <w:rFonts w:hint="eastAsia" w:ascii="仿宋" w:hAnsi="仿宋" w:eastAsia="仿宋" w:cs="仿宋"/>
          <w:b/>
          <w:color w:val="FF0000"/>
          <w:sz w:val="30"/>
          <w:szCs w:val="30"/>
        </w:rPr>
        <w:t>广州市人力资源和社会保障局关于加强房屋建筑工程实名制管理保障农民工工资的通知》（穗建筑〔</w:t>
      </w:r>
      <w:r>
        <w:rPr>
          <w:rFonts w:ascii="仿宋" w:hAnsi="仿宋" w:eastAsia="仿宋" w:cs="仿宋"/>
          <w:b/>
          <w:color w:val="FF0000"/>
          <w:sz w:val="30"/>
          <w:szCs w:val="30"/>
        </w:rPr>
        <w:t>2024〕263号）、</w:t>
      </w:r>
      <w:r>
        <w:rPr>
          <w:rFonts w:hint="eastAsia" w:ascii="仿宋_GB2312" w:eastAsia="仿宋_GB2312"/>
          <w:sz w:val="30"/>
          <w:szCs w:val="30"/>
        </w:rPr>
        <w:t>劳动合同约定的建筑工人工资标准等内容，按照依法签订的集体合同或劳动合同约定的日期按月支付工资，并不得低于当地最低工资标准。</w:t>
      </w:r>
    </w:p>
    <w:p w14:paraId="39FBB4AC">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（2）承包人应每月编制建筑工人工资支付表，如实记录支付时间、支付对象、支付金额等工资支付情况，并于每月底提交工程师备案，并在其现场管理机构办公场所显眼位置公示，接受监督。 </w:t>
      </w:r>
    </w:p>
    <w:p w14:paraId="1128BDF6">
      <w:pPr>
        <w:wordWrap/>
        <w:topLinePunct w:val="0"/>
        <w:spacing w:after="120"/>
        <w:ind w:firstLine="600"/>
        <w:rPr>
          <w:rFonts w:ascii="仿宋_GB2312" w:eastAsia="仿宋_GB2312"/>
          <w:sz w:val="30"/>
          <w:szCs w:val="30"/>
        </w:rPr>
      </w:pPr>
      <w:r>
        <w:rPr>
          <w:rFonts w:hint="eastAsia" w:ascii="仿宋_GB2312" w:eastAsia="仿宋_GB2312"/>
          <w:sz w:val="30"/>
          <w:szCs w:val="30"/>
        </w:rPr>
        <w:t>（3）承包人应按上述1）、2）点要求对其专业分包或劳务分包单位工资支付进行监督，每月收集分包单位编制建筑工人工资支付表，并于每月底提交工程师备案，督促其依法支付建筑工人工资。</w:t>
      </w:r>
    </w:p>
    <w:p w14:paraId="39FBEF9B">
      <w:pPr>
        <w:wordWrap/>
        <w:topLinePunct w:val="0"/>
        <w:spacing w:after="120"/>
        <w:ind w:firstLine="600"/>
        <w:rPr>
          <w:rFonts w:ascii="仿宋_GB2312" w:eastAsia="仿宋_GB2312"/>
          <w:sz w:val="30"/>
          <w:szCs w:val="30"/>
        </w:rPr>
      </w:pPr>
      <w:r>
        <w:rPr>
          <w:rFonts w:hint="eastAsia" w:ascii="仿宋_GB2312" w:eastAsia="仿宋_GB2312"/>
          <w:sz w:val="30"/>
          <w:szCs w:val="30"/>
        </w:rPr>
        <w:t>（4）承包人必须以高度负责的态度，对存在的可能引发劳资纠纷的各种因素进行排查，及时化解、处理可能发生劳资纠纷的不稳定因素；尤其是对恶意煽动民工集体上访、集聚围阻的行为，要善于及时发现并敢于揭露、制止。</w:t>
      </w:r>
    </w:p>
    <w:p w14:paraId="652C481C">
      <w:pPr>
        <w:wordWrap/>
        <w:topLinePunct w:val="0"/>
        <w:spacing w:after="120"/>
        <w:ind w:firstLine="600"/>
        <w:rPr>
          <w:rFonts w:ascii="仿宋_GB2312" w:eastAsia="仿宋_GB2312"/>
          <w:sz w:val="30"/>
          <w:szCs w:val="30"/>
        </w:rPr>
      </w:pPr>
      <w:r>
        <w:rPr>
          <w:rFonts w:hint="eastAsia" w:ascii="仿宋_GB2312" w:eastAsia="仿宋_GB2312"/>
          <w:sz w:val="30"/>
          <w:szCs w:val="30"/>
        </w:rPr>
        <w:t>违约责任：</w:t>
      </w:r>
    </w:p>
    <w:p w14:paraId="2634F0BA">
      <w:pPr>
        <w:wordWrap/>
        <w:topLinePunct w:val="0"/>
        <w:spacing w:after="120"/>
        <w:ind w:firstLine="602"/>
        <w:rPr>
          <w:rFonts w:ascii="仿宋_GB2312" w:eastAsia="仿宋_GB2312"/>
          <w:b/>
          <w:color w:val="FF0000"/>
          <w:sz w:val="30"/>
          <w:szCs w:val="30"/>
        </w:rPr>
      </w:pPr>
      <w:r>
        <w:rPr>
          <w:rFonts w:hint="eastAsia" w:ascii="仿宋_GB2312" w:eastAsia="仿宋_GB2312"/>
          <w:b/>
          <w:color w:val="FF0000"/>
          <w:sz w:val="30"/>
          <w:szCs w:val="30"/>
        </w:rPr>
        <w:t>按第</w:t>
      </w:r>
      <w:r>
        <w:rPr>
          <w:rFonts w:ascii="仿宋_GB2312" w:eastAsia="仿宋_GB2312"/>
          <w:b/>
          <w:color w:val="FF0000"/>
          <w:sz w:val="30"/>
          <w:szCs w:val="30"/>
        </w:rPr>
        <w:t>15.2.1.9条承担违约责任</w:t>
      </w:r>
    </w:p>
    <w:p w14:paraId="712365E0">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7.6 安全文明施工</w:t>
      </w:r>
    </w:p>
    <w:p w14:paraId="757125F9">
      <w:pPr>
        <w:wordWrap/>
        <w:topLinePunct w:val="0"/>
        <w:spacing w:after="120"/>
        <w:ind w:firstLine="600"/>
        <w:rPr>
          <w:rFonts w:ascii="仿宋_GB2312" w:eastAsia="仿宋_GB2312"/>
          <w:sz w:val="30"/>
          <w:szCs w:val="30"/>
        </w:rPr>
      </w:pPr>
      <w:r>
        <w:rPr>
          <w:rFonts w:ascii="仿宋_GB2312" w:eastAsia="仿宋_GB2312"/>
          <w:sz w:val="30"/>
          <w:szCs w:val="30"/>
        </w:rPr>
        <w:t xml:space="preserve">7.6.1 </w:t>
      </w:r>
      <w:r>
        <w:rPr>
          <w:rFonts w:hint="eastAsia" w:ascii="仿宋_GB2312" w:eastAsia="仿宋_GB2312"/>
          <w:sz w:val="30"/>
          <w:szCs w:val="30"/>
        </w:rPr>
        <w:t>安全生产要求</w:t>
      </w:r>
    </w:p>
    <w:p w14:paraId="688363B6">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合同当事人对安全施工的要求：</w:t>
      </w:r>
    </w:p>
    <w:p w14:paraId="7B684110">
      <w:pPr>
        <w:wordWrap/>
        <w:topLinePunct w:val="0"/>
        <w:spacing w:after="120"/>
        <w:ind w:firstLine="600"/>
        <w:rPr>
          <w:rFonts w:ascii="仿宋_GB2312" w:eastAsia="仿宋_GB2312"/>
          <w:sz w:val="30"/>
          <w:szCs w:val="30"/>
        </w:rPr>
      </w:pPr>
      <w:r>
        <w:rPr>
          <w:rFonts w:hint="eastAsia" w:ascii="仿宋_GB2312" w:eastAsia="仿宋_GB2312"/>
          <w:sz w:val="30"/>
          <w:szCs w:val="30"/>
        </w:rPr>
        <w:t>（1）承包人应按合同约定履行安全职责，执行工程师有关安全工作的指示，并在专用合同条款约定的期限内，按合同约定的安全工作内容，编制安全措施计划报送工程师批准。</w:t>
      </w:r>
    </w:p>
    <w:p w14:paraId="727A182B">
      <w:pPr>
        <w:wordWrap/>
        <w:topLinePunct w:val="0"/>
        <w:spacing w:after="120"/>
        <w:ind w:firstLine="600"/>
        <w:rPr>
          <w:rFonts w:ascii="仿宋_GB2312" w:eastAsia="仿宋_GB2312"/>
          <w:sz w:val="30"/>
          <w:szCs w:val="30"/>
        </w:rPr>
      </w:pPr>
      <w:r>
        <w:rPr>
          <w:rFonts w:hint="eastAsia" w:ascii="仿宋_GB2312" w:eastAsia="仿宋_GB2312"/>
          <w:sz w:val="30"/>
          <w:szCs w:val="30"/>
        </w:rPr>
        <w:t>（2）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6022282A">
      <w:pPr>
        <w:wordWrap/>
        <w:topLinePunct w:val="0"/>
        <w:spacing w:after="120"/>
        <w:ind w:firstLine="600"/>
        <w:rPr>
          <w:rFonts w:ascii="仿宋_GB2312" w:eastAsia="仿宋_GB2312"/>
          <w:sz w:val="30"/>
          <w:szCs w:val="30"/>
        </w:rPr>
      </w:pPr>
      <w:r>
        <w:rPr>
          <w:rFonts w:hint="eastAsia" w:ascii="仿宋_GB2312" w:eastAsia="仿宋_GB2312"/>
          <w:sz w:val="30"/>
          <w:szCs w:val="30"/>
        </w:rPr>
        <w:t>（3）承包人应加强施工作业安全管理，特别应加强易燃、易爆材料、火工器材、有毒与腐蚀性材料和其他危险品的管理，以及对爆破作业和地下工程施工等危险作业的管理。</w:t>
      </w:r>
    </w:p>
    <w:p w14:paraId="55D714CB">
      <w:pPr>
        <w:wordWrap/>
        <w:topLinePunct w:val="0"/>
        <w:spacing w:after="120"/>
        <w:ind w:firstLine="600"/>
        <w:rPr>
          <w:rFonts w:ascii="仿宋_GB2312" w:eastAsia="仿宋_GB2312"/>
          <w:sz w:val="30"/>
          <w:szCs w:val="30"/>
        </w:rPr>
      </w:pPr>
      <w:r>
        <w:rPr>
          <w:rFonts w:hint="eastAsia" w:ascii="仿宋_GB2312" w:eastAsia="仿宋_GB2312"/>
          <w:sz w:val="30"/>
          <w:szCs w:val="30"/>
        </w:rPr>
        <w:t>（4）承包人应严格按照国家安全标准制定施工安全操作规程，配备必要的安全生产和劳动保护设施，加强对承包人人员的安全教育，并发放安全工作手册和劳动保护用具。</w:t>
      </w:r>
    </w:p>
    <w:p w14:paraId="235A265C">
      <w:pPr>
        <w:wordWrap/>
        <w:topLinePunct w:val="0"/>
        <w:spacing w:after="120"/>
        <w:ind w:firstLine="600"/>
        <w:rPr>
          <w:rFonts w:ascii="仿宋_GB2312" w:eastAsia="仿宋_GB2312"/>
          <w:sz w:val="30"/>
          <w:szCs w:val="30"/>
        </w:rPr>
      </w:pPr>
      <w:r>
        <w:rPr>
          <w:rFonts w:hint="eastAsia" w:ascii="仿宋_GB2312" w:eastAsia="仿宋_GB2312"/>
          <w:sz w:val="30"/>
          <w:szCs w:val="30"/>
        </w:rPr>
        <w:t>（5）承包人应按工程师的指示制定应对灾害的紧急预案，报送工程师批准。承包人还应按预案做好安全检查，配置必要的救助物资和器材，切实保护好有关人员的人身和财产安全。</w:t>
      </w:r>
    </w:p>
    <w:p w14:paraId="0CF90927">
      <w:pPr>
        <w:wordWrap/>
        <w:topLinePunct w:val="0"/>
        <w:spacing w:after="120"/>
        <w:ind w:firstLine="600"/>
        <w:rPr>
          <w:rFonts w:ascii="仿宋_GB2312" w:eastAsia="仿宋_GB2312"/>
          <w:sz w:val="30"/>
          <w:szCs w:val="30"/>
        </w:rPr>
      </w:pPr>
      <w:r>
        <w:rPr>
          <w:rFonts w:hint="eastAsia" w:ascii="仿宋_GB2312" w:eastAsia="仿宋_GB2312"/>
          <w:sz w:val="30"/>
          <w:szCs w:val="30"/>
        </w:rPr>
        <w:t>（6）合同约定的安全作业环境及安全施工措施所需费用应遵守有关规定，并包括在相关工作的合同价格中。因采取合同未约定的安全作业环境及安全施工措施增加的费用，由工程师商定或确定。</w:t>
      </w:r>
    </w:p>
    <w:p w14:paraId="61F1DDA0">
      <w:pPr>
        <w:wordWrap/>
        <w:topLinePunct w:val="0"/>
        <w:spacing w:after="120"/>
        <w:ind w:firstLine="600"/>
        <w:rPr>
          <w:rFonts w:ascii="仿宋_GB2312" w:eastAsia="仿宋_GB2312"/>
          <w:sz w:val="30"/>
          <w:szCs w:val="30"/>
        </w:rPr>
      </w:pPr>
      <w:r>
        <w:rPr>
          <w:rFonts w:hint="eastAsia" w:ascii="仿宋_GB2312" w:eastAsia="仿宋_GB2312"/>
          <w:sz w:val="30"/>
          <w:szCs w:val="30"/>
        </w:rPr>
        <w:t>（7）承包人应对其履行合同所雇佣的全部人员，包括分包人人员的工伤事故承担责任，但由于发包人原因造成承包人人员工伤事故的，应由发包人承担责任。</w:t>
      </w:r>
    </w:p>
    <w:p w14:paraId="487A1262">
      <w:pPr>
        <w:wordWrap/>
        <w:topLinePunct w:val="0"/>
        <w:spacing w:after="120"/>
        <w:ind w:firstLine="600"/>
        <w:rPr>
          <w:rFonts w:ascii="仿宋_GB2312" w:eastAsia="仿宋_GB2312"/>
          <w:sz w:val="30"/>
          <w:szCs w:val="30"/>
        </w:rPr>
      </w:pPr>
      <w:r>
        <w:rPr>
          <w:rFonts w:hint="eastAsia" w:ascii="仿宋_GB2312" w:eastAsia="仿宋_GB2312"/>
          <w:sz w:val="30"/>
          <w:szCs w:val="30"/>
        </w:rPr>
        <w:t>（8）由于承包人原因在施工场地内及其毗邻地带造成的第三者人员伤亡和财产损失，由承包人负责赔偿。</w:t>
      </w:r>
    </w:p>
    <w:p w14:paraId="66B9E1A4">
      <w:pPr>
        <w:wordWrap/>
        <w:topLinePunct w:val="0"/>
        <w:spacing w:after="120"/>
        <w:ind w:left="142" w:leftChars="59" w:firstLine="600"/>
        <w:rPr>
          <w:rFonts w:ascii="仿宋_GB2312" w:eastAsia="仿宋_GB2312"/>
          <w:sz w:val="30"/>
          <w:szCs w:val="30"/>
        </w:rPr>
      </w:pPr>
      <w:r>
        <w:rPr>
          <w:rFonts w:ascii="仿宋_GB2312" w:eastAsia="仿宋_GB2312"/>
          <w:sz w:val="30"/>
          <w:szCs w:val="30"/>
        </w:rPr>
        <w:t xml:space="preserve">7.6.3 </w:t>
      </w:r>
      <w:r>
        <w:rPr>
          <w:rFonts w:hint="eastAsia" w:ascii="仿宋_GB2312" w:eastAsia="仿宋_GB2312"/>
          <w:sz w:val="30"/>
          <w:szCs w:val="30"/>
        </w:rPr>
        <w:t>文明施工</w:t>
      </w:r>
    </w:p>
    <w:p w14:paraId="44B03B58">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合同当事人对文明施工的要求：合同当事人对文明施工的要求：按照广东省及工程所在地有关安全生产文明施工样板工地的具体要求，确保现场安全、文明施工达到《建筑施工安全检查标准》合格标准要求；</w:t>
      </w:r>
      <w:r>
        <w:rPr>
          <w:rFonts w:hint="eastAsia" w:ascii="仿宋_GB2312" w:eastAsia="仿宋_GB2312"/>
          <w:b/>
          <w:color w:val="FF0000"/>
          <w:sz w:val="30"/>
          <w:szCs w:val="30"/>
        </w:rPr>
        <w:t>达到合同协议书约定质量标准的要求</w:t>
      </w:r>
      <w:r>
        <w:rPr>
          <w:rFonts w:hint="eastAsia" w:ascii="仿宋_GB2312" w:eastAsia="仿宋_GB2312"/>
          <w:sz w:val="30"/>
          <w:szCs w:val="30"/>
        </w:rPr>
        <w:t>，保证施工场地清洁、扬尘及噪音管理符合环境卫生管理的有关规定。</w:t>
      </w:r>
    </w:p>
    <w:p w14:paraId="09C0EA56">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7.9 临时性公用设施</w:t>
      </w:r>
    </w:p>
    <w:p w14:paraId="7D76C248">
      <w:pPr>
        <w:wordWrap/>
        <w:topLinePunct w:val="0"/>
        <w:spacing w:after="120"/>
        <w:ind w:firstLine="600"/>
        <w:rPr>
          <w:rFonts w:ascii="仿宋_GB2312" w:eastAsia="仿宋_GB2312"/>
          <w:sz w:val="30"/>
          <w:szCs w:val="30"/>
        </w:rPr>
      </w:pPr>
      <w:r>
        <w:rPr>
          <w:rFonts w:hint="eastAsia" w:ascii="仿宋_GB2312" w:eastAsia="仿宋_GB2312"/>
          <w:sz w:val="30"/>
          <w:szCs w:val="30"/>
        </w:rPr>
        <w:t>关于临时性公用设施的特别约定：</w:t>
      </w:r>
      <w:r>
        <w:rPr>
          <w:rFonts w:hint="eastAsia" w:ascii="仿宋_GB2312" w:eastAsia="仿宋_GB2312"/>
          <w:sz w:val="30"/>
          <w:szCs w:val="30"/>
          <w:u w:val="single"/>
        </w:rPr>
        <w:t>按本合同临时设施相关约定</w:t>
      </w:r>
      <w:r>
        <w:rPr>
          <w:rFonts w:hint="eastAsia" w:ascii="仿宋_GB2312" w:eastAsia="仿宋_GB2312"/>
          <w:sz w:val="30"/>
          <w:szCs w:val="30"/>
        </w:rPr>
        <w:t>。</w:t>
      </w:r>
    </w:p>
    <w:p w14:paraId="46E9327B">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7.10 现场安保</w:t>
      </w:r>
    </w:p>
    <w:p w14:paraId="41736EED">
      <w:pPr>
        <w:wordWrap/>
        <w:topLinePunct w:val="0"/>
        <w:spacing w:after="120"/>
        <w:ind w:firstLine="600"/>
        <w:rPr>
          <w:rFonts w:ascii="仿宋_GB2312" w:eastAsia="仿宋_GB2312"/>
          <w:sz w:val="30"/>
          <w:szCs w:val="30"/>
        </w:rPr>
      </w:pPr>
      <w:r>
        <w:rPr>
          <w:rFonts w:hint="eastAsia" w:ascii="仿宋_GB2312" w:eastAsia="仿宋_GB2312"/>
          <w:sz w:val="30"/>
          <w:szCs w:val="30"/>
        </w:rPr>
        <w:t>承包人现场安保义务的特别约定：</w:t>
      </w:r>
      <w:r>
        <w:rPr>
          <w:rFonts w:hint="eastAsia" w:ascii="仿宋_GB2312" w:eastAsia="仿宋_GB2312"/>
          <w:sz w:val="30"/>
          <w:szCs w:val="30"/>
          <w:u w:val="single"/>
        </w:rPr>
        <w:t>承包人负责</w:t>
      </w:r>
      <w:r>
        <w:rPr>
          <w:rFonts w:ascii="仿宋_GB2312" w:eastAsia="仿宋_GB2312"/>
          <w:sz w:val="30"/>
          <w:szCs w:val="30"/>
        </w:rPr>
        <w:t>。</w:t>
      </w:r>
    </w:p>
    <w:p w14:paraId="2461534D">
      <w:pPr>
        <w:wordWrap/>
        <w:topLinePunct w:val="0"/>
        <w:spacing w:after="120"/>
        <w:ind w:firstLine="0" w:firstLineChars="0"/>
        <w:outlineLvl w:val="1"/>
        <w:rPr>
          <w:rFonts w:ascii="仿宋" w:hAnsi="仿宋" w:eastAsia="仿宋" w:cs="仿宋"/>
          <w:sz w:val="32"/>
          <w:szCs w:val="32"/>
        </w:rPr>
      </w:pPr>
      <w:bookmarkStart w:id="865" w:name="_Toc22035"/>
      <w:bookmarkStart w:id="866" w:name="_Toc25823"/>
      <w:bookmarkStart w:id="867" w:name="_Toc16264"/>
      <w:bookmarkStart w:id="868" w:name="_Toc54862339"/>
      <w:r>
        <w:rPr>
          <w:rFonts w:hint="eastAsia" w:ascii="仿宋" w:hAnsi="仿宋" w:eastAsia="仿宋" w:cs="仿宋"/>
          <w:sz w:val="32"/>
          <w:szCs w:val="32"/>
        </w:rPr>
        <w:t>第8条 工期和进度</w:t>
      </w:r>
      <w:bookmarkEnd w:id="865"/>
      <w:bookmarkEnd w:id="866"/>
      <w:bookmarkEnd w:id="867"/>
      <w:bookmarkEnd w:id="868"/>
    </w:p>
    <w:p w14:paraId="3B84B63A">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8.1 开始工作</w:t>
      </w:r>
    </w:p>
    <w:p w14:paraId="1D9F2262">
      <w:pPr>
        <w:wordWrap/>
        <w:topLinePunct w:val="0"/>
        <w:spacing w:after="120"/>
        <w:ind w:firstLine="600"/>
        <w:rPr>
          <w:rFonts w:ascii="仿宋_GB2312" w:eastAsia="仿宋_GB2312"/>
          <w:sz w:val="30"/>
          <w:szCs w:val="30"/>
        </w:rPr>
      </w:pPr>
      <w:r>
        <w:rPr>
          <w:rFonts w:ascii="仿宋_GB2312" w:eastAsia="仿宋_GB2312"/>
          <w:sz w:val="30"/>
          <w:szCs w:val="30"/>
        </w:rPr>
        <w:t xml:space="preserve">8.1.1 </w:t>
      </w:r>
      <w:r>
        <w:rPr>
          <w:rFonts w:hint="eastAsia" w:ascii="仿宋_GB2312" w:eastAsia="仿宋_GB2312"/>
          <w:sz w:val="30"/>
          <w:szCs w:val="30"/>
        </w:rPr>
        <w:t>开始准备工作：</w:t>
      </w:r>
      <w:r>
        <w:rPr>
          <w:rFonts w:hint="eastAsia" w:ascii="仿宋_GB2312" w:eastAsia="仿宋_GB2312"/>
          <w:sz w:val="30"/>
          <w:szCs w:val="30"/>
          <w:u w:val="single"/>
        </w:rPr>
        <w:t>年   月   日</w:t>
      </w:r>
      <w:r>
        <w:rPr>
          <w:rFonts w:hint="eastAsia" w:ascii="仿宋_GB2312" w:eastAsia="仿宋_GB2312"/>
          <w:sz w:val="30"/>
          <w:szCs w:val="30"/>
        </w:rPr>
        <w:t>。</w:t>
      </w:r>
    </w:p>
    <w:p w14:paraId="5B3F7C30">
      <w:pPr>
        <w:wordWrap/>
        <w:topLinePunct w:val="0"/>
        <w:spacing w:after="120"/>
        <w:ind w:firstLine="600"/>
        <w:rPr>
          <w:rFonts w:ascii="仿宋_GB2312" w:eastAsia="仿宋_GB2312"/>
          <w:sz w:val="30"/>
          <w:szCs w:val="30"/>
        </w:rPr>
      </w:pPr>
      <w:r>
        <w:rPr>
          <w:rFonts w:ascii="仿宋_GB2312" w:eastAsia="仿宋_GB2312"/>
          <w:sz w:val="30"/>
          <w:szCs w:val="30"/>
        </w:rPr>
        <w:t xml:space="preserve">8.1.2 </w:t>
      </w:r>
      <w:r>
        <w:rPr>
          <w:rFonts w:hint="eastAsia" w:ascii="仿宋_GB2312" w:eastAsia="仿宋_GB2312"/>
          <w:sz w:val="30"/>
          <w:szCs w:val="30"/>
        </w:rPr>
        <w:t>发包人可在计划开始工作之日起</w:t>
      </w:r>
      <w:r>
        <w:rPr>
          <w:rFonts w:ascii="仿宋_GB2312" w:eastAsia="仿宋_GB2312"/>
          <w:sz w:val="30"/>
          <w:szCs w:val="30"/>
        </w:rPr>
        <w:t>84</w:t>
      </w:r>
      <w:r>
        <w:rPr>
          <w:rFonts w:hint="eastAsia" w:ascii="仿宋_GB2312" w:eastAsia="仿宋_GB2312"/>
          <w:sz w:val="30"/>
          <w:szCs w:val="30"/>
        </w:rPr>
        <w:t>日后发出开始工作通知的特殊情形：。</w:t>
      </w:r>
    </w:p>
    <w:p w14:paraId="2F116D7C">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8.2 竣工日期</w:t>
      </w:r>
    </w:p>
    <w:p w14:paraId="00F65A09">
      <w:pPr>
        <w:wordWrap/>
        <w:topLinePunct w:val="0"/>
        <w:spacing w:after="120"/>
        <w:ind w:firstLine="600"/>
        <w:rPr>
          <w:rFonts w:ascii="仿宋_GB2312" w:eastAsia="仿宋_GB2312"/>
          <w:sz w:val="30"/>
          <w:szCs w:val="30"/>
        </w:rPr>
      </w:pPr>
      <w:r>
        <w:rPr>
          <w:rFonts w:hint="eastAsia" w:ascii="仿宋_GB2312" w:eastAsia="仿宋_GB2312"/>
          <w:sz w:val="30"/>
          <w:szCs w:val="30"/>
        </w:rPr>
        <w:t>竣工日期的约定：</w:t>
      </w:r>
      <w:r>
        <w:rPr>
          <w:rFonts w:hint="eastAsia" w:ascii="仿宋_GB2312" w:eastAsia="仿宋_GB2312"/>
          <w:sz w:val="30"/>
          <w:szCs w:val="30"/>
          <w:u w:val="single"/>
        </w:rPr>
        <w:t>年   月   日</w:t>
      </w:r>
      <w:r>
        <w:rPr>
          <w:rFonts w:hint="eastAsia" w:ascii="仿宋_GB2312" w:eastAsia="仿宋_GB2312"/>
          <w:sz w:val="30"/>
          <w:szCs w:val="30"/>
        </w:rPr>
        <w:t>。</w:t>
      </w:r>
    </w:p>
    <w:p w14:paraId="1F2B2A04">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8.3 项目实施计划</w:t>
      </w:r>
    </w:p>
    <w:p w14:paraId="45177DC7">
      <w:pPr>
        <w:wordWrap/>
        <w:topLinePunct w:val="0"/>
        <w:spacing w:after="120"/>
        <w:ind w:firstLine="600"/>
        <w:rPr>
          <w:rFonts w:ascii="仿宋_GB2312" w:eastAsia="仿宋_GB2312"/>
          <w:sz w:val="30"/>
          <w:szCs w:val="30"/>
        </w:rPr>
      </w:pPr>
      <w:r>
        <w:rPr>
          <w:rFonts w:ascii="仿宋_GB2312" w:eastAsia="仿宋_GB2312"/>
          <w:sz w:val="30"/>
          <w:szCs w:val="30"/>
        </w:rPr>
        <w:t xml:space="preserve">8.3.1 </w:t>
      </w:r>
      <w:r>
        <w:rPr>
          <w:rFonts w:hint="eastAsia" w:ascii="仿宋_GB2312" w:eastAsia="仿宋_GB2312"/>
          <w:sz w:val="30"/>
          <w:szCs w:val="30"/>
        </w:rPr>
        <w:t>项目实施计划的内容</w:t>
      </w:r>
    </w:p>
    <w:p w14:paraId="7EC3799B">
      <w:pPr>
        <w:wordWrap/>
        <w:topLinePunct w:val="0"/>
        <w:spacing w:after="120"/>
        <w:ind w:firstLine="600"/>
        <w:rPr>
          <w:rFonts w:ascii="仿宋_GB2312" w:eastAsia="仿宋_GB2312"/>
          <w:sz w:val="30"/>
          <w:szCs w:val="30"/>
        </w:rPr>
      </w:pPr>
      <w:r>
        <w:rPr>
          <w:rFonts w:hint="eastAsia" w:ascii="仿宋_GB2312" w:eastAsia="仿宋_GB2312"/>
          <w:sz w:val="30"/>
          <w:szCs w:val="30"/>
        </w:rPr>
        <w:t>项目实施计划的内容：。</w:t>
      </w:r>
    </w:p>
    <w:p w14:paraId="7AEAA3F0">
      <w:pPr>
        <w:wordWrap/>
        <w:topLinePunct w:val="0"/>
        <w:spacing w:after="120"/>
        <w:ind w:firstLine="600"/>
        <w:rPr>
          <w:rFonts w:ascii="仿宋_GB2312" w:eastAsia="仿宋_GB2312"/>
          <w:sz w:val="30"/>
          <w:szCs w:val="30"/>
        </w:rPr>
      </w:pPr>
      <w:r>
        <w:rPr>
          <w:rFonts w:ascii="仿宋_GB2312" w:eastAsia="仿宋_GB2312"/>
          <w:sz w:val="30"/>
          <w:szCs w:val="30"/>
        </w:rPr>
        <w:t xml:space="preserve">8.3.2 </w:t>
      </w:r>
      <w:r>
        <w:rPr>
          <w:rFonts w:hint="eastAsia" w:ascii="仿宋_GB2312" w:eastAsia="仿宋_GB2312"/>
          <w:sz w:val="30"/>
          <w:szCs w:val="30"/>
        </w:rPr>
        <w:t>项目实施计划的提交和修改</w:t>
      </w:r>
    </w:p>
    <w:p w14:paraId="0EB5128B">
      <w:pPr>
        <w:wordWrap/>
        <w:topLinePunct w:val="0"/>
        <w:spacing w:after="120"/>
        <w:ind w:firstLine="600"/>
        <w:rPr>
          <w:rFonts w:ascii="仿宋_GB2312" w:eastAsia="仿宋_GB2312"/>
          <w:sz w:val="30"/>
          <w:szCs w:val="30"/>
        </w:rPr>
      </w:pPr>
      <w:r>
        <w:rPr>
          <w:rFonts w:hint="eastAsia" w:ascii="仿宋_GB2312" w:eastAsia="仿宋_GB2312"/>
          <w:sz w:val="30"/>
          <w:szCs w:val="30"/>
        </w:rPr>
        <w:t>项目实施计划的提交及修改期限：。</w:t>
      </w:r>
    </w:p>
    <w:p w14:paraId="3A7A0D82">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8.4 项目进度计划</w:t>
      </w:r>
    </w:p>
    <w:p w14:paraId="675FF13E">
      <w:pPr>
        <w:wordWrap/>
        <w:topLinePunct w:val="0"/>
        <w:spacing w:after="120"/>
        <w:ind w:firstLine="600"/>
        <w:rPr>
          <w:rFonts w:ascii="仿宋_GB2312" w:eastAsia="仿宋_GB2312"/>
          <w:sz w:val="30"/>
          <w:szCs w:val="30"/>
        </w:rPr>
      </w:pPr>
      <w:r>
        <w:rPr>
          <w:rFonts w:ascii="仿宋_GB2312" w:eastAsia="仿宋_GB2312"/>
          <w:sz w:val="30"/>
          <w:szCs w:val="30"/>
        </w:rPr>
        <w:t xml:space="preserve">8.4.1 </w:t>
      </w:r>
      <w:r>
        <w:rPr>
          <w:rFonts w:hint="eastAsia" w:ascii="仿宋_GB2312" w:eastAsia="仿宋_GB2312"/>
          <w:sz w:val="30"/>
          <w:szCs w:val="30"/>
        </w:rPr>
        <w:t>工程师在收到进度计划后确认或提出修改意见的期限：</w:t>
      </w:r>
      <w:r>
        <w:rPr>
          <w:rFonts w:hint="eastAsia" w:ascii="仿宋_GB2312" w:eastAsia="仿宋_GB2312"/>
          <w:sz w:val="30"/>
          <w:szCs w:val="30"/>
          <w:u w:val="single"/>
        </w:rPr>
        <w:t>14天内</w:t>
      </w:r>
      <w:r>
        <w:rPr>
          <w:rFonts w:hint="eastAsia" w:ascii="仿宋_GB2312" w:eastAsia="仿宋_GB2312"/>
          <w:sz w:val="30"/>
          <w:szCs w:val="30"/>
        </w:rPr>
        <w:t>。</w:t>
      </w:r>
    </w:p>
    <w:p w14:paraId="3DAA9383">
      <w:pPr>
        <w:wordWrap/>
        <w:topLinePunct w:val="0"/>
        <w:spacing w:after="120"/>
        <w:ind w:firstLine="600"/>
        <w:rPr>
          <w:rFonts w:ascii="仿宋_GB2312" w:eastAsia="仿宋_GB2312"/>
          <w:sz w:val="30"/>
          <w:szCs w:val="30"/>
        </w:rPr>
      </w:pPr>
      <w:r>
        <w:rPr>
          <w:rFonts w:ascii="仿宋_GB2312" w:eastAsia="仿宋_GB2312"/>
          <w:sz w:val="30"/>
          <w:szCs w:val="30"/>
        </w:rPr>
        <w:t xml:space="preserve">8.4.2 </w:t>
      </w:r>
      <w:r>
        <w:rPr>
          <w:rFonts w:hint="eastAsia" w:ascii="仿宋_GB2312" w:eastAsia="仿宋_GB2312"/>
          <w:sz w:val="30"/>
          <w:szCs w:val="30"/>
        </w:rPr>
        <w:t>进度计划的具体要求：</w:t>
      </w:r>
    </w:p>
    <w:p w14:paraId="2AA58EF5">
      <w:pPr>
        <w:wordWrap/>
        <w:topLinePunct w:val="0"/>
        <w:spacing w:after="120"/>
        <w:ind w:firstLineChars="160"/>
        <w:rPr>
          <w:rFonts w:ascii="仿宋_GB2312" w:eastAsia="仿宋_GB2312"/>
          <w:sz w:val="30"/>
          <w:szCs w:val="30"/>
        </w:rPr>
      </w:pPr>
      <w:r>
        <w:rPr>
          <w:rFonts w:ascii="仿宋_GB2312" w:eastAsia="仿宋_GB2312"/>
          <w:sz w:val="30"/>
          <w:szCs w:val="30"/>
        </w:rPr>
        <w:t>1、计划的提交和确认</w:t>
      </w:r>
    </w:p>
    <w:p w14:paraId="04EB93F8">
      <w:pPr>
        <w:wordWrap/>
        <w:topLinePunct w:val="0"/>
        <w:spacing w:after="120"/>
        <w:ind w:firstLine="600"/>
        <w:rPr>
          <w:rFonts w:ascii="仿宋_GB2312" w:eastAsia="仿宋_GB2312"/>
          <w:sz w:val="30"/>
          <w:szCs w:val="30"/>
        </w:rPr>
      </w:pPr>
      <w:r>
        <w:rPr>
          <w:rFonts w:ascii="仿宋_GB2312" w:eastAsia="仿宋_GB2312"/>
          <w:sz w:val="30"/>
          <w:szCs w:val="30"/>
        </w:rPr>
        <w:t>（1）承包人应于收到工程师的进场通知后7天内向发包人提交项目及单位工程的施工组织设计与进度计划。</w:t>
      </w:r>
    </w:p>
    <w:p w14:paraId="7A0533C5">
      <w:pPr>
        <w:wordWrap/>
        <w:topLinePunct w:val="0"/>
        <w:spacing w:after="120"/>
        <w:ind w:firstLine="600"/>
        <w:rPr>
          <w:rFonts w:ascii="仿宋_GB2312" w:eastAsia="仿宋_GB2312"/>
          <w:sz w:val="30"/>
          <w:szCs w:val="30"/>
        </w:rPr>
      </w:pPr>
      <w:r>
        <w:rPr>
          <w:rFonts w:ascii="仿宋_GB2312" w:eastAsia="仿宋_GB2312"/>
          <w:sz w:val="30"/>
          <w:szCs w:val="30"/>
        </w:rPr>
        <w:t>承包人提交的施工组织设计应当载明如下内容（包括但不限于）：</w:t>
      </w:r>
    </w:p>
    <w:p w14:paraId="26F2721B">
      <w:pPr>
        <w:wordWrap/>
        <w:topLinePunct w:val="0"/>
        <w:spacing w:after="120"/>
        <w:ind w:firstLine="600"/>
        <w:rPr>
          <w:rFonts w:ascii="仿宋_GB2312" w:eastAsia="仿宋_GB2312"/>
          <w:sz w:val="30"/>
          <w:szCs w:val="30"/>
        </w:rPr>
      </w:pPr>
      <w:r>
        <w:rPr>
          <w:rFonts w:ascii="仿宋_GB2312" w:eastAsia="仿宋_GB2312"/>
          <w:sz w:val="30"/>
          <w:szCs w:val="30"/>
        </w:rPr>
        <w:t>①各分部分项工程的完整的施工方案和专项工程施工技术方案；</w:t>
      </w:r>
    </w:p>
    <w:p w14:paraId="77C47E32">
      <w:pPr>
        <w:wordWrap/>
        <w:topLinePunct w:val="0"/>
        <w:spacing w:after="120"/>
        <w:ind w:firstLine="600"/>
        <w:rPr>
          <w:rFonts w:ascii="仿宋_GB2312" w:eastAsia="仿宋_GB2312"/>
          <w:sz w:val="30"/>
          <w:szCs w:val="30"/>
        </w:rPr>
      </w:pPr>
      <w:r>
        <w:rPr>
          <w:rFonts w:ascii="仿宋_GB2312" w:eastAsia="仿宋_GB2312"/>
          <w:sz w:val="30"/>
          <w:szCs w:val="30"/>
        </w:rPr>
        <w:t>②施工资源投入计划，包括：机械设备进场计划、工程材料和物料进场计划、施工人员进场计划等；</w:t>
      </w:r>
    </w:p>
    <w:p w14:paraId="61FD7E1E">
      <w:pPr>
        <w:wordWrap/>
        <w:topLinePunct w:val="0"/>
        <w:spacing w:after="120"/>
        <w:ind w:firstLine="600"/>
        <w:rPr>
          <w:rFonts w:ascii="仿宋_GB2312" w:eastAsia="仿宋_GB2312"/>
          <w:sz w:val="30"/>
          <w:szCs w:val="30"/>
        </w:rPr>
      </w:pPr>
      <w:r>
        <w:rPr>
          <w:rFonts w:ascii="仿宋_GB2312" w:eastAsia="仿宋_GB2312"/>
          <w:sz w:val="30"/>
          <w:szCs w:val="30"/>
        </w:rPr>
        <w:t>③施工现场平面布置图及施工道路平面图；</w:t>
      </w:r>
    </w:p>
    <w:p w14:paraId="0BBC6BFD">
      <w:pPr>
        <w:wordWrap/>
        <w:topLinePunct w:val="0"/>
        <w:spacing w:after="120"/>
        <w:ind w:firstLine="600"/>
        <w:rPr>
          <w:rFonts w:ascii="仿宋_GB2312" w:eastAsia="仿宋_GB2312"/>
          <w:sz w:val="30"/>
          <w:szCs w:val="30"/>
        </w:rPr>
      </w:pPr>
      <w:r>
        <w:rPr>
          <w:rFonts w:ascii="仿宋_GB2312" w:eastAsia="仿宋_GB2312"/>
          <w:sz w:val="30"/>
          <w:szCs w:val="30"/>
        </w:rPr>
        <w:t>④季节性施工措施；</w:t>
      </w:r>
    </w:p>
    <w:p w14:paraId="5EA59398">
      <w:pPr>
        <w:wordWrap/>
        <w:topLinePunct w:val="0"/>
        <w:spacing w:after="120"/>
        <w:ind w:firstLine="600"/>
        <w:rPr>
          <w:rFonts w:ascii="仿宋_GB2312" w:eastAsia="仿宋_GB2312"/>
          <w:sz w:val="30"/>
          <w:szCs w:val="30"/>
        </w:rPr>
      </w:pPr>
      <w:r>
        <w:rPr>
          <w:rFonts w:ascii="仿宋_GB2312" w:eastAsia="仿宋_GB2312"/>
          <w:sz w:val="30"/>
          <w:szCs w:val="30"/>
        </w:rPr>
        <w:t>⑤地下管线及其他地下设施的加固措施；</w:t>
      </w:r>
    </w:p>
    <w:p w14:paraId="21993E67">
      <w:pPr>
        <w:wordWrap/>
        <w:topLinePunct w:val="0"/>
        <w:spacing w:after="120"/>
        <w:ind w:firstLine="600"/>
        <w:rPr>
          <w:rFonts w:ascii="仿宋_GB2312" w:eastAsia="仿宋_GB2312"/>
          <w:sz w:val="30"/>
          <w:szCs w:val="30"/>
        </w:rPr>
      </w:pPr>
      <w:r>
        <w:rPr>
          <w:rFonts w:ascii="仿宋_GB2312" w:eastAsia="仿宋_GB2312"/>
          <w:sz w:val="30"/>
          <w:szCs w:val="30"/>
        </w:rPr>
        <w:t>⑥保证工期、质量的措施；</w:t>
      </w:r>
    </w:p>
    <w:p w14:paraId="5CEFC07C">
      <w:pPr>
        <w:wordWrap/>
        <w:topLinePunct w:val="0"/>
        <w:spacing w:after="120"/>
        <w:ind w:firstLine="600"/>
        <w:rPr>
          <w:rFonts w:ascii="仿宋_GB2312" w:eastAsia="仿宋_GB2312"/>
          <w:sz w:val="30"/>
          <w:szCs w:val="30"/>
        </w:rPr>
      </w:pPr>
      <w:r>
        <w:rPr>
          <w:rFonts w:ascii="仿宋_GB2312" w:eastAsia="仿宋_GB2312"/>
          <w:sz w:val="30"/>
          <w:szCs w:val="30"/>
        </w:rPr>
        <w:t>⑦保证安全生产、文明施工、减少扰民、降低环境污染和噪音的措施；</w:t>
      </w:r>
    </w:p>
    <w:p w14:paraId="540A1514">
      <w:pPr>
        <w:wordWrap/>
        <w:topLinePunct w:val="0"/>
        <w:spacing w:after="120"/>
        <w:ind w:firstLine="600"/>
        <w:rPr>
          <w:rFonts w:ascii="仿宋_GB2312" w:eastAsia="仿宋_GB2312"/>
          <w:sz w:val="30"/>
          <w:szCs w:val="30"/>
        </w:rPr>
      </w:pPr>
      <w:r>
        <w:rPr>
          <w:rFonts w:ascii="仿宋_GB2312" w:eastAsia="仿宋_GB2312"/>
          <w:sz w:val="30"/>
          <w:szCs w:val="30"/>
        </w:rPr>
        <w:t>⑧妥善处理与相邻施工作业现场关系的措施；</w:t>
      </w:r>
    </w:p>
    <w:p w14:paraId="55F5A8D1">
      <w:pPr>
        <w:wordWrap/>
        <w:topLinePunct w:val="0"/>
        <w:spacing w:after="120"/>
        <w:ind w:firstLine="600"/>
        <w:rPr>
          <w:rFonts w:ascii="仿宋_GB2312" w:eastAsia="仿宋_GB2312"/>
          <w:sz w:val="30"/>
          <w:szCs w:val="30"/>
        </w:rPr>
      </w:pPr>
      <w:r>
        <w:rPr>
          <w:rFonts w:ascii="仿宋_GB2312" w:eastAsia="仿宋_GB2312"/>
          <w:sz w:val="30"/>
          <w:szCs w:val="30"/>
        </w:rPr>
        <w:t>⑨其他与工程施工有关的管理方案、措施。</w:t>
      </w:r>
    </w:p>
    <w:p w14:paraId="7311E4CC">
      <w:pPr>
        <w:wordWrap/>
        <w:topLinePunct w:val="0"/>
        <w:spacing w:after="120"/>
        <w:ind w:firstLine="600"/>
        <w:rPr>
          <w:rFonts w:ascii="仿宋_GB2312" w:eastAsia="仿宋_GB2312"/>
          <w:sz w:val="30"/>
          <w:szCs w:val="30"/>
        </w:rPr>
      </w:pPr>
      <w:r>
        <w:rPr>
          <w:rFonts w:ascii="仿宋_GB2312" w:eastAsia="仿宋_GB2312"/>
          <w:sz w:val="30"/>
          <w:szCs w:val="30"/>
        </w:rPr>
        <w:t>承包人编制的工程进度计划内容应全面详实，且应针对施工总承包范围内的各专业平行分包工程及建筑工程的全部或分项施工作业和特点提出施工方法、施工穿插顺序及时间安排，并在各节点位置标注相应的工程量、资金使用计划、人力机械组织及材料消耗量。</w:t>
      </w:r>
    </w:p>
    <w:p w14:paraId="57340FC6">
      <w:pPr>
        <w:wordWrap/>
        <w:topLinePunct w:val="0"/>
        <w:spacing w:after="120"/>
        <w:ind w:firstLine="600"/>
        <w:rPr>
          <w:rFonts w:ascii="仿宋_GB2312" w:eastAsia="仿宋_GB2312"/>
          <w:sz w:val="30"/>
          <w:szCs w:val="30"/>
        </w:rPr>
      </w:pPr>
      <w:r>
        <w:rPr>
          <w:rFonts w:ascii="仿宋_GB2312" w:eastAsia="仿宋_GB2312"/>
          <w:sz w:val="30"/>
          <w:szCs w:val="30"/>
        </w:rPr>
        <w:t>承包人编制的保证安全生产文明施工措施应按照广东省及工程所在地有关安全生产文明施工样板工地的具体要求，全面详实，确保现场安全、文明施工达到《建筑施工安全检查标准》合格标准要求；保证施工场地清洁、扬尘及噪音管理符合环境卫生管理的有关规定。</w:t>
      </w:r>
    </w:p>
    <w:p w14:paraId="2171219A">
      <w:pPr>
        <w:wordWrap/>
        <w:topLinePunct w:val="0"/>
        <w:spacing w:after="120"/>
        <w:ind w:firstLine="600"/>
        <w:rPr>
          <w:rFonts w:ascii="仿宋_GB2312" w:eastAsia="仿宋_GB2312"/>
          <w:sz w:val="30"/>
          <w:szCs w:val="30"/>
        </w:rPr>
      </w:pPr>
      <w:r>
        <w:rPr>
          <w:rFonts w:ascii="仿宋_GB2312" w:eastAsia="仿宋_GB2312"/>
          <w:sz w:val="30"/>
          <w:szCs w:val="30"/>
        </w:rPr>
        <w:t>（2）工程师接到承包人提交的施工组织设计和工程进度计划后</w:t>
      </w:r>
      <w:r>
        <w:rPr>
          <w:rFonts w:hint="eastAsia" w:ascii="仿宋_GB2312" w:eastAsia="仿宋_GB2312"/>
          <w:sz w:val="30"/>
          <w:szCs w:val="30"/>
        </w:rPr>
        <w:t>1</w:t>
      </w:r>
      <w:r>
        <w:rPr>
          <w:rFonts w:ascii="仿宋_GB2312" w:eastAsia="仿宋_GB2312"/>
          <w:sz w:val="30"/>
          <w:szCs w:val="30"/>
        </w:rPr>
        <w:t>4天内审核并签署意见。逾期既不确认，也不提出书面意见的视为同意，但如遇到重大或技术复杂、难度大的施工方案（如深基坑等），应按政府有关规定召开专家评审会评审。</w:t>
      </w:r>
    </w:p>
    <w:p w14:paraId="4C92E66F">
      <w:pPr>
        <w:wordWrap/>
        <w:topLinePunct w:val="0"/>
        <w:spacing w:after="120"/>
        <w:ind w:firstLine="600"/>
        <w:rPr>
          <w:rFonts w:ascii="仿宋_GB2312" w:eastAsia="仿宋_GB2312"/>
          <w:sz w:val="30"/>
          <w:szCs w:val="30"/>
        </w:rPr>
      </w:pPr>
      <w:r>
        <w:rPr>
          <w:rFonts w:ascii="仿宋_GB2312" w:eastAsia="仿宋_GB2312"/>
          <w:sz w:val="30"/>
          <w:szCs w:val="30"/>
        </w:rPr>
        <w:t>2、计划的执行</w:t>
      </w:r>
    </w:p>
    <w:p w14:paraId="05A86274">
      <w:pPr>
        <w:wordWrap/>
        <w:topLinePunct w:val="0"/>
        <w:spacing w:after="120"/>
        <w:ind w:firstLine="600"/>
        <w:rPr>
          <w:rFonts w:ascii="仿宋_GB2312" w:eastAsia="仿宋_GB2312"/>
          <w:sz w:val="30"/>
          <w:szCs w:val="30"/>
        </w:rPr>
      </w:pPr>
      <w:r>
        <w:rPr>
          <w:rFonts w:ascii="仿宋_GB2312" w:eastAsia="仿宋_GB2312"/>
          <w:sz w:val="30"/>
          <w:szCs w:val="30"/>
        </w:rPr>
        <w:t>（1）承包人应当加强计划管理，严格按照工程师确认的工程进度计划组织施工，并接受工程师对工程进度的检查、监督。</w:t>
      </w:r>
    </w:p>
    <w:p w14:paraId="7E25BFD3">
      <w:pPr>
        <w:wordWrap/>
        <w:topLinePunct w:val="0"/>
        <w:spacing w:after="120"/>
        <w:ind w:firstLine="600"/>
        <w:rPr>
          <w:rFonts w:ascii="仿宋_GB2312" w:eastAsia="仿宋_GB2312"/>
          <w:sz w:val="30"/>
          <w:szCs w:val="30"/>
        </w:rPr>
      </w:pPr>
      <w:r>
        <w:rPr>
          <w:rFonts w:ascii="仿宋_GB2312" w:eastAsia="仿宋_GB2312"/>
          <w:sz w:val="30"/>
          <w:szCs w:val="30"/>
        </w:rPr>
        <w:t>（2）为便于工程师掌握和控制工期，承包人应于每月底向工程师填报当月工程进度计划完成情况（没完成计划的必须说明原因），并在此基础上更新工程进度计划、资金计划和其它工作计划。工程师在接到报告后应当予以确认或提出书面意见，承包人必须按照工程师的确认或者书面意见执行。</w:t>
      </w:r>
    </w:p>
    <w:p w14:paraId="633B4229">
      <w:pPr>
        <w:wordWrap/>
        <w:topLinePunct w:val="0"/>
        <w:spacing w:after="120"/>
        <w:ind w:firstLine="600"/>
        <w:rPr>
          <w:rFonts w:ascii="仿宋_GB2312" w:eastAsia="仿宋_GB2312"/>
          <w:sz w:val="30"/>
          <w:szCs w:val="30"/>
        </w:rPr>
      </w:pPr>
      <w:r>
        <w:rPr>
          <w:rFonts w:ascii="仿宋_GB2312" w:eastAsia="仿宋_GB2312"/>
          <w:sz w:val="30"/>
          <w:szCs w:val="30"/>
        </w:rPr>
        <w:t>（3）工程师认为本合同工程或其中任何部分工程进度滞后而不能按预定工期完工，应将此情况通知承包人，承包人应据此修改工程进度计划，采取工程师同意的必要措施加快工程进度，属承包人原因造成的，则承包人无权要求发包人支付任何附加费用。如承包人未能在工程师发布指令后10天内采取有效措施，工程进度仍然无明显改进，发包人有权部分或全部解除合同，将未完工程另行发包给其他有能力的施工单位；承包人必须无条件服从，由此所造成的损失全部由承包人承担。</w:t>
      </w:r>
    </w:p>
    <w:p w14:paraId="7608D10A">
      <w:pPr>
        <w:wordWrap/>
        <w:topLinePunct w:val="0"/>
        <w:spacing w:after="120"/>
        <w:ind w:firstLine="600"/>
        <w:rPr>
          <w:rFonts w:ascii="仿宋_GB2312" w:eastAsia="仿宋_GB2312"/>
          <w:sz w:val="30"/>
          <w:szCs w:val="30"/>
        </w:rPr>
      </w:pPr>
      <w:r>
        <w:rPr>
          <w:rFonts w:hint="eastAsia" w:ascii="仿宋_GB2312" w:eastAsia="仿宋_GB2312"/>
          <w:sz w:val="30"/>
          <w:szCs w:val="30"/>
        </w:rPr>
        <w:t>关键路径及关键路径变化的确定原则：</w:t>
      </w:r>
      <w:r>
        <w:rPr>
          <w:rFonts w:hint="eastAsia" w:ascii="仿宋_GB2312" w:eastAsia="仿宋_GB2312"/>
          <w:sz w:val="30"/>
          <w:szCs w:val="30"/>
          <w:u w:val="single"/>
        </w:rPr>
        <w:t>按工程师要求</w:t>
      </w:r>
      <w:r>
        <w:rPr>
          <w:rFonts w:hint="eastAsia" w:ascii="仿宋_GB2312" w:eastAsia="仿宋_GB2312"/>
          <w:sz w:val="30"/>
          <w:szCs w:val="30"/>
        </w:rPr>
        <w:t>。</w:t>
      </w:r>
    </w:p>
    <w:p w14:paraId="4AD90634">
      <w:pPr>
        <w:wordWrap/>
        <w:topLinePunct w:val="0"/>
        <w:spacing w:after="120"/>
        <w:ind w:firstLine="600"/>
        <w:rPr>
          <w:rFonts w:ascii="仿宋_GB2312" w:eastAsia="仿宋_GB2312"/>
          <w:sz w:val="30"/>
          <w:szCs w:val="30"/>
        </w:rPr>
      </w:pPr>
      <w:r>
        <w:rPr>
          <w:rFonts w:hint="eastAsia" w:ascii="仿宋_GB2312" w:eastAsia="仿宋_GB2312"/>
          <w:sz w:val="30"/>
          <w:szCs w:val="30"/>
        </w:rPr>
        <w:t>承包人提交项目进度计划的份数和时间：</w:t>
      </w:r>
      <w:r>
        <w:rPr>
          <w:rFonts w:hint="eastAsia" w:ascii="仿宋_GB2312" w:eastAsia="仿宋_GB2312"/>
          <w:sz w:val="30"/>
          <w:szCs w:val="30"/>
          <w:u w:val="single"/>
        </w:rPr>
        <w:t>按工程师要求</w:t>
      </w:r>
      <w:r>
        <w:rPr>
          <w:rFonts w:hint="eastAsia" w:ascii="仿宋_GB2312" w:eastAsia="仿宋_GB2312"/>
          <w:sz w:val="30"/>
          <w:szCs w:val="30"/>
        </w:rPr>
        <w:t>。</w:t>
      </w:r>
    </w:p>
    <w:p w14:paraId="024AD824">
      <w:pPr>
        <w:wordWrap/>
        <w:topLinePunct w:val="0"/>
        <w:spacing w:after="120"/>
        <w:ind w:firstLine="600"/>
        <w:rPr>
          <w:rFonts w:ascii="仿宋_GB2312" w:eastAsia="仿宋_GB2312"/>
          <w:sz w:val="30"/>
          <w:szCs w:val="30"/>
        </w:rPr>
      </w:pPr>
      <w:r>
        <w:rPr>
          <w:rFonts w:ascii="仿宋_GB2312" w:eastAsia="仿宋_GB2312"/>
          <w:sz w:val="30"/>
          <w:szCs w:val="30"/>
        </w:rPr>
        <w:t xml:space="preserve">8.4.3 </w:t>
      </w:r>
      <w:r>
        <w:rPr>
          <w:rFonts w:hint="eastAsia" w:ascii="仿宋_GB2312" w:eastAsia="仿宋_GB2312"/>
          <w:sz w:val="30"/>
          <w:szCs w:val="30"/>
        </w:rPr>
        <w:t>进度计划的修订</w:t>
      </w:r>
    </w:p>
    <w:p w14:paraId="0F9A026C">
      <w:pPr>
        <w:wordWrap/>
        <w:topLinePunct w:val="0"/>
        <w:spacing w:after="120"/>
        <w:ind w:firstLine="600"/>
        <w:rPr>
          <w:rFonts w:ascii="仿宋_GB2312" w:eastAsia="仿宋_GB2312"/>
          <w:sz w:val="30"/>
          <w:szCs w:val="30"/>
        </w:rPr>
      </w:pPr>
      <w:r>
        <w:rPr>
          <w:rFonts w:hint="eastAsia" w:ascii="仿宋_GB2312" w:eastAsia="仿宋_GB2312"/>
          <w:sz w:val="30"/>
          <w:szCs w:val="30"/>
        </w:rPr>
        <w:t>承包人提交修订</w:t>
      </w:r>
      <w:r>
        <w:rPr>
          <w:rFonts w:ascii="仿宋_GB2312" w:eastAsia="仿宋_GB2312"/>
          <w:sz w:val="30"/>
          <w:szCs w:val="30"/>
        </w:rPr>
        <w:t>项目进度计划</w:t>
      </w:r>
      <w:r>
        <w:rPr>
          <w:rFonts w:hint="eastAsia" w:ascii="仿宋_GB2312" w:eastAsia="仿宋_GB2312"/>
          <w:sz w:val="30"/>
          <w:szCs w:val="30"/>
        </w:rPr>
        <w:t>申请报告的期限：。</w:t>
      </w:r>
    </w:p>
    <w:p w14:paraId="34B1BDC2">
      <w:pPr>
        <w:wordWrap/>
        <w:topLinePunct w:val="0"/>
        <w:spacing w:after="120"/>
        <w:ind w:firstLine="600"/>
        <w:rPr>
          <w:rFonts w:ascii="仿宋_GB2312" w:eastAsia="仿宋_GB2312"/>
          <w:sz w:val="30"/>
          <w:szCs w:val="30"/>
        </w:rPr>
      </w:pPr>
      <w:r>
        <w:rPr>
          <w:rFonts w:hint="eastAsia" w:ascii="仿宋_GB2312" w:eastAsia="仿宋_GB2312"/>
          <w:sz w:val="30"/>
          <w:szCs w:val="30"/>
        </w:rPr>
        <w:t>发包人批复修订</w:t>
      </w:r>
      <w:r>
        <w:rPr>
          <w:rFonts w:ascii="仿宋_GB2312" w:eastAsia="仿宋_GB2312"/>
          <w:sz w:val="30"/>
          <w:szCs w:val="30"/>
        </w:rPr>
        <w:t>项目进度计划</w:t>
      </w:r>
      <w:r>
        <w:rPr>
          <w:rFonts w:hint="eastAsia" w:ascii="仿宋_GB2312" w:eastAsia="仿宋_GB2312"/>
          <w:sz w:val="30"/>
          <w:szCs w:val="30"/>
        </w:rPr>
        <w:t>申请报告的期限：。</w:t>
      </w:r>
    </w:p>
    <w:p w14:paraId="6092E262">
      <w:pPr>
        <w:wordWrap/>
        <w:topLinePunct w:val="0"/>
        <w:spacing w:after="120"/>
        <w:ind w:firstLine="600"/>
        <w:rPr>
          <w:rFonts w:ascii="仿宋_GB2312" w:eastAsia="仿宋_GB2312"/>
          <w:sz w:val="30"/>
          <w:szCs w:val="30"/>
        </w:rPr>
      </w:pPr>
      <w:r>
        <w:rPr>
          <w:rFonts w:hint="eastAsia" w:ascii="仿宋_GB2312" w:eastAsia="仿宋_GB2312"/>
          <w:sz w:val="30"/>
          <w:szCs w:val="30"/>
        </w:rPr>
        <w:t>承包人答复发包人提出修订合同计划的期限：。</w:t>
      </w:r>
    </w:p>
    <w:p w14:paraId="25646D96">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8.5 进度报告</w:t>
      </w:r>
    </w:p>
    <w:p w14:paraId="3B1429E9">
      <w:pPr>
        <w:wordWrap/>
        <w:topLinePunct w:val="0"/>
        <w:spacing w:after="120"/>
        <w:ind w:firstLine="600"/>
        <w:rPr>
          <w:rFonts w:ascii="仿宋_GB2312" w:eastAsia="仿宋_GB2312"/>
          <w:sz w:val="30"/>
          <w:szCs w:val="30"/>
        </w:rPr>
      </w:pPr>
      <w:r>
        <w:rPr>
          <w:rFonts w:hint="eastAsia" w:ascii="仿宋_GB2312" w:eastAsia="仿宋_GB2312"/>
          <w:sz w:val="30"/>
          <w:szCs w:val="30"/>
        </w:rPr>
        <w:t>进度报告的具体要求：</w:t>
      </w:r>
      <w:r>
        <w:rPr>
          <w:rFonts w:ascii="仿宋_GB2312" w:eastAsia="仿宋_GB2312"/>
          <w:sz w:val="30"/>
          <w:szCs w:val="30"/>
          <w:u w:val="single"/>
        </w:rPr>
        <w:t xml:space="preserve"> 按通用条款 </w:t>
      </w:r>
      <w:r>
        <w:rPr>
          <w:rFonts w:hint="eastAsia" w:ascii="仿宋_GB2312" w:eastAsia="仿宋_GB2312"/>
          <w:sz w:val="30"/>
          <w:szCs w:val="30"/>
        </w:rPr>
        <w:t>。</w:t>
      </w:r>
    </w:p>
    <w:p w14:paraId="50FDECDB">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8.7 工期延误</w:t>
      </w:r>
    </w:p>
    <w:p w14:paraId="6C7667E1">
      <w:pPr>
        <w:wordWrap/>
        <w:topLinePunct w:val="0"/>
        <w:spacing w:after="120"/>
        <w:ind w:firstLine="600"/>
        <w:rPr>
          <w:rFonts w:ascii="仿宋_GB2312" w:eastAsia="仿宋_GB2312"/>
          <w:sz w:val="30"/>
          <w:szCs w:val="30"/>
        </w:rPr>
      </w:pPr>
      <w:r>
        <w:rPr>
          <w:rFonts w:ascii="仿宋_GB2312" w:eastAsia="仿宋_GB2312"/>
          <w:sz w:val="30"/>
          <w:szCs w:val="30"/>
        </w:rPr>
        <w:t xml:space="preserve">8.7.2 </w:t>
      </w:r>
      <w:r>
        <w:rPr>
          <w:rFonts w:hint="eastAsia" w:ascii="仿宋_GB2312" w:eastAsia="仿宋_GB2312"/>
          <w:sz w:val="30"/>
          <w:szCs w:val="30"/>
        </w:rPr>
        <w:t>因承包人原因导致工期延误</w:t>
      </w:r>
    </w:p>
    <w:p w14:paraId="429547CE">
      <w:pPr>
        <w:wordWrap/>
        <w:topLinePunct w:val="0"/>
        <w:spacing w:after="120"/>
        <w:ind w:firstLine="600"/>
        <w:rPr>
          <w:rFonts w:ascii="仿宋_GB2312" w:eastAsia="仿宋_GB2312"/>
          <w:sz w:val="30"/>
          <w:szCs w:val="30"/>
        </w:rPr>
      </w:pPr>
      <w:r>
        <w:rPr>
          <w:rFonts w:hint="eastAsia" w:ascii="仿宋_GB2312" w:eastAsia="仿宋_GB2312"/>
          <w:sz w:val="30"/>
          <w:szCs w:val="30"/>
        </w:rPr>
        <w:t>因承包人原因使竣工日期延误的违约责任：按第15.2.1.4条承担违约责任。</w:t>
      </w:r>
    </w:p>
    <w:p w14:paraId="7907EF4F">
      <w:pPr>
        <w:wordWrap/>
        <w:topLinePunct w:val="0"/>
        <w:spacing w:after="120"/>
        <w:ind w:firstLine="600"/>
        <w:rPr>
          <w:rFonts w:ascii="仿宋_GB2312" w:eastAsia="仿宋_GB2312"/>
          <w:sz w:val="30"/>
          <w:szCs w:val="30"/>
        </w:rPr>
      </w:pPr>
      <w:r>
        <w:rPr>
          <w:rFonts w:ascii="仿宋_GB2312" w:eastAsia="仿宋_GB2312"/>
          <w:sz w:val="30"/>
          <w:szCs w:val="30"/>
        </w:rPr>
        <w:t xml:space="preserve">8.7.3 </w:t>
      </w:r>
      <w:r>
        <w:rPr>
          <w:rFonts w:hint="eastAsia" w:ascii="仿宋_GB2312" w:eastAsia="仿宋_GB2312"/>
          <w:sz w:val="30"/>
          <w:szCs w:val="30"/>
        </w:rPr>
        <w:t>行政审批迟延</w:t>
      </w:r>
    </w:p>
    <w:p w14:paraId="6245EF80">
      <w:pPr>
        <w:wordWrap/>
        <w:topLinePunct w:val="0"/>
        <w:spacing w:after="120"/>
        <w:ind w:firstLine="600"/>
        <w:rPr>
          <w:rFonts w:ascii="仿宋_GB2312" w:eastAsia="仿宋_GB2312"/>
          <w:sz w:val="30"/>
          <w:szCs w:val="30"/>
        </w:rPr>
      </w:pPr>
      <w:r>
        <w:rPr>
          <w:rFonts w:hint="eastAsia" w:ascii="仿宋_GB2312" w:eastAsia="仿宋_GB2312"/>
          <w:sz w:val="30"/>
          <w:szCs w:val="30"/>
        </w:rPr>
        <w:t>行政审批报送的职责分工：</w:t>
      </w:r>
      <w:r>
        <w:rPr>
          <w:rFonts w:hint="eastAsia" w:ascii="仿宋_GB2312" w:eastAsia="仿宋_GB2312"/>
          <w:sz w:val="30"/>
          <w:szCs w:val="30"/>
          <w:u w:val="single"/>
        </w:rPr>
        <w:t>双方协商</w:t>
      </w:r>
      <w:r>
        <w:rPr>
          <w:rFonts w:hint="eastAsia" w:ascii="仿宋_GB2312" w:eastAsia="仿宋_GB2312"/>
          <w:sz w:val="30"/>
          <w:szCs w:val="30"/>
        </w:rPr>
        <w:t>。</w:t>
      </w:r>
    </w:p>
    <w:p w14:paraId="22C79F6C">
      <w:pPr>
        <w:wordWrap/>
        <w:topLinePunct w:val="0"/>
        <w:spacing w:after="120"/>
        <w:ind w:firstLine="600"/>
        <w:rPr>
          <w:rFonts w:ascii="仿宋_GB2312" w:eastAsia="仿宋_GB2312"/>
          <w:sz w:val="30"/>
          <w:szCs w:val="30"/>
        </w:rPr>
      </w:pPr>
      <w:r>
        <w:rPr>
          <w:rFonts w:ascii="仿宋_GB2312" w:eastAsia="仿宋_GB2312"/>
          <w:sz w:val="30"/>
          <w:szCs w:val="30"/>
        </w:rPr>
        <w:t xml:space="preserve">8.7.4 </w:t>
      </w:r>
      <w:r>
        <w:rPr>
          <w:rFonts w:hint="eastAsia" w:ascii="仿宋_GB2312" w:eastAsia="仿宋_GB2312"/>
          <w:sz w:val="30"/>
          <w:szCs w:val="30"/>
        </w:rPr>
        <w:t>异常恶劣的气候条件</w:t>
      </w:r>
    </w:p>
    <w:p w14:paraId="3BB5207F">
      <w:pPr>
        <w:wordWrap/>
        <w:topLinePunct w:val="0"/>
        <w:spacing w:after="120"/>
        <w:ind w:firstLine="600"/>
        <w:rPr>
          <w:rFonts w:ascii="仿宋_GB2312" w:eastAsia="仿宋_GB2312"/>
          <w:sz w:val="30"/>
          <w:szCs w:val="30"/>
        </w:rPr>
      </w:pPr>
      <w:r>
        <w:rPr>
          <w:rFonts w:hint="eastAsia" w:ascii="仿宋_GB2312" w:eastAsia="仿宋_GB2312"/>
          <w:sz w:val="30"/>
          <w:szCs w:val="30"/>
        </w:rPr>
        <w:t>双方约定视为异常恶劣的气候条件的情形：。</w:t>
      </w:r>
    </w:p>
    <w:p w14:paraId="4DC1F7FE">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8.8 工期提前</w:t>
      </w:r>
    </w:p>
    <w:p w14:paraId="79E5039C">
      <w:pPr>
        <w:wordWrap/>
        <w:topLinePunct w:val="0"/>
        <w:spacing w:after="120"/>
        <w:ind w:firstLine="600"/>
        <w:rPr>
          <w:rFonts w:ascii="仿宋_GB2312" w:eastAsia="仿宋_GB2312"/>
          <w:sz w:val="30"/>
          <w:szCs w:val="30"/>
        </w:rPr>
      </w:pPr>
      <w:r>
        <w:rPr>
          <w:rFonts w:ascii="仿宋_GB2312" w:eastAsia="仿宋_GB2312"/>
          <w:sz w:val="30"/>
          <w:szCs w:val="30"/>
        </w:rPr>
        <w:t xml:space="preserve">8.8.2 </w:t>
      </w:r>
      <w:r>
        <w:rPr>
          <w:rFonts w:hint="eastAsia" w:ascii="仿宋_GB2312" w:eastAsia="仿宋_GB2312"/>
          <w:sz w:val="30"/>
          <w:szCs w:val="30"/>
        </w:rPr>
        <w:t>承包人提前竣工的奖励：</w:t>
      </w:r>
      <w:r>
        <w:rPr>
          <w:rFonts w:hint="eastAsia" w:ascii="仿宋_GB2312" w:eastAsia="仿宋_GB2312"/>
          <w:sz w:val="30"/>
          <w:szCs w:val="30"/>
          <w:u w:val="single"/>
        </w:rPr>
        <w:t>无</w:t>
      </w:r>
      <w:r>
        <w:rPr>
          <w:rFonts w:hint="eastAsia" w:ascii="仿宋_GB2312" w:eastAsia="仿宋_GB2312"/>
          <w:sz w:val="30"/>
          <w:szCs w:val="30"/>
        </w:rPr>
        <w:t>。</w:t>
      </w:r>
    </w:p>
    <w:p w14:paraId="64FFBE42">
      <w:pPr>
        <w:wordWrap/>
        <w:topLinePunct w:val="0"/>
        <w:spacing w:after="120"/>
        <w:ind w:firstLine="0" w:firstLineChars="0"/>
        <w:outlineLvl w:val="1"/>
        <w:rPr>
          <w:rFonts w:ascii="仿宋" w:hAnsi="仿宋" w:eastAsia="仿宋" w:cs="仿宋"/>
          <w:sz w:val="32"/>
          <w:szCs w:val="32"/>
        </w:rPr>
      </w:pPr>
      <w:bookmarkStart w:id="869" w:name="_Toc23025"/>
      <w:bookmarkStart w:id="870" w:name="_Toc13831"/>
      <w:bookmarkStart w:id="871" w:name="_Toc54862340"/>
      <w:bookmarkStart w:id="872" w:name="_Toc26988"/>
      <w:r>
        <w:rPr>
          <w:rFonts w:hint="eastAsia" w:ascii="仿宋" w:hAnsi="仿宋" w:eastAsia="仿宋" w:cs="仿宋"/>
          <w:sz w:val="32"/>
          <w:szCs w:val="32"/>
        </w:rPr>
        <w:t>第9条 竣工试验</w:t>
      </w:r>
      <w:bookmarkEnd w:id="869"/>
      <w:bookmarkEnd w:id="870"/>
      <w:bookmarkEnd w:id="871"/>
      <w:bookmarkEnd w:id="872"/>
    </w:p>
    <w:p w14:paraId="009E2492">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9.1 竣工试验的义务</w:t>
      </w:r>
    </w:p>
    <w:p w14:paraId="3802979B">
      <w:pPr>
        <w:wordWrap/>
        <w:topLinePunct w:val="0"/>
        <w:spacing w:after="120"/>
        <w:ind w:firstLine="600"/>
        <w:rPr>
          <w:rFonts w:ascii="仿宋_GB2312" w:eastAsia="仿宋_GB2312"/>
          <w:sz w:val="30"/>
          <w:szCs w:val="30"/>
        </w:rPr>
      </w:pPr>
      <w:r>
        <w:rPr>
          <w:rFonts w:ascii="仿宋_GB2312" w:eastAsia="仿宋_GB2312"/>
          <w:sz w:val="30"/>
          <w:szCs w:val="30"/>
        </w:rPr>
        <w:t xml:space="preserve">9.1.3 </w:t>
      </w:r>
      <w:r>
        <w:rPr>
          <w:rFonts w:hint="eastAsia" w:ascii="仿宋_GB2312" w:eastAsia="仿宋_GB2312"/>
          <w:sz w:val="30"/>
          <w:szCs w:val="30"/>
        </w:rPr>
        <w:t>竣工试验的阶段、内容和顺序：</w:t>
      </w:r>
      <w:r>
        <w:rPr>
          <w:rFonts w:hint="eastAsia" w:ascii="仿宋_GB2312" w:eastAsia="仿宋_GB2312"/>
          <w:sz w:val="30"/>
          <w:szCs w:val="30"/>
          <w:u w:val="single"/>
        </w:rPr>
        <w:t>按工程师要求</w:t>
      </w:r>
      <w:r>
        <w:rPr>
          <w:rFonts w:hint="eastAsia" w:ascii="仿宋_GB2312" w:eastAsia="仿宋_GB2312"/>
          <w:sz w:val="30"/>
          <w:szCs w:val="30"/>
        </w:rPr>
        <w:t>。</w:t>
      </w:r>
    </w:p>
    <w:p w14:paraId="4A2D002D">
      <w:pPr>
        <w:wordWrap/>
        <w:topLinePunct w:val="0"/>
        <w:spacing w:after="120"/>
        <w:ind w:firstLine="600"/>
        <w:rPr>
          <w:rFonts w:ascii="仿宋_GB2312" w:eastAsia="仿宋_GB2312"/>
          <w:sz w:val="30"/>
          <w:szCs w:val="30"/>
        </w:rPr>
      </w:pPr>
      <w:r>
        <w:rPr>
          <w:rFonts w:hint="eastAsia" w:ascii="仿宋_GB2312" w:eastAsia="仿宋_GB2312"/>
          <w:sz w:val="30"/>
          <w:szCs w:val="30"/>
        </w:rPr>
        <w:t>竣工试验的操作要求：。</w:t>
      </w:r>
    </w:p>
    <w:p w14:paraId="115A278B">
      <w:pPr>
        <w:wordWrap/>
        <w:topLinePunct w:val="0"/>
        <w:spacing w:after="120"/>
        <w:ind w:firstLine="0" w:firstLineChars="0"/>
        <w:outlineLvl w:val="1"/>
        <w:rPr>
          <w:rFonts w:ascii="仿宋" w:hAnsi="仿宋" w:eastAsia="仿宋" w:cs="仿宋"/>
          <w:sz w:val="32"/>
          <w:szCs w:val="32"/>
        </w:rPr>
      </w:pPr>
      <w:bookmarkStart w:id="873" w:name="_Toc4784273"/>
      <w:bookmarkEnd w:id="873"/>
      <w:bookmarkStart w:id="874" w:name="_Toc4784272"/>
      <w:bookmarkEnd w:id="874"/>
      <w:bookmarkStart w:id="875" w:name="_Toc54862341"/>
      <w:bookmarkStart w:id="876" w:name="_Toc12951"/>
      <w:bookmarkStart w:id="877" w:name="_Toc10490"/>
      <w:bookmarkStart w:id="878" w:name="_Toc30038"/>
      <w:r>
        <w:rPr>
          <w:rFonts w:hint="eastAsia" w:ascii="仿宋" w:hAnsi="仿宋" w:eastAsia="仿宋" w:cs="仿宋"/>
          <w:sz w:val="32"/>
          <w:szCs w:val="32"/>
        </w:rPr>
        <w:t>第10条 验收和工程接收</w:t>
      </w:r>
      <w:bookmarkEnd w:id="875"/>
      <w:bookmarkEnd w:id="876"/>
      <w:bookmarkEnd w:id="877"/>
      <w:bookmarkEnd w:id="878"/>
    </w:p>
    <w:p w14:paraId="2FE78985">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10.1 竣工验收</w:t>
      </w:r>
    </w:p>
    <w:p w14:paraId="2FD47126">
      <w:pPr>
        <w:tabs>
          <w:tab w:val="left" w:pos="851"/>
        </w:tabs>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0.1.1 </w:t>
      </w:r>
      <w:r>
        <w:rPr>
          <w:rFonts w:hint="eastAsia" w:ascii="仿宋_GB2312" w:eastAsia="仿宋_GB2312"/>
          <w:sz w:val="30"/>
          <w:szCs w:val="30"/>
        </w:rPr>
        <w:t>竣工验收条件</w:t>
      </w:r>
    </w:p>
    <w:p w14:paraId="3DE05C96">
      <w:pPr>
        <w:wordWrap/>
        <w:topLinePunct w:val="0"/>
        <w:spacing w:after="120"/>
        <w:ind w:firstLine="600"/>
        <w:rPr>
          <w:rFonts w:ascii="仿宋_GB2312" w:eastAsia="仿宋_GB2312"/>
          <w:sz w:val="30"/>
          <w:szCs w:val="30"/>
        </w:rPr>
      </w:pPr>
      <w:r>
        <w:rPr>
          <w:rFonts w:hint="eastAsia" w:ascii="仿宋_GB2312" w:eastAsia="仿宋_GB2312"/>
          <w:sz w:val="30"/>
          <w:szCs w:val="30"/>
        </w:rPr>
        <w:t>增加：承包人必须采取一切有效措施保证按照合同协议书约定或者发包人根据工程实施情况调整的竣工日期竣工，不得延误，除非发生了以下情形：</w:t>
      </w:r>
    </w:p>
    <w:p w14:paraId="677C5401">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1）政府对本合同工程建设项目作出停建、缓建的决定；</w:t>
      </w:r>
    </w:p>
    <w:p w14:paraId="69FCC177">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2）重大设计变更导致本合同工程在规划、使用、功能方面有重大调整；</w:t>
      </w:r>
    </w:p>
    <w:p w14:paraId="05E57813">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3）非因承包人原因造成关键节点工期延误达到15天</w:t>
      </w:r>
      <w:r>
        <w:rPr>
          <w:rFonts w:hint="eastAsia" w:ascii="仿宋_GB2312" w:eastAsia="仿宋_GB2312"/>
          <w:sz w:val="30"/>
          <w:szCs w:val="30"/>
        </w:rPr>
        <w:t>及</w:t>
      </w:r>
      <w:r>
        <w:rPr>
          <w:rFonts w:ascii="仿宋_GB2312" w:eastAsia="仿宋_GB2312"/>
          <w:sz w:val="30"/>
          <w:szCs w:val="30"/>
        </w:rPr>
        <w:t>以上。</w:t>
      </w:r>
    </w:p>
    <w:p w14:paraId="21D39EFC">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4）其他非因承包人原因造成的竣工日期延误。</w:t>
      </w:r>
    </w:p>
    <w:p w14:paraId="46EC3C23">
      <w:pPr>
        <w:wordWrap/>
        <w:topLinePunct w:val="0"/>
        <w:spacing w:after="120"/>
        <w:ind w:firstLine="600"/>
        <w:rPr>
          <w:rFonts w:ascii="仿宋_GB2312" w:eastAsia="仿宋_GB2312"/>
          <w:sz w:val="30"/>
          <w:szCs w:val="30"/>
        </w:rPr>
      </w:pPr>
      <w:r>
        <w:rPr>
          <w:rFonts w:ascii="仿宋_GB2312" w:eastAsia="仿宋_GB2312"/>
          <w:sz w:val="30"/>
          <w:szCs w:val="30"/>
        </w:rPr>
        <w:t xml:space="preserve">10.1.2 </w:t>
      </w:r>
      <w:r>
        <w:rPr>
          <w:rFonts w:hint="eastAsia" w:ascii="仿宋_GB2312" w:eastAsia="仿宋_GB2312"/>
          <w:sz w:val="30"/>
          <w:szCs w:val="30"/>
        </w:rPr>
        <w:t>关于竣工验收程序的约定：</w:t>
      </w:r>
    </w:p>
    <w:p w14:paraId="7A2372E7">
      <w:pPr>
        <w:wordWrap/>
        <w:topLinePunct w:val="0"/>
        <w:spacing w:after="120"/>
        <w:ind w:firstLine="600"/>
        <w:rPr>
          <w:rFonts w:ascii="仿宋_GB2312" w:eastAsia="仿宋_GB2312"/>
          <w:sz w:val="30"/>
          <w:szCs w:val="30"/>
        </w:rPr>
      </w:pPr>
      <w:r>
        <w:rPr>
          <w:rFonts w:ascii="仿宋_GB2312" w:eastAsia="仿宋_GB2312"/>
          <w:sz w:val="30"/>
          <w:szCs w:val="30"/>
        </w:rPr>
        <w:t>1.工程具备竣工验收条件，承包人按国家工程竣工验收有关规定，向发包人提供完整竣工资料（包含竣工图）及竣工验收报告。</w:t>
      </w:r>
    </w:p>
    <w:p w14:paraId="1098785F">
      <w:pPr>
        <w:wordWrap/>
        <w:topLinePunct w:val="0"/>
        <w:spacing w:after="120"/>
        <w:ind w:firstLine="600"/>
        <w:rPr>
          <w:rFonts w:ascii="仿宋_GB2312" w:eastAsia="仿宋_GB2312"/>
          <w:sz w:val="30"/>
          <w:szCs w:val="30"/>
        </w:rPr>
      </w:pPr>
      <w:r>
        <w:rPr>
          <w:rFonts w:ascii="仿宋_GB2312" w:eastAsia="仿宋_GB2312"/>
          <w:sz w:val="30"/>
          <w:szCs w:val="30"/>
        </w:rPr>
        <w:t>2.发包人收到竣工验收报告并审核竣工文件后，如认为承包人竣工文件不能符合竣工要求，应书面通知承包人整改，承包人按要求整改后重新提出竣工验收报告。发包人收到竣工验收报告并审核竣工文件通过后28天内组织有关单位进行验收。</w:t>
      </w:r>
    </w:p>
    <w:p w14:paraId="7614F814">
      <w:pPr>
        <w:wordWrap/>
        <w:topLinePunct w:val="0"/>
        <w:spacing w:after="120"/>
        <w:ind w:firstLine="600"/>
        <w:rPr>
          <w:rFonts w:ascii="仿宋_GB2312" w:eastAsia="仿宋_GB2312"/>
          <w:sz w:val="30"/>
          <w:szCs w:val="30"/>
        </w:rPr>
      </w:pPr>
      <w:r>
        <w:rPr>
          <w:rFonts w:ascii="仿宋_GB2312" w:eastAsia="仿宋_GB2312"/>
          <w:sz w:val="30"/>
          <w:szCs w:val="30"/>
        </w:rPr>
        <w:t>3.发包人应在验收后14天内给予认可或提出修改意见。承包人按要求修改，并承担由自身原因造成修改的费用。</w:t>
      </w:r>
    </w:p>
    <w:p w14:paraId="49181F0C">
      <w:pPr>
        <w:wordWrap/>
        <w:topLinePunct w:val="0"/>
        <w:spacing w:after="120"/>
        <w:ind w:firstLine="600"/>
        <w:rPr>
          <w:rFonts w:ascii="仿宋_GB2312" w:eastAsia="仿宋_GB2312"/>
          <w:sz w:val="30"/>
          <w:szCs w:val="30"/>
        </w:rPr>
      </w:pPr>
      <w:r>
        <w:rPr>
          <w:rFonts w:ascii="仿宋_GB2312" w:eastAsia="仿宋_GB2312"/>
          <w:sz w:val="30"/>
          <w:szCs w:val="30"/>
        </w:rPr>
        <w:t>4.发包人收到承包人送交的竣工验收报告后28天内无故不组织验收，或验收后14天内不提出修改意见，视为竣工验收报告已被认可。</w:t>
      </w:r>
    </w:p>
    <w:p w14:paraId="16ECBD94">
      <w:pPr>
        <w:wordWrap/>
        <w:topLinePunct w:val="0"/>
        <w:spacing w:after="120"/>
        <w:ind w:firstLine="600"/>
        <w:rPr>
          <w:rFonts w:ascii="仿宋_GB2312" w:eastAsia="仿宋_GB2312"/>
          <w:sz w:val="30"/>
          <w:szCs w:val="30"/>
        </w:rPr>
      </w:pPr>
      <w:r>
        <w:rPr>
          <w:rFonts w:ascii="仿宋_GB2312" w:eastAsia="仿宋_GB2312"/>
          <w:sz w:val="30"/>
          <w:szCs w:val="30"/>
        </w:rPr>
        <w:t>5.工程竣工验收通过，承包人送交竣工验收报告的日期为实际竣工日期。工程按发包人要求修改后通过竣工验收的，实际竣工日期为承包人修改后提请发包人验收的日期。</w:t>
      </w:r>
    </w:p>
    <w:p w14:paraId="6BBBC643">
      <w:pPr>
        <w:wordWrap/>
        <w:topLinePunct w:val="0"/>
        <w:spacing w:after="120"/>
        <w:ind w:firstLine="600"/>
        <w:rPr>
          <w:rFonts w:ascii="仿宋_GB2312" w:eastAsia="仿宋_GB2312"/>
          <w:sz w:val="30"/>
          <w:szCs w:val="30"/>
        </w:rPr>
      </w:pPr>
      <w:r>
        <w:rPr>
          <w:rFonts w:ascii="仿宋_GB2312" w:eastAsia="仿宋_GB2312"/>
          <w:sz w:val="30"/>
          <w:szCs w:val="30"/>
        </w:rPr>
        <w:t>6.发包人收到承包人竣工验收报告后28天内无故不组织验收，从第29天起承担工程保管及一切意外责任。</w:t>
      </w:r>
    </w:p>
    <w:p w14:paraId="7FBD9657">
      <w:pPr>
        <w:wordWrap/>
        <w:topLinePunct w:val="0"/>
        <w:spacing w:after="120"/>
        <w:ind w:firstLine="600"/>
        <w:rPr>
          <w:rFonts w:ascii="仿宋_GB2312" w:eastAsia="仿宋_GB2312"/>
          <w:sz w:val="30"/>
          <w:szCs w:val="30"/>
        </w:rPr>
      </w:pPr>
      <w:r>
        <w:rPr>
          <w:rFonts w:ascii="仿宋_GB2312" w:eastAsia="仿宋_GB2312"/>
          <w:sz w:val="30"/>
          <w:szCs w:val="30"/>
        </w:rPr>
        <w:t>7.中间交工工程的验收按约定办理。</w:t>
      </w:r>
    </w:p>
    <w:p w14:paraId="4D90F13F">
      <w:pPr>
        <w:wordWrap/>
        <w:topLinePunct w:val="0"/>
        <w:spacing w:after="120"/>
        <w:ind w:firstLine="600"/>
        <w:rPr>
          <w:rFonts w:ascii="仿宋_GB2312" w:eastAsia="仿宋_GB2312"/>
          <w:sz w:val="30"/>
          <w:szCs w:val="30"/>
        </w:rPr>
      </w:pPr>
      <w:r>
        <w:rPr>
          <w:rFonts w:ascii="仿宋_GB2312" w:eastAsia="仿宋_GB2312"/>
          <w:sz w:val="30"/>
          <w:szCs w:val="30"/>
        </w:rPr>
        <w:t>8.因特殊原因，发包人要求部分单位工程或工程部位甩项竣工的，双方另行签订甩项竣工协议，明确双方责任和工程价款的支付方法。</w:t>
      </w:r>
    </w:p>
    <w:p w14:paraId="784C7916">
      <w:pPr>
        <w:wordWrap/>
        <w:topLinePunct w:val="0"/>
        <w:spacing w:after="120"/>
        <w:ind w:firstLine="600"/>
        <w:rPr>
          <w:rFonts w:ascii="仿宋_GB2312" w:eastAsia="仿宋_GB2312"/>
          <w:sz w:val="30"/>
          <w:szCs w:val="30"/>
        </w:rPr>
      </w:pPr>
      <w:r>
        <w:rPr>
          <w:rFonts w:ascii="仿宋_GB2312" w:eastAsia="仿宋_GB2312"/>
          <w:sz w:val="30"/>
          <w:szCs w:val="30"/>
        </w:rPr>
        <w:t>9.经验收评定，工程质量及工程内容符合合同要求的，发包人、承包人、监理单位及设计单位均应在工程竣工验收证明书上盖章签字；工程质量不合格或工程内容有尚未完成者，由承包人在商定的期限内进行修补后，再进行竣工验收，直至达到竣工验收合格要求为止，并按最后验收合格的日期作为竣工日期，由此产生的一切费用均由承包人负责。</w:t>
      </w:r>
    </w:p>
    <w:p w14:paraId="5C9C3257">
      <w:pPr>
        <w:wordWrap/>
        <w:topLinePunct w:val="0"/>
        <w:spacing w:after="120"/>
        <w:ind w:firstLine="600"/>
        <w:rPr>
          <w:rFonts w:ascii="仿宋_GB2312" w:eastAsia="仿宋_GB2312"/>
          <w:sz w:val="30"/>
          <w:szCs w:val="30"/>
        </w:rPr>
      </w:pPr>
      <w:r>
        <w:rPr>
          <w:rFonts w:ascii="仿宋_GB2312" w:eastAsia="仿宋_GB2312"/>
          <w:sz w:val="30"/>
          <w:szCs w:val="30"/>
        </w:rPr>
        <w:t>10.工程未经竣工验收或竣工验收未通过的，发包人不得使用。发包人强行使用时，由此发生的质量问题及其他问题，由发包人承担责任。</w:t>
      </w:r>
    </w:p>
    <w:p w14:paraId="06947194">
      <w:pPr>
        <w:wordWrap/>
        <w:topLinePunct w:val="0"/>
        <w:spacing w:after="120"/>
        <w:ind w:firstLine="600"/>
        <w:rPr>
          <w:rFonts w:ascii="仿宋_GB2312" w:eastAsia="仿宋_GB2312"/>
          <w:sz w:val="30"/>
          <w:szCs w:val="30"/>
        </w:rPr>
      </w:pPr>
      <w:r>
        <w:rPr>
          <w:rFonts w:ascii="仿宋_GB2312" w:eastAsia="仿宋_GB2312"/>
          <w:sz w:val="30"/>
          <w:szCs w:val="30"/>
        </w:rPr>
        <w:t>11.承包人应按如下程序进行竣工资料准备，一式</w:t>
      </w:r>
      <w:r>
        <w:rPr>
          <w:rFonts w:hint="eastAsia" w:ascii="仿宋_GB2312" w:eastAsia="仿宋_GB2312"/>
          <w:sz w:val="30"/>
          <w:szCs w:val="30"/>
        </w:rPr>
        <w:t>四份</w:t>
      </w:r>
      <w:r>
        <w:rPr>
          <w:rFonts w:ascii="仿宋_GB2312" w:eastAsia="仿宋_GB2312"/>
          <w:sz w:val="30"/>
          <w:szCs w:val="30"/>
        </w:rPr>
        <w:t>，用于城建档案馆留档、承包人留档、发包人留档、使用单位留档：</w:t>
      </w:r>
    </w:p>
    <w:p w14:paraId="3137A0CD">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1）承包人</w:t>
      </w:r>
      <w:r>
        <w:rPr>
          <w:rFonts w:hint="eastAsia" w:ascii="仿宋_GB2312" w:eastAsia="仿宋_GB2312"/>
          <w:sz w:val="30"/>
          <w:szCs w:val="30"/>
        </w:rPr>
        <w:t>设计方</w:t>
      </w:r>
      <w:r>
        <w:rPr>
          <w:rFonts w:ascii="仿宋_GB2312" w:eastAsia="仿宋_GB2312"/>
          <w:sz w:val="30"/>
          <w:szCs w:val="30"/>
        </w:rPr>
        <w:t>绘制竣工图。</w:t>
      </w:r>
    </w:p>
    <w:p w14:paraId="0BC9838E">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2）承包人有义务对工程资料按照国家《城市建设档案管理规定》以及按照发包人的具体要求进行收集、整理、编制、汇总和管理。</w:t>
      </w:r>
    </w:p>
    <w:p w14:paraId="5DC2DB4D">
      <w:pPr>
        <w:wordWrap/>
        <w:topLinePunct w:val="0"/>
        <w:spacing w:after="120"/>
        <w:ind w:firstLine="600"/>
        <w:rPr>
          <w:rFonts w:ascii="仿宋_GB2312" w:eastAsia="仿宋_GB2312"/>
          <w:sz w:val="30"/>
          <w:szCs w:val="30"/>
        </w:rPr>
      </w:pPr>
      <w:r>
        <w:rPr>
          <w:rFonts w:ascii="仿宋_GB2312" w:eastAsia="仿宋_GB2312"/>
          <w:sz w:val="30"/>
          <w:szCs w:val="30"/>
        </w:rPr>
        <w:t>12.验收依据和标准：施工图纸，图纸说明，设计变更资料和图纸，技术交底及会议纪要，国家颁布的施工验收规范、规定。</w:t>
      </w:r>
    </w:p>
    <w:p w14:paraId="08F940A4">
      <w:pPr>
        <w:wordWrap/>
        <w:topLinePunct w:val="0"/>
        <w:spacing w:after="120"/>
        <w:ind w:firstLine="600"/>
        <w:rPr>
          <w:rFonts w:ascii="仿宋_GB2312" w:eastAsia="仿宋_GB2312"/>
          <w:sz w:val="30"/>
          <w:szCs w:val="30"/>
        </w:rPr>
      </w:pPr>
      <w:r>
        <w:rPr>
          <w:rFonts w:ascii="仿宋_GB2312" w:eastAsia="仿宋_GB2312"/>
          <w:sz w:val="30"/>
          <w:szCs w:val="30"/>
        </w:rPr>
        <w:t>13.专业承包和专业分包工程需单独验收的，经承包人预验合格后，属专业承包和专业分包项目的再报监理单位进行监理预验；不属专业承包和专业分包项目的由监理单位进行监理预验，合格后由该专业承包和专业分包单位与专业工程验收管理部门、监理单位、发包人协商确定验收时间，并及时通知承包人参与验收。</w:t>
      </w:r>
    </w:p>
    <w:p w14:paraId="277DEA64">
      <w:pPr>
        <w:wordWrap/>
        <w:topLinePunct w:val="0"/>
        <w:spacing w:after="120"/>
        <w:ind w:firstLine="600"/>
        <w:rPr>
          <w:rFonts w:ascii="仿宋_GB2312" w:eastAsia="仿宋_GB2312"/>
          <w:sz w:val="30"/>
          <w:szCs w:val="30"/>
        </w:rPr>
      </w:pPr>
      <w:r>
        <w:rPr>
          <w:rFonts w:ascii="仿宋_GB2312" w:eastAsia="仿宋_GB2312"/>
          <w:sz w:val="30"/>
          <w:szCs w:val="30"/>
        </w:rPr>
        <w:t>14.专业承包和专业分包工程不需要办理单独验收的，经承包人预验合格后，属专业承包和专业分包项目的再报监理单位进行监理预验；不属专业承包和专业分包项目的由监理单位进行监理预验，合格后由专业承包和专业分包单位、承包人、施工监理单位、发包人协商验收。</w:t>
      </w:r>
    </w:p>
    <w:p w14:paraId="7D262F0E">
      <w:pPr>
        <w:wordWrap/>
        <w:topLinePunct w:val="0"/>
        <w:spacing w:after="120"/>
        <w:ind w:firstLine="600"/>
        <w:rPr>
          <w:rFonts w:ascii="仿宋_GB2312" w:eastAsia="仿宋_GB2312"/>
          <w:sz w:val="30"/>
          <w:szCs w:val="30"/>
        </w:rPr>
      </w:pPr>
      <w:bookmarkStart w:id="879" w:name="_Hlk46406260"/>
      <w:r>
        <w:rPr>
          <w:rFonts w:hint="eastAsia" w:ascii="仿宋_GB2312" w:eastAsia="仿宋_GB2312"/>
          <w:sz w:val="30"/>
          <w:szCs w:val="30"/>
        </w:rPr>
        <w:t>发包人不按照合同约定组织竣工验收、颁发工程接受证书的违约金的计算方式：。</w:t>
      </w:r>
    </w:p>
    <w:p w14:paraId="5F5871B1">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10.2 单位/区段工程的验收</w:t>
      </w:r>
    </w:p>
    <w:bookmarkEnd w:id="879"/>
    <w:p w14:paraId="1A84F80E">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10.3</w:t>
      </w:r>
      <w:r>
        <w:rPr>
          <w:rFonts w:hint="eastAsia" w:ascii="仿宋" w:hAnsi="仿宋" w:eastAsia="仿宋" w:cs="仿宋"/>
          <w:sz w:val="30"/>
          <w:szCs w:val="30"/>
        </w:rPr>
        <w:tab/>
      </w:r>
      <w:r>
        <w:rPr>
          <w:rFonts w:hint="eastAsia" w:ascii="仿宋" w:hAnsi="仿宋" w:eastAsia="仿宋" w:cs="仿宋"/>
          <w:sz w:val="30"/>
          <w:szCs w:val="30"/>
        </w:rPr>
        <w:t xml:space="preserve"> 工程的接收</w:t>
      </w:r>
    </w:p>
    <w:p w14:paraId="16D615C3">
      <w:pPr>
        <w:wordWrap/>
        <w:topLinePunct w:val="0"/>
        <w:spacing w:after="120"/>
        <w:ind w:firstLine="600"/>
        <w:rPr>
          <w:rFonts w:ascii="仿宋_GB2312" w:eastAsia="仿宋_GB2312"/>
          <w:sz w:val="30"/>
          <w:szCs w:val="30"/>
        </w:rPr>
      </w:pPr>
      <w:r>
        <w:rPr>
          <w:rFonts w:ascii="仿宋_GB2312" w:eastAsia="仿宋_GB2312"/>
          <w:sz w:val="30"/>
          <w:szCs w:val="30"/>
        </w:rPr>
        <w:t>10.3.1</w:t>
      </w:r>
      <w:r>
        <w:rPr>
          <w:rFonts w:hint="eastAsia" w:ascii="仿宋_GB2312" w:eastAsia="仿宋_GB2312"/>
          <w:sz w:val="30"/>
          <w:szCs w:val="30"/>
        </w:rPr>
        <w:t>工程接收的先后顺序、时间安排和其他要求：。</w:t>
      </w:r>
    </w:p>
    <w:p w14:paraId="2E3E4450">
      <w:pPr>
        <w:wordWrap/>
        <w:topLinePunct w:val="0"/>
        <w:spacing w:after="120"/>
        <w:ind w:firstLine="600"/>
        <w:rPr>
          <w:rFonts w:ascii="仿宋_GB2312" w:eastAsia="仿宋_GB2312"/>
          <w:sz w:val="30"/>
          <w:szCs w:val="30"/>
        </w:rPr>
      </w:pPr>
      <w:r>
        <w:rPr>
          <w:rFonts w:ascii="仿宋_GB2312" w:eastAsia="仿宋_GB2312"/>
          <w:sz w:val="30"/>
          <w:szCs w:val="30"/>
        </w:rPr>
        <w:t xml:space="preserve">10.3.2 </w:t>
      </w:r>
      <w:r>
        <w:rPr>
          <w:rFonts w:hint="eastAsia" w:ascii="仿宋_GB2312" w:eastAsia="仿宋_GB2312"/>
          <w:sz w:val="30"/>
          <w:szCs w:val="30"/>
        </w:rPr>
        <w:t>接受工程时承包人需提交竣工验收资料的类别、内容、份数和提交时间：</w:t>
      </w:r>
    </w:p>
    <w:p w14:paraId="3EF94010">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①工程项目各部分、各系统的工程概况；</w:t>
      </w:r>
    </w:p>
    <w:p w14:paraId="428C389A">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②工程项目全部的图纸清单；</w:t>
      </w:r>
    </w:p>
    <w:p w14:paraId="12A22661">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③工程项目的承包人、主要材料设备供货商清单、联系人及电话；</w:t>
      </w:r>
    </w:p>
    <w:p w14:paraId="5915D701">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④主要材料设备的数量；</w:t>
      </w:r>
    </w:p>
    <w:p w14:paraId="711F7576">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⑤工程、材料、设备的保修书（包括保修内容、期限、联系人、电话等）；</w:t>
      </w:r>
    </w:p>
    <w:p w14:paraId="1BE674BB">
      <w:pPr>
        <w:wordWrap/>
        <w:topLinePunct w:val="0"/>
        <w:spacing w:after="120"/>
        <w:ind w:firstLine="600"/>
      </w:pPr>
      <w:r>
        <w:rPr>
          <w:rFonts w:ascii="仿宋_GB2312" w:eastAsia="仿宋_GB2312"/>
          <w:sz w:val="30"/>
          <w:szCs w:val="30"/>
          <w:u w:val="single"/>
        </w:rPr>
        <w:fldChar w:fldCharType="begin"/>
      </w:r>
      <w:r>
        <w:rPr>
          <w:rFonts w:hint="eastAsia" w:ascii="仿宋_GB2312" w:eastAsia="仿宋_GB2312"/>
          <w:sz w:val="30"/>
          <w:szCs w:val="30"/>
          <w:u w:val="single"/>
        </w:rPr>
        <w:instrText xml:space="preserve">= 6 \* GB3</w:instrText>
      </w:r>
      <w:r>
        <w:rPr>
          <w:rFonts w:ascii="仿宋_GB2312" w:eastAsia="仿宋_GB2312"/>
          <w:sz w:val="30"/>
          <w:szCs w:val="30"/>
          <w:u w:val="single"/>
        </w:rPr>
        <w:fldChar w:fldCharType="separate"/>
      </w:r>
      <w:r>
        <w:rPr>
          <w:rFonts w:hint="eastAsia" w:ascii="仿宋_GB2312" w:eastAsia="仿宋_GB2312"/>
          <w:sz w:val="30"/>
          <w:szCs w:val="30"/>
          <w:u w:val="single"/>
        </w:rPr>
        <w:t>⑥</w:t>
      </w:r>
      <w:r>
        <w:rPr>
          <w:rFonts w:ascii="仿宋_GB2312" w:eastAsia="仿宋_GB2312"/>
          <w:sz w:val="30"/>
          <w:szCs w:val="30"/>
          <w:u w:val="single"/>
        </w:rPr>
        <w:fldChar w:fldCharType="end"/>
      </w:r>
      <w:r>
        <w:rPr>
          <w:rFonts w:hint="eastAsia" w:ascii="仿宋_GB2312" w:eastAsia="仿宋_GB2312"/>
          <w:sz w:val="30"/>
          <w:szCs w:val="30"/>
          <w:u w:val="single"/>
        </w:rPr>
        <w:t>与接收人现场清点的移交实物品类数量清单。</w:t>
      </w:r>
    </w:p>
    <w:p w14:paraId="738E4A1B">
      <w:pPr>
        <w:wordWrap/>
        <w:topLinePunct w:val="0"/>
        <w:spacing w:after="120"/>
        <w:ind w:firstLine="600"/>
        <w:rPr>
          <w:rFonts w:ascii="仿宋_GB2312" w:eastAsia="仿宋_GB2312"/>
          <w:sz w:val="30"/>
          <w:szCs w:val="30"/>
          <w:u w:val="single"/>
        </w:rPr>
      </w:pPr>
      <w:r>
        <w:rPr>
          <w:rFonts w:hint="eastAsia" w:ascii="仿宋_GB2312" w:eastAsia="仿宋_GB2312"/>
          <w:sz w:val="30"/>
          <w:szCs w:val="30"/>
          <w:u w:val="single"/>
        </w:rPr>
        <w:t>工程竣工验收合格后15天内按要求提供其总承包工程的相关资料，一式三份，具体按发包人要求</w:t>
      </w:r>
    </w:p>
    <w:p w14:paraId="2ECE214E">
      <w:pPr>
        <w:wordWrap/>
        <w:topLinePunct w:val="0"/>
        <w:spacing w:after="120"/>
        <w:ind w:firstLine="600"/>
        <w:rPr>
          <w:rFonts w:ascii="仿宋_GB2312" w:eastAsia="仿宋_GB2312"/>
          <w:sz w:val="30"/>
          <w:szCs w:val="30"/>
        </w:rPr>
      </w:pPr>
      <w:r>
        <w:rPr>
          <w:rFonts w:ascii="仿宋_GB2312" w:eastAsia="仿宋_GB2312"/>
          <w:sz w:val="30"/>
          <w:szCs w:val="30"/>
        </w:rPr>
        <w:t xml:space="preserve">10.3.3 </w:t>
      </w:r>
      <w:r>
        <w:rPr>
          <w:rFonts w:hint="eastAsia" w:ascii="仿宋_GB2312" w:eastAsia="仿宋_GB2312"/>
          <w:sz w:val="30"/>
          <w:szCs w:val="30"/>
        </w:rPr>
        <w:t>发包人逾期接收工程的违约责任：</w:t>
      </w:r>
      <w:r>
        <w:rPr>
          <w:rFonts w:hint="eastAsia" w:ascii="微软雅黑" w:hAnsi="微软雅黑" w:eastAsia="微软雅黑" w:cs="微软雅黑"/>
          <w:sz w:val="30"/>
          <w:szCs w:val="30"/>
          <w:u w:val="single"/>
        </w:rPr>
        <w:t>/</w:t>
      </w:r>
      <w:r>
        <w:rPr>
          <w:rFonts w:hint="eastAsia" w:ascii="仿宋_GB2312" w:eastAsia="仿宋_GB2312"/>
          <w:sz w:val="30"/>
          <w:szCs w:val="30"/>
        </w:rPr>
        <w:t>。</w:t>
      </w:r>
    </w:p>
    <w:p w14:paraId="767F1D4C">
      <w:pPr>
        <w:wordWrap/>
        <w:topLinePunct w:val="0"/>
        <w:spacing w:after="120"/>
        <w:ind w:firstLine="600"/>
        <w:rPr>
          <w:rFonts w:ascii="仿宋_GB2312" w:eastAsia="仿宋_GB2312"/>
          <w:b/>
          <w:color w:val="FF0000"/>
          <w:sz w:val="30"/>
          <w:szCs w:val="30"/>
        </w:rPr>
      </w:pPr>
      <w:r>
        <w:rPr>
          <w:rFonts w:ascii="仿宋_GB2312" w:eastAsia="仿宋_GB2312"/>
          <w:sz w:val="30"/>
          <w:szCs w:val="30"/>
        </w:rPr>
        <w:t xml:space="preserve">10.3.4 </w:t>
      </w:r>
      <w:r>
        <w:rPr>
          <w:rFonts w:hint="eastAsia" w:ascii="仿宋_GB2312" w:eastAsia="仿宋_GB2312"/>
          <w:sz w:val="30"/>
          <w:szCs w:val="30"/>
        </w:rPr>
        <w:t>承包人无正当理由不移交工程的违约责任：</w:t>
      </w:r>
      <w:r>
        <w:rPr>
          <w:rFonts w:hint="eastAsia" w:ascii="仿宋_GB2312" w:eastAsia="仿宋_GB2312"/>
          <w:b/>
          <w:color w:val="FF0000"/>
          <w:sz w:val="30"/>
          <w:szCs w:val="30"/>
        </w:rPr>
        <w:t>按第</w:t>
      </w:r>
      <w:r>
        <w:rPr>
          <w:rFonts w:ascii="仿宋_GB2312" w:eastAsia="仿宋_GB2312"/>
          <w:b/>
          <w:color w:val="FF0000"/>
          <w:sz w:val="30"/>
          <w:szCs w:val="30"/>
        </w:rPr>
        <w:t>15.2.1.4条。</w:t>
      </w:r>
    </w:p>
    <w:p w14:paraId="1FE51888">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10.4 接收证书</w:t>
      </w:r>
    </w:p>
    <w:p w14:paraId="19223810">
      <w:pPr>
        <w:wordWrap/>
        <w:topLinePunct w:val="0"/>
        <w:spacing w:after="120"/>
        <w:ind w:firstLine="600"/>
        <w:rPr>
          <w:rFonts w:ascii="仿宋_GB2312" w:eastAsia="仿宋_GB2312"/>
          <w:sz w:val="30"/>
          <w:szCs w:val="30"/>
        </w:rPr>
      </w:pPr>
      <w:r>
        <w:rPr>
          <w:rFonts w:ascii="仿宋_GB2312" w:eastAsia="仿宋_GB2312"/>
          <w:sz w:val="30"/>
          <w:szCs w:val="30"/>
        </w:rPr>
        <w:t xml:space="preserve">10.4.1 </w:t>
      </w:r>
      <w:r>
        <w:rPr>
          <w:rFonts w:hint="eastAsia" w:ascii="仿宋_GB2312" w:eastAsia="仿宋_GB2312"/>
          <w:sz w:val="30"/>
          <w:szCs w:val="30"/>
        </w:rPr>
        <w:t>工程接收证书颁发时间：</w:t>
      </w:r>
      <w:r>
        <w:rPr>
          <w:rFonts w:hint="eastAsia" w:ascii="仿宋_GB2312" w:eastAsia="仿宋_GB2312"/>
          <w:sz w:val="30"/>
          <w:szCs w:val="30"/>
          <w:u w:val="single"/>
        </w:rPr>
        <w:t>承包人应在竣工验收合格且工程具备接收条件后的14天内向发包人提交工程移交申请书</w:t>
      </w:r>
      <w:r>
        <w:rPr>
          <w:rFonts w:hint="eastAsia" w:ascii="仿宋_GB2312" w:eastAsia="仿宋_GB2312"/>
          <w:sz w:val="30"/>
          <w:szCs w:val="30"/>
        </w:rPr>
        <w:t>。</w:t>
      </w:r>
    </w:p>
    <w:p w14:paraId="58DACCBA">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10.5 竣工退场</w:t>
      </w:r>
    </w:p>
    <w:p w14:paraId="07FD6893">
      <w:pPr>
        <w:wordWrap/>
        <w:topLinePunct w:val="0"/>
        <w:spacing w:after="120"/>
        <w:ind w:firstLine="600"/>
        <w:rPr>
          <w:rFonts w:ascii="仿宋_GB2312" w:eastAsia="仿宋_GB2312"/>
          <w:b/>
          <w:color w:val="FF0000"/>
          <w:sz w:val="30"/>
          <w:szCs w:val="30"/>
        </w:rPr>
      </w:pPr>
      <w:r>
        <w:rPr>
          <w:rFonts w:ascii="仿宋_GB2312" w:eastAsia="仿宋_GB2312"/>
          <w:sz w:val="30"/>
          <w:szCs w:val="30"/>
        </w:rPr>
        <w:t xml:space="preserve">10.5.1 </w:t>
      </w:r>
      <w:r>
        <w:rPr>
          <w:rFonts w:hint="eastAsia" w:ascii="仿宋_GB2312" w:eastAsia="仿宋_GB2312"/>
          <w:sz w:val="30"/>
          <w:szCs w:val="30"/>
        </w:rPr>
        <w:t>竣工退场的相关约定：</w:t>
      </w:r>
      <w:r>
        <w:rPr>
          <w:rFonts w:hint="eastAsia" w:ascii="仿宋_GB2312" w:eastAsia="仿宋_GB2312"/>
          <w:sz w:val="30"/>
          <w:szCs w:val="30"/>
          <w:u w:val="single"/>
        </w:rPr>
        <w:t>完工后接到发包人书面退场通知后7天内按发包人指示拆除临时建筑、设施、清走器材、剩余材料和余泥渣土，施工范围内的清理以通过发包人验收为标准。如逾期不拆，影响后续施工，发包人有权安排其他单位完成且相应费用由承包人承担，发包人并有权根据其对后续施工的影响程度及损失给予罚款，</w:t>
      </w:r>
      <w:r>
        <w:rPr>
          <w:rFonts w:hint="eastAsia" w:ascii="仿宋_GB2312" w:eastAsia="仿宋_GB2312"/>
          <w:b/>
          <w:color w:val="FF0000"/>
          <w:sz w:val="30"/>
          <w:szCs w:val="30"/>
          <w:u w:val="single"/>
        </w:rPr>
        <w:t>承包人按第</w:t>
      </w:r>
      <w:r>
        <w:rPr>
          <w:rFonts w:ascii="仿宋_GB2312" w:eastAsia="仿宋_GB2312"/>
          <w:b/>
          <w:color w:val="FF0000"/>
          <w:sz w:val="30"/>
          <w:szCs w:val="30"/>
          <w:u w:val="single"/>
        </w:rPr>
        <w:t>15.2.1.3条承担违约责任</w:t>
      </w:r>
      <w:r>
        <w:rPr>
          <w:rFonts w:hint="eastAsia" w:ascii="仿宋_GB2312" w:eastAsia="仿宋_GB2312"/>
          <w:b/>
          <w:color w:val="FF0000"/>
          <w:sz w:val="30"/>
          <w:szCs w:val="30"/>
        </w:rPr>
        <w:t>。</w:t>
      </w:r>
    </w:p>
    <w:p w14:paraId="7B32BED6">
      <w:pPr>
        <w:wordWrap/>
        <w:topLinePunct w:val="0"/>
        <w:spacing w:after="120"/>
        <w:ind w:firstLine="600"/>
        <w:rPr>
          <w:rFonts w:ascii="仿宋_GB2312" w:eastAsia="仿宋_GB2312"/>
          <w:sz w:val="30"/>
          <w:szCs w:val="30"/>
        </w:rPr>
      </w:pPr>
      <w:r>
        <w:rPr>
          <w:rFonts w:ascii="仿宋_GB2312" w:eastAsia="仿宋_GB2312"/>
          <w:sz w:val="30"/>
          <w:szCs w:val="30"/>
        </w:rPr>
        <w:t>10.5.3</w:t>
      </w:r>
      <w:r>
        <w:rPr>
          <w:rFonts w:hint="eastAsia" w:ascii="仿宋_GB2312" w:eastAsia="仿宋_GB2312"/>
          <w:sz w:val="30"/>
          <w:szCs w:val="30"/>
        </w:rPr>
        <w:t>人员撤离</w:t>
      </w:r>
    </w:p>
    <w:p w14:paraId="4245833C">
      <w:pPr>
        <w:wordWrap/>
        <w:topLinePunct w:val="0"/>
        <w:spacing w:after="120"/>
        <w:ind w:firstLine="600"/>
        <w:rPr>
          <w:rFonts w:ascii="仿宋_GB2312" w:eastAsia="仿宋_GB2312"/>
          <w:sz w:val="30"/>
          <w:szCs w:val="30"/>
        </w:rPr>
      </w:pPr>
      <w:r>
        <w:rPr>
          <w:rFonts w:hint="eastAsia" w:ascii="仿宋_GB2312" w:eastAsia="仿宋_GB2312"/>
          <w:sz w:val="30"/>
          <w:szCs w:val="30"/>
        </w:rPr>
        <w:t>工程师同意需在缺陷责任期内继续工作和使用的人员、施工设备和临时工程的内容：</w:t>
      </w:r>
      <w:r>
        <w:rPr>
          <w:rFonts w:hint="eastAsia" w:ascii="仿宋_GB2312" w:eastAsia="仿宋_GB2312"/>
          <w:sz w:val="30"/>
          <w:szCs w:val="30"/>
          <w:u w:val="single"/>
        </w:rPr>
        <w:t>/</w:t>
      </w:r>
      <w:r>
        <w:rPr>
          <w:rFonts w:hint="eastAsia" w:ascii="仿宋_GB2312" w:eastAsia="仿宋_GB2312"/>
          <w:sz w:val="30"/>
          <w:szCs w:val="30"/>
        </w:rPr>
        <w:t>。</w:t>
      </w:r>
    </w:p>
    <w:p w14:paraId="3D837BCC">
      <w:pPr>
        <w:wordWrap/>
        <w:topLinePunct w:val="0"/>
        <w:spacing w:after="120"/>
        <w:ind w:firstLine="0" w:firstLineChars="0"/>
        <w:outlineLvl w:val="1"/>
        <w:rPr>
          <w:rFonts w:ascii="仿宋" w:hAnsi="仿宋" w:eastAsia="仿宋" w:cs="仿宋"/>
          <w:sz w:val="32"/>
          <w:szCs w:val="32"/>
        </w:rPr>
      </w:pPr>
      <w:bookmarkStart w:id="880" w:name="_Toc13786"/>
      <w:bookmarkStart w:id="881" w:name="_Toc54862342"/>
      <w:bookmarkStart w:id="882" w:name="_Toc3965"/>
      <w:bookmarkStart w:id="883" w:name="_Toc7447"/>
      <w:r>
        <w:rPr>
          <w:rFonts w:hint="eastAsia" w:ascii="仿宋" w:hAnsi="仿宋" w:eastAsia="仿宋" w:cs="仿宋"/>
          <w:sz w:val="32"/>
          <w:szCs w:val="32"/>
        </w:rPr>
        <w:t>第11条 缺陷责任与保修</w:t>
      </w:r>
      <w:bookmarkEnd w:id="880"/>
      <w:bookmarkEnd w:id="881"/>
      <w:bookmarkEnd w:id="882"/>
      <w:bookmarkEnd w:id="883"/>
    </w:p>
    <w:p w14:paraId="44255FED">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11.2 缺陷责任期</w:t>
      </w:r>
    </w:p>
    <w:p w14:paraId="3BFB7346">
      <w:pPr>
        <w:wordWrap/>
        <w:topLinePunct w:val="0"/>
        <w:spacing w:after="120"/>
        <w:ind w:firstLine="600"/>
        <w:rPr>
          <w:rFonts w:ascii="仿宋_GB2312" w:eastAsia="仿宋_GB2312"/>
          <w:sz w:val="30"/>
          <w:szCs w:val="30"/>
        </w:rPr>
      </w:pPr>
      <w:r>
        <w:rPr>
          <w:rFonts w:ascii="仿宋_GB2312" w:eastAsia="仿宋_GB2312"/>
          <w:sz w:val="30"/>
          <w:szCs w:val="30"/>
        </w:rPr>
        <w:t>缺陷责任期的</w:t>
      </w:r>
      <w:r>
        <w:rPr>
          <w:rFonts w:hint="eastAsia" w:ascii="仿宋_GB2312" w:eastAsia="仿宋_GB2312"/>
          <w:sz w:val="30"/>
          <w:szCs w:val="30"/>
        </w:rPr>
        <w:t>期限：</w:t>
      </w:r>
      <w:r>
        <w:rPr>
          <w:rFonts w:hint="eastAsia" w:ascii="仿宋_GB2312" w:eastAsia="仿宋_GB2312"/>
          <w:sz w:val="30"/>
          <w:szCs w:val="30"/>
          <w:u w:val="single"/>
        </w:rPr>
        <w:t>缺陷责任期自实际竣工日期起计算。在全部工程竣工验收前，已经发包人提前验收的区段工程或进入施工期运行的工程，其缺陷责任期的起算日期相应提前到相应工程竣工日。缺陷责任期为24个月</w:t>
      </w:r>
      <w:r>
        <w:rPr>
          <w:rFonts w:hint="eastAsia" w:ascii="仿宋_GB2312" w:eastAsia="仿宋_GB2312"/>
          <w:sz w:val="30"/>
          <w:szCs w:val="30"/>
        </w:rPr>
        <w:t>。</w:t>
      </w:r>
    </w:p>
    <w:p w14:paraId="402965F0">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11.3 缺陷调查</w:t>
      </w:r>
    </w:p>
    <w:p w14:paraId="4BEE1F51">
      <w:pPr>
        <w:wordWrap/>
        <w:topLinePunct w:val="0"/>
        <w:spacing w:after="120"/>
        <w:ind w:firstLine="600"/>
        <w:rPr>
          <w:rFonts w:ascii="仿宋_GB2312" w:eastAsia="仿宋_GB2312"/>
          <w:sz w:val="30"/>
          <w:szCs w:val="30"/>
        </w:rPr>
      </w:pPr>
      <w:r>
        <w:rPr>
          <w:rFonts w:ascii="仿宋_GB2312" w:eastAsia="仿宋_GB2312"/>
          <w:sz w:val="30"/>
          <w:szCs w:val="30"/>
        </w:rPr>
        <w:t xml:space="preserve">11.3.4 </w:t>
      </w:r>
      <w:r>
        <w:rPr>
          <w:rFonts w:hint="eastAsia" w:ascii="仿宋_GB2312" w:eastAsia="仿宋_GB2312"/>
          <w:sz w:val="30"/>
          <w:szCs w:val="30"/>
        </w:rPr>
        <w:t>修复通知</w:t>
      </w:r>
    </w:p>
    <w:p w14:paraId="3E5CD4E6">
      <w:pPr>
        <w:wordWrap/>
        <w:topLinePunct w:val="0"/>
        <w:spacing w:after="120"/>
        <w:ind w:firstLine="600"/>
        <w:rPr>
          <w:rFonts w:ascii="仿宋_GB2312" w:eastAsia="仿宋_GB2312"/>
          <w:sz w:val="30"/>
          <w:szCs w:val="30"/>
        </w:rPr>
      </w:pPr>
      <w:r>
        <w:rPr>
          <w:rFonts w:ascii="仿宋_GB2312" w:eastAsia="仿宋_GB2312"/>
          <w:sz w:val="30"/>
          <w:szCs w:val="30"/>
        </w:rPr>
        <w:t>承包人收到保修通知并到达工程现场的合理时间：</w:t>
      </w:r>
      <w:r>
        <w:rPr>
          <w:rFonts w:hint="eastAsia" w:ascii="仿宋_GB2312" w:eastAsia="仿宋_GB2312"/>
          <w:sz w:val="30"/>
          <w:szCs w:val="30"/>
          <w:u w:val="single"/>
        </w:rPr>
        <w:t>7天</w:t>
      </w:r>
      <w:r>
        <w:rPr>
          <w:rFonts w:hint="eastAsia" w:ascii="仿宋_GB2312" w:eastAsia="仿宋_GB2312"/>
          <w:sz w:val="30"/>
          <w:szCs w:val="30"/>
        </w:rPr>
        <w:t>。</w:t>
      </w:r>
    </w:p>
    <w:p w14:paraId="52891DD1">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11.6 缺陷责任期终止证书</w:t>
      </w:r>
    </w:p>
    <w:p w14:paraId="41B5DAB7">
      <w:pPr>
        <w:wordWrap/>
        <w:topLinePunct w:val="0"/>
        <w:spacing w:after="120"/>
        <w:ind w:firstLine="600"/>
        <w:rPr>
          <w:rFonts w:ascii="仿宋_GB2312" w:eastAsia="仿宋_GB2312"/>
          <w:sz w:val="30"/>
          <w:szCs w:val="30"/>
        </w:rPr>
      </w:pPr>
      <w:r>
        <w:rPr>
          <w:rFonts w:hint="eastAsia" w:ascii="仿宋_GB2312" w:eastAsia="仿宋_GB2312"/>
          <w:sz w:val="30"/>
          <w:szCs w:val="30"/>
        </w:rPr>
        <w:t>承包人应于缺陷责任期届满后</w:t>
      </w:r>
      <w:r>
        <w:rPr>
          <w:rFonts w:hint="eastAsia" w:ascii="仿宋_GB2312" w:eastAsia="仿宋_GB2312"/>
          <w:sz w:val="30"/>
          <w:szCs w:val="30"/>
          <w:u w:val="single"/>
        </w:rPr>
        <w:t>14</w:t>
      </w:r>
      <w:r>
        <w:rPr>
          <w:rFonts w:hint="eastAsia" w:ascii="仿宋_GB2312" w:eastAsia="仿宋_GB2312"/>
          <w:sz w:val="30"/>
          <w:szCs w:val="30"/>
        </w:rPr>
        <w:t>天内向发包人发出缺陷责任期届满通知，发包人应在收到缺陷责任期满通知后</w:t>
      </w:r>
      <w:r>
        <w:rPr>
          <w:rFonts w:hint="eastAsia" w:ascii="仿宋_GB2312" w:eastAsia="仿宋_GB2312"/>
          <w:sz w:val="30"/>
          <w:szCs w:val="30"/>
          <w:u w:val="single"/>
        </w:rPr>
        <w:t>14</w:t>
      </w:r>
      <w:r>
        <w:rPr>
          <w:rFonts w:hint="eastAsia" w:ascii="仿宋_GB2312" w:eastAsia="仿宋_GB2312"/>
          <w:sz w:val="30"/>
          <w:szCs w:val="30"/>
        </w:rPr>
        <w:t>天内核实承包人是否履行缺陷修复义务，承包人未能履行缺陷修复义务的，发包人有权扣除相应金额的维修费用。发包人应在收到缺陷责任期届满通知后</w:t>
      </w:r>
      <w:r>
        <w:rPr>
          <w:rFonts w:hint="eastAsia" w:ascii="仿宋_GB2312" w:eastAsia="仿宋_GB2312"/>
          <w:sz w:val="30"/>
          <w:szCs w:val="30"/>
          <w:u w:val="single"/>
        </w:rPr>
        <w:t>14</w:t>
      </w:r>
      <w:r>
        <w:rPr>
          <w:rFonts w:hint="eastAsia" w:ascii="仿宋_GB2312" w:eastAsia="仿宋_GB2312"/>
          <w:sz w:val="30"/>
          <w:szCs w:val="30"/>
        </w:rPr>
        <w:t>天内，向承包人颁发缺陷责任期终止证书。</w:t>
      </w:r>
    </w:p>
    <w:p w14:paraId="4747EE52">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11.7 保修责任</w:t>
      </w:r>
    </w:p>
    <w:p w14:paraId="6694A65C">
      <w:pPr>
        <w:wordWrap/>
        <w:topLinePunct w:val="0"/>
        <w:spacing w:after="120"/>
        <w:ind w:firstLine="600"/>
        <w:rPr>
          <w:rFonts w:ascii="仿宋_GB2312" w:eastAsia="仿宋_GB2312"/>
          <w:sz w:val="30"/>
          <w:szCs w:val="30"/>
        </w:rPr>
      </w:pPr>
      <w:r>
        <w:rPr>
          <w:rFonts w:hint="eastAsia" w:ascii="仿宋_GB2312" w:eastAsia="仿宋_GB2312"/>
          <w:sz w:val="30"/>
          <w:szCs w:val="30"/>
        </w:rPr>
        <w:t>工程质量保修范围、期限和责任</w:t>
      </w:r>
      <w:r>
        <w:rPr>
          <w:rFonts w:ascii="仿宋_GB2312" w:eastAsia="仿宋_GB2312"/>
          <w:sz w:val="30"/>
          <w:szCs w:val="30"/>
        </w:rPr>
        <w:t>为：</w:t>
      </w:r>
    </w:p>
    <w:p w14:paraId="0A4BD94D">
      <w:pPr>
        <w:wordWrap/>
        <w:topLinePunct w:val="0"/>
        <w:spacing w:after="120"/>
        <w:ind w:firstLine="600"/>
        <w:rPr>
          <w:rFonts w:ascii="仿宋_GB2312" w:eastAsia="仿宋_GB2312"/>
          <w:sz w:val="30"/>
          <w:szCs w:val="30"/>
        </w:rPr>
      </w:pPr>
      <w:r>
        <w:rPr>
          <w:rFonts w:hint="eastAsia" w:ascii="仿宋_GB2312" w:eastAsia="仿宋_GB2312"/>
          <w:sz w:val="30"/>
          <w:szCs w:val="30"/>
        </w:rPr>
        <w:t>（1）质量保修范围</w:t>
      </w:r>
    </w:p>
    <w:p w14:paraId="56C28C06">
      <w:pPr>
        <w:wordWrap/>
        <w:topLinePunct w:val="0"/>
        <w:spacing w:after="120"/>
        <w:ind w:firstLine="600"/>
        <w:rPr>
          <w:rFonts w:ascii="仿宋_GB2312" w:eastAsia="仿宋_GB2312"/>
          <w:sz w:val="30"/>
          <w:szCs w:val="30"/>
        </w:rPr>
      </w:pPr>
      <w:r>
        <w:rPr>
          <w:rFonts w:hint="eastAsia" w:ascii="仿宋_GB2312" w:eastAsia="仿宋_GB2312"/>
          <w:sz w:val="30"/>
          <w:szCs w:val="30"/>
        </w:rPr>
        <w:t>质量保修范围包括地基基础工程、主体结构工程、屋面防水工程、有防水要求的卫生间、房间、外墙面的防渗漏工程、电气管线工程、给排水管道工程、设备安装工程、供热、供冷系统工程、装饰装修工程以及双方约定其他项目。</w:t>
      </w:r>
    </w:p>
    <w:p w14:paraId="7224E754">
      <w:pPr>
        <w:wordWrap/>
        <w:topLinePunct w:val="0"/>
        <w:spacing w:after="120"/>
        <w:ind w:firstLine="600"/>
        <w:rPr>
          <w:rFonts w:ascii="仿宋_GB2312" w:eastAsia="仿宋_GB2312"/>
          <w:sz w:val="30"/>
          <w:szCs w:val="30"/>
        </w:rPr>
      </w:pPr>
      <w:r>
        <w:rPr>
          <w:rFonts w:hint="eastAsia" w:ascii="仿宋_GB2312" w:eastAsia="仿宋_GB2312"/>
          <w:sz w:val="30"/>
          <w:szCs w:val="30"/>
        </w:rPr>
        <w:t>（2）质量保修期</w:t>
      </w:r>
    </w:p>
    <w:p w14:paraId="3F40FBFD">
      <w:pPr>
        <w:wordWrap/>
        <w:topLinePunct w:val="0"/>
        <w:spacing w:after="120"/>
        <w:ind w:firstLine="600"/>
        <w:rPr>
          <w:rFonts w:ascii="仿宋_GB2312" w:eastAsia="仿宋_GB2312"/>
          <w:sz w:val="30"/>
          <w:szCs w:val="30"/>
        </w:rPr>
      </w:pPr>
      <w:r>
        <w:rPr>
          <w:rFonts w:hint="eastAsia" w:ascii="仿宋_GB2312" w:eastAsia="仿宋_GB2312"/>
          <w:sz w:val="30"/>
          <w:szCs w:val="30"/>
        </w:rPr>
        <w:t>按国家有关规定执行。</w:t>
      </w:r>
    </w:p>
    <w:p w14:paraId="662EBC84">
      <w:pPr>
        <w:wordWrap/>
        <w:topLinePunct w:val="0"/>
        <w:spacing w:after="120"/>
        <w:ind w:firstLine="600"/>
        <w:rPr>
          <w:rFonts w:ascii="仿宋_GB2312" w:eastAsia="仿宋_GB2312"/>
          <w:sz w:val="30"/>
          <w:szCs w:val="30"/>
        </w:rPr>
      </w:pPr>
      <w:r>
        <w:rPr>
          <w:rFonts w:hint="eastAsia" w:ascii="仿宋_GB2312" w:eastAsia="仿宋_GB2312"/>
          <w:sz w:val="30"/>
          <w:szCs w:val="30"/>
        </w:rPr>
        <w:t>（3）属于保修范围内的项目，在工程质量缺陷保修期内，承包人应在接到保修通知之日后需派人修理。</w:t>
      </w:r>
    </w:p>
    <w:p w14:paraId="245D74EE">
      <w:pPr>
        <w:wordWrap/>
        <w:topLinePunct w:val="0"/>
        <w:spacing w:after="120"/>
        <w:ind w:firstLine="600"/>
        <w:rPr>
          <w:rFonts w:ascii="仿宋_GB2312" w:eastAsia="仿宋_GB2312"/>
          <w:sz w:val="30"/>
          <w:szCs w:val="30"/>
        </w:rPr>
      </w:pPr>
      <w:r>
        <w:rPr>
          <w:rFonts w:hint="eastAsia" w:ascii="仿宋_GB2312" w:eastAsia="仿宋_GB2312"/>
          <w:sz w:val="30"/>
          <w:szCs w:val="30"/>
        </w:rPr>
        <w:t>（4）在工程质量缺陷保修期内，因工程质量缺陷承包人维修一次后，同一部位再出现类似问题，承包人除再次进行维修外，承包人还应承担的违约责任</w:t>
      </w:r>
      <w:r>
        <w:rPr>
          <w:rFonts w:hint="eastAsia" w:ascii="仿宋_GB2312" w:eastAsia="仿宋_GB2312"/>
          <w:b/>
          <w:color w:val="FF0000"/>
          <w:sz w:val="30"/>
          <w:szCs w:val="30"/>
        </w:rPr>
        <w:t>：按第</w:t>
      </w:r>
      <w:r>
        <w:rPr>
          <w:rFonts w:ascii="仿宋_GB2312" w:eastAsia="仿宋_GB2312"/>
          <w:b/>
          <w:color w:val="FF0000"/>
          <w:sz w:val="30"/>
          <w:szCs w:val="30"/>
        </w:rPr>
        <w:t>15.2.1.5条承担违约责任。</w:t>
      </w:r>
    </w:p>
    <w:p w14:paraId="77E836A9">
      <w:pPr>
        <w:wordWrap/>
        <w:topLinePunct w:val="0"/>
        <w:spacing w:after="120"/>
        <w:ind w:firstLine="600"/>
        <w:rPr>
          <w:rFonts w:ascii="仿宋_GB2312" w:eastAsia="仿宋_GB2312"/>
          <w:sz w:val="30"/>
          <w:szCs w:val="30"/>
        </w:rPr>
      </w:pPr>
      <w:r>
        <w:rPr>
          <w:rFonts w:hint="eastAsia" w:ascii="仿宋_GB2312" w:eastAsia="仿宋_GB2312"/>
          <w:sz w:val="30"/>
          <w:szCs w:val="30"/>
        </w:rPr>
        <w:t>（5）在工程质量缺陷保修期内，承包人违反工程质量缺陷维修时限约定，视为承包人同意发包人处理。发包人委托他方处理，处理结果由发包人签字认可后即行生效，不再经承包人确认（发包人将处理情况知会承包人），由此所发生的一切费用均按发包人与他方结算价款数，由承包人承担。发生紧急抢修事故的，承包人接到事故通知后，应立即到达事故现场抢修。详见《工程质量保修书》</w:t>
      </w:r>
    </w:p>
    <w:p w14:paraId="29270262">
      <w:pPr>
        <w:tabs>
          <w:tab w:val="left" w:pos="993"/>
        </w:tabs>
        <w:spacing w:after="120"/>
        <w:ind w:firstLine="0" w:firstLineChars="0"/>
        <w:outlineLvl w:val="1"/>
        <w:rPr>
          <w:rFonts w:ascii="仿宋" w:hAnsi="仿宋" w:eastAsia="仿宋" w:cs="仿宋"/>
          <w:sz w:val="32"/>
          <w:szCs w:val="21"/>
        </w:rPr>
      </w:pPr>
      <w:bookmarkStart w:id="884" w:name="_Toc54862343"/>
      <w:r>
        <w:rPr>
          <w:rFonts w:hint="eastAsia" w:ascii="仿宋" w:hAnsi="仿宋" w:eastAsia="仿宋" w:cs="仿宋"/>
          <w:sz w:val="32"/>
          <w:szCs w:val="21"/>
        </w:rPr>
        <w:t>第12条 竣工后试验</w:t>
      </w:r>
      <w:bookmarkEnd w:id="884"/>
    </w:p>
    <w:p w14:paraId="3FED811E">
      <w:pPr>
        <w:wordWrap/>
        <w:topLinePunct w:val="0"/>
        <w:spacing w:after="120"/>
        <w:ind w:firstLine="600"/>
        <w:rPr>
          <w:rFonts w:ascii="仿宋_GB2312" w:eastAsia="仿宋_GB2312"/>
          <w:sz w:val="30"/>
          <w:szCs w:val="30"/>
        </w:rPr>
      </w:pPr>
      <w:r>
        <w:rPr>
          <w:rFonts w:hint="eastAsia" w:ascii="仿宋_GB2312" w:eastAsia="仿宋_GB2312"/>
          <w:sz w:val="30"/>
          <w:szCs w:val="30"/>
        </w:rPr>
        <w:t>本合同工程是否包含竣工后试验：</w:t>
      </w:r>
      <w:r>
        <w:rPr>
          <w:rFonts w:hint="eastAsia" w:ascii="仿宋_GB2312" w:eastAsia="仿宋_GB2312"/>
          <w:sz w:val="30"/>
          <w:szCs w:val="30"/>
          <w:u w:val="single"/>
        </w:rPr>
        <w:t>包含</w:t>
      </w:r>
      <w:r>
        <w:rPr>
          <w:rFonts w:hint="eastAsia" w:ascii="仿宋_GB2312" w:eastAsia="仿宋_GB2312"/>
          <w:szCs w:val="24"/>
        </w:rPr>
        <w:t>。</w:t>
      </w:r>
    </w:p>
    <w:p w14:paraId="725BAEBB">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12.1 竣工后试验的程序</w:t>
      </w:r>
    </w:p>
    <w:p w14:paraId="0DC50E73">
      <w:pPr>
        <w:wordWrap/>
        <w:topLinePunct w:val="0"/>
        <w:spacing w:after="120"/>
        <w:ind w:firstLine="600"/>
        <w:rPr>
          <w:rFonts w:ascii="仿宋_GB2312" w:eastAsia="仿宋_GB2312"/>
          <w:sz w:val="30"/>
          <w:szCs w:val="30"/>
        </w:rPr>
      </w:pPr>
      <w:r>
        <w:rPr>
          <w:rFonts w:ascii="仿宋_GB2312" w:eastAsia="仿宋_GB2312"/>
          <w:sz w:val="30"/>
          <w:szCs w:val="30"/>
        </w:rPr>
        <w:t xml:space="preserve">12.1.2 </w:t>
      </w:r>
      <w:r>
        <w:rPr>
          <w:rFonts w:hint="eastAsia" w:ascii="仿宋_GB2312" w:eastAsia="仿宋_GB2312"/>
          <w:sz w:val="30"/>
          <w:szCs w:val="30"/>
        </w:rPr>
        <w:t>竣工后试验全部电力、水、污水处理、燃料、消耗品和材料，以及全部其他仪器、协助、文件或其他信息、设备、工具、劳力，启动工程设备，并组织安排有适当资质、经验和能力的工作人员等必要条件的提供方：</w:t>
      </w:r>
      <w:r>
        <w:rPr>
          <w:rFonts w:hint="eastAsia" w:ascii="仿宋_GB2312" w:eastAsia="仿宋_GB2312"/>
          <w:sz w:val="30"/>
          <w:szCs w:val="30"/>
          <w:u w:val="single"/>
        </w:rPr>
        <w:t>承包人</w:t>
      </w:r>
      <w:r>
        <w:rPr>
          <w:rFonts w:hint="eastAsia" w:ascii="仿宋_GB2312" w:eastAsia="仿宋_GB2312"/>
          <w:sz w:val="30"/>
          <w:szCs w:val="30"/>
        </w:rPr>
        <w:t>。</w:t>
      </w:r>
    </w:p>
    <w:p w14:paraId="260F9661">
      <w:pPr>
        <w:tabs>
          <w:tab w:val="left" w:pos="993"/>
        </w:tabs>
        <w:spacing w:after="120"/>
        <w:ind w:firstLine="0" w:firstLineChars="0"/>
        <w:outlineLvl w:val="1"/>
        <w:rPr>
          <w:rFonts w:ascii="仿宋" w:hAnsi="仿宋" w:eastAsia="仿宋" w:cs="仿宋"/>
          <w:sz w:val="32"/>
          <w:szCs w:val="21"/>
        </w:rPr>
      </w:pPr>
      <w:bookmarkStart w:id="885" w:name="_Toc25886"/>
      <w:bookmarkStart w:id="886" w:name="_Toc5580"/>
      <w:bookmarkStart w:id="887" w:name="_Toc27717"/>
      <w:bookmarkStart w:id="888" w:name="_Toc54862344"/>
      <w:r>
        <w:rPr>
          <w:rFonts w:hint="eastAsia" w:ascii="仿宋" w:hAnsi="仿宋" w:eastAsia="仿宋" w:cs="仿宋"/>
          <w:sz w:val="32"/>
          <w:szCs w:val="21"/>
        </w:rPr>
        <w:t>第13条 变更与调整</w:t>
      </w:r>
      <w:bookmarkEnd w:id="885"/>
      <w:bookmarkEnd w:id="886"/>
      <w:bookmarkEnd w:id="887"/>
      <w:bookmarkEnd w:id="888"/>
    </w:p>
    <w:p w14:paraId="7710ECC9">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13.1 发包人变更权</w:t>
      </w:r>
    </w:p>
    <w:p w14:paraId="4C9F47F2">
      <w:pPr>
        <w:wordWrap/>
        <w:topLinePunct w:val="0"/>
        <w:spacing w:after="120"/>
        <w:ind w:firstLine="600" w:firstLineChars="0"/>
        <w:rPr>
          <w:rFonts w:ascii="仿宋_GB2312" w:eastAsia="仿宋_GB2312"/>
          <w:sz w:val="30"/>
          <w:szCs w:val="30"/>
        </w:rPr>
      </w:pPr>
      <w:r>
        <w:rPr>
          <w:rFonts w:ascii="仿宋_GB2312" w:eastAsia="仿宋_GB2312"/>
          <w:sz w:val="30"/>
          <w:szCs w:val="30"/>
        </w:rPr>
        <w:t>13.1.3变更权</w:t>
      </w:r>
    </w:p>
    <w:p w14:paraId="3AAAF6D6">
      <w:pPr>
        <w:wordWrap/>
        <w:topLinePunct w:val="0"/>
        <w:spacing w:after="120"/>
        <w:ind w:firstLine="600" w:firstLineChars="0"/>
        <w:rPr>
          <w:rFonts w:ascii="仿宋_GB2312" w:eastAsia="仿宋_GB2312"/>
          <w:sz w:val="30"/>
          <w:szCs w:val="30"/>
        </w:rPr>
      </w:pPr>
      <w:r>
        <w:rPr>
          <w:rFonts w:ascii="仿宋_GB2312" w:eastAsia="仿宋_GB2312"/>
          <w:sz w:val="30"/>
          <w:szCs w:val="30"/>
        </w:rPr>
        <w:t>发包人拥有批准变更的权限。自合同生效后至工程竣工验收前的任何时间内，发包人有权依据监理人、承包人的建议及</w:t>
      </w:r>
      <w:r>
        <w:rPr>
          <w:rFonts w:hint="eastAsia" w:ascii="仿宋_GB2312" w:eastAsia="仿宋_GB2312"/>
          <w:sz w:val="30"/>
          <w:szCs w:val="30"/>
        </w:rPr>
        <w:t>合同</w:t>
      </w:r>
      <w:r>
        <w:rPr>
          <w:rFonts w:ascii="仿宋_GB2312" w:eastAsia="仿宋_GB2312"/>
          <w:sz w:val="30"/>
          <w:szCs w:val="30"/>
        </w:rPr>
        <w:t>约定的变更范围，下达变更指令</w:t>
      </w:r>
      <w:r>
        <w:rPr>
          <w:rFonts w:hint="eastAsia" w:ascii="仿宋_GB2312" w:eastAsia="仿宋_GB2312"/>
          <w:sz w:val="30"/>
          <w:szCs w:val="30"/>
        </w:rPr>
        <w:t>，</w:t>
      </w:r>
      <w:r>
        <w:rPr>
          <w:rFonts w:ascii="仿宋_GB2312" w:eastAsia="仿宋_GB2312"/>
          <w:sz w:val="30"/>
          <w:szCs w:val="30"/>
        </w:rPr>
        <w:t>变更指令以书面形式发出。</w:t>
      </w:r>
    </w:p>
    <w:p w14:paraId="766367AD">
      <w:pPr>
        <w:wordWrap/>
        <w:topLinePunct w:val="0"/>
        <w:spacing w:after="120"/>
        <w:ind w:firstLine="600" w:firstLineChars="0"/>
        <w:rPr>
          <w:rFonts w:ascii="仿宋_GB2312" w:eastAsia="仿宋_GB2312"/>
          <w:sz w:val="30"/>
          <w:szCs w:val="30"/>
        </w:rPr>
      </w:pPr>
      <w:r>
        <w:rPr>
          <w:rFonts w:ascii="仿宋_GB2312" w:eastAsia="仿宋_GB2312"/>
          <w:sz w:val="30"/>
          <w:szCs w:val="30"/>
        </w:rPr>
        <w:t>13.1.4变更</w:t>
      </w:r>
    </w:p>
    <w:p w14:paraId="116A6F1C">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由发包人批准并发出的书面变更指令（不含承包人对自身的设计、采购、施工、竣工试验、竣工后试验存在的缺陷，自费修正、调整和完善），属于变更。包括发包人直接下达的变更指令、或经发包人批准的由监理人下达的变更指令。</w:t>
      </w:r>
    </w:p>
    <w:p w14:paraId="136304FB">
      <w:pPr>
        <w:pStyle w:val="26"/>
        <w:spacing w:after="120"/>
        <w:ind w:firstLine="602"/>
        <w:rPr>
          <w:rFonts w:ascii="仿宋_GB2312" w:eastAsia="仿宋_GB2312" w:cs="Times New Roman"/>
          <w:b/>
          <w:color w:val="FF0000"/>
          <w:kern w:val="0"/>
          <w:sz w:val="30"/>
          <w:szCs w:val="30"/>
        </w:rPr>
      </w:pPr>
      <w:r>
        <w:rPr>
          <w:rFonts w:hint="eastAsia" w:ascii="仿宋_GB2312" w:eastAsia="仿宋_GB2312" w:cs="Times New Roman"/>
          <w:b/>
          <w:color w:val="FF0000"/>
          <w:kern w:val="0"/>
          <w:sz w:val="30"/>
          <w:szCs w:val="30"/>
        </w:rPr>
        <w:t>因承包人原因造成的变更，经发包人审核同意后确认实施，相关变更费用由承包人承担。</w:t>
      </w:r>
    </w:p>
    <w:p w14:paraId="5D286DB2">
      <w:pPr>
        <w:wordWrap/>
        <w:topLinePunct w:val="0"/>
        <w:spacing w:after="120"/>
        <w:ind w:firstLine="600" w:firstLineChars="0"/>
        <w:rPr>
          <w:rFonts w:ascii="仿宋_GB2312" w:eastAsia="仿宋_GB2312"/>
          <w:sz w:val="30"/>
          <w:szCs w:val="30"/>
        </w:rPr>
      </w:pPr>
      <w:r>
        <w:rPr>
          <w:rFonts w:ascii="仿宋_GB2312" w:eastAsia="仿宋_GB2312"/>
          <w:sz w:val="30"/>
          <w:szCs w:val="30"/>
        </w:rPr>
        <w:t>（1）发包人发出的设计变更指令，按合同约定的变更结算原则计算，其余因设计、</w:t>
      </w:r>
      <w:r>
        <w:rPr>
          <w:rFonts w:hint="eastAsia" w:ascii="仿宋_GB2312" w:eastAsia="仿宋_GB2312"/>
          <w:sz w:val="30"/>
          <w:szCs w:val="30"/>
        </w:rPr>
        <w:t>采购、</w:t>
      </w:r>
      <w:r>
        <w:rPr>
          <w:rFonts w:ascii="仿宋_GB2312" w:eastAsia="仿宋_GB2312"/>
          <w:sz w:val="30"/>
          <w:szCs w:val="30"/>
        </w:rPr>
        <w:t>施工、预算编制质量等问题所导致的变更，如费用增加的结算时不予增加费用，费用减少的，结算时按实结算。</w:t>
      </w:r>
    </w:p>
    <w:p w14:paraId="5E11EA9B">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（2）以下工程变更，不因发包人的审核批准而减轻或免除承包人的责任和义务，由承包人自行承担变更增加费用，但变更使费用减少时，在结算时按实结算：</w:t>
      </w:r>
    </w:p>
    <w:p w14:paraId="7B1CC560">
      <w:pPr>
        <w:wordWrap/>
        <w:topLinePunct w:val="0"/>
        <w:spacing w:after="120"/>
        <w:ind w:firstLine="600" w:firstLineChars="0"/>
        <w:rPr>
          <w:rFonts w:ascii="仿宋_GB2312" w:eastAsia="仿宋_GB2312"/>
          <w:sz w:val="30"/>
          <w:szCs w:val="30"/>
        </w:rPr>
      </w:pPr>
      <w:r>
        <w:rPr>
          <w:rFonts w:ascii="仿宋_GB2312" w:eastAsia="仿宋_GB2312"/>
          <w:sz w:val="30"/>
          <w:szCs w:val="30"/>
        </w:rPr>
        <w:t>①设计质量造成的工程变更，包括设计成果不完善、设计图纸不准确、设计文件有错误、设计图纸不详细等；</w:t>
      </w:r>
    </w:p>
    <w:p w14:paraId="03B3363F">
      <w:pPr>
        <w:wordWrap/>
        <w:topLinePunct w:val="0"/>
        <w:spacing w:after="120"/>
        <w:ind w:firstLine="600" w:firstLineChars="0"/>
        <w:rPr>
          <w:rFonts w:ascii="仿宋_GB2312" w:eastAsia="仿宋_GB2312"/>
          <w:sz w:val="30"/>
          <w:szCs w:val="30"/>
        </w:rPr>
      </w:pPr>
      <w:r>
        <w:rPr>
          <w:rFonts w:ascii="仿宋_GB2312" w:eastAsia="仿宋_GB2312"/>
          <w:sz w:val="30"/>
          <w:szCs w:val="30"/>
        </w:rPr>
        <w:t>②</w:t>
      </w:r>
      <w:r>
        <w:rPr>
          <w:rFonts w:hint="eastAsia" w:ascii="仿宋_GB2312" w:eastAsia="仿宋_GB2312"/>
          <w:sz w:val="30"/>
          <w:szCs w:val="30"/>
        </w:rPr>
        <w:t>预算编制质量造成的工程优化，包括施工图预算差错漏项、工程量偏差，综合单价、人工工日、机械台班及主材价格或消耗量偏低，施工方案及施工措施不合理等情况。</w:t>
      </w:r>
    </w:p>
    <w:p w14:paraId="519296C6">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13.1.5变更建议权</w:t>
      </w:r>
    </w:p>
    <w:p w14:paraId="5F302FB8">
      <w:pPr>
        <w:wordWrap/>
        <w:topLinePunct w:val="0"/>
        <w:spacing w:after="120"/>
        <w:ind w:firstLine="600" w:firstLineChars="0"/>
        <w:rPr>
          <w:rFonts w:ascii="仿宋_GB2312" w:eastAsia="仿宋_GB2312"/>
          <w:sz w:val="30"/>
          <w:szCs w:val="30"/>
        </w:rPr>
      </w:pPr>
      <w:r>
        <w:rPr>
          <w:rFonts w:ascii="仿宋_GB2312" w:eastAsia="仿宋_GB2312"/>
          <w:sz w:val="30"/>
          <w:szCs w:val="30"/>
        </w:rPr>
        <w:t>承包人有义务随时向发包人提交书面变更建议，包括：缩短工期，降低发包人的工程、施工、维护、营运的费用，提高竣工工程的效率或价值，给发包人带来的长远利益和其他利益。发包人按相关约定予以奖励。发包人接到此类建议后应发出不采纳、采纳或进一步补充资料的书面通知。承包人需按发包人的相关规定执行。在合同履行过程中，发包人有新的规定，则按新的规定执行。</w:t>
      </w:r>
    </w:p>
    <w:p w14:paraId="013B01C1">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13.1.6 变更范围</w:t>
      </w:r>
    </w:p>
    <w:p w14:paraId="7C267F4D">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13.1.6.1设计变更范围</w:t>
      </w:r>
    </w:p>
    <w:p w14:paraId="3D6F1BC7">
      <w:pPr>
        <w:wordWrap/>
        <w:topLinePunct w:val="0"/>
        <w:spacing w:after="120"/>
        <w:ind w:firstLine="600" w:firstLineChars="0"/>
        <w:rPr>
          <w:rFonts w:ascii="仿宋_GB2312" w:eastAsia="仿宋_GB2312"/>
          <w:sz w:val="30"/>
          <w:szCs w:val="30"/>
        </w:rPr>
      </w:pPr>
      <w:r>
        <w:rPr>
          <w:rFonts w:ascii="仿宋_GB2312" w:eastAsia="仿宋_GB2312"/>
          <w:sz w:val="30"/>
          <w:szCs w:val="30"/>
        </w:rPr>
        <w:t>（1）对生产工艺流程的调整，但未扩大或缩小初步设计批准的生产路线和规模、或未扩大或缩小合同约定的生产路线和规模；</w:t>
      </w:r>
    </w:p>
    <w:p w14:paraId="2275BD96">
      <w:pPr>
        <w:wordWrap/>
        <w:topLinePunct w:val="0"/>
        <w:spacing w:after="120"/>
        <w:ind w:firstLine="600" w:firstLineChars="0"/>
        <w:rPr>
          <w:rFonts w:ascii="仿宋_GB2312" w:eastAsia="仿宋_GB2312"/>
          <w:sz w:val="30"/>
          <w:szCs w:val="30"/>
        </w:rPr>
      </w:pPr>
      <w:r>
        <w:rPr>
          <w:rFonts w:ascii="仿宋_GB2312" w:eastAsia="仿宋_GB2312"/>
          <w:sz w:val="30"/>
          <w:szCs w:val="30"/>
        </w:rPr>
        <w:t>（2）对平面布置、竖面布置、局部使用功能的</w:t>
      </w:r>
      <w:bookmarkStart w:id="889" w:name="_Toc25588899"/>
      <w:r>
        <w:rPr>
          <w:rFonts w:ascii="仿宋_GB2312" w:eastAsia="仿宋_GB2312"/>
          <w:sz w:val="30"/>
          <w:szCs w:val="30"/>
        </w:rPr>
        <w:t>调整，但未扩大初步设计</w:t>
      </w:r>
      <w:bookmarkEnd w:id="889"/>
      <w:r>
        <w:rPr>
          <w:rFonts w:ascii="仿宋_GB2312" w:eastAsia="仿宋_GB2312"/>
          <w:sz w:val="30"/>
          <w:szCs w:val="30"/>
        </w:rPr>
        <w:t>批准的建筑规模，未改变初步设计批准的使用功能；或未扩大合同约定的建筑规模，未改变合同约定的使用功能；</w:t>
      </w:r>
    </w:p>
    <w:p w14:paraId="31F39878">
      <w:pPr>
        <w:wordWrap/>
        <w:topLinePunct w:val="0"/>
        <w:spacing w:after="120"/>
        <w:ind w:firstLine="600" w:firstLineChars="0"/>
        <w:rPr>
          <w:rFonts w:ascii="仿宋_GB2312" w:eastAsia="仿宋_GB2312"/>
          <w:sz w:val="30"/>
          <w:szCs w:val="30"/>
        </w:rPr>
      </w:pPr>
      <w:r>
        <w:rPr>
          <w:rFonts w:ascii="仿宋_GB2312" w:eastAsia="仿宋_GB2312"/>
          <w:sz w:val="30"/>
          <w:szCs w:val="30"/>
        </w:rPr>
        <w:t>（3）对配套工程系统的工艺调整、使用功能调整；</w:t>
      </w:r>
    </w:p>
    <w:p w14:paraId="5004EAB3">
      <w:pPr>
        <w:wordWrap/>
        <w:topLinePunct w:val="0"/>
        <w:spacing w:after="120"/>
        <w:ind w:firstLine="600" w:firstLineChars="0"/>
        <w:rPr>
          <w:rFonts w:ascii="仿宋_GB2312" w:eastAsia="仿宋_GB2312"/>
          <w:sz w:val="30"/>
          <w:szCs w:val="30"/>
        </w:rPr>
      </w:pPr>
      <w:r>
        <w:rPr>
          <w:rFonts w:ascii="仿宋_GB2312" w:eastAsia="仿宋_GB2312"/>
          <w:sz w:val="30"/>
          <w:szCs w:val="30"/>
        </w:rPr>
        <w:t>（4）对区域内基准控制点、基准标高和基准线的调整；</w:t>
      </w:r>
    </w:p>
    <w:p w14:paraId="5CA09B40">
      <w:pPr>
        <w:wordWrap/>
        <w:topLinePunct w:val="0"/>
        <w:spacing w:after="120"/>
        <w:ind w:firstLine="600" w:firstLineChars="0"/>
        <w:rPr>
          <w:rFonts w:ascii="仿宋_GB2312" w:eastAsia="仿宋_GB2312"/>
          <w:sz w:val="30"/>
          <w:szCs w:val="30"/>
        </w:rPr>
      </w:pPr>
      <w:r>
        <w:rPr>
          <w:rFonts w:ascii="仿宋_GB2312" w:eastAsia="仿宋_GB2312"/>
          <w:sz w:val="30"/>
          <w:szCs w:val="30"/>
        </w:rPr>
        <w:t>（5）对设备、材料、部件的性能、规格和数量的调整</w:t>
      </w:r>
      <w:r>
        <w:rPr>
          <w:rFonts w:hint="eastAsia" w:ascii="仿宋_GB2312" w:eastAsia="仿宋_GB2312"/>
          <w:sz w:val="30"/>
          <w:szCs w:val="30"/>
        </w:rPr>
        <w:t>（不含由承包人设计质量或预算编制质量原因导致的调整）</w:t>
      </w:r>
      <w:r>
        <w:rPr>
          <w:rFonts w:ascii="仿宋_GB2312" w:eastAsia="仿宋_GB2312"/>
          <w:sz w:val="30"/>
          <w:szCs w:val="30"/>
        </w:rPr>
        <w:t>；</w:t>
      </w:r>
    </w:p>
    <w:p w14:paraId="2C68155B">
      <w:pPr>
        <w:wordWrap/>
        <w:topLinePunct w:val="0"/>
        <w:spacing w:after="120"/>
        <w:ind w:firstLine="600" w:firstLineChars="0"/>
        <w:rPr>
          <w:rFonts w:ascii="仿宋_GB2312" w:eastAsia="仿宋_GB2312"/>
          <w:sz w:val="30"/>
          <w:szCs w:val="30"/>
        </w:rPr>
      </w:pPr>
      <w:r>
        <w:rPr>
          <w:rFonts w:ascii="仿宋_GB2312" w:eastAsia="仿宋_GB2312"/>
          <w:sz w:val="30"/>
          <w:szCs w:val="30"/>
        </w:rPr>
        <w:t>（6）因执行基准日期之后新颁布的法律、标准、规范引起的变更；</w:t>
      </w:r>
    </w:p>
    <w:p w14:paraId="46FDEF30">
      <w:pPr>
        <w:wordWrap/>
        <w:topLinePunct w:val="0"/>
        <w:spacing w:after="120"/>
        <w:ind w:firstLine="600" w:firstLineChars="0"/>
        <w:rPr>
          <w:rFonts w:ascii="仿宋_GB2312" w:eastAsia="仿宋_GB2312"/>
          <w:sz w:val="30"/>
          <w:szCs w:val="30"/>
        </w:rPr>
      </w:pPr>
      <w:r>
        <w:rPr>
          <w:rFonts w:ascii="仿宋_GB2312" w:eastAsia="仿宋_GB2312"/>
          <w:sz w:val="30"/>
          <w:szCs w:val="30"/>
        </w:rPr>
        <w:t>（7）其他超出合同约定的设计事项；</w:t>
      </w:r>
    </w:p>
    <w:p w14:paraId="1D805E80">
      <w:pPr>
        <w:wordWrap/>
        <w:topLinePunct w:val="0"/>
        <w:spacing w:after="120"/>
        <w:ind w:firstLine="600" w:firstLineChars="0"/>
        <w:rPr>
          <w:rFonts w:ascii="仿宋_GB2312" w:eastAsia="仿宋_GB2312"/>
          <w:sz w:val="30"/>
          <w:szCs w:val="30"/>
        </w:rPr>
      </w:pPr>
      <w:r>
        <w:rPr>
          <w:rFonts w:ascii="仿宋_GB2312" w:eastAsia="仿宋_GB2312"/>
          <w:sz w:val="30"/>
          <w:szCs w:val="30"/>
        </w:rPr>
        <w:t>（8）上述变更所需的附加工作。</w:t>
      </w:r>
    </w:p>
    <w:p w14:paraId="4A78301C">
      <w:pPr>
        <w:wordWrap/>
        <w:topLinePunct w:val="0"/>
        <w:spacing w:after="120"/>
        <w:ind w:firstLine="600" w:firstLineChars="0"/>
        <w:rPr>
          <w:rFonts w:ascii="仿宋_GB2312" w:eastAsia="仿宋_GB2312"/>
          <w:sz w:val="30"/>
          <w:szCs w:val="30"/>
        </w:rPr>
      </w:pPr>
      <w:r>
        <w:rPr>
          <w:rFonts w:ascii="仿宋_GB2312" w:eastAsia="仿宋_GB2312"/>
          <w:sz w:val="30"/>
          <w:szCs w:val="30"/>
        </w:rPr>
        <w:t>13.1.6.2采购变更范围</w:t>
      </w:r>
    </w:p>
    <w:p w14:paraId="769DB7BD">
      <w:pPr>
        <w:wordWrap/>
        <w:topLinePunct w:val="0"/>
        <w:spacing w:after="120"/>
        <w:ind w:firstLine="600" w:firstLineChars="0"/>
        <w:rPr>
          <w:rFonts w:ascii="仿宋_GB2312" w:eastAsia="仿宋_GB2312"/>
          <w:sz w:val="30"/>
          <w:szCs w:val="30"/>
        </w:rPr>
      </w:pPr>
      <w:r>
        <w:rPr>
          <w:rFonts w:ascii="仿宋_GB2312" w:eastAsia="仿宋_GB2312"/>
          <w:sz w:val="30"/>
          <w:szCs w:val="30"/>
        </w:rPr>
        <w:t>（1）承包人已按合同约定的程序与相关供货商签订采购合同或已开始加工制造、供货、运输等，发包人通知承包人选择另一家供货商；</w:t>
      </w:r>
    </w:p>
    <w:p w14:paraId="0EACFD8E">
      <w:pPr>
        <w:wordWrap/>
        <w:topLinePunct w:val="0"/>
        <w:spacing w:after="120"/>
        <w:ind w:firstLine="600" w:firstLineChars="0"/>
        <w:rPr>
          <w:rFonts w:ascii="仿宋_GB2312" w:eastAsia="仿宋_GB2312"/>
          <w:sz w:val="30"/>
          <w:szCs w:val="30"/>
        </w:rPr>
      </w:pPr>
      <w:r>
        <w:rPr>
          <w:rFonts w:ascii="仿宋_GB2312" w:eastAsia="仿宋_GB2312"/>
          <w:sz w:val="30"/>
          <w:szCs w:val="30"/>
        </w:rPr>
        <w:t>（2）因执行基准日期之后新颁布的法律、标准、规范引起的变更；</w:t>
      </w:r>
    </w:p>
    <w:p w14:paraId="6E50284C">
      <w:pPr>
        <w:wordWrap/>
        <w:topLinePunct w:val="0"/>
        <w:spacing w:after="120"/>
        <w:ind w:firstLine="600" w:firstLineChars="0"/>
        <w:rPr>
          <w:rFonts w:ascii="仿宋_GB2312" w:eastAsia="仿宋_GB2312"/>
          <w:sz w:val="30"/>
          <w:szCs w:val="30"/>
        </w:rPr>
      </w:pPr>
      <w:r>
        <w:rPr>
          <w:rFonts w:ascii="仿宋_GB2312" w:eastAsia="仿宋_GB2312"/>
          <w:sz w:val="30"/>
          <w:szCs w:val="30"/>
        </w:rPr>
        <w:t>（3）发包人要求改变检查、检验、检测、试验的地点和增加的附加试验；</w:t>
      </w:r>
    </w:p>
    <w:p w14:paraId="44AECE87">
      <w:pPr>
        <w:wordWrap/>
        <w:topLinePunct w:val="0"/>
        <w:spacing w:after="120"/>
        <w:ind w:firstLine="600" w:firstLineChars="0"/>
        <w:rPr>
          <w:rFonts w:ascii="仿宋_GB2312" w:eastAsia="仿宋_GB2312"/>
          <w:sz w:val="30"/>
          <w:szCs w:val="30"/>
        </w:rPr>
      </w:pPr>
      <w:r>
        <w:rPr>
          <w:rFonts w:ascii="仿宋_GB2312" w:eastAsia="仿宋_GB2312"/>
          <w:sz w:val="30"/>
          <w:szCs w:val="30"/>
        </w:rPr>
        <w:t>（4）发包人要求增减合同中约定的备品备件、专用工具、竣工后试验物资的采购数量；</w:t>
      </w:r>
    </w:p>
    <w:p w14:paraId="5C668F2F">
      <w:pPr>
        <w:wordWrap/>
        <w:topLinePunct w:val="0"/>
        <w:spacing w:after="120"/>
        <w:ind w:firstLine="600" w:firstLineChars="0"/>
        <w:rPr>
          <w:rFonts w:ascii="仿宋_GB2312" w:eastAsia="仿宋_GB2312"/>
          <w:sz w:val="30"/>
          <w:szCs w:val="30"/>
        </w:rPr>
      </w:pPr>
      <w:r>
        <w:rPr>
          <w:rFonts w:ascii="仿宋_GB2312" w:eastAsia="仿宋_GB2312"/>
          <w:sz w:val="30"/>
          <w:szCs w:val="30"/>
        </w:rPr>
        <w:t>（5）上述变更所需的附加工作。</w:t>
      </w:r>
    </w:p>
    <w:p w14:paraId="7F1C67E0">
      <w:pPr>
        <w:wordWrap/>
        <w:topLinePunct w:val="0"/>
        <w:spacing w:after="120"/>
        <w:ind w:firstLine="600" w:firstLineChars="0"/>
        <w:rPr>
          <w:rFonts w:ascii="仿宋_GB2312" w:eastAsia="仿宋_GB2312"/>
          <w:sz w:val="30"/>
          <w:szCs w:val="30"/>
        </w:rPr>
      </w:pPr>
      <w:r>
        <w:rPr>
          <w:rFonts w:ascii="仿宋_GB2312" w:eastAsia="仿宋_GB2312"/>
          <w:sz w:val="30"/>
          <w:szCs w:val="30"/>
        </w:rPr>
        <w:t>13.1.6.3施工变更范围</w:t>
      </w:r>
    </w:p>
    <w:p w14:paraId="35407F71">
      <w:pPr>
        <w:wordWrap/>
        <w:topLinePunct w:val="0"/>
        <w:spacing w:after="120"/>
        <w:ind w:firstLine="600" w:firstLineChars="0"/>
        <w:rPr>
          <w:rFonts w:ascii="仿宋_GB2312" w:eastAsia="仿宋_GB2312"/>
          <w:sz w:val="30"/>
          <w:szCs w:val="30"/>
        </w:rPr>
      </w:pPr>
      <w:r>
        <w:rPr>
          <w:rFonts w:ascii="仿宋_GB2312" w:eastAsia="仿宋_GB2312"/>
          <w:sz w:val="30"/>
          <w:szCs w:val="30"/>
        </w:rPr>
        <w:t>（1）根据13.1.6.</w:t>
      </w:r>
      <w:r>
        <w:rPr>
          <w:rFonts w:hint="eastAsia" w:ascii="仿宋_GB2312" w:eastAsia="仿宋_GB2312"/>
          <w:sz w:val="30"/>
          <w:szCs w:val="30"/>
        </w:rPr>
        <w:t xml:space="preserve">1 </w:t>
      </w:r>
      <w:r>
        <w:rPr>
          <w:rFonts w:ascii="仿宋_GB2312" w:eastAsia="仿宋_GB2312"/>
          <w:sz w:val="30"/>
          <w:szCs w:val="30"/>
        </w:rPr>
        <w:t>款的设计变更，造成施工方法改变、设备、材料、部件和工程量的增减；</w:t>
      </w:r>
    </w:p>
    <w:p w14:paraId="3DCC1A94">
      <w:pPr>
        <w:wordWrap/>
        <w:topLinePunct w:val="0"/>
        <w:spacing w:after="120"/>
        <w:ind w:firstLine="600" w:firstLineChars="0"/>
        <w:rPr>
          <w:rFonts w:ascii="仿宋_GB2312" w:eastAsia="仿宋_GB2312"/>
          <w:sz w:val="30"/>
          <w:szCs w:val="30"/>
        </w:rPr>
      </w:pPr>
      <w:r>
        <w:rPr>
          <w:rFonts w:ascii="仿宋_GB2312" w:eastAsia="仿宋_GB2312"/>
          <w:sz w:val="30"/>
          <w:szCs w:val="30"/>
        </w:rPr>
        <w:t>（2）发包人要求增加的附加试验、改变试验地点；</w:t>
      </w:r>
    </w:p>
    <w:p w14:paraId="456E5E8B">
      <w:pPr>
        <w:wordWrap/>
        <w:topLinePunct w:val="0"/>
        <w:spacing w:after="120"/>
        <w:ind w:firstLine="600" w:firstLineChars="0"/>
        <w:rPr>
          <w:rFonts w:ascii="仿宋_GB2312" w:eastAsia="仿宋_GB2312"/>
          <w:sz w:val="30"/>
          <w:szCs w:val="30"/>
        </w:rPr>
      </w:pPr>
      <w:r>
        <w:rPr>
          <w:rFonts w:ascii="仿宋_GB2312" w:eastAsia="仿宋_GB2312"/>
          <w:sz w:val="30"/>
          <w:szCs w:val="30"/>
        </w:rPr>
        <w:t>（3）除合同规定项之外，新增加的施工障碍处理；</w:t>
      </w:r>
    </w:p>
    <w:p w14:paraId="401DCC39">
      <w:pPr>
        <w:wordWrap/>
        <w:topLinePunct w:val="0"/>
        <w:spacing w:after="120"/>
        <w:ind w:firstLine="600" w:firstLineChars="0"/>
        <w:rPr>
          <w:rFonts w:ascii="仿宋_GB2312" w:eastAsia="仿宋_GB2312"/>
          <w:sz w:val="30"/>
          <w:szCs w:val="30"/>
        </w:rPr>
      </w:pPr>
      <w:r>
        <w:rPr>
          <w:rFonts w:ascii="仿宋_GB2312" w:eastAsia="仿宋_GB2312"/>
          <w:sz w:val="30"/>
          <w:szCs w:val="30"/>
        </w:rPr>
        <w:t>（4）发包人对竣工试验经验收或视为验收合格的项目，通知重新进行竣工试验；</w:t>
      </w:r>
    </w:p>
    <w:p w14:paraId="0FC8BBE2">
      <w:pPr>
        <w:wordWrap/>
        <w:topLinePunct w:val="0"/>
        <w:spacing w:after="120"/>
        <w:ind w:firstLine="600" w:firstLineChars="0"/>
        <w:rPr>
          <w:rFonts w:ascii="仿宋_GB2312" w:eastAsia="仿宋_GB2312"/>
          <w:sz w:val="30"/>
          <w:szCs w:val="30"/>
        </w:rPr>
      </w:pPr>
      <w:r>
        <w:rPr>
          <w:rFonts w:ascii="仿宋_GB2312" w:eastAsia="仿宋_GB2312"/>
          <w:sz w:val="30"/>
          <w:szCs w:val="30"/>
        </w:rPr>
        <w:t>（5）因执行基准日期之后新颁布的法律、标准、规范引起的变更。</w:t>
      </w:r>
    </w:p>
    <w:p w14:paraId="1E832298">
      <w:pPr>
        <w:wordWrap/>
        <w:topLinePunct w:val="0"/>
        <w:spacing w:after="120"/>
        <w:ind w:firstLine="600" w:firstLineChars="0"/>
        <w:rPr>
          <w:rFonts w:ascii="仿宋_GB2312" w:eastAsia="仿宋_GB2312"/>
          <w:sz w:val="30"/>
          <w:szCs w:val="30"/>
        </w:rPr>
      </w:pPr>
      <w:r>
        <w:rPr>
          <w:rFonts w:ascii="仿宋_GB2312" w:eastAsia="仿宋_GB2312"/>
          <w:sz w:val="30"/>
          <w:szCs w:val="30"/>
        </w:rPr>
        <w:t>（6）上述变更所需的附加工作。</w:t>
      </w:r>
    </w:p>
    <w:p w14:paraId="0EAA9DE5">
      <w:pPr>
        <w:wordWrap/>
        <w:topLinePunct w:val="0"/>
        <w:spacing w:after="120"/>
        <w:ind w:firstLine="600" w:firstLineChars="0"/>
        <w:rPr>
          <w:rFonts w:ascii="仿宋_GB2312" w:eastAsia="仿宋_GB2312"/>
          <w:sz w:val="30"/>
          <w:szCs w:val="30"/>
        </w:rPr>
      </w:pPr>
      <w:r>
        <w:rPr>
          <w:rFonts w:ascii="仿宋_GB2312" w:eastAsia="仿宋_GB2312"/>
          <w:sz w:val="30"/>
          <w:szCs w:val="30"/>
        </w:rPr>
        <w:t>13.1.6.4发包人的赶工指令</w:t>
      </w:r>
    </w:p>
    <w:p w14:paraId="5E325FB0">
      <w:pPr>
        <w:wordWrap/>
        <w:topLinePunct w:val="0"/>
        <w:spacing w:after="120"/>
        <w:ind w:firstLine="600" w:firstLineChars="0"/>
        <w:rPr>
          <w:rFonts w:ascii="仿宋_GB2312" w:eastAsia="仿宋_GB2312"/>
          <w:sz w:val="30"/>
          <w:szCs w:val="30"/>
        </w:rPr>
      </w:pPr>
      <w:r>
        <w:rPr>
          <w:rFonts w:ascii="仿宋_GB2312" w:eastAsia="仿宋_GB2312"/>
          <w:sz w:val="30"/>
          <w:szCs w:val="30"/>
        </w:rPr>
        <w:t>承包人接受了发包人的书面指示，以发包人认为必要的方式加快设计、施工或其他任何部分的进度时，承包人为实施该赶工指令需对项目进度计划进行调整，并对所增加的措施和资源提出估算，经发包人批准后，作为一项变更。</w:t>
      </w:r>
    </w:p>
    <w:p w14:paraId="6A912482">
      <w:pPr>
        <w:wordWrap/>
        <w:topLinePunct w:val="0"/>
        <w:spacing w:after="120"/>
        <w:ind w:firstLine="600" w:firstLineChars="0"/>
        <w:rPr>
          <w:rFonts w:ascii="仿宋_GB2312" w:eastAsia="仿宋_GB2312"/>
          <w:sz w:val="30"/>
          <w:szCs w:val="30"/>
        </w:rPr>
      </w:pPr>
      <w:r>
        <w:rPr>
          <w:rFonts w:ascii="仿宋_GB2312" w:eastAsia="仿宋_GB2312"/>
          <w:sz w:val="30"/>
          <w:szCs w:val="30"/>
        </w:rPr>
        <w:t>当发包人未能批准此项变更，承包人有权按合同约定的相关阶段的进度计划执行。</w:t>
      </w:r>
    </w:p>
    <w:p w14:paraId="369B19C3">
      <w:pPr>
        <w:wordWrap/>
        <w:topLinePunct w:val="0"/>
        <w:spacing w:after="120"/>
        <w:ind w:firstLine="600" w:firstLineChars="0"/>
        <w:rPr>
          <w:rFonts w:ascii="仿宋_GB2312" w:eastAsia="仿宋_GB2312"/>
          <w:sz w:val="30"/>
          <w:szCs w:val="30"/>
        </w:rPr>
      </w:pPr>
      <w:r>
        <w:rPr>
          <w:rFonts w:ascii="仿宋_GB2312" w:eastAsia="仿宋_GB2312"/>
          <w:sz w:val="30"/>
          <w:szCs w:val="30"/>
        </w:rPr>
        <w:t>因承包人原因，实际进度明显落后于经上述批准的项目进度计划时，按合同约定，承包人自费赶上；竣工日期延误时，按合同的约定，承担违约责任。</w:t>
      </w:r>
    </w:p>
    <w:p w14:paraId="28F72866">
      <w:pPr>
        <w:wordWrap/>
        <w:topLinePunct w:val="0"/>
        <w:spacing w:after="120"/>
        <w:ind w:firstLine="600" w:firstLineChars="0"/>
        <w:rPr>
          <w:rFonts w:ascii="仿宋_GB2312" w:eastAsia="仿宋_GB2312"/>
          <w:sz w:val="30"/>
          <w:szCs w:val="30"/>
        </w:rPr>
      </w:pPr>
      <w:r>
        <w:rPr>
          <w:rFonts w:ascii="仿宋_GB2312" w:eastAsia="仿宋_GB2312"/>
          <w:sz w:val="30"/>
          <w:szCs w:val="30"/>
        </w:rPr>
        <w:t>13.1.6.5调减部分工程</w:t>
      </w:r>
    </w:p>
    <w:p w14:paraId="0BC33134">
      <w:pPr>
        <w:wordWrap/>
        <w:topLinePunct w:val="0"/>
        <w:spacing w:after="120"/>
        <w:ind w:firstLine="600" w:firstLineChars="0"/>
        <w:rPr>
          <w:rFonts w:ascii="仿宋_GB2312" w:eastAsia="仿宋_GB2312"/>
          <w:sz w:val="30"/>
          <w:szCs w:val="30"/>
        </w:rPr>
      </w:pPr>
      <w:r>
        <w:rPr>
          <w:rFonts w:ascii="仿宋_GB2312" w:eastAsia="仿宋_GB2312"/>
          <w:sz w:val="30"/>
          <w:szCs w:val="30"/>
        </w:rPr>
        <w:t>发包人的暂停超过56天，承包人请求复工时仍不能复工或因不可抗力持续而无法继续施工的，双方可按合同约定以变更方式调减受暂停影响的部分工程。</w:t>
      </w:r>
    </w:p>
    <w:p w14:paraId="310BB63C">
      <w:pPr>
        <w:wordWrap/>
        <w:topLinePunct w:val="0"/>
        <w:spacing w:after="120"/>
        <w:ind w:firstLine="600" w:firstLineChars="0"/>
        <w:outlineLvl w:val="2"/>
        <w:rPr>
          <w:rFonts w:ascii="仿宋_GB2312" w:eastAsia="仿宋_GB2312"/>
          <w:sz w:val="30"/>
          <w:szCs w:val="30"/>
        </w:rPr>
      </w:pPr>
      <w:r>
        <w:rPr>
          <w:rFonts w:ascii="仿宋_GB2312" w:eastAsia="仿宋_GB2312"/>
          <w:sz w:val="30"/>
          <w:szCs w:val="30"/>
        </w:rPr>
        <w:t xml:space="preserve">13.2 </w:t>
      </w:r>
      <w:r>
        <w:rPr>
          <w:rFonts w:hint="eastAsia" w:ascii="仿宋_GB2312" w:eastAsia="仿宋_GB2312"/>
          <w:sz w:val="30"/>
          <w:szCs w:val="30"/>
        </w:rPr>
        <w:t>承包人的合理化建议</w:t>
      </w:r>
    </w:p>
    <w:p w14:paraId="6D4B6A03">
      <w:pPr>
        <w:wordWrap/>
        <w:topLinePunct w:val="0"/>
        <w:spacing w:after="120"/>
        <w:ind w:firstLine="600"/>
        <w:rPr>
          <w:rFonts w:ascii="仿宋_GB2312" w:eastAsia="仿宋_GB2312"/>
          <w:sz w:val="30"/>
          <w:szCs w:val="30"/>
        </w:rPr>
      </w:pPr>
      <w:r>
        <w:rPr>
          <w:rFonts w:ascii="仿宋_GB2312" w:eastAsia="仿宋_GB2312"/>
          <w:sz w:val="30"/>
          <w:szCs w:val="30"/>
        </w:rPr>
        <w:t xml:space="preserve">13.2.2 </w:t>
      </w:r>
      <w:r>
        <w:rPr>
          <w:rFonts w:hint="eastAsia" w:ascii="仿宋_GB2312" w:eastAsia="仿宋_GB2312"/>
          <w:sz w:val="30"/>
          <w:szCs w:val="30"/>
        </w:rPr>
        <w:t>工程师应在收到承包人提交的合理化建议后</w:t>
      </w:r>
      <w:r>
        <w:rPr>
          <w:rFonts w:hint="eastAsia" w:ascii="仿宋_GB2312" w:eastAsia="仿宋_GB2312"/>
          <w:sz w:val="30"/>
          <w:szCs w:val="30"/>
          <w:u w:val="single"/>
        </w:rPr>
        <w:t xml:space="preserve"> 7 </w:t>
      </w:r>
      <w:r>
        <w:rPr>
          <w:rFonts w:hint="eastAsia" w:ascii="仿宋_GB2312" w:eastAsia="仿宋_GB2312"/>
          <w:sz w:val="30"/>
          <w:szCs w:val="30"/>
        </w:rPr>
        <w:t>日内审查完毕并报送发包人，发现其中存在技术上的缺陷，应通知承包人修改。发包人应在收到工程师报送的合理化建议后</w:t>
      </w:r>
      <w:r>
        <w:rPr>
          <w:rFonts w:hint="eastAsia" w:ascii="仿宋_GB2312" w:eastAsia="仿宋_GB2312"/>
          <w:sz w:val="30"/>
          <w:szCs w:val="30"/>
          <w:u w:val="single"/>
        </w:rPr>
        <w:t>7</w:t>
      </w:r>
      <w:r>
        <w:rPr>
          <w:rFonts w:hint="eastAsia" w:ascii="仿宋_GB2312" w:eastAsia="仿宋_GB2312"/>
          <w:sz w:val="30"/>
          <w:szCs w:val="30"/>
        </w:rPr>
        <w:t>日内审批完毕。合理化建议经发包人批准的，工程师应及时发出变更指示，由此引起的合同价格调整按照</w:t>
      </w:r>
      <w:r>
        <w:rPr>
          <w:rFonts w:hint="eastAsia" w:ascii="仿宋_GB2312" w:eastAsia="仿宋_GB2312"/>
          <w:sz w:val="30"/>
          <w:szCs w:val="30"/>
          <w:u w:val="single"/>
        </w:rPr>
        <w:t xml:space="preserve"> 专用条款变更估价约定 </w:t>
      </w:r>
      <w:r>
        <w:rPr>
          <w:rFonts w:hint="eastAsia" w:ascii="仿宋_GB2312" w:eastAsia="仿宋_GB2312"/>
          <w:sz w:val="30"/>
          <w:szCs w:val="30"/>
        </w:rPr>
        <w:t>执行。发包人不同意变更的，工程师应书面通知承包人</w:t>
      </w:r>
    </w:p>
    <w:p w14:paraId="1F095A44">
      <w:pPr>
        <w:wordWrap/>
        <w:topLinePunct w:val="0"/>
        <w:spacing w:after="120"/>
        <w:ind w:firstLine="600"/>
        <w:rPr>
          <w:rFonts w:ascii="仿宋_GB2312" w:eastAsia="仿宋_GB2312"/>
          <w:sz w:val="30"/>
          <w:szCs w:val="30"/>
        </w:rPr>
      </w:pPr>
      <w:r>
        <w:rPr>
          <w:rFonts w:ascii="仿宋_GB2312" w:eastAsia="仿宋_GB2312"/>
          <w:sz w:val="30"/>
          <w:szCs w:val="30"/>
        </w:rPr>
        <w:t>13.2.3 承包人提出的</w:t>
      </w:r>
      <w:r>
        <w:rPr>
          <w:rFonts w:hint="eastAsia" w:ascii="仿宋_GB2312" w:eastAsia="仿宋_GB2312"/>
          <w:sz w:val="30"/>
          <w:szCs w:val="30"/>
        </w:rPr>
        <w:t>合理化变更</w:t>
      </w:r>
      <w:r>
        <w:rPr>
          <w:rFonts w:ascii="仿宋_GB2312" w:eastAsia="仿宋_GB2312"/>
          <w:sz w:val="30"/>
          <w:szCs w:val="30"/>
        </w:rPr>
        <w:t>建议的</w:t>
      </w:r>
      <w:r>
        <w:rPr>
          <w:rFonts w:hint="eastAsia" w:ascii="仿宋_GB2312" w:eastAsia="仿宋_GB2312"/>
          <w:sz w:val="30"/>
          <w:szCs w:val="30"/>
        </w:rPr>
        <w:t>利益分享约定</w:t>
      </w:r>
      <w:r>
        <w:rPr>
          <w:rFonts w:ascii="仿宋_GB2312" w:eastAsia="仿宋_GB2312"/>
          <w:sz w:val="30"/>
          <w:szCs w:val="30"/>
        </w:rPr>
        <w:t>：</w:t>
      </w:r>
      <w:r>
        <w:rPr>
          <w:rFonts w:hint="eastAsia" w:ascii="仿宋_GB2312" w:eastAsia="仿宋_GB2312"/>
          <w:sz w:val="30"/>
          <w:szCs w:val="30"/>
          <w:u w:val="single"/>
        </w:rPr>
        <w:t xml:space="preserve"> 另行协商</w:t>
      </w:r>
      <w:r>
        <w:rPr>
          <w:rFonts w:hint="eastAsia" w:ascii="仿宋_GB2312" w:eastAsia="仿宋_GB2312"/>
          <w:sz w:val="30"/>
          <w:szCs w:val="30"/>
        </w:rPr>
        <w:t>。</w:t>
      </w:r>
    </w:p>
    <w:p w14:paraId="2A4C8271">
      <w:pPr>
        <w:wordWrap/>
        <w:topLinePunct w:val="0"/>
        <w:spacing w:after="120"/>
        <w:ind w:firstLine="600" w:firstLineChars="0"/>
        <w:outlineLvl w:val="2"/>
        <w:rPr>
          <w:rFonts w:ascii="仿宋_GB2312" w:eastAsia="仿宋_GB2312"/>
          <w:sz w:val="30"/>
          <w:szCs w:val="30"/>
        </w:rPr>
      </w:pPr>
      <w:r>
        <w:rPr>
          <w:rFonts w:ascii="仿宋_GB2312" w:eastAsia="仿宋_GB2312"/>
          <w:sz w:val="30"/>
          <w:szCs w:val="30"/>
        </w:rPr>
        <w:t xml:space="preserve">13.3 </w:t>
      </w:r>
      <w:r>
        <w:rPr>
          <w:rFonts w:hint="eastAsia" w:ascii="仿宋_GB2312" w:eastAsia="仿宋_GB2312"/>
          <w:sz w:val="30"/>
          <w:szCs w:val="30"/>
        </w:rPr>
        <w:t>变更程序</w:t>
      </w:r>
    </w:p>
    <w:p w14:paraId="2BE25408">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3.3.1 </w:t>
      </w:r>
      <w:r>
        <w:rPr>
          <w:rFonts w:hint="eastAsia" w:ascii="仿宋_GB2312" w:eastAsia="仿宋_GB2312"/>
          <w:sz w:val="30"/>
          <w:szCs w:val="30"/>
        </w:rPr>
        <w:t>发包人提出变更</w:t>
      </w:r>
    </w:p>
    <w:p w14:paraId="3F1B308B">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发包人的变更应事先以书面形式通知承包人。承包人接到发包人的变更通知后，有义务在14日内向发包人提交书面建议报告。</w:t>
      </w:r>
    </w:p>
    <w:p w14:paraId="720BDCE2">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1）如承包人接受发包人变更通知中的此项变更时，建议报告中应包括：支持此项变更的理由、实施此项变更的工作内容、设备、材料、人力、机具、周转材料等资源消耗。此项变更引起竣工日期延长时，应在报告中说明理由，并提交与此项变更相关的进度计划。</w:t>
      </w:r>
    </w:p>
    <w:p w14:paraId="2D0A1B45">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（2）如承包人不接受发包人变更通知中的此项变更时，建议报告中包括不支持此项变更的理由，理由包括：</w:t>
      </w:r>
    </w:p>
    <w:p w14:paraId="16FEA39A">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①此变更不符合法律、法规等有关规定；</w:t>
      </w:r>
    </w:p>
    <w:p w14:paraId="66163EB7">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②承包人难以取得变更所需的特殊设备、材料、部件；</w:t>
      </w:r>
    </w:p>
    <w:p w14:paraId="6769A288">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③变更将降低工程的安全性、稳定性、适用性；</w:t>
      </w:r>
    </w:p>
    <w:p w14:paraId="2ADED352">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④对生产性能保证值、使用功能保证的实现产生不利影响等</w:t>
      </w:r>
    </w:p>
    <w:p w14:paraId="1FE479BF">
      <w:pPr>
        <w:wordWrap/>
        <w:topLinePunct w:val="0"/>
        <w:spacing w:after="120"/>
        <w:ind w:firstLine="600"/>
        <w:rPr>
          <w:rFonts w:ascii="仿宋_GB2312" w:eastAsia="仿宋_GB2312"/>
          <w:sz w:val="30"/>
          <w:szCs w:val="30"/>
        </w:rPr>
      </w:pPr>
      <w:r>
        <w:rPr>
          <w:rFonts w:ascii="仿宋_GB2312" w:eastAsia="仿宋_GB2312"/>
          <w:sz w:val="30"/>
          <w:szCs w:val="30"/>
        </w:rPr>
        <w:t>13.3.2 变更执行</w:t>
      </w:r>
    </w:p>
    <w:p w14:paraId="35C39AA9">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发包人、监理人接到承包人根据约定提交的书面建议报告后14日内对此项建议给予审查，并发出批准、撤销、改变、提出进一步要求的书面通知。承包人在等待发包人回复的时间内，不能停止或延误任何工作。</w:t>
      </w:r>
    </w:p>
    <w:p w14:paraId="0F8C4C10">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（1）发包人接到承包人根据约定提交的建议报告，对其理由、估算、和（或）竣工日期延长进行审查批准后，以书面形式下达变更指令。</w:t>
      </w:r>
    </w:p>
    <w:p w14:paraId="394EC30A">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（2）发包人对承包人根据提交的不接受此项变更的理由经发包人审查后，发出继续执行、改变、提出进一步补充资料的书面通知，承包人予以执行。</w:t>
      </w:r>
    </w:p>
    <w:p w14:paraId="37825438">
      <w:pPr>
        <w:wordWrap/>
        <w:topLinePunct w:val="0"/>
        <w:spacing w:after="120"/>
        <w:ind w:firstLine="600" w:firstLineChars="0"/>
        <w:rPr>
          <w:rFonts w:ascii="仿宋_GB2312" w:eastAsia="仿宋_GB2312"/>
          <w:sz w:val="30"/>
          <w:szCs w:val="30"/>
        </w:rPr>
      </w:pPr>
      <w:r>
        <w:rPr>
          <w:rFonts w:ascii="仿宋_GB2312" w:eastAsia="仿宋_GB2312"/>
          <w:sz w:val="30"/>
          <w:szCs w:val="30"/>
        </w:rPr>
        <w:t>13.3.2</w:t>
      </w:r>
      <w:r>
        <w:rPr>
          <w:rFonts w:hint="eastAsia" w:ascii="仿宋_GB2312" w:eastAsia="仿宋_GB2312"/>
          <w:sz w:val="30"/>
          <w:szCs w:val="30"/>
        </w:rPr>
        <w:t>.1 紧急性变更程序</w:t>
      </w:r>
    </w:p>
    <w:p w14:paraId="65D9F991">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1）发包人有权以书面形式或口头形式发出紧急性变更指令，要求承包人立即执行此项变更。承包人接到此类指令后，立即执行。发包人以口头形式发出紧急性变更指令的，须在48小时内以书面方式确认此项变更，并送交承包人项目经理。</w:t>
      </w:r>
    </w:p>
    <w:p w14:paraId="01926AF1">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2）承包人应在紧急性变更指令执行完成后的14日内，向发包人提交实施此项变更的工作内容、资源实际消耗和估算。因执行此项变更造成工程关键路径延误时，可提出竣工日期延长要求，但应说明理由，并提交与此项变更相关的进度计划。</w:t>
      </w:r>
    </w:p>
    <w:p w14:paraId="5CCFBAFF">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（3）发包人应在接到承包人提交的书面资料后的14日内，以书面形式通知承包人被批准的合理估算，和（或）给予竣工日期的合理延长。</w:t>
      </w:r>
    </w:p>
    <w:p w14:paraId="270DACEA">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承包人对发包人批准的变更费用、竣工日期的延长存有争议时，双方应友好协商解决，协商不成时，依据合同约定条款争议和裁决的程序解决。</w:t>
      </w:r>
    </w:p>
    <w:p w14:paraId="793C4AFE">
      <w:pPr>
        <w:wordWrap/>
        <w:topLinePunct w:val="0"/>
        <w:spacing w:after="120"/>
        <w:ind w:firstLine="600"/>
        <w:rPr>
          <w:rFonts w:ascii="仿宋_GB2312" w:eastAsia="仿宋_GB2312"/>
          <w:sz w:val="30"/>
          <w:szCs w:val="30"/>
        </w:rPr>
      </w:pPr>
      <w:r>
        <w:rPr>
          <w:rFonts w:ascii="仿宋_GB2312" w:eastAsia="仿宋_GB2312"/>
          <w:sz w:val="30"/>
          <w:szCs w:val="30"/>
        </w:rPr>
        <w:t>13.3.3 变更估价</w:t>
      </w:r>
    </w:p>
    <w:p w14:paraId="21056E5E">
      <w:pPr>
        <w:wordWrap/>
        <w:topLinePunct w:val="0"/>
        <w:spacing w:after="120"/>
        <w:ind w:firstLine="600"/>
        <w:rPr>
          <w:rFonts w:ascii="仿宋_GB2312" w:eastAsia="仿宋_GB2312"/>
          <w:sz w:val="30"/>
          <w:szCs w:val="30"/>
        </w:rPr>
      </w:pPr>
      <w:r>
        <w:rPr>
          <w:rFonts w:ascii="仿宋_GB2312" w:eastAsia="仿宋_GB2312"/>
          <w:sz w:val="30"/>
          <w:szCs w:val="30"/>
        </w:rPr>
        <w:t>13.3.3.</w:t>
      </w:r>
      <w:r>
        <w:rPr>
          <w:rFonts w:hint="eastAsia" w:ascii="仿宋_GB2312" w:eastAsia="仿宋_GB2312"/>
          <w:sz w:val="30"/>
          <w:szCs w:val="30"/>
        </w:rPr>
        <w:t>1</w:t>
      </w:r>
      <w:r>
        <w:rPr>
          <w:rFonts w:ascii="仿宋_GB2312" w:eastAsia="仿宋_GB2312"/>
          <w:sz w:val="30"/>
          <w:szCs w:val="30"/>
        </w:rPr>
        <w:t xml:space="preserve"> 变更估价原则</w:t>
      </w:r>
    </w:p>
    <w:p w14:paraId="2F0C17AC">
      <w:pPr>
        <w:wordWrap/>
        <w:topLinePunct w:val="0"/>
        <w:spacing w:after="120"/>
        <w:ind w:firstLine="600"/>
        <w:rPr>
          <w:rFonts w:ascii="仿宋_GB2312" w:eastAsia="仿宋_GB2312"/>
          <w:sz w:val="30"/>
          <w:szCs w:val="30"/>
        </w:rPr>
      </w:pPr>
      <w:r>
        <w:rPr>
          <w:rFonts w:hint="eastAsia" w:ascii="仿宋_GB2312" w:eastAsia="仿宋_GB2312"/>
          <w:sz w:val="30"/>
          <w:szCs w:val="30"/>
        </w:rPr>
        <w:t>1、关于变更估价原则的约定：</w:t>
      </w:r>
    </w:p>
    <w:p w14:paraId="1378E009">
      <w:pPr>
        <w:wordWrap/>
        <w:topLinePunct w:val="0"/>
        <w:spacing w:after="120"/>
        <w:ind w:firstLine="600"/>
        <w:rPr>
          <w:rFonts w:ascii="仿宋_GB2312" w:eastAsia="仿宋_GB2312"/>
          <w:sz w:val="30"/>
          <w:szCs w:val="30"/>
        </w:rPr>
      </w:pPr>
      <w:r>
        <w:rPr>
          <w:rFonts w:hint="eastAsia" w:ascii="仿宋_GB2312" w:eastAsia="仿宋_GB2312"/>
          <w:sz w:val="30"/>
          <w:szCs w:val="30"/>
        </w:rPr>
        <w:t>（1）设计变更导致工程价款的调整：经发包人批准的设计变更且按合同约定已完善变更程序的，应调整合同价款。</w:t>
      </w:r>
    </w:p>
    <w:p w14:paraId="16556872">
      <w:pPr>
        <w:wordWrap/>
        <w:topLinePunct w:val="0"/>
        <w:spacing w:after="120"/>
        <w:ind w:firstLine="600"/>
        <w:rPr>
          <w:rFonts w:ascii="仿宋_GB2312" w:eastAsia="仿宋_GB2312"/>
          <w:sz w:val="30"/>
          <w:szCs w:val="30"/>
        </w:rPr>
      </w:pPr>
      <w:r>
        <w:rPr>
          <w:rFonts w:hint="eastAsia" w:ascii="仿宋_GB2312" w:eastAsia="仿宋_GB2312"/>
          <w:sz w:val="30"/>
          <w:szCs w:val="30"/>
        </w:rPr>
        <w:t>（2）费用索赔、违约价款的调整: 合同履行期间，出现费用索赔、违约事件的，合同双方当事人应调整合同价款。</w:t>
      </w:r>
    </w:p>
    <w:p w14:paraId="44FE011B">
      <w:pPr>
        <w:wordWrap/>
        <w:topLinePunct w:val="0"/>
        <w:spacing w:after="120"/>
        <w:ind w:firstLine="600"/>
        <w:rPr>
          <w:rFonts w:ascii="仿宋_GB2312" w:eastAsia="仿宋_GB2312"/>
          <w:sz w:val="30"/>
          <w:szCs w:val="30"/>
        </w:rPr>
      </w:pPr>
      <w:r>
        <w:rPr>
          <w:rFonts w:hint="eastAsia" w:ascii="仿宋_GB2312" w:eastAsia="仿宋_GB2312"/>
          <w:sz w:val="30"/>
          <w:szCs w:val="30"/>
        </w:rPr>
        <w:t>（3）现场签证价款的调整：现场签证是指合同双方当事人就施工过程中涉及的责任事件所作的签认证明。合同履行期间，出现现场签证事件的，按发包人相关管理规定执行，并按照第（2）款规定计算并调整合同价款。</w:t>
      </w:r>
    </w:p>
    <w:p w14:paraId="016C1BBA">
      <w:pPr>
        <w:wordWrap/>
        <w:topLinePunct w:val="0"/>
        <w:spacing w:after="120"/>
        <w:ind w:firstLine="600"/>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施工图预算</w:t>
      </w:r>
      <w:r>
        <w:rPr>
          <w:rFonts w:ascii="仿宋_GB2312" w:eastAsia="仿宋_GB2312"/>
          <w:sz w:val="30"/>
          <w:szCs w:val="30"/>
        </w:rPr>
        <w:t>清单缺项漏项、</w:t>
      </w:r>
      <w:r>
        <w:rPr>
          <w:rFonts w:hint="eastAsia" w:ascii="仿宋_GB2312" w:eastAsia="仿宋_GB2312"/>
          <w:sz w:val="30"/>
          <w:szCs w:val="30"/>
        </w:rPr>
        <w:t>施工图预算</w:t>
      </w:r>
      <w:r>
        <w:rPr>
          <w:rFonts w:ascii="仿宋_GB2312" w:eastAsia="仿宋_GB2312"/>
          <w:sz w:val="30"/>
          <w:szCs w:val="30"/>
        </w:rPr>
        <w:t>清单工程量偏差的调整：合同履行期间均不调整。</w:t>
      </w:r>
    </w:p>
    <w:p w14:paraId="544CFE5D">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（5）发包人应严格控制所有新增工程、设计变更价款，累计不得超出经发包人批准同意使用的预备费。承包人有义务配合、警示该控制目标。</w:t>
      </w:r>
    </w:p>
    <w:p w14:paraId="6FCE5B2F">
      <w:pPr>
        <w:spacing w:after="120"/>
        <w:ind w:firstLine="708" w:firstLineChars="236"/>
        <w:rPr>
          <w:rFonts w:eastAsia="仿宋_GB2312"/>
          <w:sz w:val="30"/>
          <w:szCs w:val="30"/>
        </w:rPr>
      </w:pPr>
      <w:r>
        <w:rPr>
          <w:rFonts w:hint="eastAsia" w:eastAsia="仿宋_GB2312"/>
          <w:sz w:val="30"/>
          <w:szCs w:val="30"/>
        </w:rPr>
        <w:t>2、变更工程量的确定原则</w:t>
      </w:r>
    </w:p>
    <w:p w14:paraId="3DEA8F08">
      <w:pPr>
        <w:spacing w:after="120"/>
        <w:ind w:firstLine="708" w:firstLineChars="236"/>
        <w:rPr>
          <w:rFonts w:eastAsia="仿宋_GB2312"/>
          <w:sz w:val="30"/>
          <w:szCs w:val="32"/>
        </w:rPr>
      </w:pPr>
      <w:r>
        <w:rPr>
          <w:rFonts w:hint="eastAsia" w:ascii="仿宋" w:hAnsi="仿宋" w:eastAsia="仿宋" w:cs="仿宋"/>
          <w:sz w:val="30"/>
          <w:szCs w:val="30"/>
        </w:rPr>
        <w:t>（1）</w:t>
      </w:r>
      <w:r>
        <w:rPr>
          <w:rFonts w:hint="eastAsia" w:eastAsia="仿宋_GB2312"/>
          <w:sz w:val="30"/>
          <w:szCs w:val="32"/>
        </w:rPr>
        <w:t>按《广东省住房和城乡建设厅关于印发《广东省建设工程计价依据（2018)》的通知》（粤建市〔2019〕6号）和有关法律、法规；</w:t>
      </w:r>
    </w:p>
    <w:p w14:paraId="2B95854F">
      <w:pPr>
        <w:spacing w:after="120"/>
        <w:ind w:firstLine="600"/>
        <w:rPr>
          <w:rFonts w:ascii="仿宋" w:hAnsi="仿宋" w:eastAsia="仿宋" w:cs="仿宋"/>
          <w:sz w:val="30"/>
          <w:szCs w:val="30"/>
        </w:rPr>
      </w:pPr>
      <w:r>
        <w:rPr>
          <w:rFonts w:hint="eastAsia" w:ascii="仿宋" w:hAnsi="仿宋" w:eastAsia="仿宋" w:cs="仿宋"/>
          <w:sz w:val="30"/>
          <w:szCs w:val="30"/>
        </w:rPr>
        <w:t>（2）按各专业最新的工程计量规范执行。</w:t>
      </w:r>
    </w:p>
    <w:p w14:paraId="6AE7B429">
      <w:pPr>
        <w:spacing w:after="120"/>
        <w:ind w:firstLine="600"/>
        <w:rPr>
          <w:rFonts w:ascii="仿宋" w:hAnsi="仿宋" w:eastAsia="仿宋" w:cs="仿宋"/>
          <w:snapToGrid w:val="0"/>
          <w:sz w:val="30"/>
          <w:szCs w:val="30"/>
        </w:rPr>
      </w:pPr>
      <w:r>
        <w:rPr>
          <w:rFonts w:hint="eastAsia" w:ascii="仿宋" w:hAnsi="仿宋" w:eastAsia="仿宋" w:cs="仿宋"/>
          <w:snapToGrid w:val="0"/>
          <w:sz w:val="30"/>
          <w:szCs w:val="30"/>
        </w:rPr>
        <w:t>（3）</w:t>
      </w:r>
      <w:r>
        <w:rPr>
          <w:rFonts w:hint="eastAsia" w:eastAsia="仿宋_GB2312"/>
          <w:sz w:val="30"/>
          <w:szCs w:val="32"/>
        </w:rPr>
        <w:t>按发包人与承包人协商确定的计算办法执行。</w:t>
      </w:r>
    </w:p>
    <w:p w14:paraId="1E2EBD19">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3、变更价款确定</w:t>
      </w:r>
    </w:p>
    <w:p w14:paraId="3B623D8F">
      <w:pPr>
        <w:spacing w:after="120"/>
        <w:ind w:firstLine="600"/>
        <w:rPr>
          <w:rFonts w:eastAsia="仿宋_GB2312"/>
          <w:sz w:val="30"/>
          <w:szCs w:val="32"/>
        </w:rPr>
      </w:pPr>
      <w:r>
        <w:rPr>
          <w:rFonts w:hint="eastAsia" w:ascii="仿宋" w:hAnsi="仿宋" w:eastAsia="仿宋" w:cs="仿宋"/>
          <w:snapToGrid w:val="0"/>
          <w:sz w:val="30"/>
          <w:szCs w:val="30"/>
        </w:rPr>
        <w:t>（1）</w:t>
      </w:r>
      <w:r>
        <w:rPr>
          <w:rFonts w:hint="eastAsia" w:eastAsia="仿宋_GB2312"/>
          <w:sz w:val="30"/>
          <w:szCs w:val="32"/>
        </w:rPr>
        <w:t>合同专用条款第13.8条款的约定；</w:t>
      </w:r>
    </w:p>
    <w:p w14:paraId="1C7C2E0D">
      <w:pPr>
        <w:spacing w:after="120"/>
        <w:ind w:firstLine="600"/>
        <w:rPr>
          <w:rFonts w:eastAsia="仿宋_GB2312"/>
          <w:sz w:val="30"/>
          <w:szCs w:val="32"/>
        </w:rPr>
      </w:pPr>
      <w:r>
        <w:rPr>
          <w:rFonts w:hint="eastAsia" w:ascii="仿宋" w:hAnsi="仿宋" w:eastAsia="仿宋" w:cs="仿宋"/>
          <w:snapToGrid w:val="0"/>
          <w:sz w:val="30"/>
          <w:szCs w:val="30"/>
        </w:rPr>
        <w:t>（2）</w:t>
      </w:r>
      <w:r>
        <w:rPr>
          <w:rFonts w:hint="eastAsia" w:eastAsia="仿宋_GB2312"/>
          <w:sz w:val="30"/>
          <w:szCs w:val="32"/>
        </w:rPr>
        <w:t>合同外新增项目的综合单价及其主材价格确定方式：</w:t>
      </w:r>
    </w:p>
    <w:p w14:paraId="29B7740E">
      <w:pPr>
        <w:spacing w:after="120"/>
        <w:ind w:firstLine="600"/>
        <w:rPr>
          <w:rFonts w:ascii="仿宋" w:hAnsi="仿宋" w:eastAsia="仿宋" w:cs="仿宋"/>
          <w:sz w:val="30"/>
          <w:szCs w:val="30"/>
        </w:rPr>
      </w:pPr>
      <w:r>
        <w:rPr>
          <w:rFonts w:hint="eastAsia" w:ascii="仿宋" w:hAnsi="仿宋" w:eastAsia="仿宋" w:cs="仿宋"/>
          <w:sz w:val="30"/>
          <w:szCs w:val="30"/>
        </w:rPr>
        <w:t>1）价格清单内的项目，按投标价格清单综合单价、规费及税金等费用调整工程造价，工程量按深化设计图计算。</w:t>
      </w:r>
    </w:p>
    <w:p w14:paraId="0A5F3462">
      <w:pPr>
        <w:spacing w:after="120"/>
        <w:ind w:firstLine="600"/>
        <w:rPr>
          <w:rFonts w:ascii="仿宋" w:hAnsi="仿宋" w:eastAsia="仿宋" w:cs="仿宋"/>
          <w:sz w:val="30"/>
          <w:szCs w:val="30"/>
        </w:rPr>
      </w:pPr>
      <w:r>
        <w:rPr>
          <w:rFonts w:hint="eastAsia" w:ascii="仿宋" w:hAnsi="仿宋" w:eastAsia="仿宋" w:cs="仿宋"/>
          <w:sz w:val="30"/>
          <w:szCs w:val="30"/>
        </w:rPr>
        <w:t>2）价格清单外的工程项目（含暂定价项目、漏项或因施工图深化设计等情况出现的变更项目），按以下方法处理：</w:t>
      </w:r>
    </w:p>
    <w:p w14:paraId="61A5F0EA">
      <w:pPr>
        <w:spacing w:after="120"/>
        <w:ind w:firstLine="600"/>
        <w:rPr>
          <w:rFonts w:ascii="仿宋" w:hAnsi="仿宋" w:eastAsia="仿宋" w:cs="仿宋"/>
          <w:sz w:val="30"/>
          <w:szCs w:val="30"/>
        </w:rPr>
      </w:pPr>
      <w:r>
        <w:rPr>
          <w:rFonts w:hint="eastAsia" w:ascii="仿宋" w:hAnsi="仿宋" w:eastAsia="仿宋" w:cs="仿宋"/>
          <w:sz w:val="30"/>
          <w:szCs w:val="30"/>
        </w:rPr>
        <w:t>①价格清单中有工作内容相同的项目按价格清单综合单价、规费及税金等费用调整工程造价，工程量按深化设计图计算。</w:t>
      </w:r>
    </w:p>
    <w:p w14:paraId="5F489CBA">
      <w:pPr>
        <w:spacing w:after="120"/>
        <w:ind w:firstLine="600"/>
        <w:rPr>
          <w:rFonts w:ascii="仿宋" w:hAnsi="仿宋" w:eastAsia="仿宋" w:cs="仿宋"/>
          <w:sz w:val="30"/>
          <w:szCs w:val="30"/>
        </w:rPr>
      </w:pPr>
      <w:r>
        <w:rPr>
          <w:rFonts w:hint="eastAsia" w:ascii="仿宋" w:hAnsi="仿宋" w:eastAsia="仿宋" w:cs="仿宋"/>
          <w:sz w:val="30"/>
          <w:szCs w:val="30"/>
        </w:rPr>
        <w:t>②价格清单中有工作内容相近，仅涉及按相关计价依据并且发包人确认确需调整主材价格的，主材价格以发包人审定的价格为准，与相应投标材料价格的差额调整材料价差。</w:t>
      </w:r>
    </w:p>
    <w:p w14:paraId="753B04BB">
      <w:pPr>
        <w:spacing w:after="120"/>
        <w:ind w:firstLine="600"/>
        <w:rPr>
          <w:rFonts w:ascii="仿宋" w:hAnsi="仿宋" w:eastAsia="仿宋" w:cs="仿宋"/>
          <w:sz w:val="30"/>
          <w:szCs w:val="30"/>
          <w:u w:val="single"/>
        </w:rPr>
      </w:pPr>
      <w:r>
        <w:rPr>
          <w:rFonts w:hint="eastAsia" w:ascii="仿宋" w:hAnsi="仿宋" w:eastAsia="仿宋" w:cs="仿宋"/>
          <w:sz w:val="30"/>
          <w:szCs w:val="30"/>
          <w:u w:val="single"/>
        </w:rPr>
        <w:t>③在价格清单外的新增项目，如该项目在价格清单中有工作内容相同，其综合单价沿用原价格清单单价；项目主材（包含规格）改变时，只调整相应项目的主材单价，其余一切费用不得调整。投标报价中已有的材料按投标报价中材料价作为预算材料价。投标报价中没有的材料价按照施工同期   市建设工程造价信息化管理系统公布的《  地区建设工程常用材料价格信息》作为预算材料价。《  地区建设工程常用材料价格信息》没有的材料，材料按照施工同期《广州地区建设工程材料（设备）厂商价格信息》对应品牌、规格、型号的材料价相应下浮作为预算材料价（其中：土建、市政材料下浮5%，建筑装修材料下浮20%，机电安装材料下浮25%，园林绿化材料下浮30%），《广州地区建设工程材料（设备）厂商价格信息》没有对应品牌、规格、型号的，按发包人审核的材料单价计算。</w:t>
      </w:r>
    </w:p>
    <w:p w14:paraId="150BFCC3">
      <w:pPr>
        <w:adjustRightInd/>
        <w:snapToGrid/>
        <w:spacing w:after="120"/>
        <w:ind w:firstLine="600"/>
        <w:rPr>
          <w:rFonts w:ascii="仿宋" w:hAnsi="仿宋" w:eastAsia="仿宋" w:cs="仿宋"/>
          <w:snapToGrid w:val="0"/>
          <w:sz w:val="30"/>
          <w:szCs w:val="30"/>
        </w:rPr>
      </w:pPr>
      <w:r>
        <w:rPr>
          <w:rFonts w:hint="eastAsia" w:ascii="仿宋" w:hAnsi="仿宋" w:eastAsia="仿宋" w:cs="仿宋"/>
          <w:sz w:val="30"/>
          <w:szCs w:val="30"/>
        </w:rPr>
        <w:t>3）在价格清单外的新增项目，如该项目在价格清单中没有工作内容相同的项目，按发、承包双方确认的综合单价计价。综合单价的确定原则：以相关定额为基数，按粤建市[2019]6 号文及省市有关工程计价办法中的定额计价程序计价；下浮率为中标下浮率</w:t>
      </w:r>
      <w:r>
        <w:rPr>
          <w:rFonts w:hint="eastAsia" w:ascii="仿宋" w:hAnsi="仿宋" w:eastAsia="仿宋" w:cs="仿宋"/>
          <w:sz w:val="30"/>
          <w:szCs w:val="30"/>
          <w:u w:val="single"/>
        </w:rPr>
        <w:t xml:space="preserve">    %（中标下浮率=【1-施工费投标报价/施工费最高投标限价】×100%）</w:t>
      </w:r>
      <w:r>
        <w:rPr>
          <w:rFonts w:hint="eastAsia" w:ascii="仿宋" w:hAnsi="仿宋" w:eastAsia="仿宋" w:cs="仿宋"/>
          <w:sz w:val="30"/>
          <w:szCs w:val="30"/>
        </w:rPr>
        <w:t>（下浮率若小于10%的，按10%）。人工、材料和机械单价按照投标文件中相关专业综合单价分析表中的单价套用；投标报价中已有的材料按投标报价中材料价作为预算材料价。</w:t>
      </w:r>
      <w:r>
        <w:rPr>
          <w:rFonts w:hint="eastAsia" w:ascii="仿宋" w:hAnsi="仿宋" w:eastAsia="仿宋" w:cs="仿宋"/>
          <w:sz w:val="30"/>
          <w:szCs w:val="30"/>
          <w:u w:val="single"/>
        </w:rPr>
        <w:t>投标报价中没有的材料价按照施工同期  市建设工程造价信息化管理系统公布的《  地区建设工程常用材料综合价格》作为预算材料价。《  地区建设工程常用材料综合价格》没有的材料，材料按照施工同期《广州地区建设工程材料（设备）厂商价格信息》对应品牌、规格、型号的材料价作为预算材料价，《广州地区建设工程材料（设备）厂商价格信息》没有对应品牌、规格、型号的，按发包人审核的材料单价计算。</w:t>
      </w:r>
    </w:p>
    <w:p w14:paraId="77FDDC53">
      <w:pPr>
        <w:spacing w:after="120"/>
        <w:ind w:right="11" w:firstLine="576" w:firstLineChars="192"/>
        <w:rPr>
          <w:rFonts w:ascii="仿宋" w:hAnsi="仿宋" w:eastAsia="仿宋" w:cs="仿宋"/>
          <w:snapToGrid w:val="0"/>
          <w:sz w:val="30"/>
          <w:szCs w:val="30"/>
        </w:rPr>
      </w:pPr>
      <w:r>
        <w:rPr>
          <w:rFonts w:hint="eastAsia" w:ascii="仿宋" w:hAnsi="仿宋" w:eastAsia="仿宋" w:cs="仿宋"/>
          <w:snapToGrid w:val="0"/>
          <w:sz w:val="30"/>
          <w:szCs w:val="30"/>
        </w:rPr>
        <w:t>（3） 综合单价确定方式</w:t>
      </w:r>
    </w:p>
    <w:p w14:paraId="6EDFBDF6">
      <w:pPr>
        <w:spacing w:after="120"/>
        <w:ind w:right="11" w:firstLine="600"/>
        <w:rPr>
          <w:rFonts w:ascii="仿宋" w:hAnsi="仿宋" w:eastAsia="仿宋" w:cs="仿宋"/>
          <w:snapToGrid w:val="0"/>
          <w:sz w:val="30"/>
          <w:szCs w:val="30"/>
        </w:rPr>
      </w:pPr>
      <w:r>
        <w:rPr>
          <w:rFonts w:hint="eastAsia" w:ascii="仿宋" w:hAnsi="仿宋" w:eastAsia="仿宋" w:cs="仿宋"/>
          <w:snapToGrid w:val="0"/>
          <w:sz w:val="30"/>
          <w:szCs w:val="30"/>
        </w:rPr>
        <w:t>1）合同中已有适用的综合单价项目，即只是原有清单项目工程数量的增减，则按合同已有的综合单价变更合同价款，合同另有约定调整方式的除外。</w:t>
      </w:r>
    </w:p>
    <w:p w14:paraId="55CF6A90">
      <w:pPr>
        <w:spacing w:after="120"/>
        <w:ind w:right="11" w:firstLine="600"/>
        <w:rPr>
          <w:rFonts w:ascii="仿宋" w:hAnsi="仿宋" w:eastAsia="仿宋" w:cs="仿宋"/>
          <w:snapToGrid w:val="0"/>
          <w:sz w:val="30"/>
          <w:szCs w:val="30"/>
        </w:rPr>
      </w:pPr>
      <w:r>
        <w:rPr>
          <w:rFonts w:hint="eastAsia" w:ascii="仿宋" w:hAnsi="仿宋" w:eastAsia="仿宋" w:cs="仿宋"/>
          <w:snapToGrid w:val="0"/>
          <w:sz w:val="30"/>
          <w:szCs w:val="30"/>
        </w:rPr>
        <w:t>2）合同中没有完全一致的综合单价项目，但有类似综合单价项目，只是砼标号、品牌、规格、型号、厚度、产地等发生变化的，则按合同内类似综合单价项目作换算处理。换算时只计算主材价差，即合同换算综合单价=合同类似项目综合单价+主材价差。主材价差=实际使用的主材价格-合同类似项目综合单价中的主材价格，实际使用主材价格的确定按合同条款第</w:t>
      </w:r>
      <w:r>
        <w:rPr>
          <w:rFonts w:ascii="仿宋_GB2312" w:eastAsia="仿宋_GB2312"/>
          <w:sz w:val="30"/>
          <w:szCs w:val="30"/>
        </w:rPr>
        <w:t>13.3.3.</w:t>
      </w:r>
      <w:r>
        <w:rPr>
          <w:rFonts w:hint="eastAsia" w:ascii="仿宋_GB2312" w:eastAsia="仿宋_GB2312"/>
          <w:sz w:val="30"/>
          <w:szCs w:val="30"/>
        </w:rPr>
        <w:t>1</w:t>
      </w:r>
      <w:r>
        <w:rPr>
          <w:rFonts w:hint="eastAsia" w:ascii="仿宋" w:hAnsi="仿宋" w:eastAsia="仿宋" w:cs="仿宋"/>
          <w:snapToGrid w:val="0"/>
          <w:sz w:val="30"/>
          <w:szCs w:val="30"/>
        </w:rPr>
        <w:t>款执行。当合同内类似综合单价项目有两个（含两个）以上时，双方约定按主材价格最靠近和就低不就高的原则进行换算。</w:t>
      </w:r>
      <w:r>
        <w:rPr>
          <w:rFonts w:hint="eastAsia" w:ascii="仿宋_GB2312" w:eastAsia="仿宋_GB2312"/>
          <w:sz w:val="30"/>
          <w:szCs w:val="30"/>
        </w:rPr>
        <w:t>当实际施工发生主材用料变更,则只调整单价中的主材费,其余一切费用不予调整。</w:t>
      </w:r>
    </w:p>
    <w:p w14:paraId="6305AD0E">
      <w:pPr>
        <w:numPr>
          <w:ilvl w:val="255"/>
          <w:numId w:val="0"/>
        </w:numPr>
        <w:wordWrap/>
        <w:topLinePunct w:val="0"/>
        <w:spacing w:after="120"/>
        <w:ind w:right="11" w:firstLine="576" w:firstLineChars="192"/>
        <w:rPr>
          <w:rFonts w:ascii="仿宋_GB2312" w:eastAsia="仿宋_GB2312"/>
          <w:sz w:val="30"/>
          <w:szCs w:val="30"/>
        </w:rPr>
      </w:pPr>
      <w:r>
        <w:rPr>
          <w:rFonts w:hint="eastAsia" w:ascii="仿宋" w:hAnsi="仿宋" w:eastAsia="仿宋" w:cs="仿宋"/>
          <w:snapToGrid w:val="0"/>
          <w:sz w:val="30"/>
          <w:szCs w:val="30"/>
        </w:rPr>
        <w:t>3）若合同中既没有适用的综合单价项目，也不能按合同换算综合单价项目作换算处理，则作为合同外新增项目，</w:t>
      </w:r>
      <w:r>
        <w:rPr>
          <w:rFonts w:hint="eastAsia" w:ascii="仿宋_GB2312" w:eastAsia="仿宋_GB2312"/>
          <w:sz w:val="30"/>
          <w:szCs w:val="30"/>
        </w:rPr>
        <w:t>由承包人依据施工图纸、变更资料、计价规定、各专业工程定额并结合承包人中标下浮率确定最终综合单价，并经工程师及发包人审核确认。</w:t>
      </w:r>
    </w:p>
    <w:p w14:paraId="2583E1CD">
      <w:pPr>
        <w:numPr>
          <w:ilvl w:val="255"/>
          <w:numId w:val="0"/>
        </w:numPr>
        <w:wordWrap/>
        <w:topLinePunct w:val="0"/>
        <w:spacing w:after="120"/>
        <w:ind w:right="11" w:firstLine="576" w:firstLineChars="192"/>
        <w:rPr>
          <w:rFonts w:ascii="仿宋" w:hAnsi="仿宋" w:eastAsia="仿宋" w:cs="仿宋"/>
          <w:snapToGrid w:val="0"/>
          <w:sz w:val="30"/>
          <w:szCs w:val="30"/>
        </w:rPr>
      </w:pPr>
      <w:r>
        <w:rPr>
          <w:rFonts w:hint="eastAsia" w:ascii="仿宋" w:hAnsi="仿宋" w:eastAsia="仿宋" w:cs="仿宋"/>
          <w:snapToGrid w:val="0"/>
          <w:sz w:val="30"/>
          <w:szCs w:val="30"/>
        </w:rPr>
        <w:t>（4）</w:t>
      </w:r>
      <w:r>
        <w:rPr>
          <w:rFonts w:hint="eastAsia" w:ascii="仿宋_GB2312" w:eastAsia="仿宋_GB2312"/>
          <w:sz w:val="30"/>
          <w:szCs w:val="30"/>
        </w:rPr>
        <w:t>计价费率沿用承包人投标文件中相关工程的最低费率，若承包人投标文件中无相关工程的费率可参考，则按与《广东省建设工程计价依据（2018）》配套的取费文件进行编制，取费规定中有上下限的，按中值计算。</w:t>
      </w:r>
    </w:p>
    <w:p w14:paraId="66832CE0">
      <w:pPr>
        <w:numPr>
          <w:ilvl w:val="255"/>
          <w:numId w:val="0"/>
        </w:numPr>
        <w:wordWrap/>
        <w:topLinePunct w:val="0"/>
        <w:spacing w:after="120"/>
        <w:ind w:right="11" w:firstLine="576" w:firstLineChars="192"/>
        <w:rPr>
          <w:rFonts w:ascii="仿宋" w:hAnsi="仿宋" w:eastAsia="仿宋" w:cs="仿宋"/>
          <w:snapToGrid w:val="0"/>
          <w:sz w:val="30"/>
          <w:szCs w:val="30"/>
        </w:rPr>
      </w:pPr>
      <w:r>
        <w:rPr>
          <w:rFonts w:hint="eastAsia" w:ascii="仿宋" w:hAnsi="仿宋" w:eastAsia="仿宋" w:cs="仿宋"/>
          <w:snapToGrid w:val="0"/>
          <w:sz w:val="30"/>
          <w:szCs w:val="30"/>
        </w:rPr>
        <w:t>（5）变更项目确定后28天内，承包人未提交增加费用的估算及竣工日期延长，视为该项变更不涉及合同价格增加和竣工日期延长，发包人不再承担此项变更增加的任何费用及竣工日期延长的责任。</w:t>
      </w:r>
    </w:p>
    <w:p w14:paraId="39F63858">
      <w:pPr>
        <w:pStyle w:val="26"/>
        <w:spacing w:after="120"/>
        <w:ind w:firstLine="602"/>
        <w:rPr>
          <w:rFonts w:eastAsia="仿宋"/>
          <w:b/>
          <w:color w:val="FF0000"/>
        </w:rPr>
      </w:pPr>
      <w:r>
        <w:rPr>
          <w:rFonts w:hint="eastAsia" w:ascii="仿宋" w:hAnsi="仿宋" w:eastAsia="仿宋" w:cs="仿宋"/>
          <w:b/>
          <w:snapToGrid w:val="0"/>
          <w:color w:val="FF0000"/>
          <w:sz w:val="30"/>
          <w:szCs w:val="30"/>
        </w:rPr>
        <w:t>（</w:t>
      </w:r>
      <w:r>
        <w:rPr>
          <w:rFonts w:ascii="仿宋" w:hAnsi="仿宋" w:eastAsia="仿宋" w:cs="仿宋"/>
          <w:b/>
          <w:snapToGrid w:val="0"/>
          <w:color w:val="FF0000"/>
          <w:sz w:val="30"/>
          <w:szCs w:val="30"/>
        </w:rPr>
        <w:t>6）承包人在发包人挂网招标项目清单范围之外需要新增清单的，承包人必须提出新增清单的充足理由，经初步设计单位批准（如需）和监理单位、造价单位审核论证后报发包人审批，发包人批准同意后才能使用新增清单。</w:t>
      </w:r>
    </w:p>
    <w:p w14:paraId="23BB479C">
      <w:pPr>
        <w:numPr>
          <w:ilvl w:val="255"/>
          <w:numId w:val="0"/>
        </w:numPr>
        <w:wordWrap/>
        <w:topLinePunct w:val="0"/>
        <w:spacing w:after="120"/>
        <w:ind w:right="11" w:firstLine="576" w:firstLineChars="192"/>
        <w:rPr>
          <w:rFonts w:ascii="仿宋" w:hAnsi="仿宋" w:eastAsia="仿宋" w:cs="仿宋"/>
          <w:snapToGrid w:val="0"/>
          <w:sz w:val="30"/>
          <w:szCs w:val="30"/>
        </w:rPr>
      </w:pPr>
      <w:r>
        <w:rPr>
          <w:rFonts w:hint="eastAsia" w:ascii="仿宋" w:hAnsi="仿宋" w:eastAsia="仿宋" w:cs="仿宋"/>
          <w:snapToGrid w:val="0"/>
          <w:sz w:val="30"/>
          <w:szCs w:val="30"/>
        </w:rPr>
        <w:t>（7）承包人提交增加费用的估算及竣工日期延长报告后28天内，监理人、发包人未提出审核意见的，视为承包人提交的变更估算、和（或）竣工日期延长，已被发包人批准。</w:t>
      </w:r>
    </w:p>
    <w:p w14:paraId="5B6F21F3">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13.4 暂估价</w:t>
      </w:r>
    </w:p>
    <w:p w14:paraId="363BD468">
      <w:pPr>
        <w:wordWrap/>
        <w:topLinePunct w:val="0"/>
        <w:spacing w:after="120"/>
        <w:ind w:firstLine="600"/>
        <w:rPr>
          <w:rFonts w:ascii="仿宋_GB2312" w:eastAsia="仿宋_GB2312"/>
          <w:sz w:val="30"/>
          <w:szCs w:val="30"/>
        </w:rPr>
      </w:pPr>
      <w:r>
        <w:rPr>
          <w:rFonts w:ascii="仿宋_GB2312" w:eastAsia="仿宋_GB2312"/>
          <w:sz w:val="30"/>
          <w:szCs w:val="30"/>
        </w:rPr>
        <w:t xml:space="preserve">13.4.1 </w:t>
      </w:r>
      <w:r>
        <w:rPr>
          <w:rFonts w:hint="eastAsia" w:ascii="仿宋_GB2312" w:eastAsia="仿宋_GB2312"/>
          <w:sz w:val="30"/>
          <w:szCs w:val="30"/>
        </w:rPr>
        <w:t>依法必须招标的暂估价项目</w:t>
      </w:r>
    </w:p>
    <w:p w14:paraId="78721111">
      <w:pPr>
        <w:wordWrap/>
        <w:topLinePunct w:val="0"/>
        <w:spacing w:after="120"/>
        <w:ind w:firstLine="600"/>
        <w:rPr>
          <w:rFonts w:ascii="仿宋_GB2312" w:eastAsia="仿宋_GB2312"/>
          <w:sz w:val="30"/>
          <w:szCs w:val="30"/>
        </w:rPr>
      </w:pPr>
      <w:r>
        <w:rPr>
          <w:rFonts w:hint="eastAsia" w:ascii="仿宋_GB2312" w:eastAsia="仿宋_GB2312"/>
          <w:sz w:val="30"/>
          <w:szCs w:val="30"/>
        </w:rPr>
        <w:t>承包人可以参与投标的暂估价项目范围：/。</w:t>
      </w:r>
    </w:p>
    <w:p w14:paraId="0D90822A">
      <w:pPr>
        <w:wordWrap/>
        <w:topLinePunct w:val="0"/>
        <w:spacing w:after="120"/>
        <w:ind w:firstLine="300" w:firstLineChars="100"/>
        <w:rPr>
          <w:rFonts w:ascii="仿宋_GB2312" w:eastAsia="仿宋_GB2312"/>
          <w:sz w:val="30"/>
          <w:szCs w:val="30"/>
        </w:rPr>
      </w:pPr>
      <w:r>
        <w:rPr>
          <w:rFonts w:hint="eastAsia" w:ascii="仿宋_GB2312" w:eastAsia="仿宋_GB2312"/>
          <w:sz w:val="30"/>
          <w:szCs w:val="30"/>
        </w:rPr>
        <w:t>承包人不得参与投标的暂估价项目范围：</w:t>
      </w:r>
      <w:r>
        <w:rPr>
          <w:rFonts w:hint="eastAsia" w:ascii="仿宋_GB2312" w:hAnsi="宋体" w:eastAsia="仿宋_GB2312"/>
          <w:color w:val="auto"/>
          <w:sz w:val="30"/>
          <w:szCs w:val="30"/>
          <w:shd w:val="clear" w:color="auto" w:fill="auto"/>
        </w:rPr>
        <w:t>箱式物流系统、低温库”、“标本库”、“暗室”等特殊房间、标识系统和纯水系统</w:t>
      </w:r>
      <w:r>
        <w:rPr>
          <w:rFonts w:hint="eastAsia" w:ascii="仿宋_GB2312" w:eastAsia="仿宋_GB2312"/>
          <w:sz w:val="30"/>
          <w:szCs w:val="30"/>
        </w:rPr>
        <w:t>。</w:t>
      </w:r>
    </w:p>
    <w:p w14:paraId="72C13AFF">
      <w:pPr>
        <w:wordWrap/>
        <w:topLinePunct w:val="0"/>
        <w:spacing w:after="120"/>
        <w:ind w:left="300" w:leftChars="125" w:firstLine="300" w:firstLineChars="100"/>
        <w:rPr>
          <w:rFonts w:ascii="仿宋_GB2312" w:eastAsia="仿宋_GB2312"/>
          <w:sz w:val="30"/>
          <w:szCs w:val="30"/>
          <w:u w:val="single"/>
        </w:rPr>
      </w:pPr>
      <w:r>
        <w:rPr>
          <w:rFonts w:hint="eastAsia" w:ascii="仿宋_GB2312" w:eastAsia="仿宋_GB2312"/>
          <w:sz w:val="30"/>
          <w:szCs w:val="30"/>
        </w:rPr>
        <w:t>招投标程序及其他约定：</w:t>
      </w:r>
      <w:r>
        <w:rPr>
          <w:rFonts w:hint="eastAsia" w:ascii="仿宋_GB2312" w:eastAsia="仿宋_GB2312"/>
          <w:sz w:val="30"/>
          <w:szCs w:val="30"/>
          <w:u w:val="single"/>
        </w:rPr>
        <w:t>由发包人或发包人和承包人共同作为招标人以公开招标的方式选择供应商或分包人 。</w:t>
      </w:r>
    </w:p>
    <w:p w14:paraId="40B010F0">
      <w:pPr>
        <w:wordWrap/>
        <w:topLinePunct w:val="0"/>
        <w:spacing w:after="120"/>
        <w:ind w:firstLine="602"/>
        <w:rPr>
          <w:rFonts w:ascii="仿宋_GB2312" w:eastAsia="仿宋_GB2312"/>
          <w:b/>
          <w:color w:val="FF0000"/>
          <w:sz w:val="30"/>
          <w:szCs w:val="30"/>
          <w:u w:val="single"/>
        </w:rPr>
      </w:pPr>
      <w:r>
        <w:rPr>
          <w:rFonts w:hint="eastAsia" w:ascii="仿宋_GB2312" w:eastAsia="仿宋_GB2312"/>
          <w:b/>
          <w:color w:val="FF0000"/>
          <w:sz w:val="30"/>
          <w:szCs w:val="30"/>
          <w:u w:val="single"/>
        </w:rPr>
        <w:t>发包人单独作为招标人的，招标</w:t>
      </w:r>
      <w:r>
        <w:rPr>
          <w:rFonts w:ascii="仿宋_GB2312" w:eastAsia="仿宋_GB2312"/>
          <w:b/>
          <w:color w:val="FF0000"/>
          <w:sz w:val="30"/>
          <w:szCs w:val="30"/>
        </w:rPr>
        <w:t>代理机构由</w:t>
      </w:r>
      <w:r>
        <w:rPr>
          <w:rFonts w:hint="eastAsia" w:ascii="仿宋_GB2312" w:eastAsia="仿宋_GB2312"/>
          <w:b/>
          <w:color w:val="FF0000"/>
          <w:sz w:val="30"/>
          <w:szCs w:val="30"/>
        </w:rPr>
        <w:t>发包</w:t>
      </w:r>
      <w:r>
        <w:rPr>
          <w:rFonts w:ascii="仿宋_GB2312" w:eastAsia="仿宋_GB2312"/>
          <w:b/>
          <w:color w:val="FF0000"/>
          <w:sz w:val="30"/>
          <w:szCs w:val="30"/>
        </w:rPr>
        <w:t>人委托</w:t>
      </w:r>
      <w:r>
        <w:rPr>
          <w:rFonts w:hint="eastAsia" w:ascii="仿宋_GB2312" w:eastAsia="仿宋_GB2312"/>
          <w:b/>
          <w:color w:val="FF0000"/>
          <w:sz w:val="30"/>
          <w:szCs w:val="30"/>
        </w:rPr>
        <w:t>，并由发包人</w:t>
      </w:r>
      <w:r>
        <w:rPr>
          <w:rFonts w:ascii="仿宋_GB2312" w:eastAsia="仿宋_GB2312"/>
          <w:b/>
          <w:color w:val="FF0000"/>
          <w:sz w:val="30"/>
          <w:szCs w:val="30"/>
        </w:rPr>
        <w:t>承担</w:t>
      </w:r>
      <w:r>
        <w:rPr>
          <w:rFonts w:hint="eastAsia" w:ascii="仿宋_GB2312" w:eastAsia="仿宋_GB2312"/>
          <w:b/>
          <w:color w:val="FF0000"/>
          <w:sz w:val="30"/>
          <w:szCs w:val="30"/>
        </w:rPr>
        <w:t>该招标代理费用。</w:t>
      </w:r>
    </w:p>
    <w:p w14:paraId="719CE59A">
      <w:pPr>
        <w:wordWrap/>
        <w:topLinePunct w:val="0"/>
        <w:spacing w:after="120"/>
        <w:ind w:firstLine="602"/>
        <w:rPr>
          <w:rFonts w:ascii="仿宋_GB2312" w:eastAsia="仿宋_GB2312"/>
          <w:b/>
          <w:color w:val="FF0000"/>
          <w:sz w:val="30"/>
          <w:szCs w:val="30"/>
        </w:rPr>
      </w:pPr>
      <w:r>
        <w:rPr>
          <w:rFonts w:hint="eastAsia" w:ascii="仿宋_GB2312" w:eastAsia="仿宋_GB2312"/>
          <w:b/>
          <w:color w:val="FF0000"/>
          <w:sz w:val="30"/>
          <w:szCs w:val="30"/>
          <w:u w:val="single"/>
        </w:rPr>
        <w:t>发包人和承包人共同作为招标人的，招标</w:t>
      </w:r>
      <w:r>
        <w:rPr>
          <w:rFonts w:ascii="仿宋_GB2312" w:eastAsia="仿宋_GB2312"/>
          <w:b/>
          <w:color w:val="FF0000"/>
          <w:sz w:val="30"/>
          <w:szCs w:val="30"/>
        </w:rPr>
        <w:t>代理机构由承包人委托</w:t>
      </w:r>
      <w:r>
        <w:rPr>
          <w:rFonts w:hint="eastAsia" w:ascii="仿宋_GB2312" w:eastAsia="仿宋_GB2312"/>
          <w:b/>
          <w:color w:val="FF0000"/>
          <w:sz w:val="30"/>
          <w:szCs w:val="30"/>
        </w:rPr>
        <w:t>，并由承包人负责</w:t>
      </w:r>
      <w:r>
        <w:rPr>
          <w:rFonts w:ascii="仿宋_GB2312" w:eastAsia="仿宋_GB2312"/>
          <w:b/>
          <w:color w:val="FF0000"/>
          <w:sz w:val="30"/>
          <w:szCs w:val="30"/>
        </w:rPr>
        <w:t>承担</w:t>
      </w:r>
      <w:r>
        <w:rPr>
          <w:rFonts w:hint="eastAsia" w:ascii="仿宋_GB2312" w:eastAsia="仿宋_GB2312"/>
          <w:b/>
          <w:color w:val="FF0000"/>
          <w:sz w:val="30"/>
          <w:szCs w:val="30"/>
        </w:rPr>
        <w:t>该招标代理费用</w:t>
      </w:r>
      <w:r>
        <w:rPr>
          <w:rFonts w:ascii="仿宋_GB2312" w:eastAsia="仿宋_GB2312"/>
          <w:b/>
          <w:color w:val="FF0000"/>
          <w:sz w:val="30"/>
          <w:szCs w:val="30"/>
        </w:rPr>
        <w:t>。</w:t>
      </w:r>
      <w:r>
        <w:rPr>
          <w:rFonts w:hint="eastAsia" w:ascii="仿宋_GB2312" w:eastAsia="仿宋_GB2312"/>
          <w:b/>
          <w:color w:val="FF0000"/>
          <w:sz w:val="30"/>
          <w:szCs w:val="30"/>
        </w:rPr>
        <w:t>招标</w:t>
      </w:r>
      <w:r>
        <w:rPr>
          <w:rFonts w:ascii="仿宋_GB2312" w:eastAsia="仿宋_GB2312"/>
          <w:b/>
          <w:color w:val="FF0000"/>
          <w:sz w:val="30"/>
          <w:szCs w:val="30"/>
        </w:rPr>
        <w:t>代理机构编制招标文件</w:t>
      </w:r>
      <w:r>
        <w:rPr>
          <w:rFonts w:hint="eastAsia" w:ascii="仿宋_GB2312" w:eastAsia="仿宋_GB2312"/>
          <w:b/>
          <w:color w:val="FF0000"/>
          <w:sz w:val="30"/>
          <w:szCs w:val="30"/>
        </w:rPr>
        <w:t>必须</w:t>
      </w:r>
      <w:r>
        <w:rPr>
          <w:rFonts w:ascii="仿宋_GB2312" w:eastAsia="仿宋_GB2312"/>
          <w:b/>
          <w:color w:val="FF0000"/>
          <w:sz w:val="30"/>
          <w:szCs w:val="30"/>
        </w:rPr>
        <w:t>经承包人、发包人</w:t>
      </w:r>
      <w:r>
        <w:rPr>
          <w:rFonts w:hint="eastAsia" w:ascii="仿宋_GB2312" w:eastAsia="仿宋_GB2312"/>
          <w:b/>
          <w:color w:val="FF0000"/>
          <w:sz w:val="30"/>
          <w:szCs w:val="30"/>
        </w:rPr>
        <w:t>共同</w:t>
      </w:r>
      <w:r>
        <w:rPr>
          <w:rFonts w:ascii="仿宋_GB2312" w:eastAsia="仿宋_GB2312"/>
          <w:b/>
          <w:color w:val="FF0000"/>
          <w:sz w:val="30"/>
          <w:szCs w:val="30"/>
        </w:rPr>
        <w:t>确认并加盖公章</w:t>
      </w:r>
      <w:r>
        <w:rPr>
          <w:rFonts w:hint="eastAsia" w:ascii="仿宋_GB2312" w:eastAsia="仿宋_GB2312"/>
          <w:b/>
          <w:color w:val="FF0000"/>
          <w:sz w:val="30"/>
          <w:szCs w:val="30"/>
        </w:rPr>
        <w:t>，招</w:t>
      </w:r>
      <w:r>
        <w:rPr>
          <w:rFonts w:ascii="仿宋_GB2312" w:eastAsia="仿宋_GB2312"/>
          <w:b/>
          <w:color w:val="FF0000"/>
          <w:sz w:val="30"/>
          <w:szCs w:val="30"/>
        </w:rPr>
        <w:t>标</w:t>
      </w:r>
      <w:r>
        <w:rPr>
          <w:rFonts w:hint="eastAsia" w:ascii="仿宋_GB2312" w:eastAsia="仿宋_GB2312"/>
          <w:b/>
          <w:color w:val="FF0000"/>
          <w:sz w:val="30"/>
          <w:szCs w:val="30"/>
        </w:rPr>
        <w:t>组织工作</w:t>
      </w:r>
      <w:r>
        <w:rPr>
          <w:rFonts w:ascii="仿宋_GB2312" w:eastAsia="仿宋_GB2312"/>
          <w:b/>
          <w:color w:val="FF0000"/>
          <w:sz w:val="30"/>
          <w:szCs w:val="30"/>
        </w:rPr>
        <w:t>必须符合国家和地方有关规定</w:t>
      </w:r>
      <w:r>
        <w:rPr>
          <w:rFonts w:hint="eastAsia" w:ascii="仿宋_GB2312" w:eastAsia="仿宋_GB2312"/>
          <w:b/>
          <w:color w:val="FF0000"/>
          <w:sz w:val="30"/>
          <w:szCs w:val="30"/>
        </w:rPr>
        <w:t>。</w:t>
      </w:r>
    </w:p>
    <w:p w14:paraId="507D874B">
      <w:pPr>
        <w:wordWrap/>
        <w:topLinePunct w:val="0"/>
        <w:spacing w:after="120"/>
        <w:ind w:firstLine="602"/>
        <w:rPr>
          <w:rFonts w:ascii="仿宋_GB2312" w:eastAsia="仿宋_GB2312"/>
          <w:b/>
          <w:color w:val="FF0000"/>
          <w:sz w:val="30"/>
          <w:szCs w:val="30"/>
          <w:u w:val="single"/>
        </w:rPr>
      </w:pPr>
      <w:r>
        <w:rPr>
          <w:rFonts w:hint="eastAsia" w:ascii="仿宋_GB2312" w:eastAsia="仿宋_GB2312"/>
          <w:b/>
          <w:color w:val="FF0000"/>
          <w:sz w:val="30"/>
          <w:szCs w:val="30"/>
        </w:rPr>
        <w:t>暂估价项目的招标控制价按照本工程招标控制价编制原则进行编制，最高不得高于本工程中标价中对应的暂估价项目金额</w:t>
      </w:r>
      <w:r>
        <w:rPr>
          <w:rFonts w:ascii="仿宋_GB2312" w:eastAsia="仿宋_GB2312"/>
          <w:b/>
          <w:color w:val="FF0000"/>
          <w:sz w:val="30"/>
          <w:szCs w:val="30"/>
        </w:rPr>
        <w:t>，</w:t>
      </w:r>
      <w:r>
        <w:rPr>
          <w:rFonts w:hint="eastAsia" w:ascii="仿宋_GB2312" w:eastAsia="仿宋_GB2312"/>
          <w:b/>
          <w:color w:val="FF0000"/>
          <w:sz w:val="30"/>
          <w:szCs w:val="30"/>
        </w:rPr>
        <w:t>并报监理人、发包人进行审核，以发包人最终审定的价格为准。暂估价项目的中标金额与价格清单中所列</w:t>
      </w:r>
      <w:r>
        <w:rPr>
          <w:rFonts w:ascii="仿宋_GB2312" w:eastAsia="仿宋_GB2312"/>
          <w:b/>
          <w:color w:val="FF0000"/>
          <w:sz w:val="30"/>
          <w:szCs w:val="30"/>
        </w:rPr>
        <w:t>暂估价</w:t>
      </w:r>
      <w:r>
        <w:rPr>
          <w:rFonts w:hint="eastAsia" w:ascii="仿宋_GB2312" w:eastAsia="仿宋_GB2312"/>
          <w:b/>
          <w:color w:val="FF0000"/>
          <w:sz w:val="30"/>
          <w:szCs w:val="30"/>
        </w:rPr>
        <w:t>（含</w:t>
      </w:r>
      <w:r>
        <w:rPr>
          <w:rFonts w:ascii="仿宋_GB2312" w:eastAsia="仿宋_GB2312"/>
          <w:b/>
          <w:color w:val="FF0000"/>
          <w:sz w:val="30"/>
          <w:szCs w:val="30"/>
        </w:rPr>
        <w:t>相应的税金等其他费用</w:t>
      </w:r>
      <w:r>
        <w:rPr>
          <w:rFonts w:hint="eastAsia" w:ascii="仿宋_GB2312" w:eastAsia="仿宋_GB2312"/>
          <w:b/>
          <w:color w:val="FF0000"/>
          <w:sz w:val="30"/>
          <w:szCs w:val="30"/>
        </w:rPr>
        <w:t>）</w:t>
      </w:r>
      <w:r>
        <w:rPr>
          <w:rFonts w:ascii="仿宋_GB2312" w:eastAsia="仿宋_GB2312"/>
          <w:b/>
          <w:color w:val="FF0000"/>
          <w:sz w:val="30"/>
          <w:szCs w:val="30"/>
        </w:rPr>
        <w:t>的金额差列入暂列金。发包人作为合同的一方，保留可直接支付中标的第三人的工程款项的权利。</w:t>
      </w:r>
    </w:p>
    <w:p w14:paraId="2A1048EC">
      <w:pPr>
        <w:wordWrap/>
        <w:topLinePunct w:val="0"/>
        <w:spacing w:after="120"/>
        <w:ind w:firstLine="600"/>
        <w:rPr>
          <w:rFonts w:ascii="仿宋_GB2312" w:eastAsia="仿宋_GB2312"/>
          <w:sz w:val="30"/>
          <w:szCs w:val="30"/>
        </w:rPr>
      </w:pPr>
      <w:r>
        <w:rPr>
          <w:rFonts w:ascii="仿宋_GB2312" w:eastAsia="仿宋_GB2312"/>
          <w:sz w:val="30"/>
          <w:szCs w:val="30"/>
        </w:rPr>
        <w:t xml:space="preserve">13.4.2 </w:t>
      </w:r>
      <w:r>
        <w:rPr>
          <w:rFonts w:hint="eastAsia" w:ascii="仿宋_GB2312" w:eastAsia="仿宋_GB2312"/>
          <w:sz w:val="30"/>
          <w:szCs w:val="30"/>
        </w:rPr>
        <w:t>不属于依法必须招标的暂估价项目</w:t>
      </w:r>
    </w:p>
    <w:p w14:paraId="4B993862">
      <w:pPr>
        <w:wordWrap/>
        <w:topLinePunct w:val="0"/>
        <w:spacing w:after="120"/>
        <w:ind w:firstLine="600"/>
        <w:rPr>
          <w:rFonts w:ascii="仿宋_GB2312" w:eastAsia="仿宋_GB2312"/>
          <w:sz w:val="30"/>
          <w:szCs w:val="30"/>
        </w:rPr>
      </w:pPr>
      <w:r>
        <w:rPr>
          <w:rFonts w:hint="eastAsia" w:ascii="仿宋_GB2312" w:eastAsia="仿宋_GB2312"/>
          <w:sz w:val="30"/>
          <w:szCs w:val="30"/>
        </w:rPr>
        <w:t>不属于依法必须招标的暂估价项目的协商及估价的约定：</w:t>
      </w:r>
      <w:r>
        <w:rPr>
          <w:rFonts w:ascii="仿宋_GB2312" w:eastAsia="仿宋_GB2312"/>
          <w:sz w:val="30"/>
          <w:szCs w:val="30"/>
        </w:rPr>
        <w:t>由发包人和承包人以方式选择供应商或分包人</w:t>
      </w:r>
      <w:r>
        <w:rPr>
          <w:rFonts w:hint="eastAsia" w:ascii="仿宋_GB2312" w:eastAsia="仿宋_GB2312"/>
          <w:sz w:val="30"/>
          <w:szCs w:val="30"/>
        </w:rPr>
        <w:t>。</w:t>
      </w:r>
    </w:p>
    <w:p w14:paraId="6DD42916">
      <w:pPr>
        <w:wordWrap/>
        <w:topLinePunct w:val="0"/>
        <w:spacing w:after="120"/>
      </w:pPr>
      <w:r>
        <w:rPr>
          <w:rFonts w:ascii="仿宋_GB2312" w:eastAsia="仿宋_GB2312"/>
          <w:b/>
          <w:color w:val="FF0000"/>
          <w:sz w:val="30"/>
          <w:szCs w:val="30"/>
        </w:rPr>
        <w:t>发包人在</w:t>
      </w:r>
      <w:r>
        <w:rPr>
          <w:rFonts w:hint="eastAsia" w:ascii="仿宋_GB2312" w:eastAsia="仿宋_GB2312"/>
          <w:b/>
          <w:color w:val="FF0000"/>
          <w:sz w:val="30"/>
          <w:szCs w:val="30"/>
        </w:rPr>
        <w:t>招标文件</w:t>
      </w:r>
      <w:r>
        <w:rPr>
          <w:rFonts w:ascii="仿宋_GB2312" w:eastAsia="仿宋_GB2312"/>
          <w:b/>
          <w:color w:val="FF0000"/>
          <w:sz w:val="30"/>
          <w:szCs w:val="30"/>
        </w:rPr>
        <w:t>中给定暂估价的专业工程不属于依法必须招标的范围或未达到</w:t>
      </w:r>
      <w:r>
        <w:rPr>
          <w:rFonts w:hint="eastAsia" w:ascii="仿宋_GB2312" w:eastAsia="仿宋_GB2312"/>
          <w:b/>
          <w:color w:val="FF0000"/>
          <w:sz w:val="30"/>
          <w:szCs w:val="30"/>
        </w:rPr>
        <w:t>法定</w:t>
      </w:r>
      <w:r>
        <w:rPr>
          <w:rFonts w:ascii="仿宋_GB2312" w:eastAsia="仿宋_GB2312"/>
          <w:b/>
          <w:color w:val="FF0000"/>
          <w:sz w:val="30"/>
          <w:szCs w:val="30"/>
        </w:rPr>
        <w:t>的</w:t>
      </w:r>
      <w:r>
        <w:rPr>
          <w:rFonts w:hint="eastAsia" w:ascii="仿宋_GB2312" w:eastAsia="仿宋_GB2312"/>
          <w:b/>
          <w:color w:val="FF0000"/>
          <w:sz w:val="30"/>
          <w:szCs w:val="30"/>
        </w:rPr>
        <w:t>招标</w:t>
      </w:r>
      <w:r>
        <w:rPr>
          <w:rFonts w:ascii="仿宋_GB2312" w:eastAsia="仿宋_GB2312"/>
          <w:b/>
          <w:color w:val="FF0000"/>
          <w:sz w:val="30"/>
          <w:szCs w:val="30"/>
        </w:rPr>
        <w:t>规模标准的，</w:t>
      </w:r>
      <w:r>
        <w:rPr>
          <w:rFonts w:hint="eastAsia" w:ascii="仿宋_GB2312" w:eastAsia="仿宋_GB2312"/>
          <w:b/>
          <w:color w:val="FF0000"/>
          <w:sz w:val="30"/>
          <w:szCs w:val="30"/>
        </w:rPr>
        <w:t>经监理人、发包人确认后，承包人</w:t>
      </w:r>
      <w:r>
        <w:rPr>
          <w:rFonts w:ascii="仿宋_GB2312" w:eastAsia="仿宋_GB2312"/>
          <w:b/>
          <w:color w:val="FF0000"/>
          <w:sz w:val="30"/>
          <w:szCs w:val="30"/>
        </w:rPr>
        <w:t>按照第13.3.3.1“变更价款确定”项进行估价，</w:t>
      </w:r>
      <w:r>
        <w:rPr>
          <w:rFonts w:hint="eastAsia" w:ascii="仿宋_GB2312" w:eastAsia="仿宋_GB2312"/>
          <w:b/>
          <w:color w:val="FF0000"/>
          <w:sz w:val="30"/>
          <w:szCs w:val="30"/>
        </w:rPr>
        <w:t>并以监理人、发包人审核确定的价格为准。</w:t>
      </w:r>
      <w:r>
        <w:rPr>
          <w:rFonts w:ascii="仿宋_GB2312" w:eastAsia="仿宋_GB2312"/>
          <w:b/>
          <w:color w:val="FF0000"/>
          <w:sz w:val="30"/>
          <w:szCs w:val="30"/>
        </w:rPr>
        <w:t>但专用合同条款另有约定的除外。经估价的专业工程与价格清单中所列的暂估价</w:t>
      </w:r>
      <w:r>
        <w:rPr>
          <w:rFonts w:hint="eastAsia" w:ascii="仿宋_GB2312" w:eastAsia="仿宋_GB2312"/>
          <w:b/>
          <w:color w:val="FF0000"/>
          <w:sz w:val="30"/>
          <w:szCs w:val="30"/>
        </w:rPr>
        <w:t>（含</w:t>
      </w:r>
      <w:r>
        <w:rPr>
          <w:rFonts w:ascii="仿宋_GB2312" w:eastAsia="仿宋_GB2312"/>
          <w:b/>
          <w:color w:val="FF0000"/>
          <w:sz w:val="30"/>
          <w:szCs w:val="30"/>
        </w:rPr>
        <w:t>相应的税金等其他费用</w:t>
      </w:r>
      <w:r>
        <w:rPr>
          <w:rFonts w:hint="eastAsia" w:ascii="仿宋_GB2312" w:eastAsia="仿宋_GB2312"/>
          <w:b/>
          <w:color w:val="FF0000"/>
          <w:sz w:val="30"/>
          <w:szCs w:val="30"/>
        </w:rPr>
        <w:t>）</w:t>
      </w:r>
      <w:r>
        <w:rPr>
          <w:rFonts w:ascii="仿宋_GB2312" w:eastAsia="仿宋_GB2312"/>
          <w:b/>
          <w:color w:val="FF0000"/>
          <w:sz w:val="30"/>
          <w:szCs w:val="30"/>
        </w:rPr>
        <w:t>的金额差列入暂列金。</w:t>
      </w:r>
    </w:p>
    <w:p w14:paraId="2FAC3AF3">
      <w:pPr>
        <w:wordWrap/>
        <w:topLinePunct w:val="0"/>
        <w:spacing w:after="120"/>
        <w:ind w:firstLine="600"/>
        <w:rPr>
          <w:rFonts w:ascii="仿宋_GB2312" w:eastAsia="仿宋_GB2312"/>
          <w:sz w:val="30"/>
          <w:szCs w:val="30"/>
        </w:rPr>
      </w:pPr>
      <w:r>
        <w:rPr>
          <w:rFonts w:ascii="仿宋_GB2312" w:eastAsia="仿宋_GB2312"/>
          <w:sz w:val="30"/>
          <w:szCs w:val="30"/>
        </w:rPr>
        <w:t>增加：13.4.3暂估价项目</w:t>
      </w:r>
    </w:p>
    <w:p w14:paraId="5280C813">
      <w:pPr>
        <w:wordWrap/>
        <w:topLinePunct w:val="0"/>
        <w:spacing w:after="120"/>
        <w:ind w:firstLine="600"/>
        <w:rPr>
          <w:rFonts w:ascii="仿宋_GB2312" w:eastAsia="仿宋_GB2312"/>
          <w:sz w:val="30"/>
          <w:szCs w:val="30"/>
        </w:rPr>
      </w:pPr>
      <w:r>
        <w:rPr>
          <w:rFonts w:ascii="仿宋_GB2312" w:eastAsia="仿宋_GB2312"/>
          <w:sz w:val="30"/>
          <w:szCs w:val="30"/>
        </w:rPr>
        <w:t>暂估价项目包括</w:t>
      </w:r>
      <w:r>
        <w:rPr>
          <w:rFonts w:hint="eastAsia" w:ascii="仿宋_GB2312" w:eastAsia="仿宋_GB2312"/>
          <w:sz w:val="30"/>
          <w:szCs w:val="30"/>
        </w:rPr>
        <w:t>□</w:t>
      </w:r>
      <w:r>
        <w:rPr>
          <w:rFonts w:ascii="仿宋_GB2312" w:eastAsia="仿宋_GB2312"/>
          <w:sz w:val="30"/>
          <w:szCs w:val="30"/>
        </w:rPr>
        <w:t>钢结构、□幕墙、□通风与空调、□消防工程、</w:t>
      </w:r>
      <w:r>
        <w:rPr>
          <w:rFonts w:ascii="仿宋_GB2312" w:eastAsia="仿宋_GB2312"/>
          <w:sz w:val="30"/>
          <w:szCs w:val="30"/>
        </w:rPr>
        <w:sym w:font="Wingdings 2" w:char="00A3"/>
      </w:r>
      <w:r>
        <w:rPr>
          <w:rFonts w:ascii="仿宋_GB2312" w:eastAsia="仿宋_GB2312"/>
          <w:sz w:val="30"/>
          <w:szCs w:val="30"/>
        </w:rPr>
        <w:t>室外工程</w:t>
      </w:r>
      <w:r>
        <w:rPr>
          <w:rFonts w:hint="eastAsia" w:ascii="仿宋_GB2312" w:eastAsia="仿宋_GB2312"/>
          <w:sz w:val="30"/>
          <w:szCs w:val="30"/>
        </w:rPr>
        <w:t>、</w:t>
      </w:r>
      <w:r>
        <w:rPr>
          <w:rFonts w:ascii="仿宋_GB2312" w:eastAsia="仿宋_GB2312"/>
          <w:sz w:val="30"/>
          <w:szCs w:val="30"/>
        </w:rPr>
        <w:sym w:font="Wingdings 2" w:char="00A3"/>
      </w:r>
      <w:r>
        <w:rPr>
          <w:rFonts w:hint="eastAsia" w:ascii="仿宋_GB2312" w:eastAsia="仿宋_GB2312"/>
          <w:sz w:val="30"/>
          <w:szCs w:val="30"/>
        </w:rPr>
        <w:t>电梯、</w:t>
      </w:r>
      <w:r>
        <w:rPr>
          <w:rFonts w:ascii="仿宋_GB2312" w:eastAsia="仿宋_GB2312"/>
          <w:sz w:val="30"/>
          <w:szCs w:val="30"/>
        </w:rPr>
        <w:sym w:font="Wingdings 2" w:char="00A3"/>
      </w:r>
      <w:r>
        <w:rPr>
          <w:rFonts w:hint="eastAsia" w:ascii="仿宋_GB2312" w:eastAsia="仿宋_GB2312"/>
          <w:sz w:val="30"/>
          <w:szCs w:val="30"/>
        </w:rPr>
        <w:t>电子与智能化工程、</w:t>
      </w:r>
      <w:r>
        <w:rPr>
          <w:rFonts w:ascii="仿宋_GB2312" w:eastAsia="仿宋_GB2312"/>
          <w:sz w:val="30"/>
          <w:szCs w:val="30"/>
        </w:rPr>
        <w:sym w:font="Wingdings 2" w:char="00A3"/>
      </w:r>
      <w:r>
        <w:rPr>
          <w:rFonts w:hint="eastAsia" w:ascii="仿宋_GB2312" w:eastAsia="仿宋_GB2312"/>
          <w:sz w:val="30"/>
          <w:szCs w:val="30"/>
        </w:rPr>
        <w:t xml:space="preserve">其他：        </w:t>
      </w:r>
      <w:r>
        <w:rPr>
          <w:rFonts w:ascii="仿宋_GB2312" w:eastAsia="仿宋_GB2312"/>
          <w:sz w:val="30"/>
          <w:szCs w:val="30"/>
        </w:rPr>
        <w:t>等，详见</w:t>
      </w:r>
      <w:r>
        <w:rPr>
          <w:rFonts w:ascii="仿宋_GB2312" w:eastAsia="仿宋_GB2312"/>
          <w:sz w:val="30"/>
          <w:szCs w:val="30"/>
        </w:rPr>
        <w:sym w:font="Wingdings 2" w:char="00A3"/>
      </w:r>
      <w:r>
        <w:rPr>
          <w:rFonts w:hint="eastAsia" w:ascii="仿宋_GB2312" w:eastAsia="仿宋_GB2312"/>
          <w:sz w:val="30"/>
          <w:szCs w:val="30"/>
        </w:rPr>
        <w:t>投资估算表、</w:t>
      </w:r>
      <w:r>
        <w:rPr>
          <w:rFonts w:ascii="仿宋_GB2312" w:eastAsia="仿宋_GB2312"/>
          <w:sz w:val="30"/>
          <w:szCs w:val="30"/>
        </w:rPr>
        <w:sym w:font="Wingdings 2" w:char="00A3"/>
      </w:r>
      <w:r>
        <w:rPr>
          <w:rFonts w:hint="eastAsia" w:ascii="仿宋_GB2312" w:eastAsia="仿宋_GB2312"/>
          <w:sz w:val="30"/>
          <w:szCs w:val="30"/>
        </w:rPr>
        <w:t>招标项目清单、</w:t>
      </w:r>
      <w:r>
        <w:rPr>
          <w:rFonts w:ascii="仿宋_GB2312" w:eastAsia="仿宋_GB2312"/>
          <w:sz w:val="30"/>
          <w:szCs w:val="30"/>
        </w:rPr>
        <w:sym w:font="Wingdings 2" w:char="00A3"/>
      </w:r>
      <w:r>
        <w:rPr>
          <w:rFonts w:hint="eastAsia" w:ascii="仿宋" w:hAnsi="仿宋" w:eastAsia="仿宋" w:cs="仿宋"/>
          <w:sz w:val="32"/>
          <w:szCs w:val="32"/>
        </w:rPr>
        <w:t>施工图预算</w:t>
      </w:r>
      <w:r>
        <w:rPr>
          <w:rFonts w:ascii="仿宋_GB2312" w:eastAsia="仿宋_GB2312"/>
          <w:sz w:val="30"/>
          <w:szCs w:val="30"/>
        </w:rPr>
        <w:t>。</w:t>
      </w:r>
    </w:p>
    <w:p w14:paraId="3840891C">
      <w:pPr>
        <w:wordWrap/>
        <w:topLinePunct w:val="0"/>
        <w:spacing w:after="120"/>
        <w:ind w:firstLine="600"/>
        <w:outlineLvl w:val="2"/>
        <w:rPr>
          <w:rFonts w:ascii="仿宋_GB2312" w:eastAsia="仿宋_GB2312"/>
          <w:sz w:val="30"/>
          <w:szCs w:val="30"/>
        </w:rPr>
      </w:pPr>
      <w:r>
        <w:rPr>
          <w:rFonts w:hint="eastAsia" w:ascii="仿宋_GB2312" w:eastAsia="仿宋_GB2312"/>
          <w:sz w:val="30"/>
          <w:szCs w:val="30"/>
        </w:rPr>
        <w:t>13.5 暂列金额</w:t>
      </w:r>
    </w:p>
    <w:p w14:paraId="0A8B8068">
      <w:pPr>
        <w:wordWrap/>
        <w:topLinePunct w:val="0"/>
        <w:spacing w:after="120"/>
        <w:ind w:firstLine="600"/>
        <w:rPr>
          <w:rFonts w:ascii="仿宋_GB2312" w:eastAsia="仿宋_GB2312"/>
          <w:sz w:val="30"/>
          <w:szCs w:val="30"/>
        </w:rPr>
      </w:pPr>
      <w:r>
        <w:rPr>
          <w:rFonts w:hint="eastAsia" w:ascii="仿宋_GB2312" w:eastAsia="仿宋_GB2312"/>
          <w:sz w:val="30"/>
          <w:szCs w:val="30"/>
        </w:rPr>
        <w:t>其他关于暂列金额使用的约定：</w:t>
      </w:r>
      <w:r>
        <w:rPr>
          <w:rFonts w:hint="eastAsia" w:ascii="仿宋_GB2312" w:eastAsia="仿宋_GB2312"/>
          <w:sz w:val="30"/>
          <w:szCs w:val="30"/>
          <w:u w:val="single"/>
        </w:rPr>
        <w:t>发包人与承包人双方应按照有关规定办理相关审批手续后（必要时，双方应签订补充合同），方可进行暂列金额的支付及结算，价格按照第13.3.3.1“变更价款确定”项进行估价</w:t>
      </w:r>
      <w:r>
        <w:rPr>
          <w:rFonts w:hint="eastAsia" w:ascii="仿宋_GB2312" w:eastAsia="仿宋_GB2312"/>
          <w:sz w:val="30"/>
          <w:szCs w:val="30"/>
        </w:rPr>
        <w:t>。</w:t>
      </w:r>
    </w:p>
    <w:p w14:paraId="28FB90C6">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13.8 市场价格波动引起的调整</w:t>
      </w:r>
    </w:p>
    <w:p w14:paraId="52CE6B1C">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3.8.2 </w:t>
      </w:r>
      <w:r>
        <w:rPr>
          <w:rFonts w:hint="eastAsia" w:ascii="仿宋_GB2312" w:eastAsia="仿宋_GB2312"/>
          <w:sz w:val="30"/>
          <w:szCs w:val="30"/>
        </w:rPr>
        <w:t>关于是否采用《价格指数权重表》的约定：</w:t>
      </w:r>
      <w:r>
        <w:rPr>
          <w:rFonts w:hint="eastAsia" w:ascii="仿宋_GB2312" w:eastAsia="仿宋_GB2312"/>
          <w:sz w:val="30"/>
          <w:szCs w:val="30"/>
          <w:u w:val="single"/>
        </w:rPr>
        <w:t>否</w:t>
      </w:r>
      <w:r>
        <w:rPr>
          <w:rFonts w:hint="eastAsia" w:ascii="仿宋_GB2312" w:eastAsia="仿宋_GB2312"/>
          <w:sz w:val="30"/>
          <w:szCs w:val="30"/>
        </w:rPr>
        <w:t>。</w:t>
      </w:r>
    </w:p>
    <w:p w14:paraId="494DFFCA">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3.8.3 </w:t>
      </w:r>
      <w:r>
        <w:rPr>
          <w:rFonts w:hint="eastAsia" w:ascii="仿宋_GB2312" w:eastAsia="仿宋_GB2312"/>
          <w:sz w:val="30"/>
          <w:szCs w:val="30"/>
        </w:rPr>
        <w:t>关于采用其他方式调整合同价款的约定：</w:t>
      </w:r>
    </w:p>
    <w:p w14:paraId="799F3A26">
      <w:pPr>
        <w:pStyle w:val="26"/>
        <w:spacing w:after="120"/>
        <w:ind w:firstLine="600"/>
        <w:rPr>
          <w:rFonts w:ascii="仿宋_GB2312" w:eastAsia="仿宋_GB2312"/>
          <w:sz w:val="30"/>
          <w:szCs w:val="30"/>
        </w:rPr>
      </w:pPr>
      <w:r>
        <w:rPr>
          <w:rFonts w:ascii="仿宋_GB2312" w:eastAsia="仿宋_GB2312"/>
          <w:sz w:val="30"/>
          <w:szCs w:val="30"/>
        </w:rPr>
        <w:t>13.8.</w:t>
      </w:r>
      <w:r>
        <w:rPr>
          <w:rFonts w:hint="eastAsia" w:ascii="仿宋_GB2312" w:eastAsia="仿宋_GB2312"/>
          <w:sz w:val="30"/>
          <w:szCs w:val="30"/>
        </w:rPr>
        <w:t>3.1</w:t>
      </w:r>
      <w:r>
        <w:rPr>
          <w:rFonts w:ascii="仿宋_GB2312" w:eastAsia="仿宋_GB2312"/>
          <w:sz w:val="30"/>
          <w:szCs w:val="30"/>
        </w:rPr>
        <w:t>材料价差的调整和结算方式</w:t>
      </w:r>
    </w:p>
    <w:p w14:paraId="4ECC003B">
      <w:pPr>
        <w:pStyle w:val="26"/>
        <w:spacing w:after="120"/>
        <w:ind w:firstLine="600"/>
        <w:rPr>
          <w:rFonts w:ascii="仿宋_GB2312" w:eastAsia="仿宋_GB2312"/>
          <w:sz w:val="30"/>
          <w:szCs w:val="30"/>
        </w:rPr>
      </w:pPr>
      <w:r>
        <w:rPr>
          <w:rFonts w:hint="eastAsia" w:ascii="仿宋_GB2312" w:eastAsia="仿宋_GB2312"/>
          <w:sz w:val="30"/>
          <w:szCs w:val="30"/>
        </w:rPr>
        <w:t>材料价格变化的价款调整按照以下风险范围规定执行</w:t>
      </w:r>
      <w:r>
        <w:rPr>
          <w:rFonts w:ascii="仿宋_GB2312" w:eastAsia="仿宋_GB2312"/>
          <w:sz w:val="30"/>
          <w:szCs w:val="30"/>
        </w:rPr>
        <w:t>:</w:t>
      </w:r>
    </w:p>
    <w:p w14:paraId="2E790491">
      <w:pPr>
        <w:pStyle w:val="26"/>
        <w:spacing w:after="120"/>
        <w:ind w:firstLine="600"/>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主要材料【指钢筋、商品砼、商品砂浆】</w:t>
      </w:r>
      <w:r>
        <w:rPr>
          <w:rFonts w:ascii="仿宋_GB2312" w:eastAsia="仿宋_GB2312"/>
          <w:sz w:val="30"/>
          <w:szCs w:val="30"/>
        </w:rPr>
        <w:t>价格上涨或下跌幅度在约定的风险承担范围内，应由承包人承担或受益，结算时价格不作调整；当价格上涨或下跌幅度超过约定的风险承担范围以外，其风险幅度以外增加或减少的费用应由发包人承担或受益，结算时价差按合同约定进行调整。</w:t>
      </w:r>
    </w:p>
    <w:p w14:paraId="67C57429">
      <w:pPr>
        <w:pStyle w:val="26"/>
        <w:spacing w:after="120"/>
        <w:ind w:firstLine="600"/>
        <w:rPr>
          <w:rFonts w:ascii="仿宋_GB2312" w:eastAsia="仿宋_GB2312"/>
          <w:sz w:val="30"/>
          <w:szCs w:val="30"/>
        </w:rPr>
      </w:pPr>
      <w:r>
        <w:rPr>
          <w:rFonts w:ascii="仿宋_GB2312" w:eastAsia="仿宋_GB2312"/>
          <w:sz w:val="30"/>
          <w:szCs w:val="30"/>
        </w:rPr>
        <w:t>（2）主要材料</w:t>
      </w:r>
      <w:r>
        <w:rPr>
          <w:rFonts w:hint="eastAsia" w:ascii="仿宋_GB2312" w:eastAsia="仿宋_GB2312"/>
          <w:sz w:val="30"/>
          <w:szCs w:val="30"/>
        </w:rPr>
        <w:t>【指钢筋、商品砼、商品砂浆】</w:t>
      </w:r>
      <w:r>
        <w:rPr>
          <w:rFonts w:ascii="仿宋_GB2312" w:eastAsia="仿宋_GB2312"/>
          <w:sz w:val="30"/>
          <w:szCs w:val="30"/>
        </w:rPr>
        <w:t>承包人承受的风险幅度范围为【±5%】（含±5%），超出承包商风险幅度范围外，承包人可以申请调整价差。</w:t>
      </w:r>
    </w:p>
    <w:p w14:paraId="6564F095">
      <w:pPr>
        <w:pStyle w:val="26"/>
        <w:spacing w:after="120"/>
        <w:ind w:firstLine="600"/>
        <w:rPr>
          <w:rFonts w:ascii="仿宋_GB2312" w:eastAsia="仿宋_GB2312"/>
          <w:sz w:val="30"/>
          <w:szCs w:val="30"/>
        </w:rPr>
      </w:pPr>
      <w:r>
        <w:rPr>
          <w:rFonts w:ascii="仿宋_GB2312" w:eastAsia="仿宋_GB2312"/>
          <w:sz w:val="30"/>
          <w:szCs w:val="30"/>
        </w:rPr>
        <w:t>（3）因工期延误所产生的主要材料等价格要素变化，应界定发、承包双方责任后按以下原则处理：</w:t>
      </w:r>
    </w:p>
    <w:p w14:paraId="2885A57F">
      <w:pPr>
        <w:pStyle w:val="26"/>
        <w:spacing w:after="120"/>
        <w:ind w:firstLine="600"/>
        <w:rPr>
          <w:rFonts w:ascii="仿宋_GB2312" w:eastAsia="仿宋_GB2312"/>
          <w:sz w:val="30"/>
          <w:szCs w:val="30"/>
        </w:rPr>
      </w:pPr>
      <w:r>
        <w:rPr>
          <w:rFonts w:hint="eastAsia" w:ascii="仿宋_GB2312" w:eastAsia="仿宋_GB2312"/>
          <w:sz w:val="30"/>
          <w:szCs w:val="30"/>
        </w:rPr>
        <w:t>①由于承包方原因延误工期而遇价格涨跌的，延误期间的价格上涨费用由承包方自行承担；反之，因价格下降造成的价差则由发包人受益，发包人结算时扣回价差。</w:t>
      </w:r>
    </w:p>
    <w:p w14:paraId="4C4D6586">
      <w:pPr>
        <w:pStyle w:val="26"/>
        <w:spacing w:after="120"/>
        <w:ind w:firstLine="600"/>
        <w:rPr>
          <w:rFonts w:ascii="仿宋_GB2312" w:eastAsia="仿宋_GB2312"/>
          <w:sz w:val="30"/>
          <w:szCs w:val="30"/>
        </w:rPr>
      </w:pPr>
      <w:r>
        <w:rPr>
          <w:rFonts w:hint="eastAsia" w:ascii="仿宋_GB2312" w:eastAsia="仿宋_GB2312"/>
          <w:sz w:val="30"/>
          <w:szCs w:val="30"/>
        </w:rPr>
        <w:t>②非承包方原因延误工期而遇价格涨跌的，延误期间的价格上涨费用由发包人承担，价差计入工程造价；反之，因价格下降造成的价差，发包人在结算时扣回价差。</w:t>
      </w:r>
    </w:p>
    <w:p w14:paraId="57EB0C91">
      <w:pPr>
        <w:pStyle w:val="26"/>
        <w:spacing w:after="120"/>
        <w:ind w:firstLine="600"/>
        <w:rPr>
          <w:rFonts w:ascii="仿宋_GB2312" w:eastAsia="仿宋_GB2312"/>
          <w:sz w:val="30"/>
          <w:szCs w:val="30"/>
        </w:rPr>
      </w:pPr>
      <w:r>
        <w:rPr>
          <w:rFonts w:ascii="仿宋_GB2312" w:eastAsia="仿宋_GB2312"/>
          <w:sz w:val="30"/>
          <w:szCs w:val="30"/>
        </w:rPr>
        <w:t>（4）主要材料</w:t>
      </w:r>
      <w:r>
        <w:rPr>
          <w:rFonts w:hint="eastAsia" w:ascii="仿宋_GB2312" w:eastAsia="仿宋_GB2312"/>
          <w:sz w:val="30"/>
          <w:szCs w:val="30"/>
        </w:rPr>
        <w:t>【指钢筋、商品砼、商品砂浆】</w:t>
      </w:r>
      <w:r>
        <w:rPr>
          <w:rFonts w:ascii="仿宋_GB2312" w:eastAsia="仿宋_GB2312"/>
          <w:sz w:val="30"/>
          <w:szCs w:val="30"/>
        </w:rPr>
        <w:t>价差</w:t>
      </w:r>
      <w:r>
        <w:rPr>
          <w:rFonts w:hint="eastAsia" w:ascii="仿宋_GB2312" w:eastAsia="仿宋_GB2312"/>
          <w:sz w:val="30"/>
          <w:szCs w:val="30"/>
        </w:rPr>
        <w:t>采用工程量清单计量规则计算的工程量作为补差工程量（不含损耗）进行调价</w:t>
      </w:r>
      <w:r>
        <w:rPr>
          <w:rFonts w:ascii="仿宋_GB2312" w:eastAsia="仿宋_GB2312"/>
          <w:sz w:val="30"/>
          <w:szCs w:val="30"/>
        </w:rPr>
        <w:t>，发、承包双方应依据合同约定的价格调价方式采用相对应的价差计算方法，价差取费只计取税金。</w:t>
      </w:r>
    </w:p>
    <w:p w14:paraId="29936470">
      <w:pPr>
        <w:pStyle w:val="26"/>
        <w:spacing w:after="120"/>
        <w:ind w:firstLine="600"/>
        <w:rPr>
          <w:rFonts w:ascii="仿宋_GB2312" w:eastAsia="仿宋_GB2312"/>
          <w:sz w:val="30"/>
          <w:szCs w:val="30"/>
        </w:rPr>
      </w:pPr>
      <w:r>
        <w:rPr>
          <w:rFonts w:ascii="仿宋_GB2312" w:eastAsia="仿宋_GB2312"/>
          <w:sz w:val="30"/>
          <w:szCs w:val="30"/>
        </w:rPr>
        <w:t>（5）主要材料【指</w:t>
      </w:r>
      <w:r>
        <w:rPr>
          <w:rFonts w:hint="eastAsia" w:ascii="仿宋_GB2312" w:eastAsia="仿宋_GB2312"/>
          <w:sz w:val="30"/>
          <w:szCs w:val="30"/>
        </w:rPr>
        <w:t>钢筋、商品砼、商品砂浆</w:t>
      </w:r>
      <w:r>
        <w:rPr>
          <w:rFonts w:ascii="仿宋_GB2312" w:eastAsia="仿宋_GB2312"/>
          <w:sz w:val="30"/>
          <w:szCs w:val="30"/>
        </w:rPr>
        <w:t>】价差按工程形象部位（目标）进度分段计算：</w:t>
      </w:r>
      <w:r>
        <w:rPr>
          <w:rFonts w:hint="eastAsia" w:ascii="仿宋_GB2312" w:eastAsia="仿宋_GB2312"/>
          <w:sz w:val="30"/>
          <w:szCs w:val="30"/>
        </w:rPr>
        <w:t>即工程按经审定的工程总体进度计划及工程形象进度划分不同阶段，实行分段计量和计算价差：发、承包双方根据±0.000以下工程、±0.000以上主体结构工程对应的合同工期，按合同工期内对应的工程所在地建设工程常用材料综合价格，与基准日期对应的综合价格进行比较，调整相应价差。</w:t>
      </w:r>
    </w:p>
    <w:p w14:paraId="583F35BD">
      <w:pPr>
        <w:pStyle w:val="26"/>
        <w:spacing w:after="120"/>
        <w:ind w:firstLine="602"/>
        <w:rPr>
          <w:rFonts w:ascii="仿宋_GB2312" w:eastAsia="仿宋_GB2312"/>
          <w:sz w:val="30"/>
          <w:szCs w:val="30"/>
        </w:rPr>
      </w:pPr>
      <w:r>
        <w:rPr>
          <w:rFonts w:hint="eastAsia" w:ascii="仿宋_GB2312" w:eastAsia="仿宋_GB2312"/>
          <w:b/>
          <w:color w:val="FF0000"/>
          <w:sz w:val="30"/>
          <w:szCs w:val="30"/>
          <w:u w:val="single"/>
        </w:rPr>
        <w:t>主要材料涨幅计算公式：（实际分段施工期间的《</w:t>
      </w:r>
      <w:r>
        <w:rPr>
          <w:rFonts w:ascii="仿宋_GB2312" w:eastAsia="仿宋_GB2312"/>
          <w:b/>
          <w:color w:val="FF0000"/>
          <w:sz w:val="30"/>
          <w:szCs w:val="30"/>
          <w:u w:val="single"/>
        </w:rPr>
        <w:t xml:space="preserve">  </w:t>
      </w:r>
      <w:r>
        <w:rPr>
          <w:rFonts w:hint="eastAsia" w:ascii="仿宋_GB2312" w:eastAsia="仿宋_GB2312"/>
          <w:b/>
          <w:color w:val="FF0000"/>
          <w:sz w:val="30"/>
          <w:szCs w:val="30"/>
          <w:u w:val="single"/>
        </w:rPr>
        <w:t>地区建设工程常用材料综合价格》算术平均值</w:t>
      </w:r>
      <w:r>
        <w:rPr>
          <w:rFonts w:ascii="仿宋_GB2312" w:eastAsia="仿宋_GB2312"/>
          <w:b/>
          <w:color w:val="FF0000"/>
          <w:sz w:val="30"/>
          <w:szCs w:val="30"/>
          <w:u w:val="single"/>
        </w:rPr>
        <w:t xml:space="preserve">-基准日期的《  </w:t>
      </w:r>
      <w:r>
        <w:rPr>
          <w:rFonts w:hint="eastAsia" w:ascii="仿宋_GB2312" w:eastAsia="仿宋_GB2312"/>
          <w:b/>
          <w:color w:val="FF0000"/>
          <w:sz w:val="30"/>
          <w:szCs w:val="30"/>
          <w:u w:val="single"/>
        </w:rPr>
        <w:t>地区建设工程常用材料综合价格》）÷基准日期的《</w:t>
      </w:r>
      <w:r>
        <w:rPr>
          <w:rFonts w:ascii="仿宋_GB2312" w:eastAsia="仿宋_GB2312"/>
          <w:b/>
          <w:color w:val="FF0000"/>
          <w:sz w:val="30"/>
          <w:szCs w:val="30"/>
          <w:u w:val="single"/>
        </w:rPr>
        <w:t xml:space="preserve">  </w:t>
      </w:r>
      <w:r>
        <w:rPr>
          <w:rFonts w:hint="eastAsia" w:ascii="仿宋_GB2312" w:eastAsia="仿宋_GB2312"/>
          <w:b/>
          <w:color w:val="FF0000"/>
          <w:sz w:val="30"/>
          <w:szCs w:val="30"/>
          <w:u w:val="single"/>
        </w:rPr>
        <w:t>地区建设工程常用材料综合价格》，</w:t>
      </w:r>
      <w:r>
        <w:rPr>
          <w:rFonts w:hint="eastAsia" w:ascii="仿宋_GB2312" w:eastAsia="仿宋_GB2312"/>
          <w:sz w:val="30"/>
          <w:szCs w:val="30"/>
          <w:u w:val="single"/>
        </w:rPr>
        <w:t>主要材料涨幅【±5%】及以内不作调整；超出【±5%】的部分作价差调整，按以下公式计算价差：</w:t>
      </w:r>
    </w:p>
    <w:p w14:paraId="1C2C4791">
      <w:pPr>
        <w:pStyle w:val="26"/>
        <w:wordWrap/>
        <w:topLinePunct w:val="0"/>
        <w:adjustRightInd/>
        <w:snapToGrid/>
        <w:spacing w:after="120"/>
        <w:ind w:firstLine="601" w:firstLineChars="0"/>
        <w:rPr>
          <w:rFonts w:ascii="仿宋_GB2312" w:eastAsia="仿宋_GB2312"/>
          <w:sz w:val="30"/>
          <w:szCs w:val="30"/>
        </w:rPr>
      </w:pPr>
      <w:r>
        <w:rPr>
          <w:rFonts w:hint="eastAsia" w:ascii="仿宋_GB2312" w:eastAsia="仿宋_GB2312"/>
          <w:sz w:val="30"/>
          <w:szCs w:val="30"/>
        </w:rPr>
        <w:t>①主要材料</w:t>
      </w:r>
      <w:r>
        <w:rPr>
          <w:rFonts w:ascii="仿宋_GB2312" w:eastAsia="仿宋_GB2312"/>
          <w:sz w:val="30"/>
          <w:szCs w:val="30"/>
        </w:rPr>
        <w:t>【指</w:t>
      </w:r>
      <w:r>
        <w:rPr>
          <w:rFonts w:hint="eastAsia" w:ascii="仿宋_GB2312" w:eastAsia="仿宋_GB2312"/>
          <w:sz w:val="30"/>
          <w:szCs w:val="30"/>
        </w:rPr>
        <w:t>钢筋、商品砼、商品砂浆</w:t>
      </w:r>
      <w:r>
        <w:rPr>
          <w:rFonts w:ascii="仿宋_GB2312" w:eastAsia="仿宋_GB2312"/>
          <w:sz w:val="30"/>
          <w:szCs w:val="30"/>
        </w:rPr>
        <w:t>】</w:t>
      </w:r>
      <w:r>
        <w:rPr>
          <w:rFonts w:hint="eastAsia" w:ascii="仿宋_GB2312" w:eastAsia="仿宋_GB2312"/>
          <w:sz w:val="30"/>
          <w:szCs w:val="30"/>
        </w:rPr>
        <w:t>价格下降超出5% 时：</w:t>
      </w:r>
    </w:p>
    <w:p w14:paraId="1E236ADC">
      <w:pPr>
        <w:pStyle w:val="26"/>
        <w:wordWrap/>
        <w:topLinePunct w:val="0"/>
        <w:adjustRightInd/>
        <w:snapToGrid/>
        <w:spacing w:after="120"/>
        <w:ind w:firstLine="601" w:firstLineChars="0"/>
        <w:rPr>
          <w:rFonts w:ascii="仿宋_GB2312" w:eastAsia="仿宋_GB2312"/>
          <w:sz w:val="30"/>
          <w:szCs w:val="30"/>
        </w:rPr>
      </w:pPr>
      <w:r>
        <w:rPr>
          <w:rFonts w:hint="eastAsia" w:ascii="仿宋_GB2312" w:eastAsia="仿宋_GB2312"/>
          <w:sz w:val="30"/>
          <w:szCs w:val="30"/>
        </w:rPr>
        <w:t>材料单价价差=分段施工期间的材料综合价格算术平均值-（基准日期执行的材料综合价格×0.95）</w:t>
      </w:r>
    </w:p>
    <w:p w14:paraId="7C6633DE">
      <w:pPr>
        <w:pStyle w:val="26"/>
        <w:wordWrap/>
        <w:topLinePunct w:val="0"/>
        <w:adjustRightInd/>
        <w:snapToGrid/>
        <w:spacing w:after="120"/>
        <w:ind w:firstLine="601" w:firstLineChars="0"/>
        <w:rPr>
          <w:rFonts w:ascii="仿宋_GB2312" w:eastAsia="仿宋_GB2312"/>
          <w:sz w:val="30"/>
          <w:szCs w:val="30"/>
        </w:rPr>
      </w:pPr>
      <w:r>
        <w:rPr>
          <w:rFonts w:hint="eastAsia" w:ascii="仿宋_GB2312" w:eastAsia="仿宋_GB2312"/>
          <w:sz w:val="30"/>
          <w:szCs w:val="30"/>
        </w:rPr>
        <w:t>②主要材料</w:t>
      </w:r>
      <w:r>
        <w:rPr>
          <w:rFonts w:ascii="仿宋_GB2312" w:eastAsia="仿宋_GB2312"/>
          <w:sz w:val="30"/>
          <w:szCs w:val="30"/>
        </w:rPr>
        <w:t>【指</w:t>
      </w:r>
      <w:r>
        <w:rPr>
          <w:rFonts w:hint="eastAsia" w:ascii="仿宋_GB2312" w:eastAsia="仿宋_GB2312"/>
          <w:sz w:val="30"/>
          <w:szCs w:val="30"/>
        </w:rPr>
        <w:t>钢筋、商品砼、商品砂浆</w:t>
      </w:r>
      <w:r>
        <w:rPr>
          <w:rFonts w:ascii="仿宋_GB2312" w:eastAsia="仿宋_GB2312"/>
          <w:sz w:val="30"/>
          <w:szCs w:val="30"/>
        </w:rPr>
        <w:t>】</w:t>
      </w:r>
      <w:r>
        <w:rPr>
          <w:rFonts w:hint="eastAsia" w:ascii="仿宋_GB2312" w:eastAsia="仿宋_GB2312"/>
          <w:sz w:val="30"/>
          <w:szCs w:val="30"/>
        </w:rPr>
        <w:t>价格上涨超出5%时：</w:t>
      </w:r>
    </w:p>
    <w:p w14:paraId="2E3493B7">
      <w:pPr>
        <w:pStyle w:val="26"/>
        <w:wordWrap/>
        <w:topLinePunct w:val="0"/>
        <w:adjustRightInd/>
        <w:snapToGrid/>
        <w:spacing w:after="120"/>
        <w:ind w:firstLine="601" w:firstLineChars="0"/>
        <w:rPr>
          <w:rFonts w:ascii="仿宋_GB2312" w:eastAsia="仿宋_GB2312"/>
          <w:sz w:val="30"/>
          <w:szCs w:val="30"/>
        </w:rPr>
      </w:pPr>
      <w:r>
        <w:rPr>
          <w:rFonts w:hint="eastAsia" w:ascii="仿宋_GB2312" w:eastAsia="仿宋_GB2312"/>
          <w:sz w:val="30"/>
          <w:szCs w:val="30"/>
        </w:rPr>
        <w:t>材料单价价差=实际施工期间的材料综合价格算术平均值-（基准日期执行的材料综合价格×1.05）</w:t>
      </w:r>
    </w:p>
    <w:p w14:paraId="5D11EB99">
      <w:pPr>
        <w:pStyle w:val="26"/>
        <w:wordWrap/>
        <w:topLinePunct w:val="0"/>
        <w:adjustRightInd/>
        <w:snapToGrid/>
        <w:spacing w:after="120"/>
        <w:ind w:firstLine="601" w:firstLineChars="0"/>
        <w:rPr>
          <w:rFonts w:ascii="仿宋_GB2312" w:eastAsia="仿宋_GB2312"/>
          <w:sz w:val="30"/>
          <w:szCs w:val="30"/>
        </w:rPr>
      </w:pPr>
      <w:r>
        <w:rPr>
          <w:rFonts w:ascii="仿宋_GB2312" w:eastAsia="仿宋_GB2312"/>
          <w:sz w:val="30"/>
          <w:szCs w:val="30"/>
        </w:rPr>
        <w:t>价差结算价=价差×主材</w:t>
      </w:r>
      <w:r>
        <w:rPr>
          <w:rFonts w:hint="eastAsia" w:ascii="仿宋_GB2312" w:eastAsia="仿宋_GB2312"/>
          <w:sz w:val="30"/>
          <w:szCs w:val="30"/>
        </w:rPr>
        <w:t>清单量</w:t>
      </w:r>
      <w:r>
        <w:rPr>
          <w:rFonts w:ascii="仿宋_GB2312" w:eastAsia="仿宋_GB2312"/>
          <w:sz w:val="30"/>
          <w:szCs w:val="30"/>
        </w:rPr>
        <w:t>×（1+税金）。</w:t>
      </w:r>
    </w:p>
    <w:p w14:paraId="310436E6">
      <w:pPr>
        <w:pStyle w:val="26"/>
        <w:wordWrap/>
        <w:topLinePunct w:val="0"/>
        <w:adjustRightInd/>
        <w:snapToGrid/>
        <w:spacing w:after="120"/>
        <w:ind w:firstLine="601" w:firstLineChars="0"/>
        <w:rPr>
          <w:rFonts w:ascii="仿宋_GB2312" w:eastAsia="仿宋_GB2312"/>
          <w:sz w:val="30"/>
          <w:szCs w:val="30"/>
        </w:rPr>
      </w:pPr>
      <w:r>
        <w:rPr>
          <w:rFonts w:hint="eastAsia" w:ascii="仿宋_GB2312" w:eastAsia="仿宋_GB2312"/>
          <w:sz w:val="30"/>
          <w:szCs w:val="30"/>
        </w:rPr>
        <w:t>③当实际施工发生主材用料变更,则只调整单价中的主材费,其余一切费用不予调整。</w:t>
      </w:r>
    </w:p>
    <w:p w14:paraId="61080C73">
      <w:pPr>
        <w:pStyle w:val="26"/>
        <w:wordWrap/>
        <w:topLinePunct w:val="0"/>
        <w:adjustRightInd/>
        <w:snapToGrid/>
        <w:spacing w:after="120"/>
        <w:ind w:left="-361" w:firstLine="601" w:firstLineChars="0"/>
        <w:rPr>
          <w:rFonts w:ascii="仿宋_GB2312" w:eastAsia="仿宋_GB2312"/>
          <w:sz w:val="30"/>
          <w:szCs w:val="30"/>
        </w:rPr>
      </w:pPr>
      <w:r>
        <w:rPr>
          <w:rFonts w:ascii="仿宋_GB2312" w:eastAsia="仿宋_GB2312"/>
          <w:sz w:val="30"/>
          <w:szCs w:val="30"/>
        </w:rPr>
        <w:t>（6）</w:t>
      </w:r>
      <w:r>
        <w:rPr>
          <w:rFonts w:hint="eastAsia" w:ascii="仿宋_GB2312" w:eastAsia="仿宋_GB2312"/>
          <w:sz w:val="30"/>
          <w:szCs w:val="30"/>
        </w:rPr>
        <w:t>除以上主要材料外的其它材料价格均不作调整。</w:t>
      </w:r>
    </w:p>
    <w:p w14:paraId="78347617">
      <w:pPr>
        <w:pStyle w:val="26"/>
        <w:wordWrap/>
        <w:topLinePunct w:val="0"/>
        <w:adjustRightInd/>
        <w:snapToGrid/>
        <w:spacing w:after="120"/>
        <w:ind w:left="-361" w:firstLine="601" w:firstLineChars="0"/>
        <w:rPr>
          <w:rFonts w:ascii="仿宋_GB2312" w:eastAsia="仿宋_GB2312"/>
          <w:b/>
          <w:color w:val="FF0000"/>
          <w:sz w:val="30"/>
          <w:szCs w:val="30"/>
        </w:rPr>
      </w:pPr>
      <w:r>
        <w:rPr>
          <w:rFonts w:ascii="仿宋_GB2312" w:eastAsia="仿宋_GB2312"/>
          <w:b/>
          <w:color w:val="FF0000"/>
          <w:sz w:val="30"/>
          <w:szCs w:val="30"/>
        </w:rPr>
        <w:t>（7）</w:t>
      </w:r>
      <w:r>
        <w:rPr>
          <w:rFonts w:hint="eastAsia" w:ascii="仿宋_GB2312" w:eastAsia="仿宋_GB2312"/>
          <w:b/>
          <w:color w:val="FF0000"/>
          <w:sz w:val="30"/>
          <w:szCs w:val="30"/>
        </w:rPr>
        <w:t>辅助材料（主材以外的材料）、机具费不作调整。</w:t>
      </w:r>
    </w:p>
    <w:p w14:paraId="21C3D84C">
      <w:pPr>
        <w:pStyle w:val="26"/>
        <w:wordWrap/>
        <w:topLinePunct w:val="0"/>
        <w:adjustRightInd/>
        <w:snapToGrid/>
        <w:spacing w:after="120"/>
        <w:ind w:firstLine="601" w:firstLineChars="0"/>
        <w:rPr>
          <w:rFonts w:ascii="仿宋_GB2312" w:eastAsia="仿宋_GB2312"/>
          <w:sz w:val="30"/>
          <w:szCs w:val="30"/>
          <w:u w:val="single"/>
        </w:rPr>
      </w:pPr>
      <w:r>
        <w:rPr>
          <w:rFonts w:hint="eastAsia" w:ascii="仿宋_GB2312" w:eastAsia="仿宋_GB2312"/>
          <w:sz w:val="30"/>
          <w:szCs w:val="30"/>
          <w:u w:val="single"/>
        </w:rPr>
        <w:t>当工程所在地没有常用材料综合价格或该主要材料时，选用《广州地区建设工程材料（设备）厂商价格信息》中的主要材料，采用《广州地区建设工程常用材料税前综合价格》进行计算。</w:t>
      </w:r>
    </w:p>
    <w:p w14:paraId="7D682EC8">
      <w:pPr>
        <w:pStyle w:val="26"/>
        <w:wordWrap/>
        <w:topLinePunct w:val="0"/>
        <w:adjustRightInd/>
        <w:snapToGrid/>
        <w:spacing w:after="120"/>
        <w:ind w:firstLine="601" w:firstLineChars="0"/>
        <w:rPr>
          <w:rFonts w:ascii="仿宋_GB2312" w:eastAsia="仿宋_GB2312"/>
          <w:sz w:val="30"/>
          <w:szCs w:val="30"/>
        </w:rPr>
      </w:pPr>
      <w:r>
        <w:rPr>
          <w:rFonts w:hint="eastAsia" w:ascii="仿宋_GB2312" w:eastAsia="仿宋_GB2312"/>
          <w:sz w:val="30"/>
          <w:szCs w:val="30"/>
        </w:rPr>
        <w:t>&lt;1&gt;主要材料价差按省代建局工程变更办法及签证细则执行。</w:t>
      </w:r>
    </w:p>
    <w:p w14:paraId="5D59616D">
      <w:pPr>
        <w:pStyle w:val="26"/>
        <w:wordWrap/>
        <w:topLinePunct w:val="0"/>
        <w:adjustRightInd/>
        <w:snapToGrid/>
        <w:spacing w:after="120"/>
        <w:ind w:firstLine="601" w:firstLineChars="0"/>
        <w:rPr>
          <w:rFonts w:ascii="仿宋_GB2312" w:eastAsia="仿宋_GB2312"/>
          <w:sz w:val="30"/>
          <w:szCs w:val="30"/>
        </w:rPr>
      </w:pPr>
      <w:r>
        <w:rPr>
          <w:rFonts w:hint="eastAsia" w:ascii="仿宋_GB2312" w:eastAsia="仿宋_GB2312"/>
          <w:sz w:val="30"/>
          <w:szCs w:val="30"/>
        </w:rPr>
        <w:t>&lt;2&gt;主要材料价差按《省代建局直接代建项目资金支付管理办法（试行）》执行。</w:t>
      </w:r>
    </w:p>
    <w:p w14:paraId="102FF3E6">
      <w:pPr>
        <w:spacing w:after="120"/>
        <w:ind w:firstLine="0" w:firstLineChars="0"/>
        <w:outlineLvl w:val="1"/>
        <w:rPr>
          <w:rFonts w:ascii="仿宋" w:hAnsi="仿宋" w:eastAsia="仿宋" w:cs="仿宋"/>
          <w:b/>
          <w:bCs/>
          <w:sz w:val="32"/>
          <w:szCs w:val="32"/>
        </w:rPr>
      </w:pPr>
      <w:bookmarkStart w:id="890" w:name="_Toc28829"/>
      <w:bookmarkStart w:id="891" w:name="_Toc18964"/>
      <w:bookmarkStart w:id="892" w:name="_Toc11655"/>
      <w:bookmarkStart w:id="893" w:name="_Toc54862345"/>
      <w:r>
        <w:rPr>
          <w:rFonts w:hint="eastAsia" w:ascii="仿宋" w:hAnsi="仿宋" w:eastAsia="仿宋" w:cs="仿宋"/>
          <w:bCs/>
          <w:sz w:val="32"/>
          <w:szCs w:val="32"/>
        </w:rPr>
        <w:t>第14条 合同价格与支付</w:t>
      </w:r>
      <w:bookmarkEnd w:id="890"/>
      <w:bookmarkEnd w:id="891"/>
      <w:bookmarkEnd w:id="892"/>
      <w:bookmarkEnd w:id="893"/>
    </w:p>
    <w:p w14:paraId="6F1E6F33">
      <w:pPr>
        <w:spacing w:after="120"/>
        <w:ind w:firstLine="600"/>
        <w:outlineLvl w:val="2"/>
        <w:rPr>
          <w:rFonts w:ascii="仿宋" w:hAnsi="仿宋" w:eastAsia="仿宋" w:cs="仿宋"/>
          <w:bCs/>
          <w:sz w:val="30"/>
          <w:szCs w:val="30"/>
        </w:rPr>
      </w:pPr>
      <w:r>
        <w:rPr>
          <w:rFonts w:hint="eastAsia" w:ascii="仿宋" w:hAnsi="仿宋" w:eastAsia="仿宋" w:cs="仿宋"/>
          <w:bCs/>
          <w:sz w:val="30"/>
          <w:szCs w:val="30"/>
        </w:rPr>
        <w:t>14.1 合同价格形式</w:t>
      </w:r>
    </w:p>
    <w:p w14:paraId="02B50503">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4.1.1 </w:t>
      </w:r>
      <w:r>
        <w:rPr>
          <w:rFonts w:hint="eastAsia" w:ascii="仿宋_GB2312" w:eastAsia="仿宋_GB2312"/>
          <w:sz w:val="30"/>
          <w:szCs w:val="30"/>
        </w:rPr>
        <w:t>关于合同价格形式的约定：。</w:t>
      </w:r>
    </w:p>
    <w:p w14:paraId="427919C5">
      <w:pPr>
        <w:spacing w:after="120"/>
        <w:ind w:firstLine="602"/>
        <w:rPr>
          <w:rFonts w:ascii="仿宋_GB2312" w:hAnsi="仿宋_GB2312" w:eastAsia="仿宋_GB2312" w:cs="仿宋_GB2312"/>
          <w:b/>
          <w:color w:val="FF0000"/>
          <w:sz w:val="30"/>
          <w:szCs w:val="30"/>
        </w:rPr>
      </w:pPr>
      <w:r>
        <w:rPr>
          <w:rFonts w:ascii="仿宋_GB2312" w:hAnsi="仿宋_GB2312" w:eastAsia="仿宋_GB2312" w:cs="仿宋_GB2312"/>
          <w:b/>
          <w:color w:val="FF0000"/>
          <w:sz w:val="30"/>
          <w:szCs w:val="30"/>
        </w:rPr>
        <w:t xml:space="preserve">14.1.1.1 </w:t>
      </w:r>
      <w:r>
        <w:rPr>
          <w:rFonts w:hint="eastAsia" w:ascii="仿宋_GB2312" w:hAnsi="仿宋_GB2312" w:eastAsia="仿宋_GB2312" w:cs="仿宋_GB2312"/>
          <w:b/>
          <w:color w:val="FF0000"/>
          <w:sz w:val="30"/>
          <w:szCs w:val="30"/>
        </w:rPr>
        <w:t>工程设计费</w:t>
      </w:r>
    </w:p>
    <w:p w14:paraId="68CF6189">
      <w:pPr>
        <w:wordWrap/>
        <w:topLinePunct w:val="0"/>
        <w:spacing w:after="120"/>
        <w:ind w:firstLine="602"/>
        <w:rPr>
          <w:rFonts w:eastAsia="仿宋_GB2312"/>
          <w:b/>
          <w:color w:val="FF0000"/>
        </w:rPr>
      </w:pPr>
      <w:r>
        <w:rPr>
          <w:rFonts w:hint="eastAsia" w:ascii="仿宋_GB2312" w:hAnsi="仿宋_GB2312" w:eastAsia="仿宋_GB2312" w:cs="仿宋_GB2312"/>
          <w:b/>
          <w:color w:val="FF0000"/>
          <w:sz w:val="30"/>
          <w:szCs w:val="30"/>
        </w:rPr>
        <w:t>总价包干形式，设计费已包含了后续项目变更的设计工作量，项目概算内产生的变更调整不再另行增加设计费。如设计过程发包人要求增加或减少设计工作范围，则设计费应相应调整。</w:t>
      </w:r>
    </w:p>
    <w:p w14:paraId="4CCE8D79">
      <w:pPr>
        <w:numPr>
          <w:ilvl w:val="255"/>
          <w:numId w:val="0"/>
        </w:numPr>
        <w:wordWrap/>
        <w:topLinePunct w:val="0"/>
        <w:spacing w:after="120"/>
        <w:ind w:firstLine="600"/>
        <w:rPr>
          <w:rFonts w:ascii="仿宋_GB2312" w:hAnsi="仿宋_GB2312" w:eastAsia="仿宋_GB2312" w:cs="仿宋_GB2312"/>
          <w:b/>
          <w:color w:val="FF0000"/>
          <w:sz w:val="30"/>
          <w:szCs w:val="30"/>
        </w:rPr>
      </w:pPr>
      <w:r>
        <w:rPr>
          <w:rFonts w:ascii="仿宋_GB2312" w:hAnsi="仿宋_GB2312" w:eastAsia="仿宋_GB2312" w:cs="仿宋_GB2312"/>
          <w:b/>
          <w:color w:val="FF0000"/>
          <w:sz w:val="30"/>
          <w:szCs w:val="30"/>
        </w:rPr>
        <w:t xml:space="preserve">14.1.1.2 </w:t>
      </w:r>
      <w:r>
        <w:rPr>
          <w:rFonts w:hint="eastAsia" w:ascii="仿宋_GB2312" w:hAnsi="仿宋_GB2312" w:eastAsia="仿宋_GB2312" w:cs="仿宋_GB2312"/>
          <w:b/>
          <w:color w:val="FF0000"/>
          <w:sz w:val="30"/>
          <w:szCs w:val="30"/>
        </w:rPr>
        <w:t>工程施工费</w:t>
      </w:r>
    </w:p>
    <w:p w14:paraId="75B98392">
      <w:pPr>
        <w:pStyle w:val="26"/>
        <w:spacing w:after="120"/>
        <w:ind w:firstLine="602"/>
        <w:rPr>
          <w:b/>
          <w:color w:val="FF0000"/>
        </w:rPr>
      </w:pPr>
      <w:r>
        <w:rPr>
          <w:rFonts w:hint="eastAsia" w:ascii="仿宋_GB2312" w:hAnsi="仿宋_GB2312" w:eastAsia="仿宋_GB2312" w:cs="仿宋_GB2312"/>
          <w:b/>
          <w:color w:val="FF0000"/>
          <w:sz w:val="30"/>
          <w:szCs w:val="30"/>
        </w:rPr>
        <w:t>工程施工费实行施工图预算总价包干形式。根据审定的价格清单签订补充协议书。</w:t>
      </w:r>
    </w:p>
    <w:p w14:paraId="3A696F5A">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4.1.2 </w:t>
      </w:r>
      <w:r>
        <w:rPr>
          <w:rFonts w:hint="eastAsia" w:ascii="仿宋_GB2312" w:eastAsia="仿宋_GB2312"/>
          <w:sz w:val="30"/>
          <w:szCs w:val="30"/>
        </w:rPr>
        <w:t>关于合同价格调整的约定：</w:t>
      </w:r>
    </w:p>
    <w:p w14:paraId="732D46F6">
      <w:pPr>
        <w:pStyle w:val="26"/>
        <w:spacing w:after="120"/>
        <w:ind w:firstLine="600"/>
        <w:rPr>
          <w:rFonts w:ascii="仿宋_GB2312" w:eastAsia="仿宋_GB2312"/>
          <w:sz w:val="30"/>
          <w:szCs w:val="30"/>
        </w:rPr>
      </w:pPr>
      <w:r>
        <w:rPr>
          <w:rFonts w:hint="eastAsia" w:ascii="仿宋_GB2312" w:eastAsia="仿宋_GB2312"/>
          <w:sz w:val="30"/>
          <w:szCs w:val="30"/>
        </w:rPr>
        <w:t>14.1.2.1工程设计费为按合同约定的计费方式总价包干，包括但不限于所有专业的施工图设计以及后续施工的深化设计、复杂设计工作，其费用也包含了绿色建筑工程咨询费，专家评审费及场地费、施工阶段技术人员驻场费、竣工图纸编制费以及变更设计等费用。设计费结算按设计部分专用合同条款约定执行，结算由发包人审核，最终结算根据省财政厅相关规定办理。设计费已包含了后续项目变更的设计工作量，项目概算内产生的变更调整不再另行增加设计费和竣工图编制费。</w:t>
      </w:r>
    </w:p>
    <w:p w14:paraId="71495A30">
      <w:pPr>
        <w:pStyle w:val="26"/>
        <w:spacing w:after="120"/>
        <w:ind w:firstLine="600"/>
        <w:rPr>
          <w:rFonts w:ascii="仿宋_GB2312" w:eastAsia="仿宋_GB2312"/>
          <w:sz w:val="30"/>
          <w:szCs w:val="30"/>
        </w:rPr>
      </w:pPr>
      <w:r>
        <w:rPr>
          <w:rFonts w:hint="eastAsia" w:ascii="仿宋_GB2312" w:eastAsia="仿宋_GB2312"/>
          <w:sz w:val="30"/>
          <w:szCs w:val="30"/>
        </w:rPr>
        <w:t>设计费包含前期建设条件评估费、地形图购买、专家评审、报建过程中产生的各类证照工本费、外地考察费等费用。</w:t>
      </w:r>
    </w:p>
    <w:p w14:paraId="3CB06092">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14.1.2.2 </w:t>
      </w:r>
      <w:r>
        <w:rPr>
          <w:rFonts w:ascii="仿宋_GB2312" w:eastAsia="仿宋_GB2312"/>
          <w:sz w:val="30"/>
          <w:szCs w:val="30"/>
        </w:rPr>
        <w:t>工程施工费</w:t>
      </w:r>
      <w:r>
        <w:rPr>
          <w:rFonts w:hint="eastAsia" w:ascii="仿宋_GB2312" w:eastAsia="仿宋_GB2312"/>
          <w:sz w:val="30"/>
          <w:szCs w:val="30"/>
        </w:rPr>
        <w:t>：</w:t>
      </w:r>
    </w:p>
    <w:p w14:paraId="5C6E104B">
      <w:pPr>
        <w:pStyle w:val="26"/>
        <w:wordWrap/>
        <w:topLinePunct w:val="0"/>
        <w:adjustRightInd/>
        <w:snapToGrid/>
        <w:spacing w:after="120"/>
        <w:ind w:firstLine="600"/>
        <w:rPr>
          <w:rFonts w:ascii="仿宋_GB2312" w:eastAsia="仿宋_GB2312"/>
          <w:sz w:val="30"/>
          <w:szCs w:val="30"/>
        </w:rPr>
      </w:pPr>
      <w:r>
        <w:rPr>
          <w:rFonts w:hint="eastAsia" w:ascii="仿宋_GB2312" w:eastAsia="仿宋_GB2312"/>
          <w:sz w:val="30"/>
          <w:szCs w:val="30"/>
        </w:rPr>
        <w:t>14.1.2.2.1 工程施工费为</w:t>
      </w:r>
      <w:r>
        <w:rPr>
          <w:rFonts w:hint="eastAsia" w:ascii="仿宋_GB2312" w:hAnsi="仿宋_GB2312" w:eastAsia="仿宋_GB2312" w:cs="仿宋_GB2312"/>
          <w:sz w:val="30"/>
          <w:szCs w:val="30"/>
        </w:rPr>
        <w:t>施工图预算</w:t>
      </w:r>
      <w:r>
        <w:rPr>
          <w:rFonts w:hint="eastAsia" w:ascii="仿宋_GB2312" w:eastAsia="仿宋_GB2312"/>
          <w:sz w:val="30"/>
          <w:szCs w:val="30"/>
        </w:rPr>
        <w:t>总价，承包人应按照经发包人批准的施工图设计、深化设计，以及招标文件、投标文件和本合同有关规定，根据国家、广东省、工程所在地现行有关工程造价管理的文件编制</w:t>
      </w:r>
      <w:r>
        <w:rPr>
          <w:rFonts w:hint="eastAsia" w:ascii="仿宋_GB2312" w:hAnsi="仿宋_GB2312" w:eastAsia="仿宋_GB2312" w:cs="仿宋_GB2312"/>
          <w:sz w:val="30"/>
          <w:szCs w:val="30"/>
        </w:rPr>
        <w:t>施工图预算</w:t>
      </w:r>
      <w:r>
        <w:rPr>
          <w:rFonts w:hint="eastAsia" w:ascii="仿宋_GB2312" w:eastAsia="仿宋_GB2312"/>
          <w:sz w:val="30"/>
          <w:szCs w:val="30"/>
        </w:rPr>
        <w:t>并报发包人，发包人组织第三方造价咨询单位审核</w:t>
      </w:r>
      <w:r>
        <w:rPr>
          <w:rFonts w:hint="eastAsia" w:ascii="仿宋_GB2312" w:hAnsi="仿宋_GB2312" w:eastAsia="仿宋_GB2312" w:cs="仿宋_GB2312"/>
          <w:sz w:val="30"/>
          <w:szCs w:val="30"/>
        </w:rPr>
        <w:t>施工图预算</w:t>
      </w:r>
      <w:r>
        <w:rPr>
          <w:rFonts w:hint="eastAsia" w:ascii="仿宋_GB2312" w:eastAsia="仿宋_GB2312"/>
          <w:sz w:val="30"/>
          <w:szCs w:val="30"/>
        </w:rPr>
        <w:t>并经发包人批准同意后以补充协议形式确定为</w:t>
      </w:r>
      <w:r>
        <w:rPr>
          <w:rFonts w:hint="eastAsia" w:ascii="仿宋_GB2312" w:hAnsi="仿宋_GB2312" w:eastAsia="仿宋_GB2312" w:cs="仿宋_GB2312"/>
          <w:sz w:val="30"/>
          <w:szCs w:val="30"/>
        </w:rPr>
        <w:t>施工图预算</w:t>
      </w:r>
      <w:r>
        <w:rPr>
          <w:rFonts w:hint="eastAsia" w:ascii="仿宋_GB2312" w:eastAsia="仿宋_GB2312"/>
          <w:sz w:val="30"/>
          <w:szCs w:val="30"/>
        </w:rPr>
        <w:t>合同价，作为工程款支付、变更和结算的依据。施工图预算必须预留不少于分部分项工程费的</w:t>
      </w:r>
      <w:r>
        <w:rPr>
          <w:rFonts w:ascii="仿宋_GB2312" w:eastAsia="仿宋_GB2312"/>
          <w:sz w:val="28"/>
          <w:szCs w:val="28"/>
        </w:rPr>
        <w:t>%</w:t>
      </w:r>
      <w:r>
        <w:rPr>
          <w:rFonts w:hint="eastAsia" w:ascii="仿宋_GB2312" w:eastAsia="仿宋_GB2312"/>
          <w:sz w:val="28"/>
          <w:szCs w:val="28"/>
        </w:rPr>
        <w:t>（</w:t>
      </w:r>
      <w:r>
        <w:rPr>
          <w:rFonts w:ascii="仿宋_GB2312" w:eastAsia="仿宋_GB2312"/>
          <w:sz w:val="28"/>
          <w:szCs w:val="28"/>
        </w:rPr>
        <w:t>0</w:t>
      </w:r>
      <w:r>
        <w:rPr>
          <w:rFonts w:hint="eastAsia" w:ascii="仿宋" w:hAnsi="仿宋" w:eastAsia="仿宋"/>
          <w:sz w:val="28"/>
          <w:szCs w:val="28"/>
        </w:rPr>
        <w:t>～</w:t>
      </w:r>
      <w:r>
        <w:rPr>
          <w:rFonts w:ascii="仿宋" w:hAnsi="仿宋" w:eastAsia="仿宋"/>
          <w:sz w:val="28"/>
          <w:szCs w:val="28"/>
        </w:rPr>
        <w:t>10</w:t>
      </w:r>
      <w:r>
        <w:rPr>
          <w:rFonts w:ascii="仿宋_GB2312" w:eastAsia="仿宋_GB2312"/>
          <w:sz w:val="28"/>
          <w:szCs w:val="28"/>
        </w:rPr>
        <w:t>%</w:t>
      </w:r>
      <w:r>
        <w:rPr>
          <w:rFonts w:hint="eastAsia" w:ascii="仿宋_GB2312" w:eastAsia="仿宋_GB2312"/>
          <w:sz w:val="28"/>
          <w:szCs w:val="28"/>
        </w:rPr>
        <w:t>）</w:t>
      </w:r>
      <w:r>
        <w:rPr>
          <w:rFonts w:hint="eastAsia" w:ascii="仿宋_GB2312" w:eastAsia="仿宋_GB2312"/>
          <w:sz w:val="30"/>
          <w:szCs w:val="30"/>
        </w:rPr>
        <w:t>的费用作为暂列金额，经审定的施工图预算总价包干。</w:t>
      </w:r>
    </w:p>
    <w:p w14:paraId="1975B50E">
      <w:pPr>
        <w:pStyle w:val="26"/>
        <w:wordWrap/>
        <w:topLinePunct w:val="0"/>
        <w:adjustRightInd/>
        <w:snapToGrid/>
        <w:spacing w:after="120"/>
        <w:ind w:firstLine="600"/>
        <w:rPr>
          <w:rFonts w:ascii="仿宋_GB2312" w:eastAsia="仿宋_GB2312"/>
          <w:sz w:val="30"/>
          <w:szCs w:val="30"/>
        </w:rPr>
      </w:pPr>
      <w:r>
        <w:rPr>
          <w:rFonts w:hint="eastAsia" w:ascii="仿宋_GB2312" w:eastAsia="仿宋_GB2312"/>
          <w:sz w:val="30"/>
          <w:szCs w:val="30"/>
        </w:rPr>
        <w:t>14.1.2.2.2 承包人以招标项目清单的综合单价、预算计费程序及中标下浮率编制施工图预算。其中按项计算的总价措施费不予调整，招标项目清单中没有的项则按合同变更估价原则进行计价。（中标下浮率</w:t>
      </w:r>
      <w:r>
        <w:rPr>
          <w:rFonts w:ascii="仿宋_GB2312" w:eastAsia="仿宋_GB2312"/>
          <w:sz w:val="30"/>
          <w:szCs w:val="30"/>
        </w:rPr>
        <w:t xml:space="preserve">=（施工部分最高投标限价-施工部分中标价)/ </w:t>
      </w:r>
      <w:r>
        <w:rPr>
          <w:rFonts w:hint="eastAsia" w:ascii="仿宋_GB2312" w:eastAsia="仿宋_GB2312"/>
          <w:sz w:val="30"/>
          <w:szCs w:val="30"/>
        </w:rPr>
        <w:t>施工部分最高投标限价）</w:t>
      </w:r>
    </w:p>
    <w:p w14:paraId="2C05E56F">
      <w:pPr>
        <w:pStyle w:val="26"/>
        <w:wordWrap/>
        <w:topLinePunct w:val="0"/>
        <w:adjustRightInd/>
        <w:snapToGrid/>
        <w:spacing w:after="120"/>
        <w:ind w:firstLine="600"/>
        <w:rPr>
          <w:rFonts w:ascii="仿宋_GB2312" w:eastAsia="仿宋_GB2312"/>
          <w:sz w:val="30"/>
          <w:szCs w:val="30"/>
        </w:rPr>
      </w:pPr>
      <w:r>
        <w:rPr>
          <w:rFonts w:hint="eastAsia" w:ascii="仿宋_GB2312" w:eastAsia="仿宋_GB2312"/>
          <w:sz w:val="30"/>
          <w:szCs w:val="30"/>
        </w:rPr>
        <w:t>14.1.2.2.3 由总承包完成的专业工程暂估价，在施工图完成后按合同变更估价原则进行计价，计价费率沿用承包人投标文件中相关工程的最低费率，若承包人投标文件中无相关工程的费率可参考，则按与《广东省建设工程计价依据（2018）》配套的取费文件进行编制，取费规定中有上下限的，按中值计算，并预留暂列金额。</w:t>
      </w:r>
    </w:p>
    <w:p w14:paraId="4060769F">
      <w:pPr>
        <w:pStyle w:val="26"/>
        <w:wordWrap/>
        <w:topLinePunct w:val="0"/>
        <w:adjustRightInd/>
        <w:snapToGrid/>
        <w:spacing w:after="120"/>
        <w:ind w:firstLine="600"/>
        <w:rPr>
          <w:rFonts w:ascii="仿宋_GB2312" w:eastAsia="仿宋_GB2312"/>
          <w:sz w:val="30"/>
          <w:szCs w:val="30"/>
        </w:rPr>
      </w:pPr>
      <w:r>
        <w:rPr>
          <w:rFonts w:hint="eastAsia" w:ascii="仿宋_GB2312" w:eastAsia="仿宋_GB2312"/>
          <w:sz w:val="30"/>
          <w:szCs w:val="30"/>
        </w:rPr>
        <w:t>14.1.2.2.4 经公开招标的专业工程暂估价以中标价作为施工图预算并形成总价包干合同，如发生变更则参考主合同的变更估价原则确定新增单价。</w:t>
      </w:r>
    </w:p>
    <w:p w14:paraId="7F520120">
      <w:pPr>
        <w:wordWrap/>
        <w:topLinePunct w:val="0"/>
        <w:spacing w:after="120"/>
        <w:ind w:firstLine="600"/>
        <w:rPr>
          <w:rFonts w:ascii="仿宋_GB2312" w:eastAsia="仿宋_GB2312"/>
          <w:sz w:val="30"/>
          <w:szCs w:val="30"/>
        </w:rPr>
      </w:pPr>
      <w:r>
        <w:rPr>
          <w:rFonts w:hint="eastAsia" w:ascii="仿宋_GB2312" w:eastAsia="仿宋_GB2312"/>
          <w:sz w:val="30"/>
          <w:szCs w:val="30"/>
        </w:rPr>
        <w:t>注：补充合同协议书是对本合同的合同价的补充说明及明确，是项目结算的依据，除特殊说明外本合同的其他条款对补充合同协议书依旧生效。</w:t>
      </w:r>
    </w:p>
    <w:p w14:paraId="304EA720">
      <w:pPr>
        <w:wordWrap/>
        <w:topLinePunct w:val="0"/>
        <w:spacing w:after="120"/>
        <w:ind w:firstLineChars="0"/>
        <w:rPr>
          <w:rFonts w:ascii="仿宋_GB2312" w:eastAsia="仿宋_GB2312"/>
          <w:sz w:val="30"/>
          <w:szCs w:val="30"/>
        </w:rPr>
      </w:pPr>
      <w:r>
        <w:rPr>
          <w:rFonts w:ascii="仿宋_GB2312" w:eastAsia="仿宋_GB2312"/>
          <w:sz w:val="30"/>
          <w:szCs w:val="30"/>
        </w:rPr>
        <w:t>14.1.2.</w:t>
      </w:r>
      <w:r>
        <w:rPr>
          <w:rFonts w:hint="eastAsia" w:ascii="仿宋_GB2312" w:eastAsia="仿宋_GB2312"/>
          <w:sz w:val="30"/>
          <w:szCs w:val="30"/>
        </w:rPr>
        <w:t>3承包人可支配范围内的工程结算造价超出合同价中承包人可支配范围的，按合同价中承包人可支配范围价款作为封顶价办理结算。</w:t>
      </w:r>
    </w:p>
    <w:p w14:paraId="3E6EBB72">
      <w:pPr>
        <w:wordWrap/>
        <w:topLinePunct w:val="0"/>
        <w:spacing w:after="120"/>
        <w:ind w:firstLine="600"/>
        <w:rPr>
          <w:shd w:val="pct10" w:color="auto" w:fill="FFFFFF"/>
        </w:rPr>
      </w:pPr>
      <w:r>
        <w:rPr>
          <w:rFonts w:hint="eastAsia" w:ascii="仿宋_GB2312" w:eastAsia="仿宋_GB2312"/>
          <w:sz w:val="30"/>
          <w:szCs w:val="30"/>
        </w:rPr>
        <w:t>14.1.2.4 实行全过程限额设计和施工，限额投资。工程变更需经过发包人审定后方可实施。若因非承包人原因引起的变更将增减施工费用的，增减的施工费用与经有权审核部门审定的</w:t>
      </w:r>
      <w:r>
        <w:rPr>
          <w:rFonts w:hint="eastAsia" w:ascii="仿宋_GB2312" w:eastAsia="仿宋_GB2312" w:cs="宋体"/>
          <w:sz w:val="30"/>
          <w:szCs w:val="30"/>
        </w:rPr>
        <w:t>施工图预算</w:t>
      </w:r>
      <w:r>
        <w:rPr>
          <w:rFonts w:hint="eastAsia" w:ascii="仿宋_GB2312" w:eastAsia="仿宋_GB2312"/>
          <w:sz w:val="30"/>
          <w:szCs w:val="30"/>
        </w:rPr>
        <w:t>的合计数超出经有权审核部门审定的概算批复对应金额的，承包人应及时优化设计，确保施工费在审定的概算批复对应金额之内。暂列金额的使用：按专用条款约定可调材料价差以及由于法律法规变化、发包人提出的工程变更、签证、不可抗力增加的价款可以从暂列金额中支出计入合同价款，</w:t>
      </w:r>
      <w:r>
        <w:rPr>
          <w:rFonts w:hint="eastAsia" w:ascii="仿宋_GB2312" w:eastAsia="仿宋_GB2312"/>
          <w:sz w:val="30"/>
          <w:szCs w:val="30"/>
          <w:shd w:val="pct10" w:color="auto" w:fill="FFFFFF"/>
        </w:rPr>
        <w:t>最终施工费结算价不得超出概算批复的工程费用和经发包人批准同意使用的预备费之和。</w:t>
      </w:r>
    </w:p>
    <w:p w14:paraId="24A29439">
      <w:pPr>
        <w:wordWrap/>
        <w:topLinePunct w:val="0"/>
        <w:spacing w:after="120"/>
        <w:ind w:firstLine="600"/>
        <w:rPr>
          <w:rFonts w:ascii="仿宋_GB2312" w:eastAsia="仿宋_GB2312"/>
          <w:sz w:val="30"/>
          <w:szCs w:val="30"/>
        </w:rPr>
      </w:pPr>
      <w:r>
        <w:rPr>
          <w:rFonts w:hint="eastAsia" w:ascii="仿宋_GB2312" w:eastAsia="仿宋_GB2312"/>
          <w:sz w:val="30"/>
          <w:szCs w:val="30"/>
        </w:rPr>
        <w:t>14.1.2.5 因预算或材料价格审核时承包人与发包人（含监理单位）聘请第三方造价审查机构发生分歧时，不得作为影响施工的借口，暂停施工或拖延工程进度。</w:t>
      </w:r>
    </w:p>
    <w:p w14:paraId="2EC6C844">
      <w:pPr>
        <w:wordWrap/>
        <w:topLinePunct w:val="0"/>
        <w:spacing w:after="120"/>
        <w:ind w:firstLine="600"/>
        <w:rPr>
          <w:rFonts w:ascii="仿宋_GB2312" w:eastAsia="仿宋_GB2312"/>
          <w:sz w:val="30"/>
          <w:szCs w:val="30"/>
        </w:rPr>
      </w:pPr>
      <w:r>
        <w:rPr>
          <w:rFonts w:ascii="仿宋_GB2312" w:eastAsia="仿宋_GB2312"/>
          <w:sz w:val="30"/>
          <w:szCs w:val="30"/>
        </w:rPr>
        <w:t>发包人根据工程实施情况，有权对承包人的承包范围及内容进行适当调整，承包人必须无条件服从。</w:t>
      </w:r>
      <w:r>
        <w:rPr>
          <w:rFonts w:hint="eastAsia" w:ascii="仿宋_GB2312" w:eastAsia="仿宋_GB2312"/>
          <w:sz w:val="30"/>
          <w:szCs w:val="30"/>
        </w:rPr>
        <w:t>但合同价款有如下情形不做调整：</w:t>
      </w:r>
    </w:p>
    <w:p w14:paraId="1D9C628E">
      <w:pPr>
        <w:wordWrap/>
        <w:topLinePunct w:val="0"/>
        <w:spacing w:after="120"/>
        <w:ind w:firstLine="600"/>
        <w:rPr>
          <w:rFonts w:ascii="仿宋_GB2312" w:eastAsia="仿宋_GB2312"/>
          <w:sz w:val="30"/>
          <w:szCs w:val="30"/>
        </w:rPr>
      </w:pPr>
      <w:r>
        <w:rPr>
          <w:rFonts w:hint="eastAsia" w:ascii="仿宋_GB2312" w:eastAsia="仿宋_GB2312"/>
          <w:sz w:val="30"/>
          <w:szCs w:val="30"/>
        </w:rPr>
        <w:t>（1）承包人的设计错误或错漏碰差导致的工程变更费用增加部分由承包人自行承担，合同价格不作调整。</w:t>
      </w:r>
    </w:p>
    <w:p w14:paraId="67F2EDFB">
      <w:pPr>
        <w:wordWrap/>
        <w:topLinePunct w:val="0"/>
        <w:spacing w:after="120"/>
        <w:ind w:firstLine="600"/>
        <w:rPr>
          <w:rFonts w:ascii="仿宋_GB2312" w:eastAsia="仿宋_GB2312"/>
          <w:sz w:val="30"/>
          <w:szCs w:val="30"/>
        </w:rPr>
      </w:pPr>
      <w:r>
        <w:rPr>
          <w:rFonts w:hint="eastAsia" w:ascii="仿宋_GB2312" w:eastAsia="仿宋_GB2312"/>
          <w:sz w:val="30"/>
          <w:szCs w:val="30"/>
        </w:rPr>
        <w:t>（2）由于清单工程量偏差或价格清单漏项导致的费用增加部分由承包人自行承担，合同价格不作调整。</w:t>
      </w:r>
    </w:p>
    <w:p w14:paraId="136F684A">
      <w:pPr>
        <w:wordWrap/>
        <w:topLinePunct w:val="0"/>
        <w:spacing w:after="120"/>
        <w:ind w:firstLine="600"/>
        <w:rPr>
          <w:rFonts w:ascii="仿宋_GB2312" w:eastAsia="仿宋_GB2312"/>
          <w:sz w:val="30"/>
          <w:szCs w:val="30"/>
        </w:rPr>
      </w:pPr>
      <w:r>
        <w:rPr>
          <w:rFonts w:hint="eastAsia" w:ascii="仿宋_GB2312" w:eastAsia="仿宋_GB2312"/>
          <w:sz w:val="30"/>
          <w:szCs w:val="30"/>
        </w:rPr>
        <w:t>（3）因设计与现场不符，导致的工程变更费用增加部分由承包人自行承担，合同价格不作调整。</w:t>
      </w:r>
    </w:p>
    <w:p w14:paraId="3FABFA55">
      <w:pPr>
        <w:wordWrap/>
        <w:topLinePunct w:val="0"/>
        <w:spacing w:after="120"/>
        <w:ind w:firstLine="600"/>
        <w:rPr>
          <w:rFonts w:ascii="仿宋_GB2312" w:eastAsia="仿宋_GB2312"/>
          <w:sz w:val="30"/>
          <w:szCs w:val="30"/>
        </w:rPr>
      </w:pPr>
      <w:r>
        <w:rPr>
          <w:rFonts w:ascii="仿宋_GB2312" w:eastAsia="仿宋_GB2312"/>
          <w:sz w:val="30"/>
          <w:szCs w:val="30"/>
        </w:rPr>
        <w:t>承包人应在本工程开工前按规定缴纳工伤保险费。如因承包人未按规定缴纳工伤保险费导致本工程施工许可证未能如期办理的，由此引起的相关责任全部由承包人承担。</w:t>
      </w:r>
    </w:p>
    <w:p w14:paraId="12112B57">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4.1.3 </w:t>
      </w:r>
      <w:r>
        <w:rPr>
          <w:rFonts w:hint="eastAsia" w:ascii="仿宋_GB2312" w:eastAsia="仿宋_GB2312"/>
          <w:sz w:val="30"/>
          <w:szCs w:val="30"/>
        </w:rPr>
        <w:t>按实际完成的工程量支付工程价款的计量方法、估价方法：</w:t>
      </w:r>
      <w:r>
        <w:rPr>
          <w:rFonts w:hint="eastAsia" w:ascii="仿宋_GB2312" w:eastAsia="仿宋_GB2312"/>
          <w:sz w:val="30"/>
          <w:szCs w:val="30"/>
          <w:u w:val="single"/>
        </w:rPr>
        <w:t>按专用条款执行</w:t>
      </w:r>
      <w:r>
        <w:rPr>
          <w:rFonts w:hint="eastAsia" w:ascii="仿宋_GB2312" w:eastAsia="仿宋_GB2312"/>
          <w:sz w:val="30"/>
          <w:szCs w:val="30"/>
        </w:rPr>
        <w:t>。</w:t>
      </w:r>
    </w:p>
    <w:p w14:paraId="72B17C6D">
      <w:pPr>
        <w:pStyle w:val="26"/>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4.1.</w:t>
      </w:r>
      <w:r>
        <w:rPr>
          <w:rFonts w:hint="eastAsia" w:ascii="仿宋_GB2312" w:eastAsia="仿宋_GB2312"/>
          <w:sz w:val="30"/>
          <w:szCs w:val="30"/>
        </w:rPr>
        <w:t>4工程造价的控制</w:t>
      </w:r>
    </w:p>
    <w:p w14:paraId="07325C4F">
      <w:pPr>
        <w:pStyle w:val="26"/>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4.1.</w:t>
      </w:r>
      <w:r>
        <w:rPr>
          <w:rFonts w:hint="eastAsia" w:ascii="仿宋_GB2312" w:eastAsia="仿宋_GB2312"/>
          <w:sz w:val="30"/>
          <w:szCs w:val="30"/>
        </w:rPr>
        <w:t xml:space="preserve">4.1 合同价格控制及确定的办法 </w:t>
      </w:r>
    </w:p>
    <w:p w14:paraId="7EF66B78">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（1）</w:t>
      </w:r>
      <w:r>
        <w:rPr>
          <w:rFonts w:hint="eastAsia" w:ascii="仿宋_GB2312" w:eastAsia="仿宋_GB2312" w:cs="宋体"/>
          <w:sz w:val="30"/>
          <w:szCs w:val="30"/>
        </w:rPr>
        <w:t>施工图预算</w:t>
      </w:r>
      <w:r>
        <w:rPr>
          <w:rFonts w:hint="eastAsia" w:ascii="仿宋_GB2312" w:eastAsia="仿宋_GB2312"/>
          <w:sz w:val="30"/>
          <w:szCs w:val="30"/>
        </w:rPr>
        <w:t>：承包人按合同、招标文件及投标文件等相关约定进行</w:t>
      </w:r>
      <w:r>
        <w:rPr>
          <w:rFonts w:hint="eastAsia" w:ascii="仿宋_GB2312" w:eastAsia="仿宋_GB2312" w:cs="宋体"/>
          <w:sz w:val="30"/>
          <w:szCs w:val="30"/>
        </w:rPr>
        <w:t>施工图预算</w:t>
      </w:r>
      <w:r>
        <w:rPr>
          <w:rFonts w:hint="eastAsia" w:ascii="仿宋_GB2312" w:eastAsia="仿宋_GB2312"/>
          <w:sz w:val="30"/>
          <w:szCs w:val="30"/>
        </w:rPr>
        <w:t>的编制，并积极协调预算审定工作，否则，由此导致合同不能及时确定而影响进度款支付的，发包人不承担责任，</w:t>
      </w:r>
      <w:r>
        <w:rPr>
          <w:rFonts w:ascii="仿宋_GB2312" w:eastAsia="仿宋_GB2312"/>
          <w:sz w:val="30"/>
          <w:szCs w:val="30"/>
        </w:rPr>
        <w:t>审定后的</w:t>
      </w:r>
      <w:r>
        <w:rPr>
          <w:rFonts w:hint="eastAsia" w:ascii="仿宋_GB2312" w:eastAsia="仿宋_GB2312" w:cs="宋体"/>
          <w:sz w:val="30"/>
          <w:szCs w:val="30"/>
        </w:rPr>
        <w:t>施工图预算</w:t>
      </w:r>
      <w:r>
        <w:rPr>
          <w:rFonts w:ascii="仿宋_GB2312" w:eastAsia="仿宋_GB2312"/>
          <w:sz w:val="30"/>
          <w:szCs w:val="30"/>
        </w:rPr>
        <w:t>作为签订补充合同的依据</w:t>
      </w:r>
      <w:r>
        <w:rPr>
          <w:rFonts w:hint="eastAsia" w:ascii="仿宋_GB2312" w:eastAsia="仿宋_GB2312"/>
          <w:sz w:val="30"/>
          <w:szCs w:val="30"/>
        </w:rPr>
        <w:t>之一</w:t>
      </w:r>
      <w:r>
        <w:rPr>
          <w:rFonts w:ascii="仿宋_GB2312" w:eastAsia="仿宋_GB2312"/>
          <w:sz w:val="30"/>
          <w:szCs w:val="30"/>
        </w:rPr>
        <w:t>。</w:t>
      </w:r>
    </w:p>
    <w:p w14:paraId="483F0F5D">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（2）编制方法：</w:t>
      </w:r>
      <w:r>
        <w:rPr>
          <w:rFonts w:hint="eastAsia" w:ascii="仿宋_GB2312" w:eastAsia="仿宋_GB2312" w:cs="宋体"/>
          <w:sz w:val="30"/>
          <w:szCs w:val="30"/>
        </w:rPr>
        <w:t>施工图预算</w:t>
      </w:r>
      <w:r>
        <w:rPr>
          <w:rFonts w:hint="eastAsia" w:ascii="仿宋_GB2312" w:eastAsia="仿宋_GB2312"/>
          <w:sz w:val="30"/>
          <w:szCs w:val="30"/>
        </w:rPr>
        <w:t>编制范围及工程量计算，依据承包人设计、发包人审核并经相关主管部门批准的施工图纸、资料和说明，及有关国家及行业标准、规范等以清单计价方式进行编制；</w:t>
      </w:r>
    </w:p>
    <w:p w14:paraId="76F2612F">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（3）造价控制原则：</w:t>
      </w:r>
    </w:p>
    <w:p w14:paraId="1BA403FC">
      <w:pPr>
        <w:wordWrap/>
        <w:topLinePunct w:val="0"/>
        <w:spacing w:after="120"/>
        <w:ind w:firstLine="600" w:firstLineChars="0"/>
        <w:rPr>
          <w:rFonts w:ascii="仿宋_GB2312" w:eastAsia="仿宋_GB2312"/>
          <w:sz w:val="30"/>
          <w:szCs w:val="30"/>
          <w:highlight w:val="yellow"/>
        </w:rPr>
      </w:pPr>
      <w:r>
        <w:rPr>
          <w:rFonts w:hint="eastAsia" w:ascii="仿宋_GB2312" w:eastAsia="仿宋_GB2312" w:cs="宋体"/>
          <w:sz w:val="30"/>
          <w:szCs w:val="30"/>
        </w:rPr>
        <w:t>施工图预算</w:t>
      </w:r>
      <w:r>
        <w:rPr>
          <w:rFonts w:hint="eastAsia" w:ascii="仿宋_GB2312" w:eastAsia="仿宋_GB2312"/>
          <w:sz w:val="30"/>
          <w:szCs w:val="30"/>
        </w:rPr>
        <w:t>的造价控制原则：</w:t>
      </w:r>
      <w:r>
        <w:rPr>
          <w:rFonts w:hint="eastAsia" w:ascii="仿宋_GB2312" w:eastAsia="仿宋_GB2312" w:cs="宋体"/>
          <w:sz w:val="30"/>
          <w:szCs w:val="30"/>
        </w:rPr>
        <w:t>施工图预算</w:t>
      </w:r>
      <w:r>
        <w:rPr>
          <w:rFonts w:hint="eastAsia" w:ascii="仿宋_GB2312" w:eastAsia="仿宋_GB2312"/>
          <w:sz w:val="30"/>
          <w:szCs w:val="30"/>
        </w:rPr>
        <w:t>≤批复的初步设计概算中的建安工程费。</w:t>
      </w:r>
    </w:p>
    <w:p w14:paraId="68712541">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4.1.</w:t>
      </w:r>
      <w:r>
        <w:rPr>
          <w:rFonts w:hint="eastAsia" w:ascii="仿宋_GB2312" w:eastAsia="仿宋_GB2312"/>
          <w:sz w:val="30"/>
          <w:szCs w:val="30"/>
        </w:rPr>
        <w:t>4.</w:t>
      </w:r>
      <w:r>
        <w:rPr>
          <w:rFonts w:ascii="仿宋_GB2312" w:eastAsia="仿宋_GB2312"/>
          <w:sz w:val="30"/>
          <w:szCs w:val="30"/>
        </w:rPr>
        <w:t>2</w:t>
      </w:r>
      <w:r>
        <w:rPr>
          <w:rFonts w:hint="eastAsia" w:ascii="仿宋_GB2312" w:eastAsia="仿宋_GB2312" w:cs="宋体"/>
          <w:sz w:val="30"/>
          <w:szCs w:val="30"/>
        </w:rPr>
        <w:t>施工图预算</w:t>
      </w:r>
      <w:r>
        <w:rPr>
          <w:rFonts w:hint="eastAsia" w:ascii="仿宋_GB2312" w:eastAsia="仿宋_GB2312"/>
          <w:sz w:val="30"/>
          <w:szCs w:val="30"/>
        </w:rPr>
        <w:t>的编制</w:t>
      </w:r>
    </w:p>
    <w:p w14:paraId="4A41BEC4">
      <w:pPr>
        <w:numPr>
          <w:ilvl w:val="0"/>
          <w:numId w:val="27"/>
        </w:numPr>
        <w:wordWrap/>
        <w:topLinePunct w:val="0"/>
        <w:adjustRightInd/>
        <w:snapToGrid/>
        <w:spacing w:after="120"/>
        <w:ind w:firstLine="600" w:firstLineChars="0"/>
        <w:rPr>
          <w:rFonts w:ascii="仿宋_GB2312" w:eastAsia="仿宋_GB2312"/>
          <w:sz w:val="30"/>
          <w:szCs w:val="30"/>
        </w:rPr>
      </w:pPr>
      <w:r>
        <w:rPr>
          <w:rFonts w:ascii="仿宋_GB2312" w:eastAsia="仿宋_GB2312"/>
          <w:sz w:val="30"/>
          <w:szCs w:val="30"/>
        </w:rPr>
        <w:t>承包人</w:t>
      </w:r>
      <w:r>
        <w:rPr>
          <w:rFonts w:hint="eastAsia" w:ascii="仿宋_GB2312" w:eastAsia="仿宋_GB2312"/>
          <w:sz w:val="30"/>
          <w:szCs w:val="30"/>
        </w:rPr>
        <w:t>结合预算计费程序、预算编制方法、中标下浮率编制</w:t>
      </w:r>
      <w:r>
        <w:rPr>
          <w:rFonts w:hint="eastAsia" w:ascii="仿宋_GB2312" w:eastAsia="仿宋_GB2312" w:cs="宋体"/>
          <w:sz w:val="30"/>
          <w:szCs w:val="30"/>
        </w:rPr>
        <w:t>施工图预算</w:t>
      </w:r>
      <w:r>
        <w:rPr>
          <w:rFonts w:hint="eastAsia" w:ascii="仿宋_GB2312" w:eastAsia="仿宋_GB2312"/>
          <w:sz w:val="30"/>
          <w:szCs w:val="30"/>
        </w:rPr>
        <w:t>。发包人以经发包人或有权审批部门（或指定的第三方咨询机构）审定的</w:t>
      </w:r>
      <w:r>
        <w:rPr>
          <w:rFonts w:hint="eastAsia" w:ascii="仿宋_GB2312" w:eastAsia="仿宋_GB2312" w:cs="宋体"/>
          <w:sz w:val="30"/>
          <w:szCs w:val="30"/>
        </w:rPr>
        <w:t>施工图预算</w:t>
      </w:r>
      <w:r>
        <w:rPr>
          <w:rFonts w:hint="eastAsia" w:ascii="仿宋_GB2312" w:eastAsia="仿宋_GB2312"/>
          <w:sz w:val="30"/>
          <w:szCs w:val="30"/>
        </w:rPr>
        <w:t>进行工程费合同款的支付和结算（包括根据相关变更引起的工程费合同价款的调整）。如经发包人或其委托的第三方造价咨询单位初步审核的</w:t>
      </w:r>
      <w:r>
        <w:rPr>
          <w:rFonts w:hint="eastAsia" w:ascii="仿宋_GB2312" w:eastAsia="仿宋_GB2312" w:cs="宋体"/>
          <w:sz w:val="30"/>
          <w:szCs w:val="30"/>
        </w:rPr>
        <w:t>施工图预算</w:t>
      </w:r>
      <w:r>
        <w:rPr>
          <w:rFonts w:hint="eastAsia" w:ascii="仿宋_GB2312" w:eastAsia="仿宋_GB2312"/>
          <w:sz w:val="30"/>
          <w:szCs w:val="30"/>
        </w:rPr>
        <w:t>超过设计概算对应批复值</w:t>
      </w:r>
      <w:r>
        <w:rPr>
          <w:rFonts w:ascii="仿宋_GB2312" w:eastAsia="仿宋_GB2312"/>
          <w:sz w:val="30"/>
          <w:szCs w:val="30"/>
        </w:rPr>
        <w:t>，承包人应及时优化设计，</w:t>
      </w:r>
      <w:r>
        <w:rPr>
          <w:rFonts w:hint="eastAsia" w:ascii="仿宋_GB2312" w:eastAsia="仿宋_GB2312"/>
          <w:sz w:val="30"/>
          <w:szCs w:val="30"/>
        </w:rPr>
        <w:t>确保施工费在本项目设计概算批复对应金额之内。</w:t>
      </w:r>
    </w:p>
    <w:p w14:paraId="6BD7F602">
      <w:pPr>
        <w:numPr>
          <w:ilvl w:val="255"/>
          <w:numId w:val="0"/>
        </w:numPr>
        <w:wordWrap/>
        <w:topLinePunct w:val="0"/>
        <w:adjustRightInd/>
        <w:snapToGrid/>
        <w:spacing w:after="120"/>
        <w:ind w:firstLine="600" w:firstLineChars="200"/>
        <w:rPr>
          <w:rFonts w:ascii="仿宋_GB2312" w:eastAsia="仿宋_GB2312"/>
          <w:sz w:val="30"/>
          <w:szCs w:val="30"/>
        </w:rPr>
      </w:pPr>
      <w:r>
        <w:rPr>
          <w:rFonts w:hint="eastAsia" w:ascii="仿宋_GB2312" w:eastAsia="仿宋_GB2312"/>
          <w:sz w:val="30"/>
          <w:szCs w:val="30"/>
        </w:rPr>
        <w:t>（2）中标单位进场后，开展施工图设计工作，承包人承诺在不降低可行性研究报告、设计任务书、材料设备技术需求书中的主要设计指标（建筑高度、建筑面积等）、材料设备品牌档次、初步设计、工程概算的前提下进行施工图设计。</w:t>
      </w:r>
      <w:r>
        <w:rPr>
          <w:rFonts w:hint="eastAsia" w:ascii="仿宋_GB2312" w:eastAsia="仿宋_GB2312" w:cs="宋体"/>
          <w:sz w:val="30"/>
          <w:szCs w:val="30"/>
        </w:rPr>
        <w:t>施工图预算</w:t>
      </w:r>
      <w:r>
        <w:rPr>
          <w:rFonts w:hint="eastAsia" w:ascii="仿宋_GB2312" w:eastAsia="仿宋_GB2312"/>
          <w:sz w:val="30"/>
          <w:szCs w:val="30"/>
        </w:rPr>
        <w:t>的对应控制指标值为设计概算终审值</w:t>
      </w:r>
      <w:r>
        <w:rPr>
          <w:rFonts w:ascii="仿宋_GB2312" w:eastAsia="仿宋_GB2312"/>
          <w:sz w:val="30"/>
          <w:szCs w:val="30"/>
        </w:rPr>
        <w:t>。另设计概算中预备费，在</w:t>
      </w:r>
      <w:r>
        <w:rPr>
          <w:rFonts w:hint="eastAsia" w:ascii="仿宋_GB2312" w:eastAsia="仿宋_GB2312" w:cs="宋体"/>
          <w:sz w:val="30"/>
          <w:szCs w:val="30"/>
        </w:rPr>
        <w:t>施工图预算</w:t>
      </w:r>
      <w:r>
        <w:rPr>
          <w:rFonts w:hint="eastAsia" w:ascii="仿宋_GB2312" w:eastAsia="仿宋_GB2312"/>
          <w:sz w:val="30"/>
          <w:szCs w:val="30"/>
        </w:rPr>
        <w:t>中</w:t>
      </w:r>
      <w:r>
        <w:rPr>
          <w:rFonts w:ascii="仿宋_GB2312" w:eastAsia="仿宋_GB2312"/>
          <w:sz w:val="30"/>
          <w:szCs w:val="30"/>
        </w:rPr>
        <w:t>为非承包人支配范围。如果因承包人原因造成</w:t>
      </w:r>
      <w:r>
        <w:rPr>
          <w:rFonts w:hint="eastAsia" w:ascii="仿宋_GB2312" w:eastAsia="仿宋_GB2312" w:cs="宋体"/>
          <w:sz w:val="30"/>
          <w:szCs w:val="30"/>
        </w:rPr>
        <w:t>施工图预算</w:t>
      </w:r>
      <w:r>
        <w:rPr>
          <w:rFonts w:ascii="仿宋_GB2312" w:eastAsia="仿宋_GB2312"/>
          <w:sz w:val="30"/>
          <w:szCs w:val="30"/>
        </w:rPr>
        <w:t>超出经核准的上述目标值，承包人必须在初步设计的基础上对施工图进行修改，并保证设计质量标准和施工进度。优化调整施工图设计直至符合限额要求并承担相关费用。若承包人未按限额设计要求将施工图设计调整至符合限额要求的，则超出限额部分的费用由承包人承担。承包人为满足限额设计要求对各阶段设计文件和</w:t>
      </w:r>
      <w:r>
        <w:rPr>
          <w:rFonts w:hint="eastAsia" w:ascii="仿宋_GB2312" w:eastAsia="仿宋_GB2312" w:cs="宋体"/>
          <w:sz w:val="30"/>
          <w:szCs w:val="30"/>
        </w:rPr>
        <w:t>施工图预算</w:t>
      </w:r>
      <w:r>
        <w:rPr>
          <w:rFonts w:ascii="仿宋_GB2312" w:eastAsia="仿宋_GB2312"/>
          <w:sz w:val="30"/>
          <w:szCs w:val="30"/>
        </w:rPr>
        <w:t>进行调整的时间均不作为工期顺延理由。</w:t>
      </w:r>
    </w:p>
    <w:p w14:paraId="2CDAD3EC">
      <w:pPr>
        <w:spacing w:after="120"/>
        <w:ind w:firstLine="590" w:firstLineChars="196"/>
        <w:rPr>
          <w:rFonts w:ascii="仿宋_GB2312" w:eastAsia="仿宋_GB2312"/>
          <w:b/>
          <w:color w:val="FF0000"/>
          <w:sz w:val="30"/>
          <w:szCs w:val="30"/>
        </w:rPr>
      </w:pPr>
      <w:r>
        <w:rPr>
          <w:rFonts w:hint="eastAsia" w:ascii="仿宋_GB2312" w:eastAsia="仿宋_GB2312"/>
          <w:b/>
          <w:color w:val="FF0000"/>
          <w:sz w:val="30"/>
          <w:szCs w:val="30"/>
        </w:rPr>
        <w:t>（</w:t>
      </w:r>
      <w:r>
        <w:rPr>
          <w:rFonts w:ascii="仿宋_GB2312" w:eastAsia="仿宋_GB2312"/>
          <w:b/>
          <w:color w:val="FF0000"/>
          <w:sz w:val="30"/>
          <w:szCs w:val="30"/>
        </w:rPr>
        <w:t>3）承包人</w:t>
      </w:r>
      <w:r>
        <w:rPr>
          <w:rFonts w:hint="eastAsia" w:ascii="仿宋_GB2312" w:eastAsia="仿宋_GB2312"/>
          <w:b/>
          <w:color w:val="FF0000"/>
          <w:sz w:val="30"/>
          <w:szCs w:val="30"/>
        </w:rPr>
        <w:t>（或联合体牵头方）在施工图审查完成后</w:t>
      </w:r>
      <w:r>
        <w:rPr>
          <w:rFonts w:ascii="仿宋_GB2312" w:eastAsia="仿宋_GB2312"/>
          <w:b/>
          <w:color w:val="FF0000"/>
          <w:sz w:val="30"/>
          <w:szCs w:val="30"/>
        </w:rPr>
        <w:t>20天内完成施工图预算编制（如是联合体，各方均需加盖公章）并送发包人（或其委托的第三方审核单位）</w:t>
      </w:r>
      <w:r>
        <w:rPr>
          <w:rFonts w:hint="eastAsia" w:ascii="仿宋_GB2312" w:eastAsia="仿宋_GB2312"/>
          <w:b/>
          <w:color w:val="FF0000"/>
          <w:sz w:val="30"/>
          <w:szCs w:val="30"/>
        </w:rPr>
        <w:t>审核</w:t>
      </w:r>
      <w:r>
        <w:rPr>
          <w:rFonts w:ascii="仿宋_GB2312" w:eastAsia="仿宋_GB2312"/>
          <w:b/>
          <w:color w:val="FF0000"/>
          <w:sz w:val="30"/>
          <w:szCs w:val="30"/>
        </w:rPr>
        <w:t>，</w:t>
      </w:r>
      <w:r>
        <w:rPr>
          <w:rFonts w:hint="eastAsia" w:ascii="仿宋_GB2312" w:eastAsia="仿宋_GB2312"/>
          <w:b/>
          <w:color w:val="FF0000"/>
          <w:sz w:val="30"/>
          <w:szCs w:val="30"/>
        </w:rPr>
        <w:t>并按照《省代建局工程总承包施工图预算编制审核办法》配合发包人进行</w:t>
      </w:r>
      <w:r>
        <w:rPr>
          <w:rFonts w:hint="eastAsia" w:ascii="仿宋_GB2312" w:eastAsia="仿宋_GB2312" w:cs="宋体"/>
          <w:b/>
          <w:color w:val="FF0000"/>
          <w:sz w:val="30"/>
          <w:szCs w:val="30"/>
        </w:rPr>
        <w:t>施工图预算</w:t>
      </w:r>
      <w:r>
        <w:rPr>
          <w:rFonts w:hint="eastAsia" w:ascii="仿宋_GB2312" w:eastAsia="仿宋_GB2312"/>
          <w:b/>
          <w:color w:val="FF0000"/>
          <w:sz w:val="30"/>
          <w:szCs w:val="30"/>
        </w:rPr>
        <w:t>审核</w:t>
      </w:r>
      <w:r>
        <w:rPr>
          <w:rFonts w:ascii="仿宋_GB2312" w:eastAsia="仿宋_GB2312"/>
          <w:b/>
          <w:color w:val="FF0000"/>
          <w:sz w:val="30"/>
          <w:szCs w:val="30"/>
        </w:rPr>
        <w:t>。承包人对初步审核若有异议，则双方进行对数；自施工图审查完成后90天内完成与发包人</w:t>
      </w:r>
      <w:r>
        <w:rPr>
          <w:rFonts w:hint="eastAsia" w:ascii="仿宋_GB2312" w:eastAsia="仿宋_GB2312" w:cs="宋体"/>
          <w:b/>
          <w:color w:val="FF0000"/>
          <w:sz w:val="30"/>
          <w:szCs w:val="30"/>
        </w:rPr>
        <w:t>施工图预算</w:t>
      </w:r>
      <w:r>
        <w:rPr>
          <w:rFonts w:ascii="仿宋_GB2312" w:eastAsia="仿宋_GB2312"/>
          <w:b/>
          <w:color w:val="FF0000"/>
          <w:sz w:val="30"/>
          <w:szCs w:val="30"/>
        </w:rPr>
        <w:t>的对数工作，报送有权审批部门（或指定的第三方咨询机构）审批确认。承包人未按时提交</w:t>
      </w:r>
      <w:r>
        <w:rPr>
          <w:rFonts w:hint="eastAsia" w:ascii="仿宋_GB2312" w:eastAsia="仿宋_GB2312" w:cs="宋体"/>
          <w:b/>
          <w:color w:val="FF0000"/>
          <w:sz w:val="30"/>
          <w:szCs w:val="30"/>
        </w:rPr>
        <w:t>施工图预算</w:t>
      </w:r>
      <w:r>
        <w:rPr>
          <w:rFonts w:ascii="仿宋_GB2312" w:eastAsia="仿宋_GB2312"/>
          <w:b/>
          <w:color w:val="FF0000"/>
          <w:sz w:val="30"/>
          <w:szCs w:val="30"/>
        </w:rPr>
        <w:t>（超过三天或以上）视为违约，</w:t>
      </w:r>
      <w:r>
        <w:rPr>
          <w:rFonts w:hint="eastAsia" w:ascii="仿宋_GB2312" w:eastAsia="仿宋_GB2312"/>
          <w:b/>
          <w:color w:val="FF0000"/>
          <w:sz w:val="30"/>
          <w:szCs w:val="30"/>
        </w:rPr>
        <w:t>且</w:t>
      </w:r>
      <w:r>
        <w:rPr>
          <w:rFonts w:ascii="仿宋_GB2312" w:eastAsia="仿宋_GB2312"/>
          <w:b/>
          <w:color w:val="FF0000"/>
          <w:sz w:val="30"/>
          <w:szCs w:val="30"/>
        </w:rPr>
        <w:t>发包人有权</w:t>
      </w:r>
      <w:r>
        <w:rPr>
          <w:rFonts w:hint="eastAsia" w:ascii="仿宋_GB2312" w:eastAsia="仿宋_GB2312"/>
          <w:b/>
          <w:color w:val="FF0000"/>
          <w:sz w:val="30"/>
          <w:szCs w:val="30"/>
        </w:rPr>
        <w:t>暂停施工</w:t>
      </w:r>
      <w:r>
        <w:rPr>
          <w:rFonts w:ascii="仿宋_GB2312" w:eastAsia="仿宋_GB2312"/>
          <w:b/>
          <w:color w:val="FF0000"/>
          <w:sz w:val="30"/>
          <w:szCs w:val="30"/>
        </w:rPr>
        <w:t>，因此造成</w:t>
      </w:r>
      <w:r>
        <w:rPr>
          <w:rFonts w:hint="eastAsia" w:ascii="仿宋_GB2312" w:eastAsia="仿宋_GB2312" w:cs="宋体"/>
          <w:b/>
          <w:color w:val="FF0000"/>
          <w:sz w:val="30"/>
          <w:szCs w:val="30"/>
        </w:rPr>
        <w:t>施工图预算</w:t>
      </w:r>
      <w:r>
        <w:rPr>
          <w:rFonts w:ascii="仿宋_GB2312" w:eastAsia="仿宋_GB2312"/>
          <w:b/>
          <w:color w:val="FF0000"/>
          <w:sz w:val="30"/>
          <w:szCs w:val="30"/>
        </w:rPr>
        <w:t>送审延迟或对数造成</w:t>
      </w:r>
      <w:r>
        <w:rPr>
          <w:rFonts w:hint="eastAsia" w:ascii="仿宋_GB2312" w:eastAsia="仿宋_GB2312" w:cs="宋体"/>
          <w:b/>
          <w:color w:val="FF0000"/>
          <w:sz w:val="30"/>
          <w:szCs w:val="30"/>
        </w:rPr>
        <w:t>施工图预算</w:t>
      </w:r>
      <w:r>
        <w:rPr>
          <w:rFonts w:ascii="仿宋_GB2312" w:eastAsia="仿宋_GB2312"/>
          <w:b/>
          <w:color w:val="FF0000"/>
          <w:sz w:val="30"/>
          <w:szCs w:val="30"/>
        </w:rPr>
        <w:t>时间延误产生的后果均由承包人承担。</w:t>
      </w:r>
    </w:p>
    <w:p w14:paraId="3BE94C00">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4）工程施工图和</w:t>
      </w:r>
      <w:r>
        <w:rPr>
          <w:rFonts w:hint="eastAsia" w:ascii="仿宋_GB2312" w:eastAsia="仿宋_GB2312" w:cs="宋体"/>
          <w:sz w:val="30"/>
          <w:szCs w:val="30"/>
        </w:rPr>
        <w:t>施工图预算</w:t>
      </w:r>
      <w:r>
        <w:rPr>
          <w:rFonts w:ascii="仿宋_GB2312" w:eastAsia="仿宋_GB2312"/>
          <w:sz w:val="30"/>
          <w:szCs w:val="30"/>
        </w:rPr>
        <w:t>经有权审核部门（或指定的第三方咨询机构）审定后10天内，根据审定的</w:t>
      </w:r>
      <w:r>
        <w:rPr>
          <w:rFonts w:hint="eastAsia" w:ascii="仿宋_GB2312" w:eastAsia="仿宋_GB2312" w:cs="宋体"/>
          <w:sz w:val="30"/>
          <w:szCs w:val="30"/>
        </w:rPr>
        <w:t>施工图预算</w:t>
      </w:r>
      <w:r>
        <w:rPr>
          <w:rFonts w:ascii="仿宋_GB2312" w:eastAsia="仿宋_GB2312"/>
          <w:sz w:val="30"/>
          <w:szCs w:val="30"/>
        </w:rPr>
        <w:t>签订补充合同，以此作为工程进度款拨付的依据。承包人拖延或拒绝签订补充合同，发包人有权按审定后的</w:t>
      </w:r>
      <w:r>
        <w:rPr>
          <w:rFonts w:hint="eastAsia" w:ascii="仿宋_GB2312" w:eastAsia="仿宋_GB2312" w:cs="宋体"/>
          <w:sz w:val="30"/>
          <w:szCs w:val="30"/>
        </w:rPr>
        <w:t>施工图预算</w:t>
      </w:r>
      <w:r>
        <w:rPr>
          <w:rFonts w:ascii="仿宋_GB2312" w:eastAsia="仿宋_GB2312"/>
          <w:sz w:val="30"/>
          <w:szCs w:val="30"/>
        </w:rPr>
        <w:t>对应费用结合中标价款为依据来支付工程进度款，承包人应无条件认可。</w:t>
      </w:r>
      <w:r>
        <w:rPr>
          <w:rFonts w:hint="eastAsia" w:ascii="仿宋_GB2312" w:eastAsia="仿宋_GB2312"/>
          <w:sz w:val="30"/>
          <w:szCs w:val="30"/>
        </w:rPr>
        <w:t>全套施工图经过发包人、承包人、监理单位、造价单位会签后作为正式施工图纸，并进行封存、备案管理，该图纸将作为发包人开展施工图质量评价工作和开展</w:t>
      </w:r>
      <w:r>
        <w:rPr>
          <w:rFonts w:hint="eastAsia" w:ascii="仿宋_GB2312" w:eastAsia="仿宋_GB2312" w:cs="宋体"/>
          <w:sz w:val="30"/>
          <w:szCs w:val="30"/>
        </w:rPr>
        <w:t>施工图预算</w:t>
      </w:r>
      <w:r>
        <w:rPr>
          <w:rFonts w:hint="eastAsia" w:ascii="仿宋_GB2312" w:eastAsia="仿宋_GB2312"/>
          <w:sz w:val="30"/>
          <w:szCs w:val="30"/>
        </w:rPr>
        <w:t>编制、工程结算用图。</w:t>
      </w:r>
    </w:p>
    <w:p w14:paraId="2003F671">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（5）</w:t>
      </w:r>
      <w:r>
        <w:rPr>
          <w:rFonts w:hint="eastAsia" w:ascii="仿宋_GB2312" w:eastAsia="仿宋_GB2312" w:cs="宋体"/>
          <w:sz w:val="30"/>
          <w:szCs w:val="30"/>
        </w:rPr>
        <w:t>施工图预算</w:t>
      </w:r>
      <w:r>
        <w:rPr>
          <w:rFonts w:hint="eastAsia" w:ascii="仿宋_GB2312" w:eastAsia="仿宋_GB2312"/>
          <w:sz w:val="30"/>
          <w:szCs w:val="30"/>
        </w:rPr>
        <w:t>编制依据如下：</w:t>
      </w:r>
    </w:p>
    <w:p w14:paraId="7F64FC34">
      <w:pPr>
        <w:wordWrap/>
        <w:topLinePunct w:val="0"/>
        <w:adjustRightInd/>
        <w:snapToGrid/>
        <w:spacing w:after="120"/>
        <w:ind w:firstLine="600" w:firstLineChars="0"/>
        <w:rPr>
          <w:rFonts w:ascii="仿宋_GB2312" w:eastAsia="仿宋_GB2312"/>
          <w:sz w:val="30"/>
          <w:szCs w:val="30"/>
        </w:rPr>
      </w:pPr>
      <w:r>
        <w:rPr>
          <w:rFonts w:hint="eastAsia" w:ascii="仿宋_GB2312" w:eastAsia="仿宋_GB2312"/>
          <w:sz w:val="30"/>
          <w:szCs w:val="30"/>
        </w:rPr>
        <w:t>①本工程合同及附件、招标文件、招标文件附件、招标答疑；</w:t>
      </w:r>
    </w:p>
    <w:p w14:paraId="5B6519A7">
      <w:pPr>
        <w:wordWrap/>
        <w:topLinePunct w:val="0"/>
        <w:adjustRightInd/>
        <w:snapToGrid/>
        <w:spacing w:after="120"/>
        <w:ind w:firstLine="600" w:firstLineChars="0"/>
        <w:rPr>
          <w:rFonts w:ascii="仿宋_GB2312" w:eastAsia="仿宋_GB2312"/>
          <w:sz w:val="30"/>
          <w:szCs w:val="30"/>
        </w:rPr>
      </w:pPr>
      <w:r>
        <w:rPr>
          <w:rFonts w:hint="eastAsia" w:ascii="仿宋_GB2312" w:eastAsia="仿宋_GB2312"/>
          <w:sz w:val="30"/>
          <w:szCs w:val="30"/>
        </w:rPr>
        <w:t>②本工程投标文件；</w:t>
      </w:r>
    </w:p>
    <w:p w14:paraId="56A8019E">
      <w:pPr>
        <w:wordWrap/>
        <w:topLinePunct w:val="0"/>
        <w:adjustRightInd/>
        <w:snapToGrid/>
        <w:spacing w:after="120"/>
        <w:ind w:firstLine="600" w:firstLineChars="0"/>
        <w:rPr>
          <w:rFonts w:ascii="仿宋_GB2312" w:eastAsia="仿宋_GB2312"/>
          <w:sz w:val="30"/>
          <w:szCs w:val="30"/>
        </w:rPr>
      </w:pPr>
      <w:r>
        <w:rPr>
          <w:rFonts w:hint="eastAsia" w:ascii="仿宋_GB2312" w:eastAsia="仿宋_GB2312"/>
          <w:sz w:val="30"/>
          <w:szCs w:val="30"/>
        </w:rPr>
        <w:t>③经审查的施工图设计文件及专业深化图纸；</w:t>
      </w:r>
    </w:p>
    <w:p w14:paraId="1E81719C">
      <w:pPr>
        <w:wordWrap/>
        <w:topLinePunct w:val="0"/>
        <w:adjustRightInd/>
        <w:snapToGrid/>
        <w:spacing w:after="120"/>
        <w:ind w:firstLine="600" w:firstLineChars="0"/>
        <w:rPr>
          <w:rFonts w:ascii="仿宋_GB2312" w:eastAsia="仿宋_GB2312"/>
          <w:sz w:val="30"/>
          <w:szCs w:val="30"/>
        </w:rPr>
      </w:pPr>
      <w:r>
        <w:rPr>
          <w:rFonts w:hint="eastAsia" w:ascii="仿宋_GB2312" w:eastAsia="仿宋_GB2312"/>
          <w:sz w:val="30"/>
          <w:szCs w:val="30"/>
        </w:rPr>
        <w:t>④经批复的初步设计及概算文件；</w:t>
      </w:r>
    </w:p>
    <w:p w14:paraId="6F81C5CF">
      <w:pPr>
        <w:wordWrap/>
        <w:topLinePunct w:val="0"/>
        <w:adjustRightInd/>
        <w:snapToGrid/>
        <w:spacing w:after="120"/>
        <w:ind w:firstLine="600" w:firstLineChars="0"/>
        <w:rPr>
          <w:rFonts w:ascii="仿宋_GB2312" w:eastAsia="仿宋_GB2312"/>
          <w:sz w:val="30"/>
          <w:szCs w:val="30"/>
        </w:rPr>
      </w:pPr>
      <w:r>
        <w:rPr>
          <w:rFonts w:hint="eastAsia" w:ascii="仿宋_GB2312" w:eastAsia="仿宋_GB2312"/>
          <w:sz w:val="30"/>
          <w:szCs w:val="30"/>
        </w:rPr>
        <w:t>⑤《建设工程工程量清单计价规范》（</w:t>
      </w:r>
      <w:r>
        <w:rPr>
          <w:rFonts w:ascii="仿宋_GB2312" w:eastAsia="仿宋_GB2312"/>
          <w:sz w:val="30"/>
          <w:szCs w:val="30"/>
        </w:rPr>
        <w:t>GB50500-2013）；</w:t>
      </w:r>
    </w:p>
    <w:p w14:paraId="068A4706">
      <w:pPr>
        <w:wordWrap/>
        <w:topLinePunct w:val="0"/>
        <w:adjustRightInd/>
        <w:snapToGrid/>
        <w:spacing w:after="120"/>
        <w:ind w:firstLine="600" w:firstLineChars="0"/>
        <w:rPr>
          <w:rFonts w:ascii="仿宋_GB2312" w:eastAsia="仿宋_GB2312"/>
          <w:sz w:val="30"/>
          <w:szCs w:val="30"/>
        </w:rPr>
      </w:pPr>
      <w:r>
        <w:rPr>
          <w:rFonts w:hint="eastAsia" w:ascii="仿宋_GB2312" w:eastAsia="仿宋_GB2312"/>
          <w:sz w:val="30"/>
          <w:szCs w:val="30"/>
        </w:rPr>
        <w:t>⑥ 如</w:t>
      </w:r>
      <w:r>
        <w:rPr>
          <w:rFonts w:hint="eastAsia" w:ascii="仿宋_GB2312" w:eastAsia="仿宋_GB2312" w:cs="宋体"/>
          <w:kern w:val="2"/>
          <w:sz w:val="30"/>
          <w:szCs w:val="30"/>
        </w:rPr>
        <w:t>招标项目清单</w:t>
      </w:r>
      <w:r>
        <w:rPr>
          <w:rFonts w:hint="eastAsia" w:ascii="仿宋_GB2312" w:eastAsia="仿宋_GB2312"/>
          <w:sz w:val="30"/>
          <w:szCs w:val="30"/>
        </w:rPr>
        <w:t>有相应项目综合单价，则</w:t>
      </w:r>
      <w:r>
        <w:rPr>
          <w:rFonts w:hint="eastAsia" w:ascii="仿宋_GB2312" w:eastAsia="仿宋_GB2312" w:cs="宋体"/>
          <w:sz w:val="30"/>
          <w:szCs w:val="30"/>
        </w:rPr>
        <w:t>施工图预算</w:t>
      </w:r>
      <w:r>
        <w:rPr>
          <w:rFonts w:hint="eastAsia" w:ascii="仿宋_GB2312" w:eastAsia="仿宋_GB2312"/>
          <w:sz w:val="30"/>
          <w:szCs w:val="30"/>
        </w:rPr>
        <w:t>综合单价结合中标下浮率确定</w:t>
      </w:r>
      <w:r>
        <w:rPr>
          <w:rFonts w:hint="eastAsia" w:ascii="仿宋_GB2312" w:eastAsia="仿宋_GB2312" w:cs="宋体"/>
          <w:kern w:val="2"/>
          <w:sz w:val="30"/>
          <w:szCs w:val="30"/>
        </w:rPr>
        <w:t>（</w:t>
      </w:r>
      <w:r>
        <w:rPr>
          <w:rFonts w:hint="eastAsia" w:ascii="仿宋_GB2312" w:eastAsia="仿宋_GB2312" w:cs="宋体"/>
          <w:sz w:val="30"/>
          <w:szCs w:val="30"/>
        </w:rPr>
        <w:t>施工图预算</w:t>
      </w:r>
      <w:r>
        <w:rPr>
          <w:rFonts w:hint="eastAsia" w:ascii="仿宋_GB2312" w:eastAsia="仿宋_GB2312" w:cs="宋体"/>
          <w:kern w:val="2"/>
          <w:sz w:val="30"/>
          <w:szCs w:val="30"/>
        </w:rPr>
        <w:t>综合单价=价格清单综合单价×（1-中标下浮率）；</w:t>
      </w:r>
      <w:r>
        <w:rPr>
          <w:rFonts w:hint="eastAsia" w:ascii="仿宋_GB2312" w:eastAsia="仿宋_GB2312"/>
          <w:sz w:val="30"/>
          <w:szCs w:val="30"/>
        </w:rPr>
        <w:t>如</w:t>
      </w:r>
      <w:r>
        <w:rPr>
          <w:rFonts w:hint="eastAsia" w:ascii="仿宋_GB2312" w:eastAsia="仿宋_GB2312" w:cs="宋体"/>
          <w:kern w:val="2"/>
          <w:sz w:val="30"/>
          <w:szCs w:val="30"/>
        </w:rPr>
        <w:t>招标项目清单</w:t>
      </w:r>
      <w:r>
        <w:rPr>
          <w:rFonts w:hint="eastAsia" w:ascii="仿宋_GB2312" w:eastAsia="仿宋_GB2312"/>
          <w:sz w:val="30"/>
          <w:szCs w:val="30"/>
        </w:rPr>
        <w:t>无相应项目综合单价，则按变更估价原则确定综合单价，并报发包人或其委托的第三方造价咨询单位审核；</w:t>
      </w:r>
    </w:p>
    <w:p w14:paraId="5272106E">
      <w:pPr>
        <w:pStyle w:val="107"/>
        <w:numPr>
          <w:ilvl w:val="0"/>
          <w:numId w:val="28"/>
        </w:numPr>
        <w:adjustRightInd/>
        <w:snapToGrid/>
        <w:spacing w:after="120"/>
        <w:rPr>
          <w:rFonts w:ascii="仿宋_GB2312" w:eastAsia="仿宋_GB2312"/>
          <w:sz w:val="30"/>
          <w:szCs w:val="30"/>
        </w:rPr>
      </w:pPr>
      <w:r>
        <w:rPr>
          <w:rFonts w:hint="eastAsia" w:ascii="仿宋_GB2312" w:eastAsia="仿宋_GB2312"/>
          <w:sz w:val="30"/>
          <w:szCs w:val="30"/>
        </w:rPr>
        <w:t>双方约定的其他依据。</w:t>
      </w:r>
    </w:p>
    <w:p w14:paraId="244CC0BB">
      <w:pPr>
        <w:pStyle w:val="26"/>
        <w:numPr>
          <w:ilvl w:val="0"/>
          <w:numId w:val="29"/>
        </w:numPr>
        <w:spacing w:after="120"/>
        <w:ind w:firstLine="602"/>
        <w:rPr>
          <w:rFonts w:ascii="仿宋_GB2312" w:eastAsia="仿宋_GB2312"/>
          <w:b/>
          <w:color w:val="FF0000"/>
          <w:sz w:val="30"/>
          <w:szCs w:val="30"/>
        </w:rPr>
      </w:pPr>
      <w:r>
        <w:rPr>
          <w:rFonts w:ascii="仿宋_GB2312" w:eastAsia="仿宋_GB2312" w:cs="Times New Roman"/>
          <w:b/>
          <w:color w:val="FF0000"/>
          <w:kern w:val="0"/>
          <w:sz w:val="30"/>
          <w:szCs w:val="30"/>
        </w:rPr>
        <w:t>措施项目费：</w:t>
      </w:r>
      <w:r>
        <w:rPr>
          <w:rFonts w:hint="eastAsia" w:ascii="仿宋_GB2312" w:eastAsia="仿宋_GB2312"/>
          <w:b/>
          <w:color w:val="FF0000"/>
          <w:sz w:val="30"/>
          <w:szCs w:val="30"/>
        </w:rPr>
        <w:t>①措施项目中按系数计算的项目、以“项”计价的项目、</w:t>
      </w:r>
      <w:r>
        <w:rPr>
          <w:rFonts w:hint="eastAsia" w:ascii="仿宋_GB2312" w:eastAsia="仿宋_GB2312" w:cs="Times New Roman"/>
          <w:b/>
          <w:color w:val="FF0000"/>
          <w:kern w:val="0"/>
          <w:sz w:val="30"/>
          <w:szCs w:val="30"/>
        </w:rPr>
        <w:t>绿色施工安全防护措施项目</w:t>
      </w:r>
      <w:r>
        <w:rPr>
          <w:rFonts w:hint="eastAsia" w:ascii="仿宋_GB2312" w:eastAsia="仿宋_GB2312"/>
          <w:b/>
          <w:color w:val="FF0000"/>
          <w:sz w:val="30"/>
          <w:szCs w:val="30"/>
        </w:rPr>
        <w:t>包干使用，结算时不予调整；②措施项目中其余按子目计算的项目，按施工图实际工程量计取；</w:t>
      </w:r>
    </w:p>
    <w:p w14:paraId="57DBE8F8">
      <w:pPr>
        <w:pStyle w:val="26"/>
        <w:spacing w:after="120"/>
        <w:ind w:firstLine="602"/>
        <w:rPr>
          <w:rFonts w:ascii="仿宋_GB2312" w:eastAsia="仿宋_GB2312"/>
          <w:b/>
          <w:color w:val="FF0000"/>
          <w:sz w:val="30"/>
          <w:szCs w:val="30"/>
          <w:u w:val="single"/>
        </w:rPr>
      </w:pPr>
      <w:r>
        <w:rPr>
          <w:rFonts w:hint="eastAsia" w:ascii="仿宋_GB2312" w:eastAsia="仿宋_GB2312"/>
          <w:b/>
          <w:color w:val="FF0000"/>
          <w:sz w:val="30"/>
          <w:szCs w:val="30"/>
          <w:u w:val="single"/>
        </w:rPr>
        <w:t>绿色施工安全防护措施费（仅指不能按工作内容单独计量的绿色施工安全防护措施费，具体包括绿色施工、临时设施、安全施工和用工实名管理等四项）、暂列金额、规费、税率为非竞争性费用不参与下浮；其余均按照计费程序并结合中标下浮率下浮。</w:t>
      </w:r>
    </w:p>
    <w:p w14:paraId="1FF491AA">
      <w:pPr>
        <w:pStyle w:val="26"/>
        <w:spacing w:after="120"/>
        <w:ind w:firstLine="600" w:firstLineChars="0"/>
        <w:rPr>
          <w:rFonts w:ascii="仿宋_GB2312" w:eastAsia="仿宋_GB2312"/>
          <w:sz w:val="30"/>
          <w:szCs w:val="30"/>
        </w:rPr>
      </w:pPr>
      <w:r>
        <w:rPr>
          <w:rFonts w:hint="eastAsia" w:ascii="仿宋_GB2312" w:eastAsia="仿宋_GB2312"/>
          <w:sz w:val="30"/>
          <w:szCs w:val="30"/>
        </w:rPr>
        <w:t>（7）施工图预算文件组成：封面、签署页及目录、编制说明、建设项目预算汇总表、单项工程预算汇总表、单位工程预算明细表、主要材料设备价格表及说明、钢筋抽料表、经监理单位确认的施工组织设计或施工方案、材料设备采用的参考品牌；建设项目工程量计算及计价软件版。</w:t>
      </w:r>
    </w:p>
    <w:p w14:paraId="5C5A3EB6">
      <w:pPr>
        <w:spacing w:after="120"/>
        <w:ind w:firstLine="588" w:firstLineChars="196"/>
        <w:rPr>
          <w:rFonts w:ascii="仿宋_GB2312" w:eastAsia="仿宋_GB2312"/>
          <w:b/>
          <w:color w:val="FF0000"/>
          <w:sz w:val="30"/>
          <w:szCs w:val="30"/>
        </w:rPr>
      </w:pPr>
      <w:r>
        <w:rPr>
          <w:rFonts w:hint="eastAsia" w:ascii="仿宋_GB2312" w:eastAsia="仿宋_GB2312" w:cs="宋体"/>
          <w:sz w:val="30"/>
          <w:szCs w:val="30"/>
        </w:rPr>
        <w:t>（8）施工图预算</w:t>
      </w:r>
      <w:r>
        <w:rPr>
          <w:rFonts w:hint="eastAsia" w:ascii="仿宋_GB2312" w:eastAsia="仿宋_GB2312"/>
          <w:sz w:val="30"/>
          <w:szCs w:val="30"/>
        </w:rPr>
        <w:t>可采用分阶段编报方式，承包人（或联合体牵头方）在各专业施工图审查完成后20天内完成施工图预算的编制。承包人进场后10天内应提交</w:t>
      </w:r>
      <w:r>
        <w:rPr>
          <w:rFonts w:hint="eastAsia" w:ascii="仿宋_GB2312" w:eastAsia="仿宋_GB2312" w:cs="宋体"/>
          <w:sz w:val="30"/>
          <w:szCs w:val="30"/>
        </w:rPr>
        <w:t>施工图预算</w:t>
      </w:r>
      <w:r>
        <w:rPr>
          <w:rFonts w:hint="eastAsia" w:ascii="仿宋_GB2312" w:eastAsia="仿宋_GB2312"/>
          <w:sz w:val="30"/>
          <w:szCs w:val="30"/>
        </w:rPr>
        <w:t>报送计划，并根据发包人同意的</w:t>
      </w:r>
      <w:r>
        <w:rPr>
          <w:rFonts w:hint="eastAsia" w:ascii="仿宋_GB2312" w:eastAsia="仿宋_GB2312" w:cs="宋体"/>
          <w:sz w:val="30"/>
          <w:szCs w:val="30"/>
        </w:rPr>
        <w:t>施工图预算</w:t>
      </w:r>
      <w:r>
        <w:rPr>
          <w:rFonts w:hint="eastAsia" w:ascii="仿宋_GB2312" w:eastAsia="仿宋_GB2312"/>
          <w:sz w:val="30"/>
          <w:szCs w:val="30"/>
        </w:rPr>
        <w:t>报送计划提交。承包人按照①基坑支护及土方工程；②主体结构工程；③机电安装工程；④装饰装修工程；⑤室外园林景观绿化工程等阶段编制上报</w:t>
      </w:r>
      <w:r>
        <w:rPr>
          <w:rFonts w:hint="eastAsia" w:ascii="仿宋_GB2312" w:eastAsia="仿宋_GB2312" w:cs="宋体"/>
          <w:sz w:val="30"/>
          <w:szCs w:val="30"/>
        </w:rPr>
        <w:t>施工图预算</w:t>
      </w:r>
      <w:r>
        <w:rPr>
          <w:rFonts w:hint="eastAsia" w:ascii="仿宋_GB2312" w:eastAsia="仿宋_GB2312"/>
          <w:sz w:val="30"/>
          <w:szCs w:val="30"/>
        </w:rPr>
        <w:t>。其每阶段编报或审核</w:t>
      </w:r>
      <w:r>
        <w:rPr>
          <w:rFonts w:hint="eastAsia" w:ascii="仿宋_GB2312" w:eastAsia="仿宋_GB2312" w:cs="宋体"/>
          <w:sz w:val="30"/>
          <w:szCs w:val="30"/>
        </w:rPr>
        <w:t>施工图预算</w:t>
      </w:r>
      <w:r>
        <w:rPr>
          <w:rFonts w:hint="eastAsia" w:ascii="仿宋_GB2312" w:eastAsia="仿宋_GB2312"/>
          <w:sz w:val="30"/>
          <w:szCs w:val="30"/>
        </w:rPr>
        <w:t>不得超过发包人批准的投资控制分解及二级限额设计批准上述阶段所对应金额。</w:t>
      </w:r>
      <w:r>
        <w:rPr>
          <w:rFonts w:ascii="仿宋_GB2312" w:eastAsia="仿宋_GB2312"/>
          <w:b/>
          <w:color w:val="FF0000"/>
          <w:sz w:val="30"/>
          <w:szCs w:val="30"/>
        </w:rPr>
        <w:t>自施工图审查完成后60天内完成与发包人</w:t>
      </w:r>
      <w:r>
        <w:rPr>
          <w:rFonts w:hint="eastAsia" w:ascii="仿宋_GB2312" w:eastAsia="仿宋_GB2312" w:cs="宋体"/>
          <w:b/>
          <w:color w:val="FF0000"/>
          <w:sz w:val="30"/>
          <w:szCs w:val="30"/>
        </w:rPr>
        <w:t>施工图预算</w:t>
      </w:r>
      <w:r>
        <w:rPr>
          <w:rFonts w:ascii="仿宋_GB2312" w:eastAsia="仿宋_GB2312"/>
          <w:b/>
          <w:color w:val="FF0000"/>
          <w:sz w:val="30"/>
          <w:szCs w:val="30"/>
        </w:rPr>
        <w:t>的对数工作，报送有权审批部门（或指定的第三方咨询机构）审批确认。</w:t>
      </w:r>
      <w:r>
        <w:rPr>
          <w:rFonts w:hint="eastAsia" w:ascii="仿宋_GB2312" w:eastAsia="仿宋_GB2312"/>
          <w:b/>
          <w:color w:val="FF0000"/>
          <w:sz w:val="30"/>
          <w:szCs w:val="30"/>
        </w:rPr>
        <w:t>承包人未能按上述要求时间提交施工图预算的，</w:t>
      </w:r>
      <w:r>
        <w:rPr>
          <w:rFonts w:ascii="仿宋_GB2312" w:eastAsia="仿宋_GB2312"/>
          <w:b/>
          <w:color w:val="FF0000"/>
          <w:sz w:val="30"/>
          <w:szCs w:val="30"/>
        </w:rPr>
        <w:t>发包人有权</w:t>
      </w:r>
      <w:r>
        <w:rPr>
          <w:rFonts w:hint="eastAsia" w:ascii="仿宋_GB2312" w:eastAsia="仿宋_GB2312"/>
          <w:b/>
          <w:color w:val="FF0000"/>
          <w:sz w:val="30"/>
          <w:szCs w:val="30"/>
        </w:rPr>
        <w:t>暂停施工</w:t>
      </w:r>
      <w:r>
        <w:rPr>
          <w:rFonts w:ascii="仿宋_GB2312" w:eastAsia="仿宋_GB2312"/>
          <w:b/>
          <w:color w:val="FF0000"/>
          <w:sz w:val="30"/>
          <w:szCs w:val="30"/>
        </w:rPr>
        <w:t>，</w:t>
      </w:r>
      <w:r>
        <w:rPr>
          <w:rFonts w:hint="eastAsia" w:ascii="仿宋_GB2312" w:eastAsia="仿宋_GB2312"/>
          <w:b/>
          <w:color w:val="FF0000"/>
          <w:sz w:val="30"/>
          <w:szCs w:val="30"/>
        </w:rPr>
        <w:t>造成</w:t>
      </w:r>
      <w:r>
        <w:rPr>
          <w:rFonts w:hint="eastAsia" w:ascii="仿宋_GB2312" w:eastAsia="仿宋_GB2312" w:cs="宋体"/>
          <w:b/>
          <w:color w:val="FF0000"/>
          <w:sz w:val="30"/>
          <w:szCs w:val="30"/>
        </w:rPr>
        <w:t>施工图预算</w:t>
      </w:r>
      <w:r>
        <w:rPr>
          <w:rFonts w:ascii="仿宋_GB2312" w:eastAsia="仿宋_GB2312"/>
          <w:b/>
          <w:color w:val="FF0000"/>
          <w:sz w:val="30"/>
          <w:szCs w:val="30"/>
        </w:rPr>
        <w:t>送审延迟或对数造成</w:t>
      </w:r>
      <w:r>
        <w:rPr>
          <w:rFonts w:hint="eastAsia" w:ascii="仿宋_GB2312" w:eastAsia="仿宋_GB2312" w:cs="宋体"/>
          <w:b/>
          <w:color w:val="FF0000"/>
          <w:sz w:val="30"/>
          <w:szCs w:val="30"/>
        </w:rPr>
        <w:t>施工图预算</w:t>
      </w:r>
      <w:r>
        <w:rPr>
          <w:rFonts w:ascii="仿宋_GB2312" w:eastAsia="仿宋_GB2312"/>
          <w:b/>
          <w:color w:val="FF0000"/>
          <w:sz w:val="30"/>
          <w:szCs w:val="30"/>
        </w:rPr>
        <w:t>时间延误产生的</w:t>
      </w:r>
      <w:r>
        <w:rPr>
          <w:rFonts w:hint="eastAsia" w:ascii="仿宋_GB2312" w:eastAsia="仿宋_GB2312"/>
          <w:b/>
          <w:color w:val="FF0000"/>
          <w:sz w:val="30"/>
          <w:szCs w:val="30"/>
        </w:rPr>
        <w:t>损失及后果均由承包人承担。</w:t>
      </w:r>
    </w:p>
    <w:p w14:paraId="56C944EC">
      <w:pPr>
        <w:pStyle w:val="26"/>
        <w:spacing w:after="120"/>
        <w:ind w:firstLine="602" w:firstLineChars="200"/>
        <w:rPr>
          <w:rFonts w:ascii="仿宋_GB2312" w:eastAsia="仿宋_GB2312"/>
          <w:b/>
          <w:color w:val="FF0000"/>
          <w:sz w:val="30"/>
          <w:szCs w:val="30"/>
        </w:rPr>
      </w:pPr>
      <w:r>
        <w:rPr>
          <w:rFonts w:ascii="仿宋_GB2312" w:eastAsia="仿宋_GB2312"/>
          <w:b/>
          <w:color w:val="FF0000"/>
          <w:sz w:val="30"/>
          <w:szCs w:val="30"/>
        </w:rPr>
        <w:t>（9）</w:t>
      </w:r>
      <w:r>
        <w:rPr>
          <w:rFonts w:hint="eastAsia" w:ascii="仿宋_GB2312" w:eastAsia="仿宋_GB2312"/>
          <w:b/>
          <w:color w:val="FF0000"/>
          <w:sz w:val="30"/>
          <w:szCs w:val="30"/>
        </w:rPr>
        <w:t>本项目实行限额设计，限额投资。除合同另有约定外，施工图预算不超过概算中对应的工程费用（一类费用），如超过批复的初步设计概算中对应的工程费用（一类费用），承包人须进行重新调整设计或优化设计，直至施工图预算在审定批复的初步设计概算中对应的工程费用（一类费用）以内，重新调整设计或优化设计不得降低工程规模、使用标准、质量等级，其成果须经发包人批准。</w:t>
      </w:r>
    </w:p>
    <w:p w14:paraId="0F68DACD">
      <w:pPr>
        <w:pStyle w:val="26"/>
        <w:spacing w:after="120"/>
        <w:ind w:left="0" w:firstLine="600" w:firstLineChars="200"/>
        <w:jc w:val="left"/>
        <w:rPr>
          <w:rFonts w:ascii="仿宋_GB2312" w:eastAsia="仿宋_GB2312"/>
          <w:sz w:val="30"/>
          <w:szCs w:val="30"/>
        </w:rPr>
      </w:pPr>
      <w:r>
        <w:rPr>
          <w:rFonts w:ascii="仿宋_GB2312" w:eastAsia="仿宋_GB2312"/>
          <w:sz w:val="30"/>
          <w:szCs w:val="30"/>
        </w:rPr>
        <w:t>（</w:t>
      </w:r>
      <w:r>
        <w:rPr>
          <w:rFonts w:hint="eastAsia" w:ascii="仿宋_GB2312" w:eastAsia="仿宋_GB2312"/>
          <w:sz w:val="30"/>
          <w:szCs w:val="30"/>
        </w:rPr>
        <w:t>10</w:t>
      </w:r>
      <w:r>
        <w:rPr>
          <w:rFonts w:ascii="仿宋_GB2312" w:eastAsia="仿宋_GB2312"/>
          <w:sz w:val="30"/>
          <w:szCs w:val="30"/>
        </w:rPr>
        <w:t>）</w:t>
      </w:r>
      <w:r>
        <w:rPr>
          <w:rFonts w:hint="eastAsia" w:ascii="仿宋_GB2312" w:eastAsia="仿宋_GB2312"/>
          <w:sz w:val="30"/>
          <w:szCs w:val="30"/>
        </w:rPr>
        <w:t xml:space="preserve"> 重新调整设计或优化设计的设计费用由承包人自行承担，清单编制费或重新调整设计或优化设计重新调整的清单编制费由承包人自行承担。</w:t>
      </w:r>
    </w:p>
    <w:p w14:paraId="2377AE18">
      <w:pPr>
        <w:pStyle w:val="26"/>
        <w:spacing w:after="120"/>
        <w:ind w:left="-361" w:firstLine="900" w:firstLineChars="300"/>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1</w:t>
      </w:r>
      <w:r>
        <w:rPr>
          <w:rFonts w:ascii="仿宋_GB2312" w:eastAsia="仿宋_GB2312"/>
          <w:sz w:val="30"/>
          <w:szCs w:val="30"/>
        </w:rPr>
        <w:t>）</w:t>
      </w:r>
      <w:r>
        <w:rPr>
          <w:rFonts w:hint="eastAsia" w:ascii="仿宋_GB2312" w:eastAsia="仿宋_GB2312"/>
          <w:sz w:val="30"/>
          <w:szCs w:val="30"/>
        </w:rPr>
        <w:t>施工图预算提交时间及编制质量：</w:t>
      </w:r>
    </w:p>
    <w:p w14:paraId="0AB776B0">
      <w:pPr>
        <w:pStyle w:val="26"/>
        <w:spacing w:after="120"/>
        <w:ind w:firstLine="600"/>
        <w:rPr>
          <w:rFonts w:ascii="仿宋_GB2312" w:eastAsia="仿宋_GB2312"/>
          <w:sz w:val="30"/>
          <w:szCs w:val="30"/>
        </w:rPr>
      </w:pPr>
      <w:r>
        <w:rPr>
          <w:rFonts w:hint="eastAsia" w:ascii="仿宋_GB2312" w:eastAsia="仿宋_GB2312"/>
          <w:sz w:val="30"/>
          <w:szCs w:val="30"/>
        </w:rPr>
        <w:t>施工图预算提交时间及编制质量未达到要求的，应承担的违约责任：</w:t>
      </w:r>
      <w:r>
        <w:rPr>
          <w:rFonts w:hint="eastAsia" w:ascii="仿宋_GB2312" w:eastAsia="仿宋_GB2312"/>
          <w:b/>
          <w:color w:val="FF0000"/>
          <w:sz w:val="30"/>
          <w:szCs w:val="30"/>
        </w:rPr>
        <w:t>按附件</w:t>
      </w:r>
      <w:r>
        <w:rPr>
          <w:rFonts w:ascii="仿宋_GB2312" w:eastAsia="仿宋_GB2312"/>
          <w:b/>
          <w:color w:val="FF0000"/>
          <w:sz w:val="30"/>
          <w:szCs w:val="30"/>
        </w:rPr>
        <w:t xml:space="preserve">10 </w:t>
      </w:r>
      <w:r>
        <w:rPr>
          <w:rFonts w:hint="eastAsia" w:ascii="仿宋_GB2312" w:eastAsia="仿宋_GB2312"/>
          <w:b/>
          <w:color w:val="FF0000"/>
          <w:sz w:val="30"/>
          <w:szCs w:val="30"/>
        </w:rPr>
        <w:t>设计部分合同专章</w:t>
      </w:r>
      <w:r>
        <w:rPr>
          <w:rFonts w:ascii="仿宋_GB2312" w:eastAsia="仿宋_GB2312"/>
          <w:b/>
          <w:color w:val="FF0000"/>
          <w:sz w:val="30"/>
          <w:szCs w:val="30"/>
        </w:rPr>
        <w:t xml:space="preserve"> </w:t>
      </w:r>
      <w:r>
        <w:rPr>
          <w:rFonts w:hint="eastAsia" w:ascii="仿宋_GB2312" w:eastAsia="仿宋_GB2312"/>
          <w:b/>
          <w:color w:val="FF0000"/>
          <w:sz w:val="30"/>
          <w:szCs w:val="30"/>
        </w:rPr>
        <w:t>第</w:t>
      </w:r>
      <w:r>
        <w:rPr>
          <w:rFonts w:ascii="仿宋_GB2312" w:eastAsia="仿宋_GB2312"/>
          <w:b/>
          <w:color w:val="FF0000"/>
          <w:sz w:val="30"/>
          <w:szCs w:val="30"/>
        </w:rPr>
        <w:t>5.3条承担违约责任。</w:t>
      </w:r>
    </w:p>
    <w:p w14:paraId="34685241">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4.1.</w:t>
      </w:r>
      <w:r>
        <w:rPr>
          <w:rFonts w:hint="eastAsia" w:ascii="仿宋_GB2312" w:eastAsia="仿宋_GB2312"/>
          <w:sz w:val="30"/>
          <w:szCs w:val="30"/>
        </w:rPr>
        <w:t xml:space="preserve">4.3 </w:t>
      </w:r>
      <w:r>
        <w:rPr>
          <w:rFonts w:hint="eastAsia" w:ascii="仿宋_GB2312" w:eastAsia="仿宋_GB2312" w:cs="宋体"/>
          <w:sz w:val="30"/>
          <w:szCs w:val="30"/>
        </w:rPr>
        <w:t>施工图预算</w:t>
      </w:r>
      <w:r>
        <w:rPr>
          <w:rFonts w:hint="eastAsia" w:ascii="仿宋_GB2312" w:eastAsia="仿宋_GB2312"/>
          <w:sz w:val="30"/>
          <w:szCs w:val="30"/>
        </w:rPr>
        <w:t>的审核</w:t>
      </w:r>
    </w:p>
    <w:p w14:paraId="087C6734">
      <w:pPr>
        <w:wordWrap/>
        <w:topLinePunct w:val="0"/>
        <w:spacing w:after="120"/>
        <w:ind w:firstLine="600" w:firstLineChars="0"/>
        <w:rPr>
          <w:rFonts w:ascii="仿宋_GB2312" w:eastAsia="仿宋_GB2312"/>
          <w:b/>
          <w:color w:val="FF0000"/>
          <w:sz w:val="30"/>
          <w:szCs w:val="30"/>
        </w:rPr>
      </w:pPr>
      <w:r>
        <w:rPr>
          <w:rFonts w:hint="eastAsia" w:ascii="仿宋_GB2312" w:eastAsia="仿宋_GB2312"/>
          <w:sz w:val="30"/>
          <w:szCs w:val="30"/>
        </w:rPr>
        <w:t>（</w:t>
      </w:r>
      <w:r>
        <w:rPr>
          <w:rFonts w:ascii="仿宋_GB2312" w:eastAsia="仿宋_GB2312"/>
          <w:sz w:val="30"/>
          <w:szCs w:val="30"/>
        </w:rPr>
        <w:t>1）</w:t>
      </w:r>
      <w:r>
        <w:rPr>
          <w:rFonts w:ascii="仿宋_GB2312" w:eastAsia="仿宋_GB2312"/>
          <w:b/>
          <w:color w:val="FF0000"/>
          <w:sz w:val="30"/>
          <w:szCs w:val="30"/>
        </w:rPr>
        <w:t>发包人委托</w:t>
      </w:r>
      <w:r>
        <w:rPr>
          <w:rFonts w:hint="eastAsia" w:ascii="仿宋_GB2312" w:eastAsia="仿宋_GB2312"/>
          <w:b/>
          <w:color w:val="FF0000"/>
          <w:sz w:val="30"/>
          <w:szCs w:val="30"/>
        </w:rPr>
        <w:t>的第三方造价咨询单位</w:t>
      </w:r>
      <w:r>
        <w:rPr>
          <w:rFonts w:ascii="仿宋_GB2312" w:eastAsia="仿宋_GB2312"/>
          <w:b/>
          <w:color w:val="FF0000"/>
          <w:sz w:val="30"/>
          <w:szCs w:val="30"/>
        </w:rPr>
        <w:t>审核承包人提交的</w:t>
      </w:r>
      <w:r>
        <w:rPr>
          <w:rFonts w:hint="eastAsia" w:ascii="仿宋_GB2312" w:eastAsia="仿宋_GB2312" w:cs="宋体"/>
          <w:b/>
          <w:color w:val="FF0000"/>
          <w:sz w:val="30"/>
          <w:szCs w:val="30"/>
        </w:rPr>
        <w:t>施工图预算</w:t>
      </w:r>
      <w:r>
        <w:rPr>
          <w:rFonts w:ascii="仿宋_GB2312" w:eastAsia="仿宋_GB2312"/>
          <w:b/>
          <w:color w:val="FF0000"/>
          <w:sz w:val="30"/>
          <w:szCs w:val="30"/>
        </w:rPr>
        <w:t>，若承包人不能按合同约定的时间提交预算编制成果文件或其质量不能满足规定成果文件要求，经发包人催告后仍不能如期提交或质量不达标，发包人可委托</w:t>
      </w:r>
      <w:r>
        <w:rPr>
          <w:rFonts w:hint="eastAsia" w:ascii="仿宋_GB2312" w:eastAsia="仿宋_GB2312"/>
          <w:b/>
          <w:color w:val="FF0000"/>
          <w:sz w:val="30"/>
          <w:szCs w:val="30"/>
        </w:rPr>
        <w:t>第三方造价咨询单位</w:t>
      </w:r>
      <w:r>
        <w:rPr>
          <w:rFonts w:ascii="仿宋_GB2312" w:eastAsia="仿宋_GB2312"/>
          <w:b/>
          <w:color w:val="FF0000"/>
          <w:sz w:val="30"/>
          <w:szCs w:val="30"/>
        </w:rPr>
        <w:t>编制</w:t>
      </w:r>
      <w:r>
        <w:rPr>
          <w:rFonts w:hint="eastAsia" w:ascii="仿宋_GB2312" w:eastAsia="仿宋_GB2312" w:cs="宋体"/>
          <w:b/>
          <w:color w:val="FF0000"/>
          <w:sz w:val="30"/>
          <w:szCs w:val="30"/>
        </w:rPr>
        <w:t>施工图预算</w:t>
      </w:r>
      <w:r>
        <w:rPr>
          <w:rFonts w:ascii="仿宋_GB2312" w:eastAsia="仿宋_GB2312"/>
          <w:b/>
          <w:color w:val="FF0000"/>
          <w:sz w:val="30"/>
          <w:szCs w:val="30"/>
        </w:rPr>
        <w:t>，送交承包人核对，其预算编制费由承包人支付；编制费用参照广东省物价局粤价函[2011]742的规定计取。</w:t>
      </w:r>
    </w:p>
    <w:p w14:paraId="203F2BA4">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2）预算审核确定方式</w:t>
      </w:r>
    </w:p>
    <w:p w14:paraId="09C839B4">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①承包人配合发包人进行</w:t>
      </w:r>
      <w:r>
        <w:rPr>
          <w:rFonts w:hint="eastAsia" w:ascii="仿宋_GB2312" w:eastAsia="仿宋_GB2312" w:cs="宋体"/>
          <w:sz w:val="30"/>
          <w:szCs w:val="30"/>
        </w:rPr>
        <w:t>施工图预算</w:t>
      </w:r>
      <w:r>
        <w:rPr>
          <w:rFonts w:hint="eastAsia" w:ascii="仿宋_GB2312" w:eastAsia="仿宋_GB2312"/>
          <w:sz w:val="30"/>
          <w:szCs w:val="30"/>
        </w:rPr>
        <w:t>审核</w:t>
      </w:r>
      <w:r>
        <w:rPr>
          <w:rFonts w:hint="eastAsia" w:ascii="仿宋_GB2312" w:eastAsia="仿宋_GB2312"/>
          <w:b/>
          <w:color w:val="FF0000"/>
          <w:sz w:val="30"/>
          <w:szCs w:val="30"/>
        </w:rPr>
        <w:t>，</w:t>
      </w:r>
      <w:r>
        <w:rPr>
          <w:rFonts w:ascii="仿宋_GB2312" w:eastAsia="仿宋_GB2312"/>
          <w:b/>
          <w:color w:val="FF0000"/>
          <w:sz w:val="30"/>
          <w:szCs w:val="30"/>
        </w:rPr>
        <w:t>承包人在收到审核意见后15个日历天内完成复核，出具复核意见，承包人对审核若有异议，则双方进行对数，如果对数后仍然存在异议，暂按</w:t>
      </w:r>
      <w:r>
        <w:rPr>
          <w:rFonts w:hint="eastAsia" w:ascii="仿宋_GB2312" w:eastAsia="仿宋_GB2312"/>
          <w:b/>
          <w:color w:val="FF0000"/>
          <w:sz w:val="30"/>
          <w:szCs w:val="30"/>
        </w:rPr>
        <w:t>发包人委托的第三方造价咨询单位的</w:t>
      </w:r>
      <w:r>
        <w:rPr>
          <w:rFonts w:ascii="仿宋_GB2312" w:eastAsia="仿宋_GB2312"/>
          <w:b/>
          <w:color w:val="FF0000"/>
          <w:sz w:val="30"/>
          <w:szCs w:val="30"/>
        </w:rPr>
        <w:t>审核额支付进度款，异议部分造价在工程结算时报</w:t>
      </w:r>
      <w:r>
        <w:rPr>
          <w:rFonts w:hint="eastAsia" w:ascii="仿宋_GB2312" w:eastAsia="仿宋_GB2312"/>
          <w:b/>
          <w:color w:val="FF0000"/>
          <w:sz w:val="30"/>
          <w:szCs w:val="30"/>
        </w:rPr>
        <w:t>项目主管部门财政评审</w:t>
      </w:r>
      <w:r>
        <w:rPr>
          <w:rFonts w:ascii="仿宋_GB2312" w:eastAsia="仿宋_GB2312"/>
          <w:b/>
          <w:color w:val="FF0000"/>
          <w:sz w:val="30"/>
          <w:szCs w:val="30"/>
        </w:rPr>
        <w:t>。</w:t>
      </w:r>
      <w:r>
        <w:rPr>
          <w:rFonts w:ascii="仿宋_GB2312" w:eastAsia="仿宋_GB2312"/>
          <w:sz w:val="30"/>
          <w:szCs w:val="30"/>
        </w:rPr>
        <w:t>如承包人未在规定时间内提出复核意见，则视为承包人同意</w:t>
      </w:r>
      <w:r>
        <w:rPr>
          <w:rFonts w:hint="eastAsia" w:ascii="仿宋_GB2312" w:eastAsia="仿宋_GB2312"/>
          <w:sz w:val="30"/>
          <w:szCs w:val="30"/>
        </w:rPr>
        <w:t>第三方造价咨询单位</w:t>
      </w:r>
      <w:r>
        <w:rPr>
          <w:rFonts w:ascii="仿宋_GB2312" w:eastAsia="仿宋_GB2312"/>
          <w:sz w:val="30"/>
          <w:szCs w:val="30"/>
        </w:rPr>
        <w:t>的审核结果，经发包人同意后确定预算价。</w:t>
      </w:r>
    </w:p>
    <w:p w14:paraId="083EEC92">
      <w:pPr>
        <w:wordWrap/>
        <w:topLinePunct w:val="0"/>
        <w:spacing w:after="120"/>
        <w:ind w:firstLine="600" w:firstLineChars="0"/>
        <w:rPr>
          <w:rFonts w:ascii="仿宋_GB2312" w:eastAsia="仿宋_GB2312"/>
          <w:b/>
          <w:color w:val="FF0000"/>
          <w:sz w:val="30"/>
          <w:szCs w:val="30"/>
        </w:rPr>
      </w:pPr>
      <w:r>
        <w:rPr>
          <w:rFonts w:hint="eastAsia" w:ascii="仿宋_GB2312" w:eastAsia="仿宋_GB2312"/>
          <w:b/>
          <w:color w:val="FF0000"/>
          <w:sz w:val="30"/>
          <w:szCs w:val="30"/>
        </w:rPr>
        <w:t>承包人未能根据发包人同意的</w:t>
      </w:r>
      <w:r>
        <w:rPr>
          <w:rFonts w:hint="eastAsia" w:ascii="仿宋_GB2312" w:eastAsia="仿宋_GB2312" w:cs="宋体"/>
          <w:b/>
          <w:color w:val="FF0000"/>
          <w:sz w:val="30"/>
          <w:szCs w:val="30"/>
        </w:rPr>
        <w:t>施工图预算</w:t>
      </w:r>
      <w:r>
        <w:rPr>
          <w:rFonts w:hint="eastAsia" w:ascii="仿宋_GB2312" w:eastAsia="仿宋_GB2312"/>
          <w:b/>
          <w:color w:val="FF0000"/>
          <w:sz w:val="30"/>
          <w:szCs w:val="30"/>
        </w:rPr>
        <w:t>报审计划提交</w:t>
      </w:r>
      <w:r>
        <w:rPr>
          <w:rFonts w:hint="eastAsia" w:ascii="仿宋_GB2312" w:eastAsia="仿宋_GB2312" w:cs="宋体"/>
          <w:b/>
          <w:color w:val="FF0000"/>
          <w:sz w:val="30"/>
          <w:szCs w:val="30"/>
        </w:rPr>
        <w:t>施工图预算</w:t>
      </w:r>
      <w:r>
        <w:rPr>
          <w:rFonts w:hint="eastAsia" w:ascii="仿宋_GB2312" w:eastAsia="仿宋_GB2312"/>
          <w:b/>
          <w:color w:val="FF0000"/>
          <w:sz w:val="30"/>
          <w:szCs w:val="30"/>
        </w:rPr>
        <w:t>，拖延时间超过</w:t>
      </w:r>
      <w:r>
        <w:rPr>
          <w:rFonts w:ascii="仿宋_GB2312" w:eastAsia="仿宋_GB2312"/>
          <w:b/>
          <w:color w:val="FF0000"/>
          <w:sz w:val="30"/>
          <w:szCs w:val="30"/>
        </w:rPr>
        <w:t>30个日历天时。发包人有权委托造价工程师编制相应项目</w:t>
      </w:r>
      <w:r>
        <w:rPr>
          <w:rFonts w:hint="eastAsia" w:ascii="仿宋_GB2312" w:eastAsia="仿宋_GB2312" w:cs="宋体"/>
          <w:b/>
          <w:color w:val="FF0000"/>
          <w:sz w:val="30"/>
          <w:szCs w:val="30"/>
        </w:rPr>
        <w:t>施工图预算</w:t>
      </w:r>
      <w:r>
        <w:rPr>
          <w:rFonts w:ascii="仿宋_GB2312" w:eastAsia="仿宋_GB2312"/>
          <w:b/>
          <w:color w:val="FF0000"/>
          <w:sz w:val="30"/>
          <w:szCs w:val="30"/>
        </w:rPr>
        <w:t>，承包人需按</w:t>
      </w:r>
      <w:r>
        <w:rPr>
          <w:rFonts w:hint="eastAsia" w:ascii="仿宋_GB2312" w:eastAsia="仿宋_GB2312"/>
          <w:b/>
          <w:color w:val="FF0000"/>
          <w:sz w:val="30"/>
          <w:szCs w:val="30"/>
        </w:rPr>
        <w:t>第三方造价咨询单位</w:t>
      </w:r>
      <w:r>
        <w:rPr>
          <w:rFonts w:ascii="仿宋_GB2312" w:eastAsia="仿宋_GB2312"/>
          <w:b/>
          <w:color w:val="FF0000"/>
          <w:sz w:val="30"/>
          <w:szCs w:val="30"/>
        </w:rPr>
        <w:t>要求提供相关资料及配合工作，承包人应在收到</w:t>
      </w:r>
      <w:r>
        <w:rPr>
          <w:rFonts w:hint="eastAsia" w:ascii="仿宋_GB2312" w:eastAsia="仿宋_GB2312"/>
          <w:b/>
          <w:color w:val="FF0000"/>
          <w:sz w:val="30"/>
          <w:szCs w:val="30"/>
        </w:rPr>
        <w:t>第三方造价咨询单位</w:t>
      </w:r>
      <w:r>
        <w:rPr>
          <w:rFonts w:ascii="仿宋_GB2312" w:eastAsia="仿宋_GB2312"/>
          <w:b/>
          <w:color w:val="FF0000"/>
          <w:sz w:val="30"/>
          <w:szCs w:val="30"/>
        </w:rPr>
        <w:t>编制的</w:t>
      </w:r>
      <w:r>
        <w:rPr>
          <w:rFonts w:hint="eastAsia" w:ascii="仿宋_GB2312" w:eastAsia="仿宋_GB2312" w:cs="宋体"/>
          <w:b/>
          <w:color w:val="FF0000"/>
          <w:sz w:val="30"/>
          <w:szCs w:val="30"/>
        </w:rPr>
        <w:t>施工图预算</w:t>
      </w:r>
      <w:r>
        <w:rPr>
          <w:rFonts w:ascii="仿宋_GB2312" w:eastAsia="仿宋_GB2312"/>
          <w:b/>
          <w:color w:val="FF0000"/>
          <w:sz w:val="30"/>
          <w:szCs w:val="30"/>
        </w:rPr>
        <w:t>30个日历天内完成核对工作，提交核对意见。承包人与造价工程师对数后仍然存在异议，暂按</w:t>
      </w:r>
      <w:r>
        <w:rPr>
          <w:rFonts w:hint="eastAsia" w:ascii="仿宋_GB2312" w:eastAsia="仿宋_GB2312"/>
          <w:b/>
          <w:color w:val="FF0000"/>
          <w:sz w:val="30"/>
          <w:szCs w:val="30"/>
        </w:rPr>
        <w:t>第三方造价咨询单位</w:t>
      </w:r>
      <w:r>
        <w:rPr>
          <w:rFonts w:ascii="仿宋_GB2312" w:eastAsia="仿宋_GB2312"/>
          <w:b/>
          <w:color w:val="FF0000"/>
          <w:sz w:val="30"/>
          <w:szCs w:val="30"/>
        </w:rPr>
        <w:t>审核额支付进度款，异议部分造价在工程结算时报</w:t>
      </w:r>
      <w:r>
        <w:rPr>
          <w:rFonts w:hint="eastAsia" w:ascii="仿宋_GB2312" w:eastAsia="仿宋_GB2312"/>
          <w:b/>
          <w:color w:val="FF0000"/>
          <w:sz w:val="30"/>
          <w:szCs w:val="30"/>
        </w:rPr>
        <w:t>项目主管部门财政评审</w:t>
      </w:r>
      <w:r>
        <w:rPr>
          <w:rFonts w:ascii="仿宋_GB2312" w:eastAsia="仿宋_GB2312"/>
          <w:b/>
          <w:color w:val="FF0000"/>
          <w:sz w:val="30"/>
          <w:szCs w:val="30"/>
        </w:rPr>
        <w:t>。</w:t>
      </w:r>
    </w:p>
    <w:p w14:paraId="09197471">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因承包人送审预算延迟、核对预算延迟，或对数延误产生的后果由承包人承担。</w:t>
      </w:r>
    </w:p>
    <w:p w14:paraId="549487A8">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②因</w:t>
      </w:r>
      <w:r>
        <w:rPr>
          <w:rFonts w:hint="eastAsia" w:ascii="仿宋_GB2312" w:eastAsia="仿宋_GB2312" w:cs="宋体"/>
          <w:sz w:val="30"/>
          <w:szCs w:val="30"/>
        </w:rPr>
        <w:t>施工图预算</w:t>
      </w:r>
      <w:r>
        <w:rPr>
          <w:rFonts w:hint="eastAsia" w:ascii="仿宋_GB2312" w:eastAsia="仿宋_GB2312"/>
          <w:sz w:val="30"/>
          <w:szCs w:val="30"/>
        </w:rPr>
        <w:t>或材料价格审核时承包人与第三方造价咨询单位、发包人发生分歧时，不得作为影响施工的借口，暂停施工或拖延工程进度。如承包人以存在分歧拒绝施工，或者实质上拖延工程进度，经发包人发出整改指令后</w:t>
      </w:r>
      <w:r>
        <w:rPr>
          <w:rFonts w:ascii="仿宋_GB2312" w:eastAsia="仿宋_GB2312"/>
          <w:sz w:val="30"/>
          <w:szCs w:val="30"/>
        </w:rPr>
        <w:t>15个日历天内仍未改正的，发包人有权解除合同，承包人应赔偿发包人由此带来的一切损失。</w:t>
      </w:r>
    </w:p>
    <w:p w14:paraId="0734A98C">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14.2 预付款</w:t>
      </w:r>
    </w:p>
    <w:p w14:paraId="7570FEC1">
      <w:pPr>
        <w:wordWrap/>
        <w:topLinePunct w:val="0"/>
        <w:spacing w:after="120"/>
        <w:ind w:firstLine="600"/>
        <w:rPr>
          <w:rFonts w:ascii="仿宋_GB2312" w:eastAsia="仿宋_GB2312"/>
          <w:sz w:val="30"/>
          <w:szCs w:val="30"/>
        </w:rPr>
      </w:pPr>
      <w:r>
        <w:rPr>
          <w:rFonts w:ascii="仿宋_GB2312" w:eastAsia="仿宋_GB2312"/>
          <w:sz w:val="30"/>
          <w:szCs w:val="30"/>
        </w:rPr>
        <w:t xml:space="preserve">14.2.1 </w:t>
      </w:r>
      <w:r>
        <w:rPr>
          <w:rFonts w:hint="eastAsia" w:ascii="仿宋_GB2312" w:eastAsia="仿宋_GB2312"/>
          <w:sz w:val="30"/>
          <w:szCs w:val="30"/>
        </w:rPr>
        <w:t>预付款支付</w:t>
      </w:r>
    </w:p>
    <w:p w14:paraId="78DD7C7A">
      <w:pPr>
        <w:wordWrap/>
        <w:topLinePunct w:val="0"/>
        <w:spacing w:after="120"/>
        <w:ind w:firstLine="600"/>
        <w:rPr>
          <w:rFonts w:ascii="仿宋_GB2312" w:eastAsia="仿宋_GB2312"/>
          <w:sz w:val="30"/>
          <w:szCs w:val="30"/>
          <w:u w:val="single"/>
        </w:rPr>
      </w:pPr>
      <w:r>
        <w:rPr>
          <w:rFonts w:hint="eastAsia" w:ascii="仿宋_GB2312" w:eastAsia="仿宋_GB2312"/>
          <w:sz w:val="30"/>
          <w:szCs w:val="30"/>
        </w:rPr>
        <w:t>预付款的金额或比例为：</w:t>
      </w:r>
    </w:p>
    <w:p w14:paraId="708B135F">
      <w:pPr>
        <w:wordWrap/>
        <w:topLinePunct w:val="0"/>
        <w:spacing w:after="120"/>
        <w:ind w:firstLine="600"/>
        <w:rPr>
          <w:rFonts w:ascii="仿宋_GB2312" w:eastAsia="仿宋_GB2312"/>
          <w:sz w:val="30"/>
          <w:szCs w:val="30"/>
          <w:u w:val="single"/>
        </w:rPr>
      </w:pPr>
      <w:r>
        <w:rPr>
          <w:rFonts w:ascii="仿宋_GB2312" w:eastAsia="仿宋_GB2312"/>
          <w:sz w:val="30"/>
          <w:szCs w:val="30"/>
          <w:u w:val="single"/>
        </w:rPr>
        <w:t>预付款支付金额=（签约合同价的建筑安装工程费-绿色施工安全防护措施费-暂列金额-专业暂估价）×预付款支付比例，预付款支付比例为</w:t>
      </w:r>
      <w:r>
        <w:rPr>
          <w:rFonts w:hint="eastAsia" w:ascii="仿宋_GB2312" w:eastAsia="仿宋_GB2312"/>
          <w:sz w:val="30"/>
          <w:szCs w:val="30"/>
          <w:u w:val="single"/>
        </w:rPr>
        <w:t>30</w:t>
      </w:r>
      <w:r>
        <w:rPr>
          <w:rFonts w:ascii="仿宋_GB2312" w:eastAsia="仿宋_GB2312"/>
          <w:sz w:val="30"/>
          <w:szCs w:val="30"/>
          <w:u w:val="single"/>
        </w:rPr>
        <w:t>%。监理人及发包人审核程序与进度款相同。</w:t>
      </w:r>
    </w:p>
    <w:p w14:paraId="74E4CDE0">
      <w:pPr>
        <w:wordWrap/>
        <w:topLinePunct w:val="0"/>
        <w:spacing w:after="120"/>
        <w:ind w:firstLine="600"/>
        <w:rPr>
          <w:rFonts w:ascii="仿宋_GB2312" w:eastAsia="仿宋_GB2312"/>
          <w:sz w:val="30"/>
          <w:szCs w:val="30"/>
        </w:rPr>
      </w:pPr>
      <w:r>
        <w:rPr>
          <w:rFonts w:ascii="仿宋_GB2312" w:eastAsia="仿宋_GB2312"/>
          <w:sz w:val="30"/>
          <w:szCs w:val="30"/>
        </w:rPr>
        <w:t>预付款支付条件及期限：承包人提交预付款保函</w:t>
      </w:r>
      <w:r>
        <w:rPr>
          <w:rFonts w:hint="eastAsia" w:ascii="仿宋_GB2312" w:eastAsia="仿宋_GB2312"/>
          <w:sz w:val="30"/>
          <w:szCs w:val="30"/>
        </w:rPr>
        <w:t>、相关请款资料</w:t>
      </w:r>
      <w:r>
        <w:rPr>
          <w:rFonts w:ascii="仿宋_GB2312" w:eastAsia="仿宋_GB2312"/>
          <w:sz w:val="30"/>
          <w:szCs w:val="30"/>
        </w:rPr>
        <w:t>及发票，</w:t>
      </w:r>
      <w:r>
        <w:rPr>
          <w:rFonts w:hint="eastAsia" w:ascii="仿宋_GB2312" w:eastAsia="仿宋_GB2312"/>
          <w:sz w:val="30"/>
          <w:szCs w:val="30"/>
        </w:rPr>
        <w:t>项目具备开工条件</w:t>
      </w:r>
      <w:r>
        <w:rPr>
          <w:rFonts w:ascii="仿宋_GB2312" w:eastAsia="仿宋_GB2312"/>
          <w:sz w:val="30"/>
          <w:szCs w:val="30"/>
        </w:rPr>
        <w:t>并取得第一阶段施工许可证后，发包人在10天内审批完毕（如遇法定节假日，则审批时间相应顺延），并按照相关的程序办理统一拨付。</w:t>
      </w:r>
    </w:p>
    <w:p w14:paraId="75FD2A0C">
      <w:pPr>
        <w:pStyle w:val="26"/>
        <w:spacing w:after="120"/>
        <w:ind w:firstLine="602"/>
        <w:rPr>
          <w:rFonts w:ascii="仿宋_GB2312" w:eastAsia="仿宋_GB2312" w:cs="Times New Roman"/>
          <w:b/>
          <w:color w:val="FF0000"/>
          <w:kern w:val="0"/>
          <w:sz w:val="30"/>
          <w:szCs w:val="30"/>
        </w:rPr>
      </w:pPr>
      <w:r>
        <w:rPr>
          <w:rFonts w:ascii="仿宋_GB2312" w:eastAsia="仿宋_GB2312" w:cs="Times New Roman"/>
          <w:b/>
          <w:color w:val="FF0000"/>
          <w:kern w:val="0"/>
          <w:sz w:val="30"/>
          <w:szCs w:val="30"/>
        </w:rPr>
        <w:t>开工条件包括但不限于：</w:t>
      </w:r>
    </w:p>
    <w:p w14:paraId="32FBE187">
      <w:pPr>
        <w:numPr>
          <w:ilvl w:val="0"/>
          <w:numId w:val="30"/>
        </w:numPr>
        <w:spacing w:after="120"/>
        <w:ind w:firstLine="602"/>
        <w:rPr>
          <w:rFonts w:ascii="仿宋_GB2312" w:eastAsia="仿宋_GB2312"/>
          <w:b/>
          <w:color w:val="FF0000"/>
          <w:sz w:val="30"/>
          <w:szCs w:val="30"/>
        </w:rPr>
      </w:pPr>
      <w:r>
        <w:rPr>
          <w:rFonts w:ascii="仿宋_GB2312" w:eastAsia="仿宋_GB2312"/>
          <w:b/>
          <w:color w:val="FF0000"/>
          <w:sz w:val="30"/>
          <w:szCs w:val="30"/>
        </w:rPr>
        <w:t>合同及相关承诺书等协议文件已经签定</w:t>
      </w:r>
    </w:p>
    <w:p w14:paraId="6A89A496">
      <w:pPr>
        <w:numPr>
          <w:ilvl w:val="0"/>
          <w:numId w:val="30"/>
        </w:numPr>
        <w:spacing w:after="120"/>
        <w:ind w:firstLine="602"/>
        <w:rPr>
          <w:rFonts w:ascii="仿宋_GB2312" w:eastAsia="仿宋_GB2312"/>
          <w:b/>
          <w:color w:val="FF0000"/>
          <w:sz w:val="30"/>
          <w:szCs w:val="30"/>
        </w:rPr>
      </w:pPr>
      <w:r>
        <w:rPr>
          <w:rFonts w:ascii="仿宋_GB2312" w:eastAsia="仿宋_GB2312"/>
          <w:b/>
          <w:color w:val="FF0000"/>
          <w:sz w:val="30"/>
          <w:szCs w:val="30"/>
        </w:rPr>
        <w:t>第一阶段施工图经过审核并加盖审图章，图纸会审纪录已经有关单位会签、盖章；</w:t>
      </w:r>
    </w:p>
    <w:p w14:paraId="2815EDB3">
      <w:pPr>
        <w:numPr>
          <w:ilvl w:val="0"/>
          <w:numId w:val="30"/>
        </w:numPr>
        <w:spacing w:after="120"/>
        <w:ind w:firstLine="602"/>
        <w:rPr>
          <w:rFonts w:ascii="仿宋_GB2312" w:eastAsia="仿宋_GB2312"/>
          <w:b/>
          <w:color w:val="FF0000"/>
          <w:sz w:val="30"/>
          <w:szCs w:val="30"/>
        </w:rPr>
      </w:pPr>
      <w:r>
        <w:rPr>
          <w:rFonts w:ascii="仿宋_GB2312" w:eastAsia="仿宋_GB2312"/>
          <w:b/>
          <w:color w:val="FF0000"/>
          <w:sz w:val="30"/>
          <w:szCs w:val="30"/>
        </w:rPr>
        <w:t>施工组织设计、方案已经编制，并经批准；</w:t>
      </w:r>
    </w:p>
    <w:p w14:paraId="3F7307B1">
      <w:pPr>
        <w:pStyle w:val="26"/>
        <w:numPr>
          <w:ilvl w:val="0"/>
          <w:numId w:val="30"/>
        </w:numPr>
        <w:spacing w:after="120"/>
        <w:ind w:firstLine="602"/>
        <w:rPr>
          <w:rFonts w:ascii="仿宋_GB2312" w:eastAsia="仿宋_GB2312" w:cs="Times New Roman"/>
          <w:b/>
          <w:color w:val="FF0000"/>
          <w:kern w:val="0"/>
          <w:sz w:val="30"/>
          <w:szCs w:val="30"/>
        </w:rPr>
      </w:pPr>
      <w:r>
        <w:rPr>
          <w:rFonts w:ascii="仿宋_GB2312" w:eastAsia="仿宋_GB2312" w:cs="Times New Roman"/>
          <w:b/>
          <w:color w:val="FF0000"/>
          <w:kern w:val="0"/>
          <w:sz w:val="30"/>
          <w:szCs w:val="30"/>
        </w:rPr>
        <w:t>临时设施、工棚、施工道路、施工用水、施工用电已基本完成</w:t>
      </w:r>
      <w:r>
        <w:rPr>
          <w:rFonts w:hint="eastAsia" w:ascii="仿宋_GB2312" w:eastAsia="仿宋_GB2312" w:cs="Times New Roman"/>
          <w:b/>
          <w:color w:val="FF0000"/>
          <w:kern w:val="0"/>
          <w:sz w:val="30"/>
          <w:szCs w:val="30"/>
        </w:rPr>
        <w:t>；</w:t>
      </w:r>
    </w:p>
    <w:p w14:paraId="152F412B">
      <w:pPr>
        <w:pStyle w:val="26"/>
        <w:numPr>
          <w:ilvl w:val="0"/>
          <w:numId w:val="30"/>
        </w:numPr>
        <w:spacing w:after="120"/>
        <w:ind w:firstLine="602"/>
        <w:rPr>
          <w:rFonts w:ascii="仿宋_GB2312" w:eastAsia="仿宋_GB2312" w:cs="Times New Roman"/>
          <w:b/>
          <w:color w:val="FF0000"/>
          <w:kern w:val="0"/>
          <w:sz w:val="30"/>
          <w:szCs w:val="30"/>
        </w:rPr>
      </w:pPr>
      <w:r>
        <w:rPr>
          <w:rFonts w:ascii="仿宋_GB2312" w:eastAsia="仿宋_GB2312" w:cs="Times New Roman"/>
          <w:b/>
          <w:color w:val="FF0000"/>
          <w:kern w:val="0"/>
          <w:sz w:val="30"/>
          <w:szCs w:val="30"/>
        </w:rPr>
        <w:t>项目部已成立，并配备管理人员</w:t>
      </w:r>
      <w:r>
        <w:rPr>
          <w:rFonts w:hint="eastAsia" w:ascii="仿宋_GB2312" w:eastAsia="仿宋_GB2312" w:cs="Times New Roman"/>
          <w:b/>
          <w:color w:val="FF0000"/>
          <w:kern w:val="0"/>
          <w:sz w:val="30"/>
          <w:szCs w:val="30"/>
        </w:rPr>
        <w:t>。</w:t>
      </w:r>
    </w:p>
    <w:p w14:paraId="64891046">
      <w:pPr>
        <w:wordWrap/>
        <w:topLinePunct w:val="0"/>
        <w:spacing w:after="120"/>
        <w:ind w:firstLine="602"/>
        <w:rPr>
          <w:rFonts w:ascii="仿宋_GB2312" w:eastAsia="仿宋_GB2312"/>
          <w:sz w:val="30"/>
          <w:szCs w:val="30"/>
        </w:rPr>
      </w:pPr>
      <w:r>
        <w:rPr>
          <w:rFonts w:ascii="仿宋_GB2312" w:eastAsia="仿宋_GB2312"/>
          <w:b/>
          <w:color w:val="FF0000"/>
          <w:sz w:val="30"/>
          <w:szCs w:val="30"/>
        </w:rPr>
        <w:sym w:font="Wingdings 2" w:char="00A3"/>
      </w:r>
      <w:r>
        <w:rPr>
          <w:rFonts w:hint="eastAsia" w:ascii="仿宋_GB2312" w:eastAsia="仿宋_GB2312"/>
          <w:b/>
          <w:color w:val="FF0000"/>
          <w:sz w:val="30"/>
          <w:szCs w:val="30"/>
        </w:rPr>
        <w:t>方式二：</w:t>
      </w:r>
      <w:r>
        <w:rPr>
          <w:rFonts w:hint="eastAsia" w:ascii="仿宋_GB2312" w:eastAsia="仿宋_GB2312"/>
          <w:sz w:val="30"/>
          <w:szCs w:val="30"/>
        </w:rPr>
        <w:t>预付款扣回的方式：工程开工后，根据合同条款第</w:t>
      </w:r>
      <w:r>
        <w:rPr>
          <w:rFonts w:ascii="仿宋_GB2312" w:eastAsia="仿宋_GB2312"/>
          <w:sz w:val="30"/>
          <w:szCs w:val="30"/>
        </w:rPr>
        <w:t>14.3.1款支付的施工费预付款应从施工费进度款中分期扣回，当累计完成工作量达到合同签约价的</w:t>
      </w:r>
      <w:r>
        <w:rPr>
          <w:rFonts w:hint="eastAsia" w:ascii="仿宋_GB2312" w:eastAsia="仿宋_GB2312"/>
          <w:sz w:val="30"/>
          <w:szCs w:val="30"/>
        </w:rPr>
        <w:t>7</w:t>
      </w:r>
      <w:r>
        <w:rPr>
          <w:rFonts w:ascii="仿宋_GB2312" w:eastAsia="仿宋_GB2312"/>
          <w:sz w:val="30"/>
          <w:szCs w:val="30"/>
        </w:rPr>
        <w:t>0％时扣回全部施工费预付款，具体按下表执行：</w:t>
      </w:r>
    </w:p>
    <w:p w14:paraId="3F58E15D">
      <w:pPr>
        <w:wordWrap/>
        <w:topLinePunct w:val="0"/>
        <w:spacing w:after="120"/>
        <w:ind w:firstLine="600"/>
        <w:jc w:val="center"/>
        <w:rPr>
          <w:rFonts w:ascii="仿宋_GB2312" w:eastAsia="仿宋_GB2312"/>
          <w:sz w:val="30"/>
          <w:szCs w:val="30"/>
        </w:rPr>
      </w:pPr>
      <w:r>
        <w:rPr>
          <w:rFonts w:hint="eastAsia" w:ascii="仿宋_GB2312" w:eastAsia="仿宋_GB2312"/>
          <w:sz w:val="30"/>
          <w:szCs w:val="30"/>
        </w:rPr>
        <w:t>预付款扣回比例表</w:t>
      </w:r>
    </w:p>
    <w:tbl>
      <w:tblPr>
        <w:tblStyle w:val="55"/>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
        <w:gridCol w:w="3341"/>
        <w:gridCol w:w="3124"/>
        <w:gridCol w:w="2096"/>
        <w:gridCol w:w="111"/>
      </w:tblGrid>
      <w:tr w14:paraId="3A08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14:paraId="1993733F">
            <w:pPr>
              <w:wordWrap/>
              <w:topLinePunct w:val="0"/>
              <w:spacing w:after="120"/>
              <w:ind w:firstLine="0" w:firstLineChars="0"/>
              <w:jc w:val="center"/>
              <w:rPr>
                <w:rFonts w:ascii="仿宋_GB2312" w:eastAsia="仿宋_GB2312"/>
                <w:sz w:val="30"/>
                <w:szCs w:val="30"/>
              </w:rPr>
            </w:pPr>
            <w:r>
              <w:rPr>
                <w:rFonts w:hint="eastAsia" w:ascii="仿宋_GB2312" w:eastAsia="仿宋_GB2312"/>
                <w:sz w:val="30"/>
                <w:szCs w:val="30"/>
              </w:rPr>
              <w:t>已完工作量价格与合同签约价扣除暂列金的金额的比例（a）</w:t>
            </w:r>
          </w:p>
        </w:tc>
        <w:tc>
          <w:tcPr>
            <w:tcW w:w="3167" w:type="dxa"/>
            <w:tcBorders>
              <w:top w:val="single" w:color="auto" w:sz="4" w:space="0"/>
              <w:left w:val="single" w:color="auto" w:sz="4" w:space="0"/>
              <w:bottom w:val="single" w:color="auto" w:sz="4" w:space="0"/>
              <w:right w:val="single" w:color="auto" w:sz="4" w:space="0"/>
            </w:tcBorders>
            <w:vAlign w:val="center"/>
          </w:tcPr>
          <w:p w14:paraId="63B0B6B9">
            <w:pPr>
              <w:wordWrap/>
              <w:topLinePunct w:val="0"/>
              <w:spacing w:after="120"/>
              <w:ind w:firstLine="0" w:firstLineChars="0"/>
              <w:jc w:val="center"/>
              <w:rPr>
                <w:rFonts w:ascii="仿宋_GB2312" w:eastAsia="仿宋_GB2312"/>
                <w:sz w:val="30"/>
                <w:szCs w:val="30"/>
              </w:rPr>
            </w:pPr>
            <w:r>
              <w:rPr>
                <w:rFonts w:hint="eastAsia" w:ascii="仿宋_GB2312" w:eastAsia="仿宋_GB2312"/>
                <w:sz w:val="30"/>
                <w:szCs w:val="30"/>
              </w:rPr>
              <w:t>扣回预付款的比例</w:t>
            </w:r>
          </w:p>
        </w:tc>
        <w:tc>
          <w:tcPr>
            <w:tcW w:w="2124" w:type="dxa"/>
            <w:tcBorders>
              <w:top w:val="single" w:color="auto" w:sz="4" w:space="0"/>
              <w:left w:val="single" w:color="auto" w:sz="4" w:space="0"/>
              <w:bottom w:val="single" w:color="auto" w:sz="4" w:space="0"/>
              <w:right w:val="single" w:color="auto" w:sz="4" w:space="0"/>
            </w:tcBorders>
            <w:vAlign w:val="center"/>
          </w:tcPr>
          <w:p w14:paraId="66FE986E">
            <w:pPr>
              <w:wordWrap/>
              <w:topLinePunct w:val="0"/>
              <w:spacing w:after="120"/>
              <w:ind w:firstLine="0" w:firstLineChars="0"/>
              <w:jc w:val="center"/>
              <w:rPr>
                <w:rFonts w:ascii="仿宋_GB2312" w:eastAsia="仿宋_GB2312"/>
                <w:sz w:val="30"/>
                <w:szCs w:val="30"/>
              </w:rPr>
            </w:pPr>
            <w:r>
              <w:rPr>
                <w:rFonts w:hint="eastAsia" w:ascii="仿宋_GB2312" w:eastAsia="仿宋_GB2312"/>
                <w:sz w:val="30"/>
                <w:szCs w:val="30"/>
              </w:rPr>
              <w:t>累计扣回比例</w:t>
            </w:r>
          </w:p>
        </w:tc>
      </w:tr>
      <w:tr w14:paraId="02C0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14:paraId="233B8C3D">
            <w:pPr>
              <w:wordWrap/>
              <w:topLinePunct w:val="0"/>
              <w:spacing w:after="120"/>
              <w:ind w:firstLine="600"/>
              <w:jc w:val="center"/>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0%≤a＜</w:t>
            </w:r>
            <w:r>
              <w:rPr>
                <w:rFonts w:ascii="仿宋_GB2312" w:eastAsia="仿宋_GB2312"/>
                <w:sz w:val="30"/>
                <w:szCs w:val="30"/>
              </w:rPr>
              <w:t>4</w:t>
            </w:r>
            <w:r>
              <w:rPr>
                <w:rFonts w:hint="eastAsia" w:ascii="仿宋_GB2312" w:eastAsia="仿宋_GB2312"/>
                <w:sz w:val="30"/>
                <w:szCs w:val="30"/>
              </w:rPr>
              <w:t>0％</w:t>
            </w:r>
          </w:p>
        </w:tc>
        <w:tc>
          <w:tcPr>
            <w:tcW w:w="3167" w:type="dxa"/>
            <w:tcBorders>
              <w:top w:val="single" w:color="auto" w:sz="4" w:space="0"/>
              <w:left w:val="single" w:color="auto" w:sz="4" w:space="0"/>
              <w:bottom w:val="single" w:color="auto" w:sz="4" w:space="0"/>
              <w:right w:val="single" w:color="auto" w:sz="4" w:space="0"/>
            </w:tcBorders>
            <w:vAlign w:val="center"/>
          </w:tcPr>
          <w:p w14:paraId="62D01EE8">
            <w:pPr>
              <w:wordWrap/>
              <w:topLinePunct w:val="0"/>
              <w:spacing w:after="120"/>
              <w:ind w:firstLine="600"/>
              <w:jc w:val="center"/>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0％</w:t>
            </w:r>
          </w:p>
        </w:tc>
        <w:tc>
          <w:tcPr>
            <w:tcW w:w="2124" w:type="dxa"/>
            <w:tcBorders>
              <w:top w:val="single" w:color="auto" w:sz="4" w:space="0"/>
              <w:left w:val="single" w:color="auto" w:sz="4" w:space="0"/>
              <w:bottom w:val="single" w:color="auto" w:sz="4" w:space="0"/>
              <w:right w:val="single" w:color="auto" w:sz="4" w:space="0"/>
            </w:tcBorders>
            <w:vAlign w:val="center"/>
          </w:tcPr>
          <w:p w14:paraId="02B3AB7D">
            <w:pPr>
              <w:wordWrap/>
              <w:topLinePunct w:val="0"/>
              <w:spacing w:after="120"/>
              <w:ind w:firstLine="600"/>
              <w:jc w:val="center"/>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0％</w:t>
            </w:r>
          </w:p>
        </w:tc>
      </w:tr>
      <w:tr w14:paraId="6947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14:paraId="4FF9AE65">
            <w:pPr>
              <w:wordWrap/>
              <w:topLinePunct w:val="0"/>
              <w:spacing w:after="120"/>
              <w:ind w:firstLine="600"/>
              <w:jc w:val="center"/>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0%≤a＜</w:t>
            </w:r>
            <w:r>
              <w:rPr>
                <w:rFonts w:ascii="仿宋_GB2312" w:eastAsia="仿宋_GB2312"/>
                <w:sz w:val="30"/>
                <w:szCs w:val="30"/>
              </w:rPr>
              <w:t>5</w:t>
            </w:r>
            <w:r>
              <w:rPr>
                <w:rFonts w:hint="eastAsia" w:ascii="仿宋_GB2312" w:eastAsia="仿宋_GB2312"/>
                <w:sz w:val="30"/>
                <w:szCs w:val="30"/>
              </w:rPr>
              <w:t>0％</w:t>
            </w:r>
          </w:p>
        </w:tc>
        <w:tc>
          <w:tcPr>
            <w:tcW w:w="3167" w:type="dxa"/>
            <w:tcBorders>
              <w:top w:val="single" w:color="auto" w:sz="4" w:space="0"/>
              <w:left w:val="single" w:color="auto" w:sz="4" w:space="0"/>
              <w:bottom w:val="single" w:color="auto" w:sz="4" w:space="0"/>
              <w:right w:val="single" w:color="auto" w:sz="4" w:space="0"/>
            </w:tcBorders>
            <w:vAlign w:val="center"/>
          </w:tcPr>
          <w:p w14:paraId="4EBD0B57">
            <w:pPr>
              <w:wordWrap/>
              <w:topLinePunct w:val="0"/>
              <w:spacing w:after="120"/>
              <w:ind w:firstLine="600"/>
              <w:jc w:val="center"/>
              <w:rPr>
                <w:rFonts w:ascii="仿宋_GB2312" w:eastAsia="仿宋_GB2312"/>
                <w:sz w:val="30"/>
                <w:szCs w:val="30"/>
              </w:rPr>
            </w:pPr>
            <w:r>
              <w:rPr>
                <w:rFonts w:hint="eastAsia" w:ascii="仿宋_GB2312" w:eastAsia="仿宋_GB2312"/>
                <w:sz w:val="30"/>
                <w:szCs w:val="30"/>
              </w:rPr>
              <w:t>20％</w:t>
            </w:r>
          </w:p>
        </w:tc>
        <w:tc>
          <w:tcPr>
            <w:tcW w:w="2124" w:type="dxa"/>
            <w:tcBorders>
              <w:top w:val="single" w:color="auto" w:sz="4" w:space="0"/>
              <w:left w:val="single" w:color="auto" w:sz="4" w:space="0"/>
              <w:bottom w:val="single" w:color="auto" w:sz="4" w:space="0"/>
              <w:right w:val="single" w:color="auto" w:sz="4" w:space="0"/>
            </w:tcBorders>
            <w:vAlign w:val="center"/>
          </w:tcPr>
          <w:p w14:paraId="07251FBB">
            <w:pPr>
              <w:wordWrap/>
              <w:topLinePunct w:val="0"/>
              <w:spacing w:after="120"/>
              <w:ind w:firstLine="600"/>
              <w:jc w:val="center"/>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0％</w:t>
            </w:r>
          </w:p>
        </w:tc>
      </w:tr>
      <w:tr w14:paraId="5613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14:paraId="50075BCD">
            <w:pPr>
              <w:wordWrap/>
              <w:topLinePunct w:val="0"/>
              <w:spacing w:after="120"/>
              <w:ind w:firstLine="600"/>
              <w:jc w:val="center"/>
              <w:rPr>
                <w:rFonts w:ascii="仿宋_GB2312" w:eastAsia="仿宋_GB2312"/>
                <w:sz w:val="30"/>
                <w:szCs w:val="30"/>
              </w:rPr>
            </w:pPr>
            <w:r>
              <w:rPr>
                <w:rFonts w:ascii="仿宋_GB2312" w:eastAsia="仿宋_GB2312"/>
                <w:sz w:val="30"/>
                <w:szCs w:val="30"/>
              </w:rPr>
              <w:t>5</w:t>
            </w:r>
            <w:r>
              <w:rPr>
                <w:rFonts w:hint="eastAsia" w:ascii="仿宋_GB2312" w:eastAsia="仿宋_GB2312"/>
                <w:sz w:val="30"/>
                <w:szCs w:val="30"/>
              </w:rPr>
              <w:t>0%≤a＜</w:t>
            </w:r>
            <w:r>
              <w:rPr>
                <w:rFonts w:ascii="仿宋_GB2312" w:eastAsia="仿宋_GB2312"/>
                <w:sz w:val="30"/>
                <w:szCs w:val="30"/>
              </w:rPr>
              <w:t>6</w:t>
            </w:r>
            <w:r>
              <w:rPr>
                <w:rFonts w:hint="eastAsia" w:ascii="仿宋_GB2312" w:eastAsia="仿宋_GB2312"/>
                <w:sz w:val="30"/>
                <w:szCs w:val="30"/>
              </w:rPr>
              <w:t>0％</w:t>
            </w:r>
          </w:p>
        </w:tc>
        <w:tc>
          <w:tcPr>
            <w:tcW w:w="3167" w:type="dxa"/>
            <w:tcBorders>
              <w:top w:val="single" w:color="auto" w:sz="4" w:space="0"/>
              <w:left w:val="single" w:color="auto" w:sz="4" w:space="0"/>
              <w:bottom w:val="single" w:color="auto" w:sz="4" w:space="0"/>
              <w:right w:val="single" w:color="auto" w:sz="4" w:space="0"/>
            </w:tcBorders>
            <w:vAlign w:val="center"/>
          </w:tcPr>
          <w:p w14:paraId="27BF64F2">
            <w:pPr>
              <w:wordWrap/>
              <w:topLinePunct w:val="0"/>
              <w:spacing w:after="120"/>
              <w:ind w:firstLine="600"/>
              <w:jc w:val="center"/>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0％</w:t>
            </w:r>
          </w:p>
        </w:tc>
        <w:tc>
          <w:tcPr>
            <w:tcW w:w="2124" w:type="dxa"/>
            <w:tcBorders>
              <w:top w:val="single" w:color="auto" w:sz="4" w:space="0"/>
              <w:left w:val="single" w:color="auto" w:sz="4" w:space="0"/>
              <w:bottom w:val="single" w:color="auto" w:sz="4" w:space="0"/>
              <w:right w:val="single" w:color="auto" w:sz="4" w:space="0"/>
            </w:tcBorders>
            <w:vAlign w:val="center"/>
          </w:tcPr>
          <w:p w14:paraId="1BD0DC90">
            <w:pPr>
              <w:wordWrap/>
              <w:topLinePunct w:val="0"/>
              <w:spacing w:after="120"/>
              <w:ind w:firstLine="600"/>
              <w:jc w:val="center"/>
              <w:rPr>
                <w:rFonts w:ascii="仿宋_GB2312" w:eastAsia="仿宋_GB2312"/>
                <w:sz w:val="30"/>
                <w:szCs w:val="30"/>
              </w:rPr>
            </w:pPr>
            <w:r>
              <w:rPr>
                <w:rFonts w:ascii="仿宋_GB2312" w:eastAsia="仿宋_GB2312"/>
                <w:sz w:val="30"/>
                <w:szCs w:val="30"/>
              </w:rPr>
              <w:t>6</w:t>
            </w:r>
            <w:r>
              <w:rPr>
                <w:rFonts w:hint="eastAsia" w:ascii="仿宋_GB2312" w:eastAsia="仿宋_GB2312"/>
                <w:sz w:val="30"/>
                <w:szCs w:val="30"/>
              </w:rPr>
              <w:t>0％</w:t>
            </w:r>
          </w:p>
        </w:tc>
      </w:tr>
      <w:tr w14:paraId="31BF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3" w:type="dxa"/>
          <w:jc w:val="center"/>
        </w:trPr>
        <w:tc>
          <w:tcPr>
            <w:tcW w:w="3387" w:type="dxa"/>
            <w:gridSpan w:val="2"/>
            <w:tcBorders>
              <w:top w:val="single" w:color="auto" w:sz="4" w:space="0"/>
              <w:left w:val="single" w:color="auto" w:sz="4" w:space="0"/>
              <w:bottom w:val="single" w:color="auto" w:sz="4" w:space="0"/>
              <w:right w:val="single" w:color="auto" w:sz="4" w:space="0"/>
            </w:tcBorders>
            <w:vAlign w:val="center"/>
          </w:tcPr>
          <w:p w14:paraId="4B615F3E">
            <w:pPr>
              <w:wordWrap/>
              <w:topLinePunct w:val="0"/>
              <w:spacing w:after="120"/>
              <w:ind w:firstLine="600"/>
              <w:jc w:val="center"/>
              <w:rPr>
                <w:rFonts w:ascii="仿宋_GB2312" w:eastAsia="仿宋_GB2312"/>
                <w:sz w:val="30"/>
                <w:szCs w:val="30"/>
              </w:rPr>
            </w:pPr>
            <w:r>
              <w:rPr>
                <w:rFonts w:ascii="仿宋_GB2312" w:eastAsia="仿宋_GB2312"/>
                <w:sz w:val="30"/>
                <w:szCs w:val="30"/>
              </w:rPr>
              <w:t>6</w:t>
            </w:r>
            <w:r>
              <w:rPr>
                <w:rFonts w:hint="eastAsia" w:ascii="仿宋_GB2312" w:eastAsia="仿宋_GB2312"/>
                <w:sz w:val="30"/>
                <w:szCs w:val="30"/>
              </w:rPr>
              <w:t>0%≤a＜</w:t>
            </w:r>
            <w:r>
              <w:rPr>
                <w:rFonts w:ascii="仿宋_GB2312" w:eastAsia="仿宋_GB2312"/>
                <w:sz w:val="30"/>
                <w:szCs w:val="30"/>
              </w:rPr>
              <w:t>7</w:t>
            </w:r>
            <w:r>
              <w:rPr>
                <w:rFonts w:hint="eastAsia" w:ascii="仿宋_GB2312" w:eastAsia="仿宋_GB2312"/>
                <w:sz w:val="30"/>
                <w:szCs w:val="30"/>
              </w:rPr>
              <w:t>0％</w:t>
            </w:r>
          </w:p>
        </w:tc>
        <w:tc>
          <w:tcPr>
            <w:tcW w:w="3167" w:type="dxa"/>
            <w:tcBorders>
              <w:top w:val="single" w:color="auto" w:sz="4" w:space="0"/>
              <w:left w:val="single" w:color="auto" w:sz="4" w:space="0"/>
              <w:bottom w:val="single" w:color="auto" w:sz="4" w:space="0"/>
              <w:right w:val="single" w:color="auto" w:sz="4" w:space="0"/>
            </w:tcBorders>
            <w:vAlign w:val="center"/>
          </w:tcPr>
          <w:p w14:paraId="6B8A7F8F">
            <w:pPr>
              <w:wordWrap/>
              <w:topLinePunct w:val="0"/>
              <w:spacing w:after="120"/>
              <w:ind w:firstLine="600"/>
              <w:jc w:val="center"/>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0％</w:t>
            </w:r>
          </w:p>
        </w:tc>
        <w:tc>
          <w:tcPr>
            <w:tcW w:w="2124" w:type="dxa"/>
            <w:tcBorders>
              <w:top w:val="single" w:color="auto" w:sz="4" w:space="0"/>
              <w:left w:val="single" w:color="auto" w:sz="4" w:space="0"/>
              <w:bottom w:val="single" w:color="auto" w:sz="4" w:space="0"/>
              <w:right w:val="single" w:color="auto" w:sz="4" w:space="0"/>
            </w:tcBorders>
            <w:vAlign w:val="center"/>
          </w:tcPr>
          <w:p w14:paraId="671EF5B8">
            <w:pPr>
              <w:wordWrap/>
              <w:topLinePunct w:val="0"/>
              <w:spacing w:after="120"/>
              <w:ind w:firstLine="600"/>
              <w:jc w:val="center"/>
              <w:rPr>
                <w:rFonts w:ascii="仿宋_GB2312" w:eastAsia="仿宋_GB2312"/>
                <w:sz w:val="30"/>
                <w:szCs w:val="30"/>
              </w:rPr>
            </w:pPr>
            <w:r>
              <w:rPr>
                <w:rFonts w:ascii="仿宋_GB2312" w:eastAsia="仿宋_GB2312"/>
                <w:sz w:val="30"/>
                <w:szCs w:val="30"/>
              </w:rPr>
              <w:t>8</w:t>
            </w:r>
            <w:r>
              <w:rPr>
                <w:rFonts w:hint="eastAsia" w:ascii="仿宋_GB2312" w:eastAsia="仿宋_GB2312"/>
                <w:sz w:val="30"/>
                <w:szCs w:val="30"/>
              </w:rPr>
              <w:t>0％</w:t>
            </w:r>
          </w:p>
        </w:tc>
      </w:tr>
      <w:tr w14:paraId="7B41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jc w:val="center"/>
        </w:trPr>
        <w:tc>
          <w:tcPr>
            <w:tcW w:w="3387" w:type="dxa"/>
            <w:tcBorders>
              <w:top w:val="single" w:color="auto" w:sz="4" w:space="0"/>
              <w:left w:val="single" w:color="auto" w:sz="4" w:space="0"/>
              <w:bottom w:val="single" w:color="auto" w:sz="4" w:space="0"/>
              <w:right w:val="single" w:color="auto" w:sz="4" w:space="0"/>
            </w:tcBorders>
            <w:vAlign w:val="center"/>
          </w:tcPr>
          <w:p w14:paraId="45ECEB1A">
            <w:pPr>
              <w:wordWrap/>
              <w:topLinePunct w:val="0"/>
              <w:spacing w:after="120"/>
              <w:ind w:firstLine="600"/>
              <w:jc w:val="center"/>
              <w:rPr>
                <w:rFonts w:ascii="仿宋_GB2312" w:eastAsia="仿宋_GB2312"/>
                <w:sz w:val="30"/>
                <w:szCs w:val="30"/>
              </w:rPr>
            </w:pPr>
            <w:r>
              <w:rPr>
                <w:rFonts w:ascii="仿宋_GB2312" w:eastAsia="仿宋_GB2312"/>
                <w:sz w:val="30"/>
                <w:szCs w:val="30"/>
              </w:rPr>
              <w:t>7</w:t>
            </w:r>
            <w:r>
              <w:rPr>
                <w:rFonts w:hint="eastAsia" w:ascii="仿宋_GB2312" w:eastAsia="仿宋_GB2312"/>
                <w:sz w:val="30"/>
                <w:szCs w:val="30"/>
              </w:rPr>
              <w:t>0%≤a＜</w:t>
            </w:r>
            <w:r>
              <w:rPr>
                <w:rFonts w:ascii="仿宋_GB2312" w:eastAsia="仿宋_GB2312"/>
                <w:sz w:val="30"/>
                <w:szCs w:val="30"/>
              </w:rPr>
              <w:t>8</w:t>
            </w:r>
            <w:r>
              <w:rPr>
                <w:rFonts w:hint="eastAsia" w:ascii="仿宋_GB2312" w:eastAsia="仿宋_GB2312"/>
                <w:sz w:val="30"/>
                <w:szCs w:val="30"/>
              </w:rPr>
              <w:t>0％</w:t>
            </w:r>
          </w:p>
        </w:tc>
        <w:tc>
          <w:tcPr>
            <w:tcW w:w="3167" w:type="dxa"/>
            <w:tcBorders>
              <w:top w:val="single" w:color="auto" w:sz="4" w:space="0"/>
              <w:left w:val="single" w:color="auto" w:sz="4" w:space="0"/>
              <w:bottom w:val="single" w:color="auto" w:sz="4" w:space="0"/>
              <w:right w:val="single" w:color="auto" w:sz="4" w:space="0"/>
            </w:tcBorders>
            <w:vAlign w:val="center"/>
          </w:tcPr>
          <w:p w14:paraId="159BDB14">
            <w:pPr>
              <w:wordWrap/>
              <w:topLinePunct w:val="0"/>
              <w:spacing w:after="120"/>
              <w:ind w:firstLine="600"/>
              <w:jc w:val="center"/>
              <w:rPr>
                <w:rFonts w:ascii="仿宋_GB2312" w:eastAsia="仿宋_GB2312"/>
                <w:sz w:val="30"/>
                <w:szCs w:val="30"/>
              </w:rPr>
            </w:pPr>
            <w:r>
              <w:rPr>
                <w:rFonts w:ascii="仿宋_GB2312" w:eastAsia="仿宋_GB2312"/>
                <w:sz w:val="30"/>
                <w:szCs w:val="30"/>
              </w:rPr>
              <w:t>20%</w:t>
            </w:r>
          </w:p>
        </w:tc>
        <w:tc>
          <w:tcPr>
            <w:tcW w:w="2124" w:type="dxa"/>
            <w:gridSpan w:val="2"/>
            <w:tcBorders>
              <w:top w:val="single" w:color="auto" w:sz="4" w:space="0"/>
              <w:left w:val="single" w:color="auto" w:sz="4" w:space="0"/>
              <w:bottom w:val="single" w:color="auto" w:sz="4" w:space="0"/>
              <w:right w:val="single" w:color="auto" w:sz="4" w:space="0"/>
            </w:tcBorders>
            <w:vAlign w:val="center"/>
          </w:tcPr>
          <w:p w14:paraId="01DD3C44">
            <w:pPr>
              <w:wordWrap/>
              <w:topLinePunct w:val="0"/>
              <w:spacing w:after="120"/>
              <w:ind w:firstLine="600"/>
              <w:jc w:val="center"/>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00%</w:t>
            </w:r>
          </w:p>
        </w:tc>
      </w:tr>
    </w:tbl>
    <w:p w14:paraId="132BA53B">
      <w:pPr>
        <w:wordWrap/>
        <w:topLinePunct w:val="0"/>
        <w:spacing w:after="120"/>
        <w:ind w:firstLine="600"/>
        <w:rPr>
          <w:rFonts w:ascii="仿宋_GB2312" w:eastAsia="仿宋_GB2312"/>
          <w:sz w:val="30"/>
          <w:szCs w:val="30"/>
        </w:rPr>
      </w:pPr>
      <w:r>
        <w:rPr>
          <w:rFonts w:hint="eastAsia" w:ascii="仿宋_GB2312" w:eastAsia="仿宋_GB2312"/>
          <w:sz w:val="30"/>
          <w:szCs w:val="30"/>
        </w:rPr>
        <w:t>注：</w:t>
      </w:r>
      <w:r>
        <w:rPr>
          <w:rFonts w:ascii="仿宋_GB2312" w:eastAsia="仿宋_GB2312"/>
          <w:sz w:val="30"/>
          <w:szCs w:val="30"/>
        </w:rPr>
        <w:t>a=已完工程量造价/合同签约价。</w:t>
      </w:r>
    </w:p>
    <w:p w14:paraId="24E3BD5D">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4.2.2预付款担保</w:t>
      </w:r>
      <w:r>
        <w:rPr>
          <w:rFonts w:hint="eastAsia" w:ascii="仿宋_GB2312" w:eastAsia="仿宋_GB2312"/>
          <w:sz w:val="30"/>
          <w:szCs w:val="30"/>
        </w:rPr>
        <w:t>。</w:t>
      </w:r>
    </w:p>
    <w:p w14:paraId="68BB0E4D">
      <w:pPr>
        <w:wordWrap/>
        <w:topLinePunct w:val="0"/>
        <w:spacing w:after="120"/>
        <w:ind w:firstLine="600"/>
        <w:rPr>
          <w:rFonts w:ascii="仿宋_GB2312" w:eastAsia="仿宋_GB2312"/>
          <w:sz w:val="30"/>
          <w:szCs w:val="30"/>
        </w:rPr>
      </w:pPr>
      <w:r>
        <w:rPr>
          <w:rFonts w:hint="eastAsia" w:ascii="仿宋_GB2312" w:eastAsia="仿宋_GB2312"/>
          <w:sz w:val="30"/>
          <w:szCs w:val="30"/>
        </w:rPr>
        <w:t>提供预付款担保期限：</w:t>
      </w:r>
      <w:r>
        <w:rPr>
          <w:rFonts w:hint="eastAsia" w:ascii="仿宋_GB2312" w:eastAsia="仿宋_GB2312"/>
          <w:sz w:val="30"/>
          <w:szCs w:val="30"/>
          <w:u w:val="single"/>
        </w:rPr>
        <w:t>承包人应在申请预付款前10天内向发包人提交预付款保函，预付款保函的担保金额应与预付款总额相同。保函的担保金额可根据预付款扣回的金额相应递减。</w:t>
      </w:r>
    </w:p>
    <w:p w14:paraId="17233707">
      <w:pPr>
        <w:wordWrap/>
        <w:topLinePunct w:val="0"/>
        <w:spacing w:after="120"/>
        <w:ind w:firstLine="600"/>
        <w:rPr>
          <w:rFonts w:ascii="仿宋_GB2312" w:eastAsia="仿宋_GB2312"/>
          <w:sz w:val="30"/>
          <w:szCs w:val="30"/>
        </w:rPr>
      </w:pPr>
      <w:r>
        <w:rPr>
          <w:rFonts w:hint="eastAsia" w:ascii="仿宋_GB2312" w:eastAsia="仿宋_GB2312"/>
          <w:sz w:val="30"/>
          <w:szCs w:val="30"/>
        </w:rPr>
        <w:t>预付款担保形式：</w:t>
      </w:r>
      <w:r>
        <w:rPr>
          <w:rFonts w:hint="eastAsia" w:ascii="仿宋_GB2312" w:eastAsia="仿宋_GB2312"/>
          <w:sz w:val="30"/>
          <w:szCs w:val="30"/>
          <w:u w:val="single"/>
        </w:rPr>
        <w:t>保函</w:t>
      </w:r>
      <w:r>
        <w:rPr>
          <w:rFonts w:hint="eastAsia" w:ascii="仿宋_GB2312" w:eastAsia="仿宋_GB2312"/>
          <w:sz w:val="30"/>
          <w:szCs w:val="30"/>
        </w:rPr>
        <w:t>。</w:t>
      </w:r>
    </w:p>
    <w:p w14:paraId="65A15FB9">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14.3 工程进度款</w:t>
      </w:r>
    </w:p>
    <w:p w14:paraId="3BDF558B">
      <w:pPr>
        <w:wordWrap/>
        <w:topLinePunct w:val="0"/>
        <w:spacing w:after="120"/>
        <w:ind w:firstLine="600"/>
        <w:rPr>
          <w:rFonts w:ascii="仿宋_GB2312" w:eastAsia="仿宋_GB2312"/>
          <w:sz w:val="30"/>
          <w:szCs w:val="30"/>
        </w:rPr>
      </w:pPr>
      <w:r>
        <w:rPr>
          <w:rFonts w:ascii="仿宋_GB2312" w:eastAsia="仿宋_GB2312"/>
          <w:sz w:val="30"/>
          <w:szCs w:val="30"/>
        </w:rPr>
        <w:t xml:space="preserve">14.3.1 </w:t>
      </w:r>
      <w:r>
        <w:rPr>
          <w:rFonts w:hint="eastAsia" w:ascii="仿宋_GB2312" w:eastAsia="仿宋_GB2312"/>
          <w:sz w:val="30"/>
          <w:szCs w:val="30"/>
        </w:rPr>
        <w:t>工程进度付款申请</w:t>
      </w:r>
    </w:p>
    <w:p w14:paraId="4B296574">
      <w:pPr>
        <w:wordWrap/>
        <w:topLinePunct w:val="0"/>
        <w:spacing w:after="120"/>
        <w:ind w:firstLine="600"/>
        <w:rPr>
          <w:rFonts w:ascii="仿宋_GB2312" w:eastAsia="仿宋_GB2312"/>
          <w:sz w:val="30"/>
          <w:szCs w:val="30"/>
        </w:rPr>
      </w:pPr>
      <w:r>
        <w:rPr>
          <w:rFonts w:hint="eastAsia" w:ascii="仿宋_GB2312" w:eastAsia="仿宋_GB2312"/>
          <w:sz w:val="30"/>
          <w:szCs w:val="30"/>
        </w:rPr>
        <w:t>工程进度付款申请方式：</w:t>
      </w:r>
      <w:r>
        <w:rPr>
          <w:rFonts w:hint="eastAsia" w:ascii="仿宋_GB2312" w:eastAsia="仿宋_GB2312"/>
          <w:sz w:val="30"/>
          <w:szCs w:val="30"/>
          <w:u w:val="single"/>
        </w:rPr>
        <w:t>承包人书面提交《进度付款申请单》</w:t>
      </w:r>
      <w:r>
        <w:rPr>
          <w:rFonts w:hint="eastAsia" w:ascii="仿宋_GB2312" w:eastAsia="仿宋_GB2312"/>
          <w:sz w:val="30"/>
          <w:szCs w:val="30"/>
        </w:rPr>
        <w:t>。</w:t>
      </w:r>
    </w:p>
    <w:p w14:paraId="63D2B776">
      <w:pPr>
        <w:wordWrap/>
        <w:topLinePunct w:val="0"/>
        <w:spacing w:after="120"/>
        <w:ind w:firstLine="600"/>
        <w:rPr>
          <w:rFonts w:ascii="仿宋_GB2312" w:eastAsia="仿宋_GB2312"/>
          <w:sz w:val="30"/>
          <w:szCs w:val="30"/>
        </w:rPr>
      </w:pPr>
      <w:r>
        <w:rPr>
          <w:rFonts w:hint="eastAsia" w:ascii="仿宋_GB2312" w:eastAsia="仿宋_GB2312"/>
          <w:sz w:val="30"/>
          <w:szCs w:val="30"/>
        </w:rPr>
        <w:t>承包人提交进度付款申请单的格式、内容、份数和时间：。</w:t>
      </w:r>
    </w:p>
    <w:p w14:paraId="021B027E">
      <w:pPr>
        <w:wordWrap/>
        <w:topLinePunct w:val="0"/>
        <w:spacing w:after="120"/>
        <w:ind w:firstLine="600"/>
        <w:rPr>
          <w:rFonts w:ascii="仿宋_GB2312" w:eastAsia="仿宋_GB2312"/>
          <w:sz w:val="30"/>
          <w:szCs w:val="30"/>
        </w:rPr>
      </w:pPr>
      <w:r>
        <w:rPr>
          <w:rFonts w:hint="eastAsia" w:ascii="仿宋_GB2312" w:eastAsia="仿宋_GB2312"/>
          <w:sz w:val="30"/>
          <w:szCs w:val="30"/>
        </w:rPr>
        <w:t>进度付款申请单应包括的内容：</w:t>
      </w:r>
    </w:p>
    <w:p w14:paraId="4FA2D2B8">
      <w:pPr>
        <w:wordWrap/>
        <w:topLinePunct w:val="0"/>
        <w:spacing w:after="120"/>
        <w:ind w:firstLine="600"/>
        <w:rPr>
          <w:rFonts w:ascii="仿宋_GB2312" w:eastAsia="仿宋_GB2312"/>
          <w:sz w:val="30"/>
          <w:szCs w:val="30"/>
        </w:rPr>
      </w:pPr>
      <w:r>
        <w:rPr>
          <w:rFonts w:ascii="仿宋_GB2312" w:eastAsia="仿宋_GB2312"/>
          <w:sz w:val="30"/>
          <w:szCs w:val="30"/>
        </w:rPr>
        <w:t xml:space="preserve">14.3.2 </w:t>
      </w:r>
      <w:r>
        <w:rPr>
          <w:rFonts w:hint="eastAsia" w:ascii="仿宋_GB2312" w:eastAsia="仿宋_GB2312"/>
          <w:sz w:val="30"/>
          <w:szCs w:val="30"/>
        </w:rPr>
        <w:t>进度付款审核和支付</w:t>
      </w:r>
    </w:p>
    <w:p w14:paraId="466374E3">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14.3.2.1 </w:t>
      </w:r>
      <w:r>
        <w:rPr>
          <w:rFonts w:hint="eastAsia" w:ascii="仿宋_GB2312" w:eastAsia="仿宋_GB2312" w:cs="宋体"/>
          <w:sz w:val="30"/>
          <w:szCs w:val="30"/>
        </w:rPr>
        <w:t>施工图预算</w:t>
      </w:r>
      <w:r>
        <w:rPr>
          <w:rFonts w:hint="eastAsia" w:ascii="仿宋_GB2312" w:eastAsia="仿宋_GB2312"/>
          <w:sz w:val="30"/>
          <w:szCs w:val="30"/>
        </w:rPr>
        <w:t>进度付款的审核方式和支付的约定：</w:t>
      </w:r>
    </w:p>
    <w:p w14:paraId="044267FC">
      <w:pPr>
        <w:wordWrap/>
        <w:topLinePunct w:val="0"/>
        <w:spacing w:after="120"/>
        <w:ind w:firstLine="600"/>
        <w:rPr>
          <w:rFonts w:ascii="仿宋_GB2312" w:eastAsia="仿宋_GB2312"/>
          <w:sz w:val="30"/>
          <w:szCs w:val="30"/>
        </w:rPr>
      </w:pPr>
      <w:r>
        <w:rPr>
          <w:rFonts w:ascii="仿宋_GB2312" w:eastAsia="仿宋_GB2312"/>
          <w:sz w:val="30"/>
          <w:szCs w:val="30"/>
        </w:rPr>
        <w:t>（1）初步设计概算尚未批复时，设计施工总承包单位应当以经批准的施工蓝图编制</w:t>
      </w:r>
      <w:r>
        <w:rPr>
          <w:rFonts w:hint="eastAsia" w:ascii="仿宋_GB2312" w:eastAsia="仿宋_GB2312" w:cs="宋体"/>
          <w:sz w:val="30"/>
          <w:szCs w:val="30"/>
        </w:rPr>
        <w:t>施工图预算</w:t>
      </w:r>
      <w:r>
        <w:rPr>
          <w:rFonts w:ascii="仿宋_GB2312" w:eastAsia="仿宋_GB2312"/>
          <w:sz w:val="30"/>
          <w:szCs w:val="30"/>
        </w:rPr>
        <w:t>，该</w:t>
      </w:r>
      <w:r>
        <w:rPr>
          <w:rFonts w:hint="eastAsia" w:ascii="仿宋_GB2312" w:eastAsia="仿宋_GB2312" w:cs="宋体"/>
          <w:sz w:val="30"/>
          <w:szCs w:val="30"/>
        </w:rPr>
        <w:t>施工图预算</w:t>
      </w:r>
      <w:r>
        <w:rPr>
          <w:rFonts w:ascii="仿宋_GB2312" w:eastAsia="仿宋_GB2312"/>
          <w:sz w:val="30"/>
          <w:szCs w:val="30"/>
        </w:rPr>
        <w:t>经第三方造价咨询单位审核后做为工程进度款的支付依据。承包人进场开工后，应依据每月25日前统计上月25日至本月24日所发生的工作量，按合同约定的</w:t>
      </w:r>
      <w:r>
        <w:rPr>
          <w:rFonts w:hint="eastAsia" w:ascii="仿宋_GB2312" w:eastAsia="仿宋_GB2312" w:cs="宋体"/>
          <w:sz w:val="30"/>
          <w:szCs w:val="30"/>
        </w:rPr>
        <w:t>施工图预算</w:t>
      </w:r>
      <w:r>
        <w:rPr>
          <w:rFonts w:ascii="仿宋_GB2312" w:eastAsia="仿宋_GB2312"/>
          <w:sz w:val="30"/>
          <w:szCs w:val="30"/>
        </w:rPr>
        <w:t>计价原则，计算出已完工程价款，按规定格式编制工程进度款支付申请单报监理人（造价咨询单位）核实确认，并附上隐蔽工程验收记录及发包人要求的其它相关材料（包括但不限于资金使用计划等）作为支持材料。监理人（造价咨询单位）收到后，应在7天内审核并签署意见后报发包人，发包人在10天内审批完毕（如遇法定节假日，则审批时间相应顺延），并按照相关的程序办理统一拨付。</w:t>
      </w:r>
    </w:p>
    <w:p w14:paraId="75B158DE">
      <w:pPr>
        <w:wordWrap/>
        <w:topLinePunct w:val="0"/>
        <w:spacing w:after="120"/>
        <w:ind w:firstLine="600"/>
        <w:rPr>
          <w:rFonts w:ascii="仿宋_GB2312" w:eastAsia="仿宋_GB2312"/>
          <w:sz w:val="30"/>
          <w:szCs w:val="30"/>
        </w:rPr>
      </w:pPr>
      <w:r>
        <w:rPr>
          <w:rFonts w:hint="eastAsia" w:ascii="仿宋_GB2312" w:eastAsia="仿宋_GB2312"/>
          <w:sz w:val="30"/>
          <w:szCs w:val="30"/>
        </w:rPr>
        <w:t>（2）工程进度款：（审批的</w:t>
      </w:r>
      <w:r>
        <w:rPr>
          <w:rFonts w:hint="eastAsia" w:ascii="仿宋_GB2312" w:eastAsia="仿宋_GB2312" w:cs="宋体"/>
          <w:sz w:val="30"/>
          <w:szCs w:val="30"/>
        </w:rPr>
        <w:t>施工图预算</w:t>
      </w:r>
      <w:r>
        <w:rPr>
          <w:rFonts w:hint="eastAsia" w:ascii="仿宋_GB2312" w:eastAsia="仿宋_GB2312"/>
          <w:sz w:val="30"/>
          <w:szCs w:val="30"/>
        </w:rPr>
        <w:t>-绿色施工安全防护措施费-暂列金额-专业估暂价）为计算基数乘以进度款支付比例。施工进度款计算公式：</w:t>
      </w:r>
    </w:p>
    <w:p w14:paraId="29D16DD8">
      <w:pPr>
        <w:wordWrap/>
        <w:topLinePunct w:val="0"/>
        <w:spacing w:after="120"/>
        <w:ind w:firstLine="600"/>
        <w:rPr>
          <w:rFonts w:ascii="仿宋_GB2312" w:eastAsia="仿宋_GB2312"/>
          <w:sz w:val="30"/>
          <w:szCs w:val="30"/>
        </w:rPr>
      </w:pPr>
      <w:r>
        <w:rPr>
          <w:rFonts w:hint="eastAsia" w:ascii="仿宋_GB2312" w:eastAsia="仿宋_GB2312"/>
          <w:sz w:val="30"/>
          <w:szCs w:val="30"/>
        </w:rPr>
        <w:t>A、当期可支付分部分项工程进度款＝承包人当期实际完成的分部分项工程</w:t>
      </w:r>
      <w:r>
        <w:rPr>
          <w:rFonts w:hint="eastAsia" w:ascii="仿宋_GB2312" w:eastAsia="仿宋_GB2312" w:cs="宋体"/>
          <w:sz w:val="30"/>
          <w:szCs w:val="30"/>
        </w:rPr>
        <w:t>施工图预算</w:t>
      </w:r>
      <w:r>
        <w:rPr>
          <w:rFonts w:hint="eastAsia" w:ascii="仿宋_GB2312" w:eastAsia="仿宋_GB2312"/>
          <w:sz w:val="30"/>
          <w:szCs w:val="30"/>
        </w:rPr>
        <w:t>×85%-应扣款项（预付款、违约金等）;</w:t>
      </w:r>
    </w:p>
    <w:p w14:paraId="5784551B">
      <w:pPr>
        <w:wordWrap/>
        <w:topLinePunct w:val="0"/>
        <w:spacing w:after="120"/>
        <w:ind w:firstLine="600"/>
        <w:rPr>
          <w:rFonts w:ascii="仿宋_GB2312" w:eastAsia="仿宋_GB2312"/>
          <w:sz w:val="30"/>
          <w:szCs w:val="30"/>
        </w:rPr>
      </w:pPr>
      <w:r>
        <w:rPr>
          <w:rFonts w:hint="eastAsia" w:ascii="仿宋_GB2312" w:eastAsia="仿宋_GB2312"/>
          <w:sz w:val="30"/>
          <w:szCs w:val="30"/>
        </w:rPr>
        <w:t>B、措施项目费和其它项目费进度款计算规定：</w:t>
      </w:r>
    </w:p>
    <w:p w14:paraId="52A50063">
      <w:pPr>
        <w:wordWrap/>
        <w:topLinePunct w:val="0"/>
        <w:spacing w:after="120"/>
      </w:pPr>
      <w:r>
        <w:rPr>
          <w:rFonts w:hint="eastAsia" w:ascii="仿宋_GB2312" w:eastAsia="仿宋_GB2312"/>
          <w:sz w:val="30"/>
          <w:szCs w:val="30"/>
        </w:rPr>
        <w:t>措施项目费和其它项目费的计算规定” 中的绿色施工安全防护措施费内容按如下约定执行：“①经发包人审查符合开工条件，若</w:t>
      </w:r>
      <w:r>
        <w:rPr>
          <w:rFonts w:hint="eastAsia" w:ascii="仿宋_GB2312" w:eastAsia="仿宋_GB2312" w:cs="宋体"/>
          <w:sz w:val="30"/>
          <w:szCs w:val="30"/>
        </w:rPr>
        <w:t>施工图预算</w:t>
      </w:r>
      <w:r>
        <w:rPr>
          <w:rFonts w:hint="eastAsia" w:ascii="仿宋_GB2312" w:eastAsia="仿宋_GB2312"/>
          <w:sz w:val="30"/>
          <w:szCs w:val="30"/>
        </w:rPr>
        <w:t>尚未审定，安全防护、文明施工措施费（绿色施工安全防护措施费）按合同施工费暂定价的3.88%计取该项费用，待</w:t>
      </w:r>
      <w:r>
        <w:rPr>
          <w:rFonts w:hint="eastAsia" w:ascii="仿宋_GB2312" w:eastAsia="仿宋_GB2312" w:cs="宋体"/>
          <w:sz w:val="30"/>
          <w:szCs w:val="30"/>
        </w:rPr>
        <w:t>施工图预算</w:t>
      </w:r>
      <w:r>
        <w:rPr>
          <w:rFonts w:hint="eastAsia" w:ascii="仿宋_GB2312" w:eastAsia="仿宋_GB2312"/>
          <w:sz w:val="30"/>
          <w:szCs w:val="30"/>
        </w:rPr>
        <w:t>审定后，按审定后</w:t>
      </w:r>
      <w:r>
        <w:rPr>
          <w:rFonts w:hint="eastAsia" w:ascii="仿宋_GB2312" w:eastAsia="仿宋_GB2312" w:cs="宋体"/>
          <w:sz w:val="30"/>
          <w:szCs w:val="30"/>
        </w:rPr>
        <w:t>施工图预算</w:t>
      </w:r>
      <w:r>
        <w:rPr>
          <w:rFonts w:hint="eastAsia" w:ascii="仿宋_GB2312" w:eastAsia="仿宋_GB2312"/>
          <w:sz w:val="30"/>
          <w:szCs w:val="30"/>
        </w:rPr>
        <w:t>中该项目费用总额控制支付；②经发包人审查符合开工条件，若</w:t>
      </w:r>
      <w:r>
        <w:rPr>
          <w:rFonts w:hint="eastAsia" w:ascii="仿宋_GB2312" w:eastAsia="仿宋_GB2312" w:cs="宋体"/>
          <w:sz w:val="30"/>
          <w:szCs w:val="30"/>
        </w:rPr>
        <w:t>施工图预算</w:t>
      </w:r>
      <w:r>
        <w:rPr>
          <w:rFonts w:hint="eastAsia" w:ascii="仿宋_GB2312" w:eastAsia="仿宋_GB2312"/>
          <w:sz w:val="30"/>
          <w:szCs w:val="30"/>
        </w:rPr>
        <w:t>已经审定，则按发包人审定的</w:t>
      </w:r>
      <w:r>
        <w:rPr>
          <w:rFonts w:hint="eastAsia" w:ascii="仿宋_GB2312" w:eastAsia="仿宋_GB2312" w:cs="宋体"/>
          <w:sz w:val="30"/>
          <w:szCs w:val="30"/>
        </w:rPr>
        <w:t>施工图预算</w:t>
      </w:r>
      <w:r>
        <w:rPr>
          <w:rFonts w:hint="eastAsia" w:ascii="仿宋_GB2312" w:eastAsia="仿宋_GB2312"/>
          <w:sz w:val="30"/>
          <w:szCs w:val="30"/>
        </w:rPr>
        <w:t>中该项费用支付。”</w:t>
      </w:r>
    </w:p>
    <w:tbl>
      <w:tblPr>
        <w:tblStyle w:val="55"/>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872"/>
        <w:gridCol w:w="4486"/>
      </w:tblGrid>
      <w:tr w14:paraId="013A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8" w:hRule="atLeast"/>
          <w:tblHeader/>
        </w:trPr>
        <w:tc>
          <w:tcPr>
            <w:tcW w:w="1242" w:type="dxa"/>
            <w:tcBorders>
              <w:top w:val="single" w:color="auto" w:sz="4" w:space="0"/>
              <w:left w:val="single" w:color="auto" w:sz="4" w:space="0"/>
              <w:bottom w:val="single" w:color="auto" w:sz="4" w:space="0"/>
              <w:right w:val="single" w:color="auto" w:sz="4" w:space="0"/>
            </w:tcBorders>
            <w:vAlign w:val="center"/>
          </w:tcPr>
          <w:p w14:paraId="5DFA3DEA">
            <w:pPr>
              <w:pStyle w:val="26"/>
              <w:spacing w:after="120" w:line="240" w:lineRule="auto"/>
              <w:ind w:firstLine="0" w:firstLineChars="0"/>
              <w:rPr>
                <w:rFonts w:ascii="仿宋_GB2312" w:eastAsia="仿宋_GB2312" w:cs="Times New Roman"/>
                <w:kern w:val="0"/>
                <w:sz w:val="30"/>
                <w:szCs w:val="30"/>
              </w:rPr>
            </w:pPr>
            <w:r>
              <w:rPr>
                <w:rFonts w:hint="eastAsia" w:ascii="仿宋_GB2312" w:eastAsia="仿宋_GB2312" w:cs="Times New Roman"/>
                <w:kern w:val="0"/>
                <w:sz w:val="30"/>
                <w:szCs w:val="30"/>
              </w:rPr>
              <w:t>序号</w:t>
            </w:r>
          </w:p>
        </w:tc>
        <w:tc>
          <w:tcPr>
            <w:tcW w:w="2872" w:type="dxa"/>
            <w:tcBorders>
              <w:top w:val="single" w:color="auto" w:sz="4" w:space="0"/>
              <w:left w:val="single" w:color="auto" w:sz="4" w:space="0"/>
              <w:bottom w:val="single" w:color="auto" w:sz="4" w:space="0"/>
              <w:right w:val="single" w:color="auto" w:sz="4" w:space="0"/>
            </w:tcBorders>
            <w:vAlign w:val="center"/>
          </w:tcPr>
          <w:p w14:paraId="454897D5">
            <w:pPr>
              <w:pStyle w:val="26"/>
              <w:spacing w:after="120" w:line="240" w:lineRule="auto"/>
              <w:ind w:firstLine="0" w:firstLineChars="0"/>
              <w:rPr>
                <w:rFonts w:ascii="仿宋_GB2312" w:eastAsia="仿宋_GB2312" w:cs="Times New Roman"/>
                <w:kern w:val="0"/>
                <w:sz w:val="30"/>
                <w:szCs w:val="30"/>
              </w:rPr>
            </w:pPr>
            <w:r>
              <w:rPr>
                <w:rFonts w:hint="eastAsia" w:ascii="仿宋_GB2312" w:eastAsia="仿宋_GB2312" w:cs="Times New Roman"/>
                <w:kern w:val="0"/>
                <w:sz w:val="30"/>
                <w:szCs w:val="30"/>
              </w:rPr>
              <w:t>项 目 名 称</w:t>
            </w:r>
          </w:p>
        </w:tc>
        <w:tc>
          <w:tcPr>
            <w:tcW w:w="4486" w:type="dxa"/>
            <w:tcBorders>
              <w:top w:val="single" w:color="auto" w:sz="4" w:space="0"/>
              <w:left w:val="single" w:color="auto" w:sz="4" w:space="0"/>
              <w:bottom w:val="single" w:color="auto" w:sz="4" w:space="0"/>
              <w:right w:val="single" w:color="auto" w:sz="4" w:space="0"/>
            </w:tcBorders>
            <w:vAlign w:val="center"/>
          </w:tcPr>
          <w:p w14:paraId="58BF6162">
            <w:pPr>
              <w:pStyle w:val="26"/>
              <w:spacing w:after="120" w:line="240" w:lineRule="auto"/>
              <w:ind w:firstLine="0" w:firstLineChars="0"/>
              <w:rPr>
                <w:rFonts w:ascii="仿宋_GB2312" w:eastAsia="仿宋_GB2312" w:cs="Times New Roman"/>
                <w:kern w:val="0"/>
                <w:sz w:val="30"/>
                <w:szCs w:val="30"/>
              </w:rPr>
            </w:pPr>
            <w:r>
              <w:rPr>
                <w:rFonts w:hint="eastAsia" w:ascii="仿宋_GB2312" w:eastAsia="仿宋_GB2312" w:cs="Times New Roman"/>
                <w:kern w:val="0"/>
                <w:sz w:val="30"/>
                <w:szCs w:val="30"/>
              </w:rPr>
              <w:t>计量方式</w:t>
            </w:r>
          </w:p>
        </w:tc>
      </w:tr>
      <w:tr w14:paraId="0738D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1242" w:type="dxa"/>
            <w:tcBorders>
              <w:top w:val="single" w:color="auto" w:sz="4" w:space="0"/>
              <w:left w:val="single" w:color="auto" w:sz="4" w:space="0"/>
              <w:bottom w:val="single" w:color="auto" w:sz="4" w:space="0"/>
              <w:right w:val="single" w:color="auto" w:sz="4" w:space="0"/>
            </w:tcBorders>
            <w:vAlign w:val="center"/>
          </w:tcPr>
          <w:p w14:paraId="28A17C99">
            <w:pPr>
              <w:pStyle w:val="26"/>
              <w:spacing w:after="120" w:line="240" w:lineRule="auto"/>
              <w:ind w:firstLine="0" w:firstLineChars="0"/>
              <w:rPr>
                <w:rFonts w:ascii="仿宋_GB2312" w:eastAsia="仿宋_GB2312" w:cs="Times New Roman"/>
                <w:kern w:val="0"/>
                <w:sz w:val="30"/>
                <w:szCs w:val="30"/>
              </w:rPr>
            </w:pPr>
            <w:r>
              <w:rPr>
                <w:rFonts w:hint="eastAsia" w:ascii="仿宋_GB2312" w:eastAsia="仿宋_GB2312" w:cs="Times New Roman"/>
                <w:kern w:val="0"/>
                <w:sz w:val="30"/>
                <w:szCs w:val="30"/>
              </w:rPr>
              <w:t>1</w:t>
            </w:r>
          </w:p>
        </w:tc>
        <w:tc>
          <w:tcPr>
            <w:tcW w:w="2872" w:type="dxa"/>
            <w:tcBorders>
              <w:top w:val="single" w:color="auto" w:sz="4" w:space="0"/>
              <w:left w:val="single" w:color="auto" w:sz="4" w:space="0"/>
              <w:bottom w:val="single" w:color="auto" w:sz="4" w:space="0"/>
              <w:right w:val="single" w:color="auto" w:sz="4" w:space="0"/>
            </w:tcBorders>
            <w:vAlign w:val="center"/>
          </w:tcPr>
          <w:p w14:paraId="25B77BFC">
            <w:pPr>
              <w:pStyle w:val="26"/>
              <w:spacing w:after="120" w:line="240" w:lineRule="auto"/>
              <w:ind w:firstLine="0" w:firstLineChars="0"/>
              <w:rPr>
                <w:rFonts w:ascii="仿宋_GB2312" w:eastAsia="仿宋_GB2312" w:cs="Times New Roman"/>
                <w:kern w:val="0"/>
                <w:sz w:val="30"/>
                <w:szCs w:val="30"/>
              </w:rPr>
            </w:pPr>
            <w:r>
              <w:rPr>
                <w:rFonts w:hint="eastAsia" w:ascii="仿宋_GB2312" w:eastAsia="仿宋_GB2312" w:cs="Times New Roman"/>
                <w:kern w:val="0"/>
                <w:sz w:val="30"/>
                <w:szCs w:val="30"/>
              </w:rPr>
              <w:t>绿色施工安全防护措施费</w:t>
            </w:r>
          </w:p>
        </w:tc>
        <w:tc>
          <w:tcPr>
            <w:tcW w:w="4486" w:type="dxa"/>
            <w:tcBorders>
              <w:top w:val="single" w:color="auto" w:sz="4" w:space="0"/>
              <w:left w:val="single" w:color="auto" w:sz="4" w:space="0"/>
              <w:bottom w:val="single" w:color="auto" w:sz="4" w:space="0"/>
              <w:right w:val="single" w:color="auto" w:sz="4" w:space="0"/>
            </w:tcBorders>
            <w:vAlign w:val="center"/>
          </w:tcPr>
          <w:p w14:paraId="42A825E9">
            <w:pPr>
              <w:pStyle w:val="26"/>
              <w:spacing w:after="120" w:line="240" w:lineRule="auto"/>
              <w:ind w:firstLine="0" w:firstLineChars="0"/>
              <w:rPr>
                <w:rFonts w:ascii="仿宋_GB2312" w:eastAsia="仿宋_GB2312" w:cs="Times New Roman"/>
                <w:kern w:val="0"/>
                <w:sz w:val="30"/>
                <w:szCs w:val="30"/>
              </w:rPr>
            </w:pPr>
            <w:r>
              <w:rPr>
                <w:rFonts w:ascii="仿宋_GB2312" w:eastAsia="仿宋_GB2312" w:cs="Times New Roman"/>
                <w:kern w:val="0"/>
                <w:sz w:val="30"/>
                <w:szCs w:val="30"/>
              </w:rPr>
              <w:t>该项价款的50%与预付款同步支付；中间安全评价2次，每次评价合格后按该项价款的20%支付；剩余的10%在工程竣工安全评价合格后支付。不满足施工安全要求不计量。</w:t>
            </w:r>
          </w:p>
        </w:tc>
      </w:tr>
      <w:tr w14:paraId="6F9B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242" w:type="dxa"/>
            <w:tcBorders>
              <w:top w:val="single" w:color="auto" w:sz="4" w:space="0"/>
              <w:left w:val="single" w:color="auto" w:sz="4" w:space="0"/>
              <w:bottom w:val="single" w:color="auto" w:sz="4" w:space="0"/>
              <w:right w:val="single" w:color="auto" w:sz="4" w:space="0"/>
            </w:tcBorders>
            <w:vAlign w:val="center"/>
          </w:tcPr>
          <w:p w14:paraId="5709849F">
            <w:pPr>
              <w:pStyle w:val="26"/>
              <w:spacing w:after="120" w:line="240" w:lineRule="auto"/>
              <w:ind w:firstLine="0" w:firstLineChars="0"/>
              <w:rPr>
                <w:rFonts w:ascii="仿宋_GB2312" w:eastAsia="仿宋_GB2312" w:cs="Times New Roman"/>
                <w:kern w:val="0"/>
                <w:sz w:val="30"/>
                <w:szCs w:val="30"/>
              </w:rPr>
            </w:pPr>
            <w:r>
              <w:rPr>
                <w:rFonts w:hint="eastAsia" w:ascii="仿宋_GB2312" w:eastAsia="仿宋_GB2312" w:cs="Times New Roman"/>
                <w:kern w:val="0"/>
                <w:sz w:val="30"/>
                <w:szCs w:val="30"/>
              </w:rPr>
              <w:t>2</w:t>
            </w:r>
          </w:p>
        </w:tc>
        <w:tc>
          <w:tcPr>
            <w:tcW w:w="2872" w:type="dxa"/>
            <w:tcBorders>
              <w:top w:val="single" w:color="auto" w:sz="4" w:space="0"/>
              <w:left w:val="single" w:color="auto" w:sz="4" w:space="0"/>
              <w:bottom w:val="single" w:color="auto" w:sz="4" w:space="0"/>
              <w:right w:val="single" w:color="auto" w:sz="4" w:space="0"/>
            </w:tcBorders>
            <w:vAlign w:val="center"/>
          </w:tcPr>
          <w:p w14:paraId="07C0B3A5">
            <w:pPr>
              <w:pStyle w:val="26"/>
              <w:spacing w:after="120" w:line="240" w:lineRule="auto"/>
              <w:ind w:firstLine="0" w:firstLineChars="0"/>
              <w:rPr>
                <w:rFonts w:ascii="仿宋_GB2312" w:eastAsia="仿宋_GB2312" w:cs="Times New Roman"/>
                <w:kern w:val="0"/>
                <w:sz w:val="30"/>
                <w:szCs w:val="30"/>
              </w:rPr>
            </w:pPr>
            <w:r>
              <w:rPr>
                <w:rFonts w:hint="eastAsia" w:ascii="仿宋_GB2312" w:eastAsia="仿宋_GB2312" w:cs="Times New Roman"/>
                <w:kern w:val="0"/>
                <w:sz w:val="30"/>
                <w:szCs w:val="30"/>
              </w:rPr>
              <w:t>其余措施项目费用</w:t>
            </w:r>
          </w:p>
        </w:tc>
        <w:tc>
          <w:tcPr>
            <w:tcW w:w="4486" w:type="dxa"/>
            <w:tcBorders>
              <w:top w:val="single" w:color="auto" w:sz="4" w:space="0"/>
              <w:left w:val="single" w:color="auto" w:sz="4" w:space="0"/>
              <w:bottom w:val="single" w:color="auto" w:sz="4" w:space="0"/>
              <w:right w:val="single" w:color="auto" w:sz="4" w:space="0"/>
            </w:tcBorders>
            <w:vAlign w:val="center"/>
          </w:tcPr>
          <w:p w14:paraId="544ECC01">
            <w:pPr>
              <w:pStyle w:val="26"/>
              <w:spacing w:after="120" w:line="240" w:lineRule="auto"/>
              <w:ind w:firstLine="0" w:firstLineChars="0"/>
              <w:rPr>
                <w:rFonts w:ascii="仿宋_GB2312" w:eastAsia="仿宋_GB2312" w:cs="Times New Roman"/>
                <w:kern w:val="0"/>
                <w:sz w:val="30"/>
                <w:szCs w:val="30"/>
              </w:rPr>
            </w:pPr>
            <w:r>
              <w:rPr>
                <w:rFonts w:hint="eastAsia" w:ascii="仿宋_GB2312" w:eastAsia="仿宋_GB2312" w:cs="Times New Roman"/>
                <w:kern w:val="0"/>
                <w:sz w:val="30"/>
                <w:szCs w:val="30"/>
              </w:rPr>
              <w:t>按总工期每月平均支付。</w:t>
            </w:r>
          </w:p>
        </w:tc>
      </w:tr>
    </w:tbl>
    <w:p w14:paraId="43F36E69">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C、承包人提供进度款发票时，须包含违约金部分，发包人实际付款时扣除违约金。</w:t>
      </w:r>
    </w:p>
    <w:p w14:paraId="75411611">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（3）措施项目费（绿色施工安全防护措施费除外）及其它项目费均纳入申报当月进度计量计算支付，按审核金额的85%支付。不发生的项目不予计量支付及结算支付。</w:t>
      </w:r>
    </w:p>
    <w:p w14:paraId="4291C0BA">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（4）承包人应保证提交工程师（造价咨询单位）、发包人的已完工程款额报告和支付申请中的计量及计价数据具备相当的准确度。</w:t>
      </w:r>
    </w:p>
    <w:p w14:paraId="1A883ADA">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（5）在发包人审定</w:t>
      </w:r>
      <w:r>
        <w:rPr>
          <w:rFonts w:hint="eastAsia" w:ascii="仿宋_GB2312" w:eastAsia="仿宋_GB2312" w:cs="宋体"/>
          <w:sz w:val="30"/>
          <w:szCs w:val="30"/>
        </w:rPr>
        <w:t>施工图预算</w:t>
      </w:r>
      <w:r>
        <w:rPr>
          <w:rFonts w:hint="eastAsia" w:ascii="仿宋_GB2312" w:eastAsia="仿宋_GB2312"/>
          <w:sz w:val="30"/>
          <w:szCs w:val="30"/>
        </w:rPr>
        <w:t>后，施工进度款（含预付款）支付至承包人施工范围部分的合同价（或补充协议价）85%。</w:t>
      </w:r>
    </w:p>
    <w:p w14:paraId="0F20272B">
      <w:pPr>
        <w:wordWrap/>
        <w:topLinePunct w:val="0"/>
        <w:spacing w:after="120"/>
        <w:ind w:firstLine="602"/>
        <w:jc w:val="left"/>
        <w:rPr>
          <w:rFonts w:ascii="仿宋_GB2312" w:eastAsia="仿宋_GB2312"/>
          <w:b/>
          <w:color w:val="FF0000"/>
          <w:sz w:val="30"/>
          <w:szCs w:val="30"/>
        </w:rPr>
      </w:pPr>
      <w:r>
        <w:rPr>
          <w:rFonts w:hint="eastAsia" w:ascii="仿宋_GB2312" w:eastAsia="仿宋_GB2312"/>
          <w:b/>
          <w:color w:val="FF0000"/>
          <w:sz w:val="30"/>
          <w:szCs w:val="30"/>
        </w:rPr>
        <w:t>（</w:t>
      </w:r>
      <w:r>
        <w:rPr>
          <w:rFonts w:ascii="仿宋_GB2312" w:eastAsia="仿宋_GB2312"/>
          <w:b/>
          <w:color w:val="FF0000"/>
          <w:sz w:val="30"/>
          <w:szCs w:val="30"/>
        </w:rPr>
        <w:t>6）承包人承包范围内的所有竣工结算资料由承包人配合发包人送至有权结算终审部门后，发包人累计支付至本合同价款（不含暂列金额；不含原清单减少或未实施内容）的90%。</w:t>
      </w:r>
    </w:p>
    <w:p w14:paraId="64519A10">
      <w:pPr>
        <w:pStyle w:val="26"/>
        <w:spacing w:after="120"/>
        <w:ind w:firstLine="602"/>
        <w:rPr>
          <w:rFonts w:ascii="仿宋_GB2312" w:eastAsia="仿宋_GB2312" w:cs="Times New Roman"/>
          <w:b/>
          <w:color w:val="FF0000"/>
          <w:kern w:val="0"/>
          <w:sz w:val="30"/>
          <w:szCs w:val="30"/>
        </w:rPr>
      </w:pPr>
      <w:r>
        <w:rPr>
          <w:rFonts w:hint="eastAsia" w:ascii="仿宋_GB2312" w:eastAsia="仿宋_GB2312" w:cs="Times New Roman"/>
          <w:b/>
          <w:color w:val="FF0000"/>
          <w:kern w:val="0"/>
          <w:sz w:val="30"/>
          <w:szCs w:val="30"/>
        </w:rPr>
        <w:t>（</w:t>
      </w:r>
      <w:r>
        <w:rPr>
          <w:rFonts w:ascii="仿宋_GB2312" w:eastAsia="仿宋_GB2312" w:cs="Times New Roman"/>
          <w:b/>
          <w:color w:val="FF0000"/>
          <w:kern w:val="0"/>
          <w:sz w:val="30"/>
          <w:szCs w:val="30"/>
        </w:rPr>
        <w:t>7）本合同工程结算经有权结算终审部门定审、承包人按合同约定完整移交工程及工程竣工档案且不发生违约情形的，发包人累计支付至合同结算定</w:t>
      </w:r>
      <w:r>
        <w:rPr>
          <w:rFonts w:hint="eastAsia" w:ascii="仿宋_GB2312" w:eastAsia="仿宋_GB2312" w:cs="Times New Roman"/>
          <w:b/>
          <w:color w:val="FF0000"/>
          <w:kern w:val="0"/>
          <w:sz w:val="30"/>
          <w:szCs w:val="30"/>
        </w:rPr>
        <w:t>审金额的</w:t>
      </w:r>
      <w:r>
        <w:rPr>
          <w:rFonts w:ascii="仿宋_GB2312" w:eastAsia="仿宋_GB2312" w:cs="Times New Roman"/>
          <w:b/>
          <w:color w:val="FF0000"/>
          <w:kern w:val="0"/>
          <w:sz w:val="30"/>
          <w:szCs w:val="30"/>
        </w:rPr>
        <w:t>97%，3%工程质量保证金以质量保证金保函形式提交后予以支付。</w:t>
      </w:r>
    </w:p>
    <w:p w14:paraId="655A0800">
      <w:pPr>
        <w:pStyle w:val="26"/>
        <w:spacing w:after="120"/>
        <w:ind w:firstLine="602"/>
        <w:rPr>
          <w:rFonts w:ascii="仿宋_GB2312" w:eastAsia="仿宋_GB2312" w:cs="Times New Roman"/>
          <w:b/>
          <w:color w:val="FF0000"/>
          <w:kern w:val="0"/>
          <w:sz w:val="30"/>
          <w:szCs w:val="30"/>
        </w:rPr>
      </w:pPr>
      <w:r>
        <w:rPr>
          <w:rFonts w:hint="eastAsia" w:ascii="仿宋_GB2312" w:eastAsia="仿宋_GB2312" w:cs="Times New Roman"/>
          <w:b/>
          <w:color w:val="FF0000"/>
          <w:kern w:val="0"/>
          <w:sz w:val="30"/>
          <w:szCs w:val="30"/>
        </w:rPr>
        <w:t>（</w:t>
      </w:r>
      <w:r>
        <w:rPr>
          <w:rFonts w:ascii="仿宋_GB2312" w:eastAsia="仿宋_GB2312" w:cs="Times New Roman"/>
          <w:b/>
          <w:color w:val="FF0000"/>
          <w:kern w:val="0"/>
          <w:sz w:val="30"/>
          <w:szCs w:val="30"/>
        </w:rPr>
        <w:t>8）合同履行期间，如发生欠缴违约金的情形时，暂停当期进度款支付。</w:t>
      </w:r>
    </w:p>
    <w:p w14:paraId="5E88BF06">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9）承包人符合《省代建局第三方质量安全巡查评估结果应用管理办法（试行）》（附件）的进度款支付奖励条件，提高施工进度款支付比例月份仅限于省代建局组织的第三方质量安全巡查评估结果公布当月后连续3个月，以评估结果公布时间的下一个月份起计。承包人在本项目完成竣工验收前，凡是符合奖励条件的，按上述约定执行。承包人办理奖励月份施工进度款支付申请时，需同时附上当期第三方质量安全巡查评估结果有关证明材料复印件（加盖施工单位公章）。</w:t>
      </w:r>
    </w:p>
    <w:p w14:paraId="798B1AED">
      <w:pPr>
        <w:wordWrap/>
        <w:topLinePunct w:val="0"/>
        <w:spacing w:after="120"/>
        <w:ind w:firstLine="602"/>
        <w:jc w:val="left"/>
        <w:rPr>
          <w:rFonts w:ascii="仿宋_GB2312" w:eastAsia="仿宋_GB2312"/>
          <w:b/>
          <w:color w:val="FF0000"/>
          <w:sz w:val="30"/>
          <w:szCs w:val="30"/>
          <w:u w:val="single"/>
        </w:rPr>
      </w:pPr>
      <w:r>
        <w:rPr>
          <w:rFonts w:hint="eastAsia" w:ascii="仿宋_GB2312" w:eastAsia="仿宋_GB2312"/>
          <w:b/>
          <w:color w:val="FF0000"/>
          <w:sz w:val="30"/>
          <w:szCs w:val="30"/>
          <w:u w:val="single"/>
        </w:rPr>
        <w:t>□</w:t>
      </w:r>
      <w:r>
        <w:rPr>
          <w:rFonts w:ascii="仿宋_GB2312" w:eastAsia="仿宋_GB2312"/>
          <w:b/>
          <w:color w:val="FF0000"/>
          <w:sz w:val="30"/>
          <w:szCs w:val="30"/>
          <w:u w:val="single"/>
        </w:rPr>
        <w:t>（10）现场组织实施管理费以月为单位进行计量支付。</w:t>
      </w:r>
    </w:p>
    <w:p w14:paraId="79185111">
      <w:pPr>
        <w:wordWrap/>
        <w:topLinePunct w:val="0"/>
        <w:spacing w:after="120"/>
        <w:ind w:firstLine="602"/>
        <w:jc w:val="left"/>
        <w:rPr>
          <w:rFonts w:ascii="仿宋_GB2312" w:eastAsia="仿宋_GB2312"/>
          <w:b/>
          <w:color w:val="FF0000"/>
          <w:sz w:val="30"/>
          <w:szCs w:val="30"/>
          <w:u w:val="single"/>
        </w:rPr>
      </w:pPr>
      <w:r>
        <w:rPr>
          <w:rFonts w:ascii="仿宋_GB2312" w:eastAsia="仿宋_GB2312"/>
          <w:b/>
          <w:color w:val="FF0000"/>
          <w:sz w:val="30"/>
          <w:szCs w:val="30"/>
          <w:u w:val="single"/>
        </w:rPr>
        <w:t>1）现场组织实施管理费的支付标准为：项目经理8万元/月；技术负责人6万元/月；安全负责人6万元/月；质量负责人6万元/月。在支付工程预付款时，按上述标准的50%扣减此项费用；在支付进度款时，按上述标准的50%支付此项费用。（说明：该费用已包含在合同价款中，是发包人向承包人支付本项目现场组织实施管理费的依据，不作为承包人向上述相关人员支付工资费用的标准。）</w:t>
      </w:r>
    </w:p>
    <w:p w14:paraId="419E52CA">
      <w:pPr>
        <w:wordWrap/>
        <w:topLinePunct w:val="0"/>
        <w:spacing w:after="120"/>
        <w:ind w:firstLine="602"/>
        <w:jc w:val="left"/>
        <w:rPr>
          <w:rFonts w:ascii="仿宋_GB2312" w:eastAsia="仿宋_GB2312"/>
          <w:b/>
          <w:color w:val="FF0000"/>
          <w:sz w:val="30"/>
          <w:szCs w:val="30"/>
          <w:u w:val="single"/>
        </w:rPr>
      </w:pPr>
      <w:r>
        <w:rPr>
          <w:rFonts w:ascii="仿宋_GB2312" w:eastAsia="仿宋_GB2312"/>
          <w:b/>
          <w:color w:val="FF0000"/>
          <w:sz w:val="30"/>
          <w:szCs w:val="30"/>
          <w:u w:val="single"/>
        </w:rPr>
        <w:t>2）在施工期内，如承包人的上述相关人员在一个月内经监理单位、发包人书面确认的现场办公管理天数不低于25个日历天，则相应人员在该月的现场组织实施管理费予以全额的50%支付；如低于25个日历天，则相应人员在该月的现场组织实施管理费不予支付，竣工结算时从结算工程款中相应扣除。</w:t>
      </w:r>
    </w:p>
    <w:p w14:paraId="7131C0FA">
      <w:pPr>
        <w:wordWrap/>
        <w:topLinePunct w:val="0"/>
        <w:spacing w:after="120"/>
        <w:ind w:firstLine="602"/>
        <w:jc w:val="left"/>
        <w:rPr>
          <w:rFonts w:ascii="仿宋_GB2312" w:eastAsia="仿宋_GB2312"/>
          <w:b/>
          <w:color w:val="FF0000"/>
          <w:sz w:val="30"/>
          <w:szCs w:val="30"/>
          <w:u w:val="single"/>
        </w:rPr>
      </w:pPr>
      <w:r>
        <w:rPr>
          <w:rFonts w:ascii="仿宋_GB2312" w:eastAsia="仿宋_GB2312"/>
          <w:b/>
          <w:color w:val="FF0000"/>
          <w:sz w:val="30"/>
          <w:szCs w:val="30"/>
          <w:u w:val="single"/>
        </w:rPr>
        <w:t>3）对承包人主要技术及管理人员驻场办公时间进行考核，考核结果作为管理费支付依据，考核须由总监理工程师及发包人现场项目负责人书面签名确认。</w:t>
      </w:r>
    </w:p>
    <w:p w14:paraId="6ECD2DAA">
      <w:pPr>
        <w:wordWrap/>
        <w:topLinePunct w:val="0"/>
        <w:spacing w:after="120"/>
        <w:ind w:firstLine="602"/>
        <w:jc w:val="left"/>
        <w:rPr>
          <w:rFonts w:ascii="仿宋_GB2312" w:eastAsia="仿宋_GB2312"/>
          <w:b/>
          <w:color w:val="FF0000"/>
          <w:sz w:val="30"/>
          <w:szCs w:val="30"/>
          <w:u w:val="single"/>
        </w:rPr>
      </w:pPr>
      <w:r>
        <w:rPr>
          <w:rFonts w:ascii="仿宋_GB2312" w:eastAsia="仿宋_GB2312"/>
          <w:b/>
          <w:color w:val="FF0000"/>
          <w:sz w:val="30"/>
          <w:szCs w:val="30"/>
          <w:u w:val="single"/>
        </w:rPr>
        <w:t>4）当发包人累计支付达到现场组织实施管理费总额（扣除不予支付部分）的85%时暂停支付，剩余费用按合同专用条款对应的相关约定比例支付。</w:t>
      </w:r>
    </w:p>
    <w:p w14:paraId="70DCEBC9">
      <w:pPr>
        <w:wordWrap/>
        <w:topLinePunct w:val="0"/>
        <w:spacing w:after="120"/>
        <w:ind w:firstLine="602"/>
        <w:jc w:val="left"/>
        <w:rPr>
          <w:rFonts w:ascii="仿宋_GB2312" w:eastAsia="仿宋_GB2312"/>
          <w:b/>
          <w:color w:val="FF0000"/>
          <w:sz w:val="30"/>
          <w:szCs w:val="30"/>
          <w:u w:val="single"/>
        </w:rPr>
      </w:pPr>
      <w:r>
        <w:rPr>
          <w:rFonts w:ascii="仿宋_GB2312" w:eastAsia="仿宋_GB2312"/>
          <w:b/>
          <w:color w:val="FF0000"/>
          <w:sz w:val="30"/>
          <w:szCs w:val="30"/>
          <w:u w:val="single"/>
        </w:rPr>
        <w:t>5）现场组织实施管理费以月为单位进行计量支付及人员考核考勤处罚金额依据（相关金额已包含在投标价中，</w:t>
      </w:r>
      <w:r>
        <w:rPr>
          <w:rFonts w:hint="eastAsia" w:ascii="仿宋_GB2312" w:eastAsia="仿宋_GB2312"/>
          <w:b/>
          <w:color w:val="FF0000"/>
          <w:sz w:val="30"/>
          <w:szCs w:val="30"/>
          <w:u w:val="single"/>
        </w:rPr>
        <w:t>不另外支付）</w:t>
      </w:r>
    </w:p>
    <w:p w14:paraId="74942057">
      <w:pPr>
        <w:wordWrap/>
        <w:topLinePunct w:val="0"/>
        <w:spacing w:after="120"/>
        <w:ind w:firstLine="602"/>
        <w:jc w:val="left"/>
        <w:rPr>
          <w:rFonts w:ascii="仿宋_GB2312" w:eastAsia="仿宋_GB2312"/>
          <w:b/>
          <w:color w:val="FF0000"/>
          <w:sz w:val="30"/>
          <w:szCs w:val="30"/>
          <w:u w:val="single"/>
        </w:rPr>
      </w:pPr>
      <w:r>
        <w:rPr>
          <w:rFonts w:ascii="仿宋_GB2312" w:eastAsia="仿宋_GB2312"/>
          <w:b/>
          <w:color w:val="FF0000"/>
          <w:sz w:val="30"/>
          <w:szCs w:val="30"/>
          <w:u w:val="single"/>
        </w:rPr>
        <w:t>6）项目现场的管理、考核及考勤工作由监理单位负责，发包人代表（项目组）负责督促、复核及确认。</w:t>
      </w:r>
    </w:p>
    <w:p w14:paraId="56BD7C11">
      <w:pPr>
        <w:wordWrap/>
        <w:topLinePunct w:val="0"/>
        <w:spacing w:after="120"/>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t>14.3.2.2工程设计费进度付款的审核方式和支付的约定：详见《设计部分合同专章》</w:t>
      </w:r>
    </w:p>
    <w:p w14:paraId="6DFDF897">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14.3.2.3由于本项目为省财政资金，执行财政集中支付，故本合同提及的“发包人支付”均为发包人向省财政部门申请办理财政集中支付手续，并不为发包人向承包人直接支付资金。如因财政集中支付导致支付时间延误，不属于发包人违约责任范围。</w:t>
      </w:r>
    </w:p>
    <w:p w14:paraId="6CCE2025">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14.3.2.4由于受财政部门预算管理约束，承包人必须在达到合同约定支付时点后20个工作日内提出付款申请并提交相应资料，否则，发包人有权根据项目资金预算情况另行安排费用支付时间，且由此产生的不良后果，由承包人承担。</w:t>
      </w:r>
    </w:p>
    <w:p w14:paraId="407458B6">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该合同价款由省财政部门直接支付至合同承包人。发包人审核合同款项出具同意支付意见后须将请款材料报送项目使用单位及省财政部门进行审核，并由项目使用单位及省财政部门办理款项支付相关手续。</w:t>
      </w:r>
    </w:p>
    <w:p w14:paraId="77F17DAC">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受省财政厅封账期（一般每年度12月20日至次年度3月初）及项目资金结转（一般每年度12月23日至次年度5月初）的影响，所有款项将无法正常拨付。上述支付时间不包含其他政府部门审批时间，承包人已清楚明白本项目工程款的拨付程序和封账期、资金结转期间对项目实施可能造成的影响和风险，并理解因其他政府部门审核请款手续对时间等方面的影响与发包人无关，故非发包人原因造成的款项支付拖延，不得向发包人要求计付拖延款项期间的利息及因此导致的其他损失以及拖延工期。</w:t>
      </w:r>
    </w:p>
    <w:p w14:paraId="7B137E71">
      <w:pPr>
        <w:wordWrap/>
        <w:topLinePunct w:val="0"/>
        <w:spacing w:after="120"/>
        <w:ind w:firstLine="600"/>
        <w:jc w:val="left"/>
        <w:rPr>
          <w:rFonts w:ascii="仿宋_GB2312" w:eastAsia="仿宋_GB2312"/>
          <w:sz w:val="30"/>
          <w:szCs w:val="30"/>
        </w:rPr>
      </w:pPr>
      <w:r>
        <w:rPr>
          <w:rFonts w:hint="eastAsia" w:ascii="仿宋_GB2312" w:eastAsia="仿宋_GB2312"/>
          <w:sz w:val="30"/>
          <w:szCs w:val="30"/>
        </w:rPr>
        <w:t>本合同价款在项目整体工程结算阶段须报送省财政部门进行结算审核，承包人应按省财政部门要求提供资料并对有关疑问作出说明。省财政部门对本合同价款结算审核定案结论为本合同结算的最终依据。发包人、承包人双方须按省财政部门结算审核定案结论进行费用清算。根据省财政部门结算审核定案结论，若出现合同款项超付情况，承包人应无条件按省财政部门结算审核定案结论退还超付部分款项；若出现合同款项未付情况，承包人可依据省财政部门结算审核定案结论向发包人申请支付未付部分款项，发包人须予办理审核支付。</w:t>
      </w:r>
    </w:p>
    <w:p w14:paraId="02352C50">
      <w:pPr>
        <w:wordWrap/>
        <w:topLinePunct w:val="0"/>
        <w:spacing w:after="120"/>
        <w:ind w:firstLine="600"/>
        <w:rPr>
          <w:rFonts w:ascii="仿宋_GB2312" w:eastAsia="仿宋_GB2312"/>
          <w:sz w:val="30"/>
          <w:szCs w:val="30"/>
        </w:rPr>
      </w:pPr>
      <w:r>
        <w:rPr>
          <w:rFonts w:hint="eastAsia" w:ascii="仿宋_GB2312" w:eastAsia="仿宋_GB2312"/>
          <w:sz w:val="30"/>
          <w:szCs w:val="30"/>
        </w:rPr>
        <w:t>发包人应在进度款支付证书或临时进度款支付证书签发后的</w:t>
      </w:r>
      <w:r>
        <w:rPr>
          <w:rFonts w:hint="eastAsia" w:ascii="仿宋_GB2312" w:eastAsia="仿宋_GB2312"/>
          <w:sz w:val="30"/>
          <w:szCs w:val="30"/>
          <w:u w:val="single"/>
        </w:rPr>
        <w:t xml:space="preserve"> 42</w:t>
      </w:r>
      <w:r>
        <w:rPr>
          <w:rFonts w:hint="eastAsia" w:ascii="仿宋_GB2312" w:eastAsia="仿宋_GB2312"/>
          <w:sz w:val="30"/>
          <w:szCs w:val="30"/>
        </w:rPr>
        <w:t>天内完成支付，发包人逾期支付进度款的，应按照</w:t>
      </w:r>
      <w:r>
        <w:rPr>
          <w:rFonts w:hint="eastAsia" w:ascii="仿宋_GB2312" w:eastAsia="仿宋_GB2312"/>
          <w:sz w:val="30"/>
          <w:szCs w:val="30"/>
          <w:u w:val="single"/>
        </w:rPr>
        <w:t xml:space="preserve"> 违约条款</w:t>
      </w:r>
      <w:r>
        <w:rPr>
          <w:rFonts w:hint="eastAsia" w:ascii="仿宋_GB2312" w:eastAsia="仿宋_GB2312"/>
          <w:sz w:val="30"/>
          <w:szCs w:val="30"/>
        </w:rPr>
        <w:t>支付违约金。</w:t>
      </w:r>
    </w:p>
    <w:p w14:paraId="70C94E60">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14.4 付款计划表</w:t>
      </w:r>
    </w:p>
    <w:p w14:paraId="584F2845">
      <w:pPr>
        <w:wordWrap/>
        <w:topLinePunct w:val="0"/>
        <w:spacing w:after="120"/>
        <w:ind w:firstLine="600"/>
        <w:rPr>
          <w:rFonts w:ascii="仿宋_GB2312" w:eastAsia="仿宋_GB2312"/>
          <w:sz w:val="30"/>
          <w:szCs w:val="30"/>
        </w:rPr>
      </w:pPr>
      <w:r>
        <w:rPr>
          <w:rFonts w:ascii="仿宋_GB2312" w:eastAsia="仿宋_GB2312"/>
          <w:sz w:val="30"/>
          <w:szCs w:val="30"/>
        </w:rPr>
        <w:t>14.4.1 付款计划表的编制要求</w:t>
      </w:r>
      <w:r>
        <w:rPr>
          <w:rFonts w:hint="eastAsia" w:ascii="仿宋_GB2312" w:eastAsia="仿宋_GB2312"/>
          <w:sz w:val="30"/>
          <w:szCs w:val="30"/>
        </w:rPr>
        <w:t>：</w:t>
      </w:r>
      <w:r>
        <w:rPr>
          <w:rFonts w:hint="eastAsia" w:ascii="仿宋_GB2312" w:eastAsia="仿宋_GB2312"/>
          <w:sz w:val="30"/>
          <w:szCs w:val="30"/>
          <w:u w:val="single"/>
        </w:rPr>
        <w:t>按通用条款要求</w:t>
      </w:r>
      <w:r>
        <w:rPr>
          <w:rFonts w:hint="eastAsia" w:ascii="仿宋_GB2312" w:eastAsia="仿宋_GB2312"/>
          <w:sz w:val="30"/>
          <w:szCs w:val="30"/>
        </w:rPr>
        <w:t>。</w:t>
      </w:r>
    </w:p>
    <w:p w14:paraId="54E4A660">
      <w:pPr>
        <w:wordWrap/>
        <w:topLinePunct w:val="0"/>
        <w:spacing w:after="120"/>
        <w:ind w:firstLine="600"/>
        <w:rPr>
          <w:rFonts w:ascii="仿宋_GB2312" w:eastAsia="仿宋_GB2312"/>
          <w:sz w:val="30"/>
          <w:szCs w:val="30"/>
        </w:rPr>
      </w:pPr>
      <w:r>
        <w:rPr>
          <w:rFonts w:ascii="仿宋_GB2312" w:eastAsia="仿宋_GB2312"/>
          <w:sz w:val="30"/>
          <w:szCs w:val="30"/>
        </w:rPr>
        <w:t xml:space="preserve">14.4.2 </w:t>
      </w:r>
      <w:r>
        <w:rPr>
          <w:rFonts w:hint="eastAsia" w:ascii="仿宋_GB2312" w:eastAsia="仿宋_GB2312"/>
          <w:sz w:val="30"/>
          <w:szCs w:val="30"/>
        </w:rPr>
        <w:t>付款计划表的编制与审批</w:t>
      </w:r>
    </w:p>
    <w:p w14:paraId="7BBCD147">
      <w:pPr>
        <w:wordWrap/>
        <w:topLinePunct w:val="0"/>
        <w:spacing w:after="120"/>
        <w:ind w:firstLine="600"/>
        <w:rPr>
          <w:rFonts w:ascii="仿宋_GB2312" w:eastAsia="仿宋_GB2312"/>
          <w:sz w:val="30"/>
          <w:szCs w:val="30"/>
        </w:rPr>
      </w:pPr>
      <w:r>
        <w:rPr>
          <w:rFonts w:hint="eastAsia" w:ascii="仿宋_GB2312" w:eastAsia="仿宋_GB2312"/>
          <w:sz w:val="30"/>
          <w:szCs w:val="30"/>
        </w:rPr>
        <w:t>付款计划表的编制：</w:t>
      </w:r>
      <w:r>
        <w:rPr>
          <w:rFonts w:hint="eastAsia" w:ascii="仿宋_GB2312" w:eastAsia="仿宋_GB2312"/>
          <w:sz w:val="30"/>
          <w:szCs w:val="30"/>
          <w:u w:val="single"/>
        </w:rPr>
        <w:t>按通用条款要求</w:t>
      </w:r>
      <w:r>
        <w:rPr>
          <w:rFonts w:hint="eastAsia" w:ascii="仿宋_GB2312" w:eastAsia="仿宋_GB2312"/>
          <w:sz w:val="30"/>
          <w:szCs w:val="30"/>
        </w:rPr>
        <w:t>。</w:t>
      </w:r>
    </w:p>
    <w:p w14:paraId="6A5546AF">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14.5 竣工结算</w:t>
      </w:r>
    </w:p>
    <w:p w14:paraId="792EB877">
      <w:pPr>
        <w:wordWrap/>
        <w:topLinePunct w:val="0"/>
        <w:spacing w:after="120"/>
        <w:ind w:firstLine="600"/>
        <w:rPr>
          <w:rFonts w:ascii="仿宋_GB2312" w:eastAsia="仿宋_GB2312"/>
          <w:sz w:val="30"/>
          <w:szCs w:val="30"/>
        </w:rPr>
      </w:pPr>
      <w:r>
        <w:rPr>
          <w:rFonts w:ascii="仿宋_GB2312" w:eastAsia="仿宋_GB2312"/>
          <w:sz w:val="30"/>
          <w:szCs w:val="30"/>
        </w:rPr>
        <w:t xml:space="preserve">14.5.1 </w:t>
      </w:r>
      <w:r>
        <w:rPr>
          <w:rFonts w:hint="eastAsia" w:ascii="仿宋_GB2312" w:eastAsia="仿宋_GB2312"/>
          <w:sz w:val="30"/>
          <w:szCs w:val="30"/>
        </w:rPr>
        <w:t>竣工结算申请</w:t>
      </w:r>
    </w:p>
    <w:p w14:paraId="26E470B8">
      <w:pPr>
        <w:wordWrap/>
        <w:topLinePunct w:val="0"/>
        <w:spacing w:after="120"/>
        <w:ind w:firstLine="600"/>
        <w:rPr>
          <w:rFonts w:ascii="仿宋_GB2312" w:eastAsia="仿宋_GB2312"/>
          <w:sz w:val="30"/>
          <w:szCs w:val="30"/>
        </w:rPr>
      </w:pPr>
      <w:r>
        <w:rPr>
          <w:rFonts w:hint="eastAsia" w:ascii="仿宋_GB2312" w:eastAsia="仿宋_GB2312"/>
          <w:sz w:val="30"/>
          <w:szCs w:val="30"/>
        </w:rPr>
        <w:t>承包人提交竣工结算申请的时间：</w:t>
      </w:r>
      <w:r>
        <w:rPr>
          <w:rFonts w:hint="eastAsia" w:ascii="仿宋_GB2312" w:eastAsia="仿宋_GB2312"/>
          <w:sz w:val="30"/>
          <w:szCs w:val="30"/>
          <w:u w:val="single"/>
        </w:rPr>
        <w:t>应在工程竣工验收合格后30天内向发包人提交竣工结算申请单</w:t>
      </w:r>
      <w:r>
        <w:rPr>
          <w:rFonts w:hint="eastAsia" w:ascii="仿宋_GB2312" w:eastAsia="仿宋_GB2312"/>
          <w:sz w:val="30"/>
          <w:szCs w:val="30"/>
        </w:rPr>
        <w:t>。如因故需延期，可向发包人申请并经同意后，延期30天内提交。如在60天内仍未提交，承包人须承担的违约责任：按专用条款第15.2.1.3条 。</w:t>
      </w:r>
    </w:p>
    <w:p w14:paraId="2F61B9A6">
      <w:pPr>
        <w:wordWrap/>
        <w:topLinePunct w:val="0"/>
        <w:adjustRightInd/>
        <w:snapToGrid/>
        <w:spacing w:after="120"/>
        <w:ind w:firstLine="600" w:firstLineChars="200"/>
        <w:jc w:val="left"/>
        <w:outlineLvl w:val="4"/>
        <w:rPr>
          <w:rFonts w:ascii="仿宋_GB2312" w:hAnsi="仿宋_GB2312" w:eastAsia="仿宋_GB2312" w:cs="仿宋_GB2312"/>
          <w:sz w:val="30"/>
          <w:szCs w:val="30"/>
        </w:rPr>
      </w:pPr>
      <w:r>
        <w:rPr>
          <w:rFonts w:hint="eastAsia" w:ascii="仿宋_GB2312" w:hAnsi="仿宋_GB2312" w:eastAsia="仿宋_GB2312" w:cs="仿宋_GB2312"/>
          <w:sz w:val="30"/>
          <w:szCs w:val="30"/>
        </w:rPr>
        <w:t>14.5.1.1 工程设计费结算（含BIM技术应用费结算）：详见《设计部分合同专章》</w:t>
      </w:r>
    </w:p>
    <w:p w14:paraId="6834F5D9">
      <w:pPr>
        <w:wordWrap/>
        <w:topLinePunct w:val="0"/>
        <w:adjustRightInd/>
        <w:snapToGrid/>
        <w:spacing w:after="120"/>
        <w:ind w:firstLine="600"/>
        <w:jc w:val="left"/>
        <w:outlineLvl w:val="4"/>
        <w:rPr>
          <w:rFonts w:ascii="仿宋_GB2312" w:hAnsi="仿宋_GB2312" w:eastAsia="仿宋_GB2312" w:cs="仿宋_GB2312"/>
          <w:sz w:val="30"/>
          <w:szCs w:val="30"/>
        </w:rPr>
      </w:pPr>
      <w:r>
        <w:rPr>
          <w:rFonts w:hint="eastAsia" w:ascii="仿宋_GB2312" w:hAnsi="仿宋_GB2312" w:eastAsia="仿宋_GB2312" w:cs="仿宋_GB2312"/>
          <w:sz w:val="30"/>
          <w:szCs w:val="30"/>
        </w:rPr>
        <w:t>14.5.1.2 工程施工费结算</w:t>
      </w:r>
    </w:p>
    <w:p w14:paraId="042E97B0">
      <w:pPr>
        <w:wordWrap/>
        <w:topLinePunct w:val="0"/>
        <w:adjustRightInd/>
        <w:snapToGrid/>
        <w:spacing w:after="120"/>
        <w:ind w:firstLine="6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工程施工费结算价=审定的</w:t>
      </w:r>
      <w:r>
        <w:rPr>
          <w:rFonts w:hint="eastAsia" w:ascii="仿宋_GB2312" w:eastAsia="仿宋_GB2312" w:cs="宋体"/>
          <w:sz w:val="30"/>
          <w:szCs w:val="30"/>
        </w:rPr>
        <w:t>施工图预算</w:t>
      </w:r>
      <w:r>
        <w:rPr>
          <w:rFonts w:hint="eastAsia" w:ascii="仿宋_GB2312" w:hAnsi="仿宋_GB2312" w:eastAsia="仿宋_GB2312" w:cs="仿宋_GB2312"/>
          <w:sz w:val="30"/>
          <w:szCs w:val="30"/>
        </w:rPr>
        <w:t>（不含暂列金额）±专用条款列出的可调主材价差（含税）±因发包人提出的变更、新增项目造价±批复的签证造价±费用索赔、违约价款。若因非发包人原因导致工程施工费结算价超过经审定的初步设计概算中相应的工程费用，则按经审定的初步设计概算中相应的工程费用结算。</w:t>
      </w:r>
    </w:p>
    <w:p w14:paraId="45FB32FC">
      <w:pPr>
        <w:wordWrap/>
        <w:topLinePunct w:val="0"/>
        <w:adjustRightInd/>
        <w:snapToGrid/>
        <w:spacing w:after="120"/>
        <w:ind w:firstLine="600"/>
        <w:jc w:val="left"/>
        <w:outlineLvl w:val="4"/>
        <w:rPr>
          <w:rFonts w:ascii="仿宋_GB2312" w:hAnsi="仿宋_GB2312" w:eastAsia="仿宋_GB2312" w:cs="仿宋_GB2312"/>
          <w:sz w:val="30"/>
          <w:szCs w:val="30"/>
        </w:rPr>
      </w:pPr>
      <w:r>
        <w:rPr>
          <w:rFonts w:hint="eastAsia" w:ascii="仿宋_GB2312" w:hAnsi="仿宋_GB2312" w:eastAsia="仿宋_GB2312" w:cs="仿宋_GB2312"/>
          <w:sz w:val="30"/>
          <w:szCs w:val="30"/>
        </w:rPr>
        <w:t>14.5.1.3 合同结算价</w:t>
      </w:r>
    </w:p>
    <w:p w14:paraId="3F08073D">
      <w:pPr>
        <w:wordWrap/>
        <w:topLinePunct w:val="0"/>
        <w:adjustRightInd/>
        <w:snapToGrid/>
        <w:spacing w:after="120"/>
        <w:ind w:firstLine="600"/>
        <w:jc w:val="left"/>
        <w:rPr>
          <w:szCs w:val="24"/>
        </w:rPr>
      </w:pPr>
      <w:r>
        <w:rPr>
          <w:rFonts w:hint="eastAsia" w:ascii="仿宋_GB2312" w:hAnsi="仿宋_GB2312" w:eastAsia="仿宋_GB2312" w:cs="仿宋_GB2312"/>
          <w:sz w:val="30"/>
          <w:szCs w:val="30"/>
        </w:rPr>
        <w:t>合同结算价不得超出批复概算的工程设计费+工程施工费++经发包人批准同意使用的预备费之和，具体以合同为准。预备费经甲方允许可以用于结算支付，合同实施期间中不予支付。</w:t>
      </w:r>
    </w:p>
    <w:p w14:paraId="68E894E1">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工程建设其他费用（勘察设计费用除外）如属于设计或勘察单位委托或实施的</w:t>
      </w:r>
      <w:r>
        <w:rPr>
          <w:rFonts w:ascii="仿宋_GB2312" w:eastAsia="仿宋_GB2312"/>
          <w:sz w:val="30"/>
          <w:szCs w:val="30"/>
        </w:rPr>
        <w:t>,结算价计入相应单位。</w:t>
      </w:r>
    </w:p>
    <w:p w14:paraId="55E0E7CF">
      <w:pPr>
        <w:wordWrap/>
        <w:topLinePunct w:val="0"/>
        <w:spacing w:after="120"/>
        <w:ind w:firstLine="600"/>
        <w:outlineLvl w:val="4"/>
      </w:pPr>
      <w:r>
        <w:rPr>
          <w:rFonts w:hint="eastAsia" w:ascii="仿宋_GB2312" w:hAnsi="仿宋_GB2312" w:eastAsia="仿宋_GB2312" w:cs="仿宋_GB2312"/>
          <w:sz w:val="30"/>
          <w:szCs w:val="30"/>
        </w:rPr>
        <w:t>14.5.1.5 结算办法</w:t>
      </w:r>
    </w:p>
    <w:p w14:paraId="2D0A1560">
      <w:pPr>
        <w:wordWrap/>
        <w:topLinePunct w:val="0"/>
        <w:adjustRightInd/>
        <w:snapToGrid/>
        <w:spacing w:after="120"/>
        <w:ind w:firstLine="600"/>
        <w:jc w:val="left"/>
        <w:rPr>
          <w:rFonts w:ascii="仿宋_GB2312" w:eastAsia="仿宋_GB2312"/>
          <w:sz w:val="30"/>
          <w:szCs w:val="30"/>
        </w:rPr>
      </w:pPr>
      <w:r>
        <w:rPr>
          <w:rFonts w:ascii="仿宋_GB2312" w:eastAsia="仿宋_GB2312"/>
          <w:sz w:val="30"/>
          <w:szCs w:val="30"/>
        </w:rPr>
        <w:t>□</w:t>
      </w:r>
      <w:r>
        <w:rPr>
          <w:rFonts w:hint="eastAsia" w:ascii="仿宋_GB2312" w:eastAsia="仿宋_GB2312"/>
          <w:sz w:val="30"/>
          <w:szCs w:val="30"/>
        </w:rPr>
        <w:t>过程结算</w:t>
      </w:r>
    </w:p>
    <w:p w14:paraId="14AA3A3A">
      <w:pPr>
        <w:wordWrap/>
        <w:topLinePunct w:val="0"/>
        <w:adjustRightInd/>
        <w:snapToGrid/>
        <w:spacing w:after="120"/>
        <w:ind w:firstLine="600"/>
        <w:jc w:val="left"/>
        <w:rPr>
          <w:rFonts w:ascii="仿宋_GB2312" w:eastAsia="仿宋_GB2312"/>
          <w:sz w:val="30"/>
          <w:szCs w:val="30"/>
        </w:rPr>
      </w:pPr>
      <w:r>
        <w:rPr>
          <w:rFonts w:ascii="仿宋_GB2312" w:eastAsia="仿宋_GB2312"/>
          <w:sz w:val="30"/>
          <w:szCs w:val="30"/>
        </w:rPr>
        <w:t>本工程采用施工过程结算，过程结算</w:t>
      </w:r>
      <w:r>
        <w:rPr>
          <w:rFonts w:hint="eastAsia" w:ascii="仿宋_GB2312" w:eastAsia="仿宋_GB2312"/>
          <w:sz w:val="30"/>
          <w:szCs w:val="30"/>
        </w:rPr>
        <w:t>按过程结算办法执行，具体见本合同附件</w:t>
      </w:r>
      <w:r>
        <w:rPr>
          <w:rFonts w:ascii="仿宋_GB2312" w:eastAsia="仿宋_GB2312"/>
          <w:sz w:val="30"/>
          <w:szCs w:val="30"/>
        </w:rPr>
        <w:t>。</w:t>
      </w:r>
    </w:p>
    <w:p w14:paraId="6AE56F50">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□竣工结算</w:t>
      </w:r>
    </w:p>
    <w:p w14:paraId="7D9C98CC">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工程竣工验收时须提交完整的项目工程竣工结算文件（承包人应根据相关编制结算文件的要求向监理单位递交由承包人代表签署的竣工工程款额报告、竣工支付申请和竣工结算文件。</w:t>
      </w:r>
    </w:p>
    <w:p w14:paraId="4341FF24">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竣工结算申请的资料清单和份数：。</w:t>
      </w:r>
    </w:p>
    <w:p w14:paraId="6ADA911A">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●竣工结算申请单的内容应包括：</w:t>
      </w:r>
    </w:p>
    <w:p w14:paraId="2E6A60DB">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承包人应当向发包人提供如下竣工结算资料（但不限于以下）：</w:t>
      </w:r>
    </w:p>
    <w:p w14:paraId="351CE684">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1）工程结算书；</w:t>
      </w:r>
    </w:p>
    <w:p w14:paraId="2EAB94B7">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2）工程量计算书（即计算底稿）；</w:t>
      </w:r>
    </w:p>
    <w:p w14:paraId="32FA900D">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3）钢筋抽料表（建筑、市政、园林景观等工程适用）；</w:t>
      </w:r>
    </w:p>
    <w:p w14:paraId="0A3C94B1">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4）合同文件；</w:t>
      </w:r>
    </w:p>
    <w:p w14:paraId="256B99E7">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5）工程竣工图（同时提供电子版）；</w:t>
      </w:r>
    </w:p>
    <w:p w14:paraId="5AE75896">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6）工程竣工资料（必要时提供电子版）；</w:t>
      </w:r>
    </w:p>
    <w:p w14:paraId="0CD2F99B">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7）图纸会审记录；</w:t>
      </w:r>
    </w:p>
    <w:p w14:paraId="7395F0B1">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8）设计变更单；</w:t>
      </w:r>
    </w:p>
    <w:p w14:paraId="5EACAB23">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9）工程洽商记录；</w:t>
      </w:r>
    </w:p>
    <w:p w14:paraId="6B570CFA">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10）工程师通知或发包人施工指令；</w:t>
      </w:r>
    </w:p>
    <w:p w14:paraId="4934F2E9">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11）会议纪要；</w:t>
      </w:r>
    </w:p>
    <w:p w14:paraId="5F100CF4">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12）工程签证；</w:t>
      </w:r>
    </w:p>
    <w:p w14:paraId="3AFDCD48">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13）材料设备单价呈批审核单；</w:t>
      </w:r>
    </w:p>
    <w:p w14:paraId="28009280">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14）综合单价呈批审核单；</w:t>
      </w:r>
    </w:p>
    <w:p w14:paraId="1039002B">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15）发包人供应材料收货验收签收单；</w:t>
      </w:r>
    </w:p>
    <w:p w14:paraId="68E94CCC">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16）其他结算资料；</w:t>
      </w:r>
    </w:p>
    <w:p w14:paraId="256F6900">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17）移交资料签收表。</w:t>
      </w:r>
    </w:p>
    <w:p w14:paraId="5ADC84A1">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发包人对送审结算资料的具体要求：</w:t>
      </w:r>
    </w:p>
    <w:p w14:paraId="3C543CBC">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结算书：每项工程的结算书要求分两部分编制：第一部分以竣工图为依据编制，包括竣工图、图纸会审记录、设计变更等内容；第二部分以工程签证及其它有关费用等。上述两部分不应有重复列项的内容，结算书须提供相应的电子文件。</w:t>
      </w:r>
    </w:p>
    <w:p w14:paraId="29B13824">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2）工程量计算书（即计算底稿）：工程量计算书由工程量汇总表和详细的工程量计算表达式组成，结算书须提供相应的电子文件。</w:t>
      </w:r>
    </w:p>
    <w:p w14:paraId="3C52A43F">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钢筋抽料表（如有，建筑、市政、园林景观等工程适用）：用电脑软件抽料的钢筋用量表要求提供相应的拷贝磁盘及软件；用手工抽料的钢筋用量表要求提供详细的抽料表和明细汇总表，详细的抽料表应注明钢筋所在构件名称、施工部位、钢筋编号等，并提供全部输入为Microsoft Excel格式的相应电子文件。</w:t>
      </w:r>
    </w:p>
    <w:p w14:paraId="4A244245">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4）合同文件：包括发包人与承包人签订的合同文件、经发包人确认的承包人与第三方签订的分包合同、各类补充合同、合同附件等，要求将上述合同文件列出总目录按顺序整理装订成册。</w:t>
      </w:r>
    </w:p>
    <w:p w14:paraId="577BFD22">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竣工图：用于结算的竣工图必须有承包人图纸专用章、设计院章及其相关人员签字，并须有监理单位盖章确认。经发包人、设计、监理单位等单位确认的图纸会审记录、设计变更、工程洽商记录等内容均应反映在相应的竣工图上。</w:t>
      </w:r>
    </w:p>
    <w:p w14:paraId="151793C1">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竣工资料：指在进行工程竣工验收和资料归档时所需的资料。具体包括开工报告、竣工报告、工程质量验收评定证书、材料检验报告、产品质量合格证、经发包人批准的施工组织设计或施工方案、隐蔽工程验收记录、安装工程的调试方案和调试记录等。整理装订成册的竣工资料需编制总目录，并在每一页的下方统一编号，以便于查找。</w:t>
      </w:r>
    </w:p>
    <w:p w14:paraId="66DD31DB">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7）图纸会审记录：要求按图纸会审的时间先后整理装订成册，图纸会审记录须有各单位参加会审人员签字及会审单位盖章确认。</w:t>
      </w:r>
    </w:p>
    <w:p w14:paraId="6646820E">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8）设计变更单：要求按设计变更的时间先后整理（安装工程要分专业）装订成册。</w:t>
      </w:r>
    </w:p>
    <w:p w14:paraId="1F7464AA">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9）工程洽商记录：要求根据工程洽商记录的时间先后整理装订成册，然后在每一页的下方统一编号，以便于查找。工程洽商记录须符合发包人制定的有关规定。</w:t>
      </w:r>
    </w:p>
    <w:p w14:paraId="40A36D29">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10）工程师通知或发包人施工指令：要求根据工程师通知或发包人施工指令的时间先后整理装订成册，然后在每一页的下方统一编号。工程师通知或发包人施工指令须符合发包人制定的有关规定。</w:t>
      </w:r>
    </w:p>
    <w:p w14:paraId="47835CB7">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11）会议纪要：指工程质量、安全、技术、经济等现场协调会会议纪要等。要求根据会议纪要的时间先后整理装订成册，然后在每一页的下方统一编号。会议纪要须符合发包人制定的有关规定。</w:t>
      </w:r>
    </w:p>
    <w:p w14:paraId="1FE1CFFA">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12）工程签证：要求根据现场工程签证的时间先后整理装订成册，然后在每一页的下方统一编号，工程签证单上应有工程数量的计算过程和施工简图。</w:t>
      </w:r>
    </w:p>
    <w:p w14:paraId="7E0D1F8A">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13）材料设备单价呈批审核单：凡在工程招标文件或合同中未明确的主要材料设备单价，要求根据材料设备单价呈批审核单的编号顺序整理装订成册。每项审核单应附有相关的资料或注明相关资料在送审结算资料的哪一部分和哪一页位置上，要求有使用该材料设备的专题会议纪要、材料发票、购买合同等有效材料设备价格凭证等。</w:t>
      </w:r>
    </w:p>
    <w:p w14:paraId="08B72868">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14）综合单价呈批审核单：在作为合同附件之一的</w:t>
      </w:r>
      <w:r>
        <w:rPr>
          <w:rFonts w:hint="eastAsia" w:ascii="仿宋_GB2312" w:eastAsia="仿宋_GB2312"/>
          <w:sz w:val="30"/>
          <w:szCs w:val="30"/>
        </w:rPr>
        <w:t>价格清单</w:t>
      </w:r>
      <w:r>
        <w:rPr>
          <w:rFonts w:ascii="仿宋_GB2312" w:eastAsia="仿宋_GB2312"/>
          <w:sz w:val="30"/>
          <w:szCs w:val="30"/>
        </w:rPr>
        <w:t>中未列但在施工过程中发生的项目，应由承包人编制单价分析表，盖章确认后报监理单位和发包人审核综合单价。在结算资料送审时，要求按综合单价呈批审核单的编号顺序整理装订成册。每项审核单应附有相关的资料或注明相关资料在送审结算资料的哪一部分和哪一页位置上，如材料设备专题会议纪要、设计变更、工程洽商记录、工程师通知等。每份综合单价呈批审核单手续必需完备，要求有监理单位和发包人相关人员的签字和单位盖章确认，并且有上述单位的造价工程师对综合单价进行审核的签字和</w:t>
      </w:r>
      <w:r>
        <w:rPr>
          <w:rFonts w:hint="eastAsia" w:ascii="仿宋_GB2312" w:eastAsia="仿宋_GB2312"/>
          <w:sz w:val="30"/>
          <w:szCs w:val="30"/>
        </w:rPr>
        <w:t>盖章。</w:t>
      </w:r>
    </w:p>
    <w:p w14:paraId="70DC56F2">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15）发包人供应材料收货验收签收单：按发包人供应材料收货验收签收单的编号顺序及不同材料分类整理装订成册。</w:t>
      </w:r>
    </w:p>
    <w:p w14:paraId="2F6DCE99">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16）其他结算资料：凡上述未提及而在结算时需要的资料均需提供，例如：施工日记、非常用的标准图集、应由承包人承担而由发包人代为支付的费用证明（如发包人代缴的施工水电费票据、余泥排放费证明）等。</w:t>
      </w:r>
    </w:p>
    <w:p w14:paraId="06660F5C">
      <w:pPr>
        <w:wordWrap/>
        <w:topLinePunct w:val="0"/>
        <w:adjustRightInd/>
        <w:snapToGrid/>
        <w:spacing w:after="120"/>
        <w:ind w:firstLine="6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17）资料签收表：按送审结算资料的内容列表，以便资料的移交和管理。资料签收表上应注明资料内容、份数和页数（标注页码），并且对所有复印资料的真实性进行确认。资料签收表一式两份，由资料移交人和接收人分别签名，必要时加盖单位的印章。</w:t>
      </w:r>
    </w:p>
    <w:p w14:paraId="65179CCF">
      <w:pPr>
        <w:wordWrap/>
        <w:topLinePunct w:val="0"/>
        <w:spacing w:after="120"/>
        <w:ind w:firstLine="600"/>
        <w:rPr>
          <w:rFonts w:ascii="仿宋_GB2312" w:eastAsia="仿宋_GB2312"/>
          <w:sz w:val="30"/>
          <w:szCs w:val="30"/>
        </w:rPr>
      </w:pPr>
      <w:r>
        <w:rPr>
          <w:rFonts w:ascii="仿宋_GB2312" w:eastAsia="仿宋_GB2312"/>
          <w:sz w:val="30"/>
          <w:szCs w:val="30"/>
        </w:rPr>
        <w:t xml:space="preserve">14.5.2 </w:t>
      </w:r>
      <w:r>
        <w:rPr>
          <w:rFonts w:hint="eastAsia" w:ascii="仿宋_GB2312" w:eastAsia="仿宋_GB2312"/>
          <w:sz w:val="30"/>
          <w:szCs w:val="30"/>
        </w:rPr>
        <w:t>竣工结算审核</w:t>
      </w:r>
    </w:p>
    <w:p w14:paraId="63D9E954">
      <w:pPr>
        <w:wordWrap/>
        <w:topLinePunct w:val="0"/>
        <w:spacing w:after="120"/>
        <w:ind w:firstLine="600"/>
        <w:rPr>
          <w:rFonts w:ascii="仿宋_GB2312" w:eastAsia="仿宋_GB2312"/>
          <w:sz w:val="30"/>
          <w:szCs w:val="30"/>
        </w:rPr>
      </w:pPr>
      <w:r>
        <w:rPr>
          <w:rFonts w:hint="eastAsia" w:ascii="仿宋_GB2312" w:eastAsia="仿宋_GB2312"/>
          <w:sz w:val="30"/>
          <w:szCs w:val="30"/>
        </w:rPr>
        <w:t>发包人审批竣工付款申请单的期限：</w:t>
      </w:r>
      <w:r>
        <w:rPr>
          <w:rFonts w:ascii="仿宋_GB2312" w:eastAsia="仿宋_GB2312"/>
          <w:sz w:val="30"/>
          <w:szCs w:val="30"/>
          <w:u w:val="single"/>
        </w:rPr>
        <w:t>发包人收到承包人递交的结算资料后，委</w:t>
      </w:r>
      <w:r>
        <w:rPr>
          <w:rFonts w:hint="eastAsia" w:ascii="仿宋_GB2312" w:eastAsia="仿宋_GB2312"/>
          <w:sz w:val="30"/>
          <w:szCs w:val="30"/>
          <w:u w:val="single"/>
        </w:rPr>
        <w:t>托造价咨询单位进行审核。造价咨询单位对结算资料有异议的，有权要求承包人进行修正和提供补充资料，经造价咨询单位和承包人协商后，由承包人向造价咨询单位一次性提交修正后的结算资料。</w:t>
      </w:r>
      <w:r>
        <w:rPr>
          <w:rFonts w:ascii="仿宋_GB2312" w:eastAsia="仿宋_GB2312"/>
          <w:sz w:val="30"/>
          <w:szCs w:val="30"/>
          <w:u w:val="single"/>
        </w:rPr>
        <w:t>在资料完整情况下，造价咨询单位在30天内提出审查意见，结算终审程序执行广东省财政厅或其他有结算终审审核权限部门相关规定</w:t>
      </w:r>
      <w:r>
        <w:rPr>
          <w:rFonts w:hint="eastAsia" w:ascii="仿宋_GB2312" w:eastAsia="仿宋_GB2312"/>
          <w:sz w:val="30"/>
          <w:szCs w:val="30"/>
          <w:u w:val="single"/>
        </w:rPr>
        <w:t>。</w:t>
      </w:r>
    </w:p>
    <w:p w14:paraId="74846E10">
      <w:pPr>
        <w:wordWrap/>
        <w:topLinePunct w:val="0"/>
        <w:spacing w:after="120"/>
        <w:ind w:firstLine="600"/>
        <w:rPr>
          <w:rFonts w:ascii="仿宋_GB2312" w:eastAsia="仿宋_GB2312"/>
          <w:sz w:val="30"/>
          <w:szCs w:val="30"/>
        </w:rPr>
      </w:pPr>
      <w:r>
        <w:rPr>
          <w:rFonts w:hint="eastAsia" w:ascii="仿宋_GB2312" w:eastAsia="仿宋_GB2312"/>
          <w:sz w:val="30"/>
          <w:szCs w:val="30"/>
        </w:rPr>
        <w:t>发包人完成竣工付款的期限：</w:t>
      </w:r>
      <w:r>
        <w:rPr>
          <w:rFonts w:hint="eastAsia" w:ascii="仿宋_GB2312" w:eastAsia="仿宋_GB2312"/>
          <w:sz w:val="30"/>
          <w:szCs w:val="30"/>
          <w:u w:val="single"/>
        </w:rPr>
        <w:t>执行结算终审部门相关规定</w:t>
      </w:r>
      <w:r>
        <w:rPr>
          <w:rFonts w:hint="eastAsia" w:ascii="仿宋_GB2312" w:eastAsia="仿宋_GB2312"/>
          <w:sz w:val="30"/>
          <w:szCs w:val="30"/>
        </w:rPr>
        <w:t>。</w:t>
      </w:r>
    </w:p>
    <w:p w14:paraId="1270B9E4">
      <w:pPr>
        <w:wordWrap/>
        <w:topLinePunct w:val="0"/>
        <w:spacing w:after="120"/>
        <w:ind w:firstLine="600"/>
        <w:rPr>
          <w:rFonts w:ascii="仿宋_GB2312" w:eastAsia="仿宋_GB2312"/>
          <w:sz w:val="30"/>
          <w:szCs w:val="30"/>
        </w:rPr>
      </w:pPr>
      <w:r>
        <w:rPr>
          <w:rFonts w:hint="eastAsia" w:ascii="仿宋_GB2312" w:eastAsia="仿宋_GB2312"/>
          <w:sz w:val="30"/>
          <w:szCs w:val="30"/>
        </w:rPr>
        <w:t>关于竣工付款证书异议部分复核的方式和程序：</w:t>
      </w:r>
      <w:r>
        <w:rPr>
          <w:rFonts w:hint="eastAsia" w:ascii="仿宋_GB2312" w:eastAsia="仿宋_GB2312"/>
          <w:sz w:val="30"/>
          <w:szCs w:val="30"/>
          <w:u w:val="single"/>
        </w:rPr>
        <w:t xml:space="preserve">  /</w:t>
      </w:r>
      <w:r>
        <w:rPr>
          <w:rFonts w:hint="eastAsia" w:ascii="仿宋_GB2312" w:eastAsia="仿宋_GB2312"/>
          <w:sz w:val="30"/>
          <w:szCs w:val="30"/>
        </w:rPr>
        <w:t>。</w:t>
      </w:r>
    </w:p>
    <w:p w14:paraId="40CCF5CF">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14.6 质量保证金</w:t>
      </w:r>
    </w:p>
    <w:p w14:paraId="75E68B49">
      <w:pPr>
        <w:wordWrap/>
        <w:topLinePunct w:val="0"/>
        <w:spacing w:after="120"/>
        <w:ind w:firstLine="600"/>
        <w:rPr>
          <w:rFonts w:ascii="仿宋_GB2312" w:eastAsia="仿宋_GB2312"/>
          <w:sz w:val="30"/>
          <w:szCs w:val="30"/>
        </w:rPr>
      </w:pPr>
      <w:r>
        <w:rPr>
          <w:rFonts w:ascii="仿宋_GB2312" w:eastAsia="仿宋_GB2312"/>
          <w:sz w:val="30"/>
          <w:szCs w:val="30"/>
        </w:rPr>
        <w:t xml:space="preserve">14.6.1 </w:t>
      </w:r>
      <w:r>
        <w:rPr>
          <w:rFonts w:hint="eastAsia" w:ascii="仿宋_GB2312" w:eastAsia="仿宋_GB2312"/>
          <w:sz w:val="30"/>
          <w:szCs w:val="30"/>
        </w:rPr>
        <w:t>承包人提供质量保证金的方式</w:t>
      </w:r>
    </w:p>
    <w:p w14:paraId="285C6854">
      <w:pPr>
        <w:wordWrap/>
        <w:topLinePunct w:val="0"/>
        <w:spacing w:after="120"/>
        <w:ind w:firstLine="600"/>
        <w:rPr>
          <w:rFonts w:ascii="仿宋_GB2312" w:eastAsia="仿宋_GB2312"/>
          <w:sz w:val="30"/>
          <w:szCs w:val="30"/>
        </w:rPr>
      </w:pPr>
      <w:r>
        <w:rPr>
          <w:rFonts w:ascii="仿宋_GB2312" w:eastAsia="仿宋_GB2312"/>
          <w:sz w:val="30"/>
          <w:szCs w:val="30"/>
        </w:rPr>
        <w:t>质量</w:t>
      </w:r>
      <w:r>
        <w:rPr>
          <w:rFonts w:hint="eastAsia" w:ascii="仿宋_GB2312" w:eastAsia="仿宋_GB2312"/>
          <w:sz w:val="30"/>
          <w:szCs w:val="30"/>
        </w:rPr>
        <w:t>保证金</w:t>
      </w:r>
      <w:r>
        <w:rPr>
          <w:rFonts w:ascii="仿宋_GB2312" w:eastAsia="仿宋_GB2312"/>
          <w:sz w:val="30"/>
          <w:szCs w:val="30"/>
        </w:rPr>
        <w:t>采用以下</w:t>
      </w:r>
      <w:r>
        <w:rPr>
          <w:rFonts w:hint="eastAsia" w:ascii="仿宋_GB2312" w:eastAsia="仿宋_GB2312"/>
          <w:sz w:val="30"/>
          <w:szCs w:val="30"/>
        </w:rPr>
        <w:t>第</w:t>
      </w:r>
      <w:r>
        <w:rPr>
          <w:rFonts w:hint="eastAsia" w:ascii="仿宋_GB2312" w:eastAsia="仿宋_GB2312"/>
          <w:sz w:val="30"/>
          <w:szCs w:val="30"/>
          <w:u w:val="single"/>
        </w:rPr>
        <w:t xml:space="preserve">(2) </w:t>
      </w:r>
      <w:r>
        <w:rPr>
          <w:rFonts w:hint="eastAsia" w:ascii="仿宋_GB2312" w:eastAsia="仿宋_GB2312"/>
          <w:sz w:val="30"/>
          <w:szCs w:val="30"/>
        </w:rPr>
        <w:t>种</w:t>
      </w:r>
      <w:r>
        <w:rPr>
          <w:rFonts w:ascii="仿宋_GB2312" w:eastAsia="仿宋_GB2312"/>
          <w:sz w:val="30"/>
          <w:szCs w:val="30"/>
        </w:rPr>
        <w:t>方式：</w:t>
      </w:r>
    </w:p>
    <w:p w14:paraId="6CB619BE">
      <w:pPr>
        <w:wordWrap/>
        <w:topLinePunct w:val="0"/>
        <w:spacing w:after="120"/>
        <w:ind w:firstLine="600"/>
        <w:rPr>
          <w:rFonts w:ascii="仿宋_GB2312" w:eastAsia="仿宋_GB2312"/>
          <w:sz w:val="30"/>
          <w:szCs w:val="30"/>
        </w:rPr>
      </w:pPr>
      <w:r>
        <w:rPr>
          <w:rFonts w:ascii="仿宋_GB2312" w:eastAsia="仿宋_GB2312"/>
          <w:sz w:val="30"/>
          <w:szCs w:val="30"/>
        </w:rPr>
        <w:t xml:space="preserve">(1) </w:t>
      </w:r>
      <w:r>
        <w:rPr>
          <w:rFonts w:hint="eastAsia" w:ascii="仿宋_GB2312" w:eastAsia="仿宋_GB2312"/>
          <w:sz w:val="30"/>
          <w:szCs w:val="30"/>
        </w:rPr>
        <w:t>工程质量保证担保</w:t>
      </w:r>
      <w:r>
        <w:rPr>
          <w:rFonts w:ascii="仿宋_GB2312" w:eastAsia="仿宋_GB2312"/>
          <w:sz w:val="30"/>
          <w:szCs w:val="30"/>
        </w:rPr>
        <w:t>，保证金额为：</w:t>
      </w:r>
      <w:r>
        <w:rPr>
          <w:rFonts w:hint="eastAsia" w:ascii="仿宋_GB2312" w:eastAsia="仿宋_GB2312"/>
          <w:sz w:val="30"/>
          <w:szCs w:val="30"/>
        </w:rPr>
        <w:t>；</w:t>
      </w:r>
    </w:p>
    <w:p w14:paraId="0B27C2BD">
      <w:pPr>
        <w:wordWrap/>
        <w:topLinePunct w:val="0"/>
        <w:spacing w:after="120"/>
        <w:ind w:firstLine="600"/>
        <w:rPr>
          <w:rFonts w:ascii="仿宋_GB2312" w:eastAsia="仿宋_GB2312"/>
          <w:sz w:val="30"/>
          <w:szCs w:val="30"/>
        </w:rPr>
      </w:pPr>
      <w:r>
        <w:rPr>
          <w:rFonts w:ascii="仿宋_GB2312" w:eastAsia="仿宋_GB2312"/>
          <w:sz w:val="30"/>
          <w:szCs w:val="30"/>
        </w:rPr>
        <w:t xml:space="preserve">(2) </w:t>
      </w:r>
      <w:r>
        <w:rPr>
          <w:rFonts w:hint="eastAsia" w:ascii="仿宋_GB2312" w:eastAsia="仿宋_GB2312"/>
          <w:sz w:val="30"/>
          <w:szCs w:val="30"/>
          <w:u w:val="single"/>
        </w:rPr>
        <w:t>经结算终审部门审定的结算总价的3</w:t>
      </w:r>
      <w:r>
        <w:rPr>
          <w:rFonts w:ascii="仿宋_GB2312" w:eastAsia="仿宋_GB2312"/>
          <w:sz w:val="30"/>
          <w:szCs w:val="30"/>
        </w:rPr>
        <w:t>%的工程款；</w:t>
      </w:r>
    </w:p>
    <w:p w14:paraId="3CC8D23E">
      <w:pPr>
        <w:wordWrap/>
        <w:topLinePunct w:val="0"/>
        <w:spacing w:after="120"/>
        <w:ind w:firstLine="600"/>
        <w:rPr>
          <w:rFonts w:ascii="仿宋_GB2312" w:eastAsia="仿宋_GB2312"/>
          <w:sz w:val="30"/>
          <w:szCs w:val="30"/>
        </w:rPr>
      </w:pPr>
      <w:r>
        <w:rPr>
          <w:rFonts w:ascii="仿宋_GB2312" w:eastAsia="仿宋_GB2312"/>
          <w:sz w:val="30"/>
          <w:szCs w:val="30"/>
        </w:rPr>
        <w:t xml:space="preserve">(3) </w:t>
      </w:r>
      <w:r>
        <w:rPr>
          <w:rFonts w:hint="eastAsia" w:ascii="仿宋_GB2312" w:eastAsia="仿宋_GB2312"/>
          <w:sz w:val="30"/>
          <w:szCs w:val="30"/>
        </w:rPr>
        <w:t>其他方式：</w:t>
      </w:r>
      <w:r>
        <w:rPr>
          <w:rFonts w:hint="eastAsia" w:ascii="仿宋_GB2312" w:eastAsia="仿宋_GB2312"/>
          <w:sz w:val="30"/>
          <w:szCs w:val="30"/>
          <w:u w:val="single"/>
        </w:rPr>
        <w:t xml:space="preserve"> /</w:t>
      </w:r>
      <w:r>
        <w:rPr>
          <w:rFonts w:hint="eastAsia" w:ascii="仿宋_GB2312" w:eastAsia="仿宋_GB2312"/>
          <w:sz w:val="30"/>
          <w:szCs w:val="30"/>
        </w:rPr>
        <w:t>。</w:t>
      </w:r>
    </w:p>
    <w:p w14:paraId="089D0E54">
      <w:pPr>
        <w:wordWrap/>
        <w:topLinePunct w:val="0"/>
        <w:spacing w:after="120"/>
        <w:ind w:firstLine="600"/>
        <w:rPr>
          <w:rFonts w:ascii="仿宋_GB2312" w:eastAsia="仿宋_GB2312"/>
          <w:sz w:val="30"/>
          <w:szCs w:val="30"/>
        </w:rPr>
      </w:pPr>
      <w:r>
        <w:rPr>
          <w:rFonts w:ascii="仿宋_GB2312" w:eastAsia="仿宋_GB2312"/>
          <w:sz w:val="30"/>
          <w:szCs w:val="30"/>
        </w:rPr>
        <w:t xml:space="preserve">14.6.2 </w:t>
      </w:r>
      <w:r>
        <w:rPr>
          <w:rFonts w:hint="eastAsia" w:ascii="仿宋_GB2312" w:eastAsia="仿宋_GB2312"/>
          <w:sz w:val="30"/>
          <w:szCs w:val="30"/>
        </w:rPr>
        <w:t>质量保证金的预留</w:t>
      </w:r>
    </w:p>
    <w:p w14:paraId="4559C306">
      <w:pPr>
        <w:wordWrap/>
        <w:topLinePunct w:val="0"/>
        <w:spacing w:after="120"/>
        <w:ind w:firstLine="600"/>
        <w:rPr>
          <w:rFonts w:ascii="仿宋_GB2312" w:eastAsia="仿宋_GB2312"/>
          <w:sz w:val="30"/>
          <w:szCs w:val="30"/>
        </w:rPr>
      </w:pPr>
      <w:r>
        <w:rPr>
          <w:rFonts w:ascii="仿宋_GB2312" w:eastAsia="仿宋_GB2312"/>
          <w:sz w:val="30"/>
          <w:szCs w:val="30"/>
        </w:rPr>
        <w:t>质量</w:t>
      </w:r>
      <w:r>
        <w:rPr>
          <w:rFonts w:hint="eastAsia" w:ascii="仿宋_GB2312" w:eastAsia="仿宋_GB2312"/>
          <w:sz w:val="30"/>
          <w:szCs w:val="30"/>
        </w:rPr>
        <w:t>保证金</w:t>
      </w:r>
      <w:r>
        <w:rPr>
          <w:rFonts w:ascii="仿宋_GB2312" w:eastAsia="仿宋_GB2312"/>
          <w:sz w:val="30"/>
          <w:szCs w:val="30"/>
        </w:rPr>
        <w:t>的预留采取以下第</w:t>
      </w:r>
      <w:r>
        <w:rPr>
          <w:rFonts w:hint="eastAsia" w:ascii="仿宋_GB2312" w:eastAsia="仿宋_GB2312"/>
          <w:sz w:val="30"/>
          <w:szCs w:val="30"/>
          <w:u w:val="single"/>
        </w:rPr>
        <w:t>(2)</w:t>
      </w:r>
      <w:r>
        <w:rPr>
          <w:rFonts w:hint="eastAsia" w:ascii="仿宋_GB2312" w:eastAsia="仿宋_GB2312"/>
          <w:sz w:val="30"/>
          <w:szCs w:val="30"/>
        </w:rPr>
        <w:t>种</w:t>
      </w:r>
      <w:r>
        <w:rPr>
          <w:rFonts w:ascii="仿宋_GB2312" w:eastAsia="仿宋_GB2312"/>
          <w:sz w:val="30"/>
          <w:szCs w:val="30"/>
        </w:rPr>
        <w:t>方式：</w:t>
      </w:r>
    </w:p>
    <w:p w14:paraId="755675D2">
      <w:pPr>
        <w:wordWrap/>
        <w:topLinePunct w:val="0"/>
        <w:spacing w:after="120"/>
        <w:ind w:firstLine="600"/>
        <w:rPr>
          <w:rFonts w:ascii="仿宋_GB2312" w:eastAsia="仿宋_GB2312"/>
          <w:sz w:val="30"/>
          <w:szCs w:val="30"/>
        </w:rPr>
      </w:pPr>
      <w:r>
        <w:rPr>
          <w:rFonts w:ascii="仿宋_GB2312" w:eastAsia="仿宋_GB2312"/>
          <w:sz w:val="30"/>
          <w:szCs w:val="30"/>
        </w:rPr>
        <w:t>(1) 在支付工程进度款时逐次预留</w:t>
      </w:r>
      <w:r>
        <w:rPr>
          <w:rFonts w:hint="eastAsia" w:ascii="仿宋_GB2312" w:eastAsia="仿宋_GB2312"/>
          <w:sz w:val="30"/>
          <w:szCs w:val="30"/>
        </w:rPr>
        <w:t>的质量保证金的比例：</w:t>
      </w:r>
      <w:r>
        <w:rPr>
          <w:rFonts w:ascii="仿宋_GB2312" w:eastAsia="仿宋_GB2312"/>
          <w:sz w:val="30"/>
          <w:szCs w:val="30"/>
        </w:rPr>
        <w:t>，在此情形下，质量</w:t>
      </w:r>
      <w:r>
        <w:rPr>
          <w:rFonts w:hint="eastAsia" w:ascii="仿宋_GB2312" w:eastAsia="仿宋_GB2312"/>
          <w:sz w:val="30"/>
          <w:szCs w:val="30"/>
        </w:rPr>
        <w:t>保证金</w:t>
      </w:r>
      <w:r>
        <w:rPr>
          <w:rFonts w:ascii="仿宋_GB2312" w:eastAsia="仿宋_GB2312"/>
          <w:sz w:val="30"/>
          <w:szCs w:val="30"/>
        </w:rPr>
        <w:t>的计算基数不包括预付款的支付、扣回以及价格调整的金额；</w:t>
      </w:r>
    </w:p>
    <w:p w14:paraId="501D3ADA">
      <w:pPr>
        <w:wordWrap/>
        <w:topLinePunct w:val="0"/>
        <w:spacing w:after="120"/>
        <w:ind w:firstLine="600"/>
        <w:rPr>
          <w:rFonts w:ascii="仿宋_GB2312" w:eastAsia="仿宋_GB2312"/>
          <w:sz w:val="30"/>
          <w:szCs w:val="30"/>
        </w:rPr>
      </w:pPr>
      <w:r>
        <w:rPr>
          <w:rFonts w:ascii="仿宋_GB2312" w:eastAsia="仿宋_GB2312"/>
          <w:sz w:val="30"/>
          <w:szCs w:val="30"/>
        </w:rPr>
        <w:t>(2) 工程竣工结算时一次性预留</w:t>
      </w:r>
      <w:r>
        <w:rPr>
          <w:rFonts w:hint="eastAsia" w:ascii="仿宋_GB2312" w:eastAsia="仿宋_GB2312"/>
          <w:sz w:val="30"/>
          <w:szCs w:val="30"/>
        </w:rPr>
        <w:t>专用合同条件第</w:t>
      </w:r>
      <w:r>
        <w:rPr>
          <w:rFonts w:ascii="仿宋_GB2312" w:eastAsia="仿宋_GB2312"/>
          <w:sz w:val="30"/>
          <w:szCs w:val="30"/>
        </w:rPr>
        <w:t>14.6.1</w:t>
      </w:r>
      <w:r>
        <w:rPr>
          <w:rFonts w:hint="eastAsia" w:ascii="仿宋_GB2312" w:eastAsia="仿宋_GB2312"/>
          <w:sz w:val="30"/>
          <w:szCs w:val="30"/>
        </w:rPr>
        <w:t>项第</w:t>
      </w:r>
      <w:r>
        <w:rPr>
          <w:rFonts w:ascii="仿宋_GB2312" w:eastAsia="仿宋_GB2312"/>
          <w:sz w:val="30"/>
          <w:szCs w:val="30"/>
        </w:rPr>
        <w:t>(2)</w:t>
      </w:r>
      <w:r>
        <w:rPr>
          <w:rFonts w:hint="eastAsia" w:ascii="仿宋_GB2312" w:eastAsia="仿宋_GB2312"/>
          <w:sz w:val="30"/>
          <w:szCs w:val="30"/>
        </w:rPr>
        <w:t>目约定的工程款预留比例的</w:t>
      </w:r>
      <w:r>
        <w:rPr>
          <w:rFonts w:ascii="仿宋_GB2312" w:eastAsia="仿宋_GB2312"/>
          <w:sz w:val="30"/>
          <w:szCs w:val="30"/>
        </w:rPr>
        <w:t>质量</w:t>
      </w:r>
      <w:r>
        <w:rPr>
          <w:rFonts w:hint="eastAsia" w:ascii="仿宋_GB2312" w:eastAsia="仿宋_GB2312"/>
          <w:sz w:val="30"/>
          <w:szCs w:val="30"/>
        </w:rPr>
        <w:t>保证金</w:t>
      </w:r>
      <w:r>
        <w:rPr>
          <w:rFonts w:ascii="仿宋_GB2312" w:eastAsia="仿宋_GB2312"/>
          <w:sz w:val="30"/>
          <w:szCs w:val="30"/>
        </w:rPr>
        <w:t>；</w:t>
      </w:r>
    </w:p>
    <w:p w14:paraId="0E4C348F">
      <w:pPr>
        <w:wordWrap/>
        <w:topLinePunct w:val="0"/>
        <w:spacing w:after="120"/>
        <w:ind w:firstLine="600"/>
        <w:rPr>
          <w:rFonts w:ascii="仿宋_GB2312" w:eastAsia="仿宋_GB2312"/>
          <w:sz w:val="30"/>
          <w:szCs w:val="30"/>
        </w:rPr>
      </w:pPr>
      <w:r>
        <w:rPr>
          <w:rFonts w:ascii="仿宋_GB2312" w:eastAsia="仿宋_GB2312"/>
          <w:sz w:val="30"/>
          <w:szCs w:val="30"/>
        </w:rPr>
        <w:t>(3) 其他预留方式:</w:t>
      </w:r>
      <w:r>
        <w:rPr>
          <w:rFonts w:hint="eastAsia" w:ascii="仿宋_GB2312" w:eastAsia="仿宋_GB2312"/>
          <w:sz w:val="30"/>
          <w:szCs w:val="30"/>
        </w:rPr>
        <w:t>。</w:t>
      </w:r>
    </w:p>
    <w:p w14:paraId="360C46F2">
      <w:pPr>
        <w:wordWrap/>
        <w:topLinePunct w:val="0"/>
        <w:spacing w:after="120"/>
        <w:ind w:firstLine="600"/>
        <w:rPr>
          <w:rFonts w:ascii="仿宋_GB2312" w:eastAsia="仿宋_GB2312"/>
          <w:sz w:val="30"/>
          <w:szCs w:val="30"/>
        </w:rPr>
      </w:pPr>
      <w:r>
        <w:rPr>
          <w:rFonts w:hint="eastAsia" w:ascii="仿宋_GB2312" w:eastAsia="仿宋_GB2312"/>
          <w:sz w:val="30"/>
          <w:szCs w:val="30"/>
        </w:rPr>
        <w:t>关于质量保证金的补充约定：。</w:t>
      </w:r>
    </w:p>
    <w:p w14:paraId="77142114">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14.7 最终结清</w:t>
      </w:r>
    </w:p>
    <w:p w14:paraId="78217EC7">
      <w:pPr>
        <w:wordWrap/>
        <w:topLinePunct w:val="0"/>
        <w:spacing w:after="120"/>
        <w:ind w:firstLine="600"/>
        <w:rPr>
          <w:rFonts w:ascii="仿宋_GB2312" w:eastAsia="仿宋_GB2312"/>
          <w:sz w:val="30"/>
          <w:szCs w:val="30"/>
        </w:rPr>
      </w:pPr>
      <w:r>
        <w:rPr>
          <w:rFonts w:ascii="仿宋_GB2312" w:eastAsia="仿宋_GB2312"/>
          <w:sz w:val="30"/>
          <w:szCs w:val="30"/>
        </w:rPr>
        <w:t xml:space="preserve">14.7.1 </w:t>
      </w:r>
      <w:r>
        <w:rPr>
          <w:rFonts w:hint="eastAsia" w:ascii="仿宋_GB2312" w:eastAsia="仿宋_GB2312"/>
          <w:sz w:val="30"/>
          <w:szCs w:val="30"/>
        </w:rPr>
        <w:t>最终结清申请单</w:t>
      </w:r>
    </w:p>
    <w:p w14:paraId="5E83A448">
      <w:pPr>
        <w:wordWrap/>
        <w:topLinePunct w:val="0"/>
        <w:spacing w:after="120"/>
        <w:ind w:firstLine="600"/>
        <w:rPr>
          <w:rFonts w:ascii="仿宋_GB2312" w:eastAsia="仿宋_GB2312"/>
          <w:sz w:val="30"/>
          <w:szCs w:val="30"/>
        </w:rPr>
      </w:pPr>
      <w:r>
        <w:rPr>
          <w:rFonts w:hint="eastAsia" w:ascii="仿宋_GB2312" w:eastAsia="仿宋_GB2312"/>
          <w:sz w:val="30"/>
          <w:szCs w:val="30"/>
        </w:rPr>
        <w:t>当事人双方关于最终结清申请的其他约定：</w:t>
      </w:r>
      <w:r>
        <w:rPr>
          <w:rFonts w:hint="eastAsia" w:ascii="仿宋_GB2312" w:eastAsia="仿宋_GB2312"/>
          <w:sz w:val="30"/>
          <w:szCs w:val="30"/>
          <w:u w:val="single"/>
        </w:rPr>
        <w:t>按通用条款要求</w:t>
      </w:r>
      <w:r>
        <w:rPr>
          <w:rFonts w:hint="eastAsia" w:ascii="仿宋_GB2312" w:eastAsia="仿宋_GB2312"/>
          <w:sz w:val="30"/>
          <w:szCs w:val="30"/>
        </w:rPr>
        <w:t>。</w:t>
      </w:r>
    </w:p>
    <w:p w14:paraId="0C1C5D42">
      <w:pPr>
        <w:wordWrap/>
        <w:topLinePunct w:val="0"/>
        <w:spacing w:after="120"/>
        <w:ind w:firstLine="600"/>
        <w:rPr>
          <w:rFonts w:ascii="仿宋_GB2312" w:eastAsia="仿宋_GB2312"/>
          <w:sz w:val="30"/>
          <w:szCs w:val="30"/>
        </w:rPr>
      </w:pPr>
      <w:r>
        <w:rPr>
          <w:rFonts w:ascii="仿宋_GB2312" w:eastAsia="仿宋_GB2312"/>
          <w:sz w:val="30"/>
          <w:szCs w:val="30"/>
        </w:rPr>
        <w:t xml:space="preserve">14.7.2 </w:t>
      </w:r>
      <w:r>
        <w:rPr>
          <w:rFonts w:hint="eastAsia" w:ascii="仿宋_GB2312" w:eastAsia="仿宋_GB2312"/>
          <w:sz w:val="30"/>
          <w:szCs w:val="30"/>
        </w:rPr>
        <w:t>最终结清证书和支付</w:t>
      </w:r>
    </w:p>
    <w:p w14:paraId="4ECEBF0C">
      <w:pPr>
        <w:wordWrap/>
        <w:topLinePunct w:val="0"/>
        <w:spacing w:after="120"/>
        <w:ind w:firstLine="600"/>
        <w:rPr>
          <w:rFonts w:ascii="仿宋_GB2312" w:eastAsia="仿宋_GB2312"/>
          <w:sz w:val="30"/>
          <w:szCs w:val="30"/>
        </w:rPr>
      </w:pPr>
      <w:r>
        <w:rPr>
          <w:rFonts w:hint="eastAsia" w:ascii="仿宋_GB2312" w:eastAsia="仿宋_GB2312"/>
          <w:sz w:val="30"/>
          <w:szCs w:val="30"/>
        </w:rPr>
        <w:t>当事人双方关于最终结清支付的其他约定：</w:t>
      </w:r>
      <w:r>
        <w:rPr>
          <w:rFonts w:hint="eastAsia" w:ascii="仿宋_GB2312" w:eastAsia="仿宋_GB2312"/>
          <w:sz w:val="30"/>
          <w:szCs w:val="30"/>
          <w:u w:val="single"/>
        </w:rPr>
        <w:t>按通用条款要求</w:t>
      </w:r>
      <w:r>
        <w:rPr>
          <w:rFonts w:hint="eastAsia" w:ascii="仿宋_GB2312" w:eastAsia="仿宋_GB2312"/>
          <w:sz w:val="30"/>
          <w:szCs w:val="30"/>
        </w:rPr>
        <w:t>。</w:t>
      </w:r>
    </w:p>
    <w:p w14:paraId="5AD14F54">
      <w:pPr>
        <w:wordWrap/>
        <w:topLinePunct w:val="0"/>
        <w:spacing w:after="120"/>
        <w:ind w:firstLine="0" w:firstLineChars="0"/>
        <w:outlineLvl w:val="1"/>
        <w:rPr>
          <w:rFonts w:ascii="仿宋" w:hAnsi="仿宋" w:eastAsia="仿宋" w:cs="仿宋"/>
          <w:sz w:val="32"/>
          <w:szCs w:val="32"/>
        </w:rPr>
      </w:pPr>
      <w:bookmarkStart w:id="894" w:name="_Toc29722"/>
      <w:bookmarkStart w:id="895" w:name="_Toc54862346"/>
      <w:bookmarkStart w:id="896" w:name="_Toc7634"/>
      <w:bookmarkStart w:id="897" w:name="_Toc13149"/>
      <w:r>
        <w:rPr>
          <w:rFonts w:hint="eastAsia" w:ascii="仿宋" w:hAnsi="仿宋" w:eastAsia="仿宋" w:cs="仿宋"/>
          <w:sz w:val="32"/>
          <w:szCs w:val="32"/>
        </w:rPr>
        <w:t>第15条 违约</w:t>
      </w:r>
      <w:bookmarkEnd w:id="894"/>
      <w:bookmarkEnd w:id="895"/>
      <w:bookmarkEnd w:id="896"/>
      <w:bookmarkEnd w:id="897"/>
    </w:p>
    <w:p w14:paraId="3289DF39">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15.1 发包人违约</w:t>
      </w:r>
    </w:p>
    <w:p w14:paraId="169022AD">
      <w:pPr>
        <w:wordWrap/>
        <w:topLinePunct w:val="0"/>
        <w:spacing w:after="120"/>
        <w:ind w:firstLine="600"/>
        <w:rPr>
          <w:rFonts w:ascii="仿宋_GB2312" w:eastAsia="仿宋_GB2312"/>
          <w:sz w:val="30"/>
          <w:szCs w:val="30"/>
        </w:rPr>
      </w:pPr>
      <w:r>
        <w:rPr>
          <w:rFonts w:ascii="仿宋_GB2312" w:eastAsia="仿宋_GB2312"/>
          <w:sz w:val="30"/>
          <w:szCs w:val="30"/>
        </w:rPr>
        <w:t xml:space="preserve">15.1.1 </w:t>
      </w:r>
      <w:r>
        <w:rPr>
          <w:rFonts w:hint="eastAsia" w:ascii="仿宋_GB2312" w:eastAsia="仿宋_GB2312"/>
          <w:sz w:val="30"/>
          <w:szCs w:val="30"/>
        </w:rPr>
        <w:t>发包人违约的情形</w:t>
      </w:r>
    </w:p>
    <w:p w14:paraId="01D41603">
      <w:pPr>
        <w:wordWrap/>
        <w:topLinePunct w:val="0"/>
        <w:spacing w:after="120"/>
        <w:ind w:firstLine="600"/>
        <w:rPr>
          <w:rFonts w:ascii="仿宋_GB2312" w:eastAsia="仿宋_GB2312"/>
          <w:sz w:val="30"/>
          <w:szCs w:val="30"/>
        </w:rPr>
      </w:pPr>
      <w:r>
        <w:rPr>
          <w:rFonts w:hint="eastAsia" w:ascii="仿宋_GB2312" w:eastAsia="仿宋_GB2312"/>
          <w:sz w:val="30"/>
          <w:szCs w:val="30"/>
        </w:rPr>
        <w:t>发包人违约的其他情形</w:t>
      </w:r>
      <w:r>
        <w:rPr>
          <w:rFonts w:hint="eastAsia" w:ascii="仿宋_GB2312" w:eastAsia="仿宋_GB2312"/>
          <w:sz w:val="30"/>
          <w:szCs w:val="30"/>
          <w:u w:val="single"/>
        </w:rPr>
        <w:t>按专用条款</w:t>
      </w:r>
      <w:r>
        <w:rPr>
          <w:rFonts w:hint="eastAsia" w:ascii="仿宋_GB2312" w:eastAsia="仿宋_GB2312"/>
          <w:sz w:val="30"/>
          <w:szCs w:val="30"/>
        </w:rPr>
        <w:t>。</w:t>
      </w:r>
    </w:p>
    <w:p w14:paraId="4EC83283">
      <w:pPr>
        <w:wordWrap/>
        <w:topLinePunct w:val="0"/>
        <w:spacing w:after="120"/>
        <w:ind w:firstLine="600"/>
        <w:rPr>
          <w:rFonts w:ascii="仿宋_GB2312" w:eastAsia="仿宋_GB2312"/>
          <w:sz w:val="30"/>
          <w:szCs w:val="30"/>
        </w:rPr>
      </w:pPr>
      <w:r>
        <w:rPr>
          <w:rFonts w:ascii="仿宋_GB2312" w:eastAsia="仿宋_GB2312"/>
          <w:sz w:val="30"/>
          <w:szCs w:val="30"/>
        </w:rPr>
        <w:t xml:space="preserve">15.1.3 </w:t>
      </w:r>
      <w:r>
        <w:rPr>
          <w:rFonts w:hint="eastAsia" w:ascii="仿宋_GB2312" w:eastAsia="仿宋_GB2312"/>
          <w:sz w:val="30"/>
          <w:szCs w:val="30"/>
        </w:rPr>
        <w:t>发包人违约的责任</w:t>
      </w:r>
    </w:p>
    <w:p w14:paraId="76732C8F">
      <w:pPr>
        <w:wordWrap/>
        <w:topLinePunct w:val="0"/>
        <w:spacing w:after="120"/>
        <w:ind w:firstLine="600"/>
        <w:rPr>
          <w:rFonts w:ascii="仿宋_GB2312" w:eastAsia="仿宋_GB2312"/>
          <w:sz w:val="30"/>
          <w:szCs w:val="30"/>
        </w:rPr>
      </w:pPr>
      <w:r>
        <w:rPr>
          <w:rFonts w:hint="eastAsia" w:ascii="仿宋_GB2312" w:eastAsia="仿宋_GB2312"/>
          <w:sz w:val="30"/>
          <w:szCs w:val="30"/>
        </w:rPr>
        <w:t>发包人违约</w:t>
      </w:r>
      <w:r>
        <w:rPr>
          <w:rFonts w:ascii="仿宋_GB2312" w:eastAsia="仿宋_GB2312"/>
          <w:sz w:val="30"/>
          <w:szCs w:val="30"/>
        </w:rPr>
        <w:t>责任</w:t>
      </w:r>
      <w:r>
        <w:rPr>
          <w:rFonts w:hint="eastAsia" w:ascii="仿宋_GB2312" w:eastAsia="仿宋_GB2312"/>
          <w:sz w:val="30"/>
          <w:szCs w:val="30"/>
        </w:rPr>
        <w:t>的</w:t>
      </w:r>
      <w:r>
        <w:rPr>
          <w:rFonts w:ascii="仿宋_GB2312" w:eastAsia="仿宋_GB2312"/>
          <w:sz w:val="30"/>
          <w:szCs w:val="30"/>
        </w:rPr>
        <w:t>承担方式</w:t>
      </w:r>
      <w:r>
        <w:rPr>
          <w:rFonts w:hint="eastAsia" w:ascii="仿宋_GB2312" w:eastAsia="仿宋_GB2312"/>
          <w:sz w:val="30"/>
          <w:szCs w:val="30"/>
        </w:rPr>
        <w:t>和</w:t>
      </w:r>
      <w:r>
        <w:rPr>
          <w:rFonts w:ascii="仿宋_GB2312" w:eastAsia="仿宋_GB2312"/>
          <w:sz w:val="30"/>
          <w:szCs w:val="30"/>
        </w:rPr>
        <w:t>计算方法</w:t>
      </w:r>
      <w:r>
        <w:rPr>
          <w:rFonts w:hint="eastAsia" w:ascii="仿宋_GB2312" w:eastAsia="仿宋_GB2312"/>
          <w:sz w:val="30"/>
          <w:szCs w:val="30"/>
        </w:rPr>
        <w:t>：</w:t>
      </w:r>
      <w:r>
        <w:rPr>
          <w:rFonts w:hint="eastAsia" w:ascii="仿宋_GB2312" w:eastAsia="仿宋_GB2312"/>
          <w:sz w:val="30"/>
          <w:szCs w:val="30"/>
          <w:u w:val="single"/>
        </w:rPr>
        <w:t>按专用条款</w:t>
      </w:r>
      <w:r>
        <w:rPr>
          <w:rFonts w:hint="eastAsia" w:ascii="仿宋_GB2312" w:eastAsia="仿宋_GB2312"/>
          <w:sz w:val="30"/>
          <w:szCs w:val="30"/>
        </w:rPr>
        <w:t>。</w:t>
      </w:r>
    </w:p>
    <w:p w14:paraId="6B2985DD">
      <w:pPr>
        <w:wordWrap/>
        <w:topLinePunct w:val="0"/>
        <w:spacing w:after="120"/>
        <w:ind w:firstLine="600"/>
        <w:outlineLvl w:val="2"/>
        <w:rPr>
          <w:rFonts w:ascii="仿宋" w:hAnsi="仿宋" w:eastAsia="仿宋" w:cs="仿宋"/>
          <w:sz w:val="30"/>
          <w:szCs w:val="30"/>
        </w:rPr>
      </w:pPr>
      <w:r>
        <w:rPr>
          <w:rFonts w:hint="eastAsia" w:ascii="仿宋" w:hAnsi="仿宋" w:eastAsia="仿宋" w:cs="仿宋"/>
          <w:sz w:val="30"/>
          <w:szCs w:val="30"/>
        </w:rPr>
        <w:t>15.2 承包人违约</w:t>
      </w:r>
    </w:p>
    <w:p w14:paraId="02BD2AFF">
      <w:pPr>
        <w:wordWrap/>
        <w:topLinePunct w:val="0"/>
        <w:spacing w:after="120"/>
        <w:ind w:firstLine="600"/>
        <w:rPr>
          <w:rFonts w:ascii="仿宋_GB2312" w:eastAsia="仿宋_GB2312"/>
          <w:sz w:val="30"/>
          <w:szCs w:val="30"/>
        </w:rPr>
      </w:pPr>
      <w:r>
        <w:rPr>
          <w:rFonts w:ascii="仿宋_GB2312" w:eastAsia="仿宋_GB2312"/>
          <w:sz w:val="30"/>
          <w:szCs w:val="30"/>
        </w:rPr>
        <w:t xml:space="preserve">15.2.1 </w:t>
      </w:r>
      <w:r>
        <w:rPr>
          <w:rFonts w:hint="eastAsia" w:ascii="仿宋_GB2312" w:eastAsia="仿宋_GB2312"/>
          <w:sz w:val="30"/>
          <w:szCs w:val="30"/>
        </w:rPr>
        <w:t>承包人违约的情形</w:t>
      </w:r>
    </w:p>
    <w:p w14:paraId="1AAC3C02">
      <w:pPr>
        <w:wordWrap/>
        <w:topLinePunct w:val="0"/>
        <w:spacing w:after="120"/>
        <w:ind w:firstLine="600"/>
        <w:rPr>
          <w:rFonts w:ascii="仿宋_GB2312" w:eastAsia="仿宋_GB2312"/>
          <w:sz w:val="30"/>
          <w:szCs w:val="30"/>
        </w:rPr>
      </w:pPr>
      <w:r>
        <w:rPr>
          <w:rFonts w:ascii="仿宋_GB2312" w:eastAsia="仿宋_GB2312"/>
          <w:sz w:val="30"/>
          <w:szCs w:val="30"/>
        </w:rPr>
        <w:t>15.2.1.1设计违约</w:t>
      </w:r>
    </w:p>
    <w:p w14:paraId="73E1DB8F">
      <w:pPr>
        <w:wordWrap/>
        <w:topLinePunct w:val="0"/>
        <w:spacing w:after="120"/>
        <w:ind w:firstLine="600"/>
        <w:rPr>
          <w:rFonts w:ascii="仿宋_GB2312"/>
          <w:sz w:val="30"/>
          <w:szCs w:val="30"/>
        </w:rPr>
      </w:pPr>
      <w:r>
        <w:rPr>
          <w:rFonts w:ascii="仿宋_GB2312" w:eastAsia="仿宋_GB2312"/>
          <w:sz w:val="30"/>
          <w:szCs w:val="30"/>
        </w:rPr>
        <w:t>详见《设计部分合同专章》</w:t>
      </w:r>
    </w:p>
    <w:p w14:paraId="5E6A3429">
      <w:pPr>
        <w:wordWrap/>
        <w:topLinePunct w:val="0"/>
        <w:spacing w:after="120"/>
        <w:ind w:firstLine="600"/>
        <w:rPr>
          <w:rFonts w:ascii="仿宋_GB2312" w:eastAsia="仿宋_GB2312"/>
          <w:sz w:val="30"/>
          <w:szCs w:val="30"/>
        </w:rPr>
      </w:pPr>
      <w:r>
        <w:rPr>
          <w:rFonts w:ascii="仿宋_GB2312" w:eastAsia="仿宋_GB2312"/>
          <w:sz w:val="30"/>
          <w:szCs w:val="30"/>
        </w:rPr>
        <w:t>15.2.1.</w:t>
      </w:r>
      <w:r>
        <w:rPr>
          <w:rFonts w:hint="eastAsia" w:ascii="仿宋_GB2312" w:eastAsia="仿宋_GB2312"/>
          <w:sz w:val="30"/>
          <w:szCs w:val="30"/>
        </w:rPr>
        <w:t>2 施工</w:t>
      </w:r>
      <w:r>
        <w:rPr>
          <w:rFonts w:ascii="仿宋_GB2312" w:eastAsia="仿宋_GB2312"/>
          <w:sz w:val="30"/>
          <w:szCs w:val="30"/>
        </w:rPr>
        <w:t>违约</w:t>
      </w:r>
      <w:r>
        <w:rPr>
          <w:rFonts w:hint="eastAsia" w:ascii="仿宋_GB2312" w:eastAsia="仿宋_GB2312"/>
          <w:sz w:val="30"/>
          <w:szCs w:val="30"/>
        </w:rPr>
        <w:t>责任</w:t>
      </w:r>
    </w:p>
    <w:p w14:paraId="19949B5A">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书面警告。承包人不履行或不完全履行合同或不执行工程师或发包人（含主管人员）的指令时，发包人有权向承包人发出书面警告。承包人必须在书面警告限定的时间内履行义务或执行指令，否则应承担1次一般违约责任。</w:t>
      </w:r>
    </w:p>
    <w:p w14:paraId="461190D9">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2）一般违约责任。承包人</w:t>
      </w:r>
      <w:r>
        <w:rPr>
          <w:rFonts w:hint="eastAsia" w:ascii="仿宋_GB2312" w:eastAsia="仿宋_GB2312"/>
          <w:sz w:val="30"/>
          <w:szCs w:val="30"/>
        </w:rPr>
        <w:t>施工方</w:t>
      </w:r>
      <w:r>
        <w:rPr>
          <w:rFonts w:ascii="仿宋_GB2312" w:eastAsia="仿宋_GB2312"/>
          <w:sz w:val="30"/>
          <w:szCs w:val="30"/>
        </w:rPr>
        <w:t>违反本合同的约定须承担一般违约责任时，必须向发包人交纳违约金</w:t>
      </w:r>
      <w:r>
        <w:rPr>
          <w:rFonts w:hint="eastAsia" w:ascii="仿宋_GB2312" w:eastAsia="仿宋_GB2312"/>
          <w:sz w:val="30"/>
          <w:szCs w:val="30"/>
        </w:rPr>
        <w:t>3万</w:t>
      </w:r>
      <w:r>
        <w:rPr>
          <w:rFonts w:ascii="仿宋_GB2312" w:eastAsia="仿宋_GB2312"/>
          <w:sz w:val="30"/>
          <w:szCs w:val="30"/>
        </w:rPr>
        <w:t>元/次</w:t>
      </w:r>
      <w:r>
        <w:rPr>
          <w:rFonts w:hint="eastAsia" w:ascii="仿宋_GB2312" w:eastAsia="仿宋_GB2312"/>
          <w:sz w:val="30"/>
          <w:szCs w:val="30"/>
        </w:rPr>
        <w:t>，承包人设计方</w:t>
      </w:r>
      <w:r>
        <w:rPr>
          <w:rFonts w:ascii="仿宋_GB2312" w:eastAsia="仿宋_GB2312"/>
          <w:sz w:val="30"/>
          <w:szCs w:val="30"/>
        </w:rPr>
        <w:t>违反本合同的约定须承担一般违约责任时，必须向发包人交纳违约金</w:t>
      </w:r>
      <w:r>
        <w:rPr>
          <w:rFonts w:hint="eastAsia" w:ascii="仿宋_GB2312" w:eastAsia="仿宋_GB2312"/>
          <w:sz w:val="30"/>
          <w:szCs w:val="30"/>
        </w:rPr>
        <w:t>1万</w:t>
      </w:r>
      <w:r>
        <w:rPr>
          <w:rFonts w:ascii="仿宋_GB2312" w:eastAsia="仿宋_GB2312"/>
          <w:sz w:val="30"/>
          <w:szCs w:val="30"/>
        </w:rPr>
        <w:t>元/次。</w:t>
      </w:r>
    </w:p>
    <w:p w14:paraId="57F018BB">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3）严重违约责任。承包人</w:t>
      </w:r>
      <w:r>
        <w:rPr>
          <w:rFonts w:hint="eastAsia" w:ascii="仿宋_GB2312" w:eastAsia="仿宋_GB2312"/>
          <w:sz w:val="30"/>
          <w:szCs w:val="30"/>
        </w:rPr>
        <w:t>施工方</w:t>
      </w:r>
      <w:r>
        <w:rPr>
          <w:rFonts w:ascii="仿宋_GB2312" w:eastAsia="仿宋_GB2312"/>
          <w:sz w:val="30"/>
          <w:szCs w:val="30"/>
        </w:rPr>
        <w:t>违反本合同的约定须承担严重违约责任时，必须向发包人交纳违约金</w:t>
      </w:r>
      <w:r>
        <w:rPr>
          <w:rFonts w:hint="eastAsia" w:ascii="仿宋_GB2312" w:eastAsia="仿宋_GB2312"/>
          <w:sz w:val="30"/>
          <w:szCs w:val="30"/>
        </w:rPr>
        <w:t>6万</w:t>
      </w:r>
      <w:r>
        <w:rPr>
          <w:rFonts w:ascii="仿宋_GB2312" w:eastAsia="仿宋_GB2312"/>
          <w:sz w:val="30"/>
          <w:szCs w:val="30"/>
        </w:rPr>
        <w:t>元/次</w:t>
      </w:r>
      <w:r>
        <w:rPr>
          <w:rFonts w:hint="eastAsia" w:ascii="仿宋_GB2312" w:eastAsia="仿宋_GB2312"/>
          <w:sz w:val="30"/>
          <w:szCs w:val="30"/>
        </w:rPr>
        <w:t>，承包人设计方</w:t>
      </w:r>
      <w:r>
        <w:rPr>
          <w:rFonts w:ascii="仿宋_GB2312" w:eastAsia="仿宋_GB2312"/>
          <w:sz w:val="30"/>
          <w:szCs w:val="30"/>
        </w:rPr>
        <w:t>违反本合同的约定须承担</w:t>
      </w:r>
      <w:r>
        <w:rPr>
          <w:rFonts w:hint="eastAsia" w:ascii="仿宋_GB2312" w:eastAsia="仿宋_GB2312"/>
          <w:sz w:val="30"/>
          <w:szCs w:val="30"/>
        </w:rPr>
        <w:t>严重</w:t>
      </w:r>
      <w:r>
        <w:rPr>
          <w:rFonts w:ascii="仿宋_GB2312" w:eastAsia="仿宋_GB2312"/>
          <w:sz w:val="30"/>
          <w:szCs w:val="30"/>
        </w:rPr>
        <w:t>违约责任时，必须向发包人交纳违约金</w:t>
      </w:r>
      <w:r>
        <w:rPr>
          <w:rFonts w:hint="eastAsia" w:ascii="仿宋_GB2312" w:eastAsia="仿宋_GB2312"/>
          <w:sz w:val="30"/>
          <w:szCs w:val="30"/>
        </w:rPr>
        <w:t>2万</w:t>
      </w:r>
      <w:r>
        <w:rPr>
          <w:rFonts w:ascii="仿宋_GB2312" w:eastAsia="仿宋_GB2312"/>
          <w:sz w:val="30"/>
          <w:szCs w:val="30"/>
        </w:rPr>
        <w:t>元/次。</w:t>
      </w:r>
    </w:p>
    <w:p w14:paraId="18980B5E">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部分解除合同。当承包人违反本合同的约定符合部分解除合同的条件时，发包人有权向承包人发出书面部分解除合同的通知，该通知在送达承包人时即生效。发包人有权从本合同价款中直接扣除被解除部分工程所需的全部费用，同时，承包人应在部分解除合同之日起七日内向发包人支付被解除部分工程合同价款20%的违约金并赔偿发包人的实际损失。</w:t>
      </w:r>
    </w:p>
    <w:p w14:paraId="55643947">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解除合同。当承包人违反本合同的约定符合解除合同的条件时，发包人有权向承包人发出书面解除合同的通知，该通知在送达承包人时即生效，承包人应在解除合同之日起七日内向发包人支付本合同价款20%的违约金并赔偿发包人的实际损失，违约金与赔偿金之和不得低于发包人已支付给承包人的合同价款总额。</w:t>
      </w:r>
    </w:p>
    <w:p w14:paraId="0FE1C6DE">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6）赔偿损失。因承包人原因造成发包人经济损失的，承包人应赔偿发包人的全部直接和间接经济损失。</w:t>
      </w:r>
    </w:p>
    <w:p w14:paraId="69ADAD4B">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7）完全由专业承包人和专业分包人造成违约，也不免除承包人的违约责任。</w:t>
      </w:r>
    </w:p>
    <w:p w14:paraId="6A092E08">
      <w:pPr>
        <w:wordWrap/>
        <w:topLinePunct w:val="0"/>
        <w:spacing w:after="120"/>
        <w:ind w:firstLine="600"/>
        <w:rPr>
          <w:rFonts w:ascii="仿宋_GB2312" w:eastAsia="仿宋_GB2312"/>
          <w:sz w:val="30"/>
          <w:szCs w:val="30"/>
        </w:rPr>
      </w:pPr>
      <w:r>
        <w:rPr>
          <w:rFonts w:hint="eastAsia" w:ascii="仿宋_GB2312" w:eastAsia="仿宋_GB2312"/>
          <w:sz w:val="30"/>
          <w:szCs w:val="30"/>
        </w:rPr>
        <w:t>（8）承包人按本合同约定应缴纳的违约金和赔偿金应分别计算。</w:t>
      </w:r>
    </w:p>
    <w:p w14:paraId="292E7500">
      <w:pPr>
        <w:pStyle w:val="26"/>
        <w:spacing w:after="120"/>
        <w:ind w:firstLine="600"/>
        <w:rPr>
          <w:rFonts w:ascii="仿宋_GB2312" w:eastAsia="仿宋_GB2312" w:cs="Times New Roman"/>
          <w:kern w:val="0"/>
          <w:sz w:val="30"/>
          <w:szCs w:val="30"/>
        </w:rPr>
      </w:pPr>
      <w:r>
        <w:rPr>
          <w:rFonts w:hint="eastAsia" w:ascii="仿宋_GB2312" w:eastAsia="仿宋_GB2312" w:cs="Times New Roman"/>
          <w:kern w:val="0"/>
          <w:sz w:val="30"/>
          <w:szCs w:val="30"/>
        </w:rPr>
        <w:t>（9）除合同另有约定外，承包人收到书面警告或限期整改通知累计3次，另追加一次一般违约责任；累计出现3次一般违约责任另追加1次严重违约责任；累计出现3次严重违约责任，发包人有权单方面部分或全部解除合同。</w:t>
      </w:r>
    </w:p>
    <w:p w14:paraId="0A1709B5">
      <w:pPr>
        <w:pStyle w:val="26"/>
        <w:spacing w:after="120"/>
        <w:ind w:firstLine="600"/>
      </w:pPr>
      <w:r>
        <w:rPr>
          <w:rFonts w:hint="eastAsia" w:ascii="仿宋_GB2312" w:eastAsia="仿宋_GB2312" w:cs="Times New Roman"/>
          <w:kern w:val="0"/>
          <w:sz w:val="30"/>
          <w:szCs w:val="30"/>
        </w:rPr>
        <w:t>对于累计出现3次一般违约责任，或出现1次严重违约责任的，除按合同约定追究其违约责任外，还应予以通报批评。</w:t>
      </w:r>
    </w:p>
    <w:p w14:paraId="00C4BF90">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15.2.1.3 </w:t>
      </w:r>
      <w:r>
        <w:rPr>
          <w:rFonts w:ascii="仿宋_GB2312" w:eastAsia="仿宋_GB2312"/>
          <w:sz w:val="30"/>
          <w:szCs w:val="30"/>
        </w:rPr>
        <w:t>工程组织管理方面的违约责任</w:t>
      </w:r>
    </w:p>
    <w:p w14:paraId="6EDBE7C6">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承包人不服从发包人及监理单位的管理，对发包人、监理单位的指令和书面通知公开或变相拒不执行的，发包人视情节严重程度有权要求其承担1次一般违约责任或者1次严重违约责任，并由承包人承担由此造成的一切经济损失。情节较轻的，可给予书面警告；情节特别严重的，发包人有权单方面部分解除合同或解除合同。</w:t>
      </w:r>
    </w:p>
    <w:p w14:paraId="6279F3E5">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2）承包人不遵守发包人所制订的各项制度、规定的，由承包人按所</w:t>
      </w:r>
      <w:r>
        <w:rPr>
          <w:rFonts w:hint="eastAsia" w:ascii="仿宋_GB2312" w:eastAsia="仿宋_GB2312"/>
          <w:sz w:val="30"/>
          <w:szCs w:val="30"/>
        </w:rPr>
        <w:t>违反</w:t>
      </w:r>
      <w:r>
        <w:rPr>
          <w:rFonts w:ascii="仿宋_GB2312" w:eastAsia="仿宋_GB2312"/>
          <w:sz w:val="30"/>
          <w:szCs w:val="30"/>
        </w:rPr>
        <w:t>制度、规定的有关规定承担违约责任。所</w:t>
      </w:r>
      <w:r>
        <w:rPr>
          <w:rFonts w:hint="eastAsia" w:ascii="仿宋_GB2312" w:eastAsia="仿宋_GB2312"/>
          <w:sz w:val="30"/>
          <w:szCs w:val="30"/>
        </w:rPr>
        <w:t>违反</w:t>
      </w:r>
      <w:r>
        <w:rPr>
          <w:rFonts w:ascii="仿宋_GB2312" w:eastAsia="仿宋_GB2312"/>
          <w:sz w:val="30"/>
          <w:szCs w:val="30"/>
        </w:rPr>
        <w:t>制度、规定没有明确规定的，</w:t>
      </w:r>
      <w:r>
        <w:rPr>
          <w:rFonts w:hint="eastAsia" w:ascii="仿宋_GB2312" w:eastAsia="仿宋_GB2312"/>
          <w:sz w:val="30"/>
          <w:szCs w:val="30"/>
        </w:rPr>
        <w:t>视作不服从发包人的管理工作，参照第15.2.1.3条第（1）款约定承担违约责任</w:t>
      </w:r>
      <w:r>
        <w:rPr>
          <w:rFonts w:ascii="仿宋_GB2312" w:eastAsia="仿宋_GB2312"/>
          <w:sz w:val="30"/>
          <w:szCs w:val="30"/>
        </w:rPr>
        <w:t>。</w:t>
      </w:r>
    </w:p>
    <w:p w14:paraId="32516D92">
      <w:pPr>
        <w:wordWrap/>
        <w:topLinePunct w:val="0"/>
        <w:spacing w:after="120"/>
        <w:ind w:firstLine="602"/>
        <w:rPr>
          <w:rFonts w:ascii="仿宋_GB2312" w:eastAsia="仿宋_GB2312"/>
          <w:b/>
          <w:color w:val="FF0000"/>
          <w:sz w:val="30"/>
          <w:szCs w:val="30"/>
        </w:rPr>
      </w:pPr>
      <w:r>
        <w:rPr>
          <w:rFonts w:hint="eastAsia" w:ascii="仿宋_GB2312" w:eastAsia="仿宋_GB2312"/>
          <w:b/>
          <w:color w:val="FF0000"/>
          <w:sz w:val="30"/>
          <w:szCs w:val="30"/>
        </w:rPr>
        <w:t>（</w:t>
      </w:r>
      <w:r>
        <w:rPr>
          <w:rFonts w:ascii="仿宋_GB2312" w:eastAsia="仿宋_GB2312"/>
          <w:b/>
          <w:color w:val="FF0000"/>
          <w:sz w:val="30"/>
          <w:szCs w:val="30"/>
        </w:rPr>
        <w:t>3）</w:t>
      </w:r>
      <w:r>
        <w:rPr>
          <w:rFonts w:hint="eastAsia" w:ascii="仿宋_GB2312" w:eastAsia="仿宋_GB2312"/>
          <w:b/>
          <w:color w:val="FF0000"/>
          <w:sz w:val="30"/>
          <w:szCs w:val="30"/>
        </w:rPr>
        <w:t>在本合同履行期内承包人要求更换人员的，按以下约定处理：</w:t>
      </w:r>
    </w:p>
    <w:p w14:paraId="0987E57A">
      <w:pPr>
        <w:wordWrap/>
        <w:topLinePunct w:val="0"/>
        <w:spacing w:afterLines="0"/>
        <w:ind w:firstLine="602"/>
        <w:rPr>
          <w:rFonts w:ascii="仿宋_GB2312" w:eastAsia="仿宋_GB2312"/>
          <w:b/>
          <w:color w:val="FF0000"/>
          <w:sz w:val="30"/>
          <w:szCs w:val="30"/>
        </w:rPr>
      </w:pPr>
      <w:r>
        <w:rPr>
          <w:rFonts w:hint="eastAsia" w:ascii="仿宋_GB2312" w:eastAsia="仿宋_GB2312"/>
          <w:b/>
          <w:color w:val="FF0000"/>
          <w:sz w:val="30"/>
          <w:szCs w:val="30"/>
        </w:rPr>
        <w:t>①除发生下列情形外，项目经理及关键岗位负责人不得更换：</w:t>
      </w:r>
    </w:p>
    <w:p w14:paraId="3FF26B54">
      <w:pPr>
        <w:numPr>
          <w:ilvl w:val="0"/>
          <w:numId w:val="31"/>
        </w:numPr>
        <w:wordWrap/>
        <w:topLinePunct w:val="0"/>
        <w:spacing w:afterLines="0"/>
        <w:ind w:firstLine="602"/>
        <w:rPr>
          <w:rFonts w:ascii="仿宋_GB2312" w:eastAsia="仿宋_GB2312"/>
          <w:b/>
          <w:color w:val="FF0000"/>
          <w:sz w:val="30"/>
          <w:szCs w:val="30"/>
        </w:rPr>
      </w:pPr>
      <w:r>
        <w:rPr>
          <w:rFonts w:hint="eastAsia" w:ascii="仿宋_GB2312" w:eastAsia="仿宋_GB2312"/>
          <w:b/>
          <w:color w:val="FF0000"/>
          <w:sz w:val="30"/>
          <w:szCs w:val="30"/>
        </w:rPr>
        <w:t>因重病或重伤（持有县、区以上医院证明）两个月以上不能履行职责的；</w:t>
      </w:r>
    </w:p>
    <w:p w14:paraId="0F95C28A">
      <w:pPr>
        <w:numPr>
          <w:ilvl w:val="0"/>
          <w:numId w:val="31"/>
        </w:numPr>
        <w:wordWrap/>
        <w:topLinePunct w:val="0"/>
        <w:spacing w:afterLines="0"/>
        <w:ind w:firstLine="602"/>
        <w:rPr>
          <w:rFonts w:ascii="仿宋_GB2312" w:eastAsia="仿宋_GB2312"/>
          <w:b/>
          <w:color w:val="FF0000"/>
          <w:sz w:val="30"/>
          <w:szCs w:val="30"/>
        </w:rPr>
      </w:pPr>
      <w:r>
        <w:rPr>
          <w:rFonts w:hint="eastAsia" w:ascii="仿宋_GB2312" w:eastAsia="仿宋_GB2312"/>
          <w:b/>
          <w:color w:val="FF0000"/>
          <w:sz w:val="30"/>
          <w:szCs w:val="30"/>
        </w:rPr>
        <w:t>死亡。</w:t>
      </w:r>
    </w:p>
    <w:p w14:paraId="61E572EC">
      <w:pPr>
        <w:wordWrap/>
        <w:topLinePunct w:val="0"/>
        <w:spacing w:after="120"/>
        <w:ind w:firstLine="600"/>
        <w:rPr>
          <w:rFonts w:ascii="仿宋_GB2312" w:eastAsia="仿宋_GB2312"/>
          <w:bCs/>
          <w:sz w:val="30"/>
          <w:szCs w:val="30"/>
        </w:rPr>
      </w:pPr>
      <w:r>
        <w:rPr>
          <w:rFonts w:hint="eastAsia" w:ascii="仿宋_GB2312" w:eastAsia="仿宋_GB2312"/>
          <w:bCs/>
          <w:sz w:val="30"/>
          <w:szCs w:val="30"/>
        </w:rPr>
        <w:t>②由于任何原因（不可抗力事件除外）未经发包人同意的，更换关键岗位负责人须向发包人承担违约金</w:t>
      </w:r>
      <w:r>
        <w:rPr>
          <w:rFonts w:ascii="仿宋_GB2312" w:eastAsia="仿宋_GB2312"/>
          <w:bCs/>
          <w:sz w:val="30"/>
          <w:szCs w:val="30"/>
        </w:rPr>
        <w:t>15万元/</w:t>
      </w:r>
      <w:r>
        <w:rPr>
          <w:rFonts w:ascii="仿宋_GB2312" w:eastAsia="仿宋_GB2312"/>
          <w:bCs/>
          <w:sz w:val="30"/>
          <w:szCs w:val="30"/>
        </w:rPr>
        <w:t>人次；更换项目经理须向发包人承担违约金80万元/人次。</w:t>
      </w:r>
    </w:p>
    <w:p w14:paraId="0B9CE718">
      <w:pPr>
        <w:wordWrap/>
        <w:topLinePunct w:val="0"/>
        <w:spacing w:after="120"/>
        <w:ind w:firstLine="602"/>
        <w:rPr>
          <w:rFonts w:ascii="仿宋_GB2312" w:eastAsia="仿宋_GB2312"/>
          <w:b/>
          <w:color w:val="FF0000"/>
          <w:sz w:val="30"/>
          <w:szCs w:val="30"/>
        </w:rPr>
      </w:pPr>
      <w:r>
        <w:rPr>
          <w:rFonts w:hint="eastAsia" w:ascii="仿宋_GB2312" w:eastAsia="仿宋_GB2312"/>
          <w:b/>
          <w:color w:val="FF0000"/>
          <w:sz w:val="30"/>
          <w:szCs w:val="30"/>
        </w:rPr>
        <w:t>③</w:t>
      </w:r>
      <w:r>
        <w:rPr>
          <w:rFonts w:hint="eastAsia" w:ascii="仿宋_GB2312" w:eastAsia="仿宋_GB2312"/>
          <w:b/>
          <w:color w:val="FF0000"/>
          <w:sz w:val="30"/>
          <w:szCs w:val="30"/>
        </w:rPr>
        <w:t>发包人有权更换不称职的项目经理和关键岗位负责人，</w:t>
      </w:r>
      <w:r>
        <w:rPr>
          <w:rFonts w:ascii="仿宋_GB2312" w:eastAsia="仿宋_GB2312"/>
          <w:b/>
          <w:color w:val="FF0000"/>
          <w:sz w:val="30"/>
          <w:szCs w:val="30"/>
        </w:rPr>
        <w:t>承包人无正当理由拒绝更换项目经理的</w:t>
      </w:r>
      <w:r>
        <w:rPr>
          <w:rFonts w:hint="eastAsia" w:ascii="仿宋_GB2312" w:eastAsia="仿宋_GB2312"/>
          <w:b/>
          <w:color w:val="FF0000"/>
          <w:sz w:val="30"/>
          <w:szCs w:val="30"/>
        </w:rPr>
        <w:t>，</w:t>
      </w:r>
      <w:r>
        <w:rPr>
          <w:rFonts w:hint="eastAsia" w:ascii="仿宋_GB2312" w:eastAsia="仿宋_GB2312"/>
          <w:b/>
          <w:color w:val="FF0000"/>
          <w:sz w:val="30"/>
          <w:szCs w:val="30"/>
          <w:u w:val="none"/>
        </w:rPr>
        <w:t>按专用条款第</w:t>
      </w:r>
      <w:r>
        <w:rPr>
          <w:rFonts w:ascii="仿宋_GB2312" w:eastAsia="仿宋_GB2312"/>
          <w:b/>
          <w:color w:val="FF0000"/>
          <w:sz w:val="30"/>
          <w:szCs w:val="30"/>
          <w:u w:val="none"/>
        </w:rPr>
        <w:t>15.2.1.3条</w:t>
      </w:r>
      <w:r>
        <w:rPr>
          <w:rFonts w:hint="eastAsia" w:ascii="仿宋_GB2312" w:eastAsia="仿宋_GB2312"/>
          <w:b/>
          <w:color w:val="FF0000"/>
          <w:sz w:val="30"/>
          <w:szCs w:val="30"/>
          <w:u w:val="none"/>
        </w:rPr>
        <w:t>，</w:t>
      </w:r>
      <w:r>
        <w:rPr>
          <w:rFonts w:ascii="仿宋_GB2312" w:eastAsia="仿宋_GB2312"/>
          <w:b/>
          <w:color w:val="FF0000"/>
          <w:sz w:val="30"/>
          <w:szCs w:val="30"/>
        </w:rPr>
        <w:t xml:space="preserve"> </w:t>
      </w:r>
      <w:r>
        <w:rPr>
          <w:rFonts w:hint="eastAsia" w:ascii="仿宋_GB2312" w:eastAsia="仿宋_GB2312"/>
          <w:b/>
          <w:bCs w:val="0"/>
          <w:color w:val="FF0000"/>
          <w:sz w:val="30"/>
          <w:szCs w:val="30"/>
        </w:rPr>
        <w:t>更换关键岗位负责人须向发包人承担违约金</w:t>
      </w:r>
      <w:r>
        <w:rPr>
          <w:rFonts w:ascii="仿宋_GB2312" w:eastAsia="仿宋_GB2312"/>
          <w:b/>
          <w:bCs w:val="0"/>
          <w:color w:val="FF0000"/>
          <w:sz w:val="30"/>
          <w:szCs w:val="30"/>
        </w:rPr>
        <w:t>10</w:t>
      </w:r>
      <w:r>
        <w:rPr>
          <w:rFonts w:hint="eastAsia" w:ascii="仿宋_GB2312" w:eastAsia="仿宋_GB2312"/>
          <w:b/>
          <w:bCs w:val="0"/>
          <w:color w:val="FF0000"/>
          <w:sz w:val="30"/>
          <w:szCs w:val="30"/>
        </w:rPr>
        <w:t>万元</w:t>
      </w:r>
      <w:r>
        <w:rPr>
          <w:rFonts w:ascii="仿宋_GB2312" w:eastAsia="仿宋_GB2312"/>
          <w:b/>
          <w:bCs w:val="0"/>
          <w:color w:val="FF0000"/>
          <w:sz w:val="30"/>
          <w:szCs w:val="30"/>
        </w:rPr>
        <w:t>/人次；更换项目经理须向发包人承担违约金40</w:t>
      </w:r>
      <w:r>
        <w:rPr>
          <w:rFonts w:hint="eastAsia" w:ascii="仿宋_GB2312" w:eastAsia="仿宋_GB2312"/>
          <w:b/>
          <w:bCs w:val="0"/>
          <w:color w:val="FF0000"/>
          <w:sz w:val="30"/>
          <w:szCs w:val="30"/>
        </w:rPr>
        <w:t>万元</w:t>
      </w:r>
      <w:r>
        <w:rPr>
          <w:rFonts w:ascii="仿宋_GB2312" w:eastAsia="仿宋_GB2312"/>
          <w:b/>
          <w:bCs w:val="0"/>
          <w:color w:val="FF0000"/>
          <w:sz w:val="30"/>
          <w:szCs w:val="30"/>
        </w:rPr>
        <w:t>/人次。</w:t>
      </w:r>
    </w:p>
    <w:p w14:paraId="7A4A70F4">
      <w:pPr>
        <w:wordWrap/>
        <w:topLinePunct w:val="0"/>
        <w:spacing w:after="120"/>
        <w:ind w:firstLine="602"/>
        <w:rPr>
          <w:rFonts w:ascii="仿宋_GB2312" w:eastAsia="仿宋_GB2312"/>
          <w:bCs/>
          <w:sz w:val="30"/>
          <w:szCs w:val="30"/>
        </w:rPr>
      </w:pPr>
      <w:r>
        <w:rPr>
          <w:rFonts w:hint="eastAsia" w:ascii="仿宋_GB2312" w:eastAsia="仿宋_GB2312"/>
          <w:b/>
          <w:color w:val="FF0000"/>
          <w:sz w:val="30"/>
          <w:szCs w:val="30"/>
        </w:rPr>
        <w:t>④</w:t>
      </w:r>
      <w:r>
        <w:rPr>
          <w:rFonts w:hint="eastAsia" w:ascii="仿宋_GB2312" w:eastAsia="仿宋_GB2312"/>
          <w:b/>
          <w:color w:val="FF0000"/>
          <w:sz w:val="30"/>
          <w:szCs w:val="30"/>
        </w:rPr>
        <w:t>由于任何原因（不可抗力事件除外），承包人提出变更项目经理或关键岗位负责人，</w:t>
      </w:r>
      <w:r>
        <w:rPr>
          <w:rFonts w:hint="eastAsia" w:ascii="仿宋_GB2312" w:eastAsia="仿宋_GB2312"/>
          <w:b w:val="0"/>
          <w:bCs/>
          <w:color w:val="auto"/>
          <w:sz w:val="30"/>
          <w:szCs w:val="30"/>
        </w:rPr>
        <w:t>经发包人同意的，更换关键岗位负责人须向发包人承担</w:t>
      </w:r>
      <w:r>
        <w:rPr>
          <w:rFonts w:ascii="仿宋_GB2312" w:eastAsia="仿宋_GB2312"/>
          <w:b w:val="0"/>
          <w:bCs/>
          <w:color w:val="auto"/>
          <w:sz w:val="30"/>
          <w:szCs w:val="30"/>
        </w:rPr>
        <w:t>1次严重违约责任；更换项目经理的，须向发包人承担违约金20万元/人次；</w:t>
      </w:r>
    </w:p>
    <w:p w14:paraId="18A5885F">
      <w:pPr>
        <w:wordWrap/>
        <w:topLinePunct w:val="0"/>
        <w:spacing w:after="120"/>
        <w:ind w:firstLine="600"/>
        <w:rPr>
          <w:rFonts w:ascii="仿宋_GB2312" w:eastAsia="仿宋_GB2312"/>
          <w:sz w:val="30"/>
          <w:szCs w:val="30"/>
        </w:rPr>
      </w:pPr>
      <w:r>
        <w:rPr>
          <w:rFonts w:hint="eastAsia" w:ascii="仿宋_GB2312" w:eastAsia="仿宋_GB2312"/>
          <w:sz w:val="30"/>
          <w:szCs w:val="30"/>
        </w:rPr>
        <w:t>⑤因不可抗力事件（如重病、重伤、失踪、死亡等）造成人员岗位空缺的，承包人必须在出现空缺之日起五日内按照本合同相关约定的标准予以补充，但无须向发包人支付违约金。逾期未予补充或补充人员不符合本合同相关约定标准的，视作承包人未能按照合同约定投入管理人员，参照第15.2.1.3条第（3）②款约定承担违约责任。</w:t>
      </w:r>
    </w:p>
    <w:p w14:paraId="5BA53929">
      <w:pPr>
        <w:wordWrap/>
        <w:topLinePunct w:val="0"/>
        <w:spacing w:after="120"/>
        <w:ind w:firstLine="600"/>
        <w:rPr>
          <w:szCs w:val="24"/>
        </w:rPr>
      </w:pPr>
      <w:r>
        <w:rPr>
          <w:rFonts w:hint="eastAsia" w:ascii="仿宋_GB2312" w:eastAsia="仿宋_GB2312"/>
          <w:sz w:val="30"/>
          <w:szCs w:val="30"/>
        </w:rPr>
        <w:t>⑥关键岗位负责人包括技术负责人、质量管理负责人、安全管理负责人等。</w:t>
      </w:r>
    </w:p>
    <w:p w14:paraId="0185794B">
      <w:pPr>
        <w:wordWrap/>
        <w:topLinePunct w:val="0"/>
        <w:spacing w:after="120"/>
        <w:ind w:firstLine="600" w:firstLineChars="0"/>
        <w:rPr>
          <w:rFonts w:ascii="仿宋_GB2312" w:eastAsia="仿宋_GB2312"/>
          <w:sz w:val="30"/>
          <w:szCs w:val="30"/>
        </w:rPr>
      </w:pPr>
      <w:r>
        <w:rPr>
          <w:rFonts w:hint="eastAsia" w:ascii="仿宋_GB2312" w:eastAsia="仿宋_GB2312"/>
          <w:sz w:val="30"/>
          <w:szCs w:val="30"/>
        </w:rPr>
        <w:t>（4）</w:t>
      </w:r>
      <w:r>
        <w:rPr>
          <w:rFonts w:ascii="仿宋_GB2312" w:eastAsia="仿宋_GB2312"/>
          <w:sz w:val="30"/>
          <w:szCs w:val="30"/>
        </w:rPr>
        <w:t>承包人不按约定投入技术管理人员、施工作业人员、施工机械设备，或者擅自变更资源投入计划或者擅自对已投入的资源进行调整的（即使征得发包人同意更换的，承包人仍应承担违反投标承诺的违约责任），承包人必须按照工程师或者发包人的指令限期改正；承包人拒不限期改正的，发包人有权要求其承担1次严重违约责任。情节较轻的，可给予书面警告；情节特别严重的，发包人有权单方面部分解除合同或解除合同。现场管理机构各部主要技术管理人员的实际工作能力和工作效果达不到招标文件的明确要求或投标文件的承诺或工作态度存在严重不足，不适应</w:t>
      </w:r>
      <w:r>
        <w:rPr>
          <w:rFonts w:hint="eastAsia" w:ascii="仿宋_GB2312" w:eastAsia="仿宋_GB2312"/>
          <w:sz w:val="30"/>
          <w:szCs w:val="30"/>
        </w:rPr>
        <w:t>现场工作需要，发包人向承包人提出撤换，所调换来人员的资质、资历、学历、职称、业绩、实际工作能力不低于原投标文件中所承诺人员的素质；发包人要求承包人撤换不合格人员，如承包人既不立即撤换，也不及时提出整改意见，则视同拒绝执行发包人的指令，承包人仍应承担违反投标承诺的违约责任。发包人要求承包人以实际工作能力较高的人员调换实际工作能力较低的现场人员，或者承包人主动要求以实际工作能力较高的人员调换实际工作能力较低的现场人员，发包人有权要求承包人承担违约责任。</w:t>
      </w:r>
    </w:p>
    <w:p w14:paraId="5DC7B63A">
      <w:pPr>
        <w:pStyle w:val="26"/>
        <w:numPr>
          <w:ilvl w:val="255"/>
          <w:numId w:val="0"/>
        </w:numPr>
        <w:spacing w:after="120"/>
        <w:ind w:firstLine="600" w:firstLineChars="200"/>
        <w:rPr>
          <w:rFonts w:ascii="仿宋_GB2312" w:eastAsia="仿宋_GB2312"/>
          <w:sz w:val="30"/>
          <w:szCs w:val="30"/>
        </w:rPr>
      </w:pPr>
      <w:r>
        <w:rPr>
          <w:rFonts w:hint="eastAsia" w:ascii="仿宋_GB2312" w:eastAsia="仿宋_GB2312" w:cs="Times New Roman"/>
          <w:kern w:val="0"/>
          <w:sz w:val="30"/>
          <w:szCs w:val="30"/>
        </w:rPr>
        <w:t>（5）</w:t>
      </w:r>
      <w:r>
        <w:rPr>
          <w:rFonts w:ascii="仿宋_GB2312" w:eastAsia="仿宋_GB2312" w:cs="Times New Roman"/>
          <w:kern w:val="0"/>
          <w:sz w:val="30"/>
          <w:szCs w:val="30"/>
        </w:rPr>
        <w:t>承包人没有</w:t>
      </w:r>
      <w:r>
        <w:rPr>
          <w:rFonts w:hint="eastAsia" w:ascii="仿宋_GB2312" w:eastAsia="仿宋_GB2312" w:cs="Times New Roman"/>
          <w:kern w:val="0"/>
          <w:sz w:val="30"/>
          <w:szCs w:val="30"/>
        </w:rPr>
        <w:t>与</w:t>
      </w:r>
      <w:r>
        <w:rPr>
          <w:rFonts w:ascii="仿宋_GB2312" w:eastAsia="仿宋_GB2312" w:cs="Times New Roman"/>
          <w:kern w:val="0"/>
          <w:sz w:val="30"/>
          <w:szCs w:val="30"/>
        </w:rPr>
        <w:t>工程总承包项目经理</w:t>
      </w:r>
      <w:r>
        <w:rPr>
          <w:rFonts w:hint="eastAsia" w:ascii="仿宋_GB2312" w:eastAsia="仿宋_GB2312" w:cs="Times New Roman"/>
          <w:kern w:val="0"/>
          <w:sz w:val="30"/>
          <w:szCs w:val="30"/>
        </w:rPr>
        <w:t>签订劳动合同，或未为其</w:t>
      </w:r>
      <w:r>
        <w:rPr>
          <w:rFonts w:ascii="仿宋_GB2312" w:eastAsia="仿宋_GB2312" w:cs="Times New Roman"/>
          <w:kern w:val="0"/>
          <w:sz w:val="30"/>
          <w:szCs w:val="30"/>
        </w:rPr>
        <w:t>缴纳社会保险的</w:t>
      </w:r>
      <w:r>
        <w:rPr>
          <w:rFonts w:hint="eastAsia" w:ascii="仿宋_GB2312" w:eastAsia="仿宋_GB2312" w:cs="Times New Roman"/>
          <w:kern w:val="0"/>
          <w:sz w:val="30"/>
          <w:szCs w:val="30"/>
        </w:rPr>
        <w:t>，</w:t>
      </w:r>
      <w:r>
        <w:rPr>
          <w:rFonts w:ascii="仿宋_GB2312" w:eastAsia="仿宋_GB2312" w:cs="Times New Roman"/>
          <w:kern w:val="0"/>
          <w:sz w:val="30"/>
          <w:szCs w:val="30"/>
        </w:rPr>
        <w:t>每发现一次</w:t>
      </w:r>
      <w:r>
        <w:rPr>
          <w:rFonts w:hint="eastAsia" w:ascii="仿宋_GB2312" w:eastAsia="仿宋_GB2312" w:cs="Times New Roman"/>
          <w:kern w:val="0"/>
          <w:sz w:val="30"/>
          <w:szCs w:val="30"/>
        </w:rPr>
        <w:t>，</w:t>
      </w:r>
      <w:r>
        <w:rPr>
          <w:rFonts w:hint="eastAsia" w:ascii="仿宋_GB2312" w:eastAsia="仿宋_GB2312"/>
          <w:sz w:val="30"/>
          <w:szCs w:val="30"/>
        </w:rPr>
        <w:t>须向发包人承担1次严重违约责任</w:t>
      </w:r>
      <w:r>
        <w:rPr>
          <w:rFonts w:ascii="仿宋_GB2312" w:eastAsia="仿宋_GB2312" w:cs="Times New Roman"/>
          <w:kern w:val="0"/>
          <w:sz w:val="30"/>
          <w:szCs w:val="30"/>
        </w:rPr>
        <w:t>。</w:t>
      </w:r>
    </w:p>
    <w:p w14:paraId="23840BA6">
      <w:pPr>
        <w:wordWrap/>
        <w:topLinePunct w:val="0"/>
        <w:spacing w:after="120"/>
        <w:ind w:firstLine="600"/>
      </w:pPr>
      <w:r>
        <w:rPr>
          <w:rFonts w:hint="eastAsia" w:ascii="仿宋_GB2312" w:eastAsia="仿宋_GB2312"/>
          <w:sz w:val="30"/>
          <w:szCs w:val="30"/>
        </w:rPr>
        <w:t>（6）按合同约定投入的专为本合同工程服务的承包人驻场人员参与其他工程工作的，每发现一人次，视为承包人未能按合同约定投入人员，参照第15.2.1.3条第（4）款约定承担违约责任。</w:t>
      </w:r>
    </w:p>
    <w:p w14:paraId="2154A793">
      <w:pPr>
        <w:wordWrap/>
        <w:topLinePunct w:val="0"/>
        <w:spacing w:after="120"/>
        <w:ind w:firstLine="600"/>
        <w:rPr>
          <w:rFonts w:ascii="仿宋_GB2312" w:eastAsia="仿宋_GB2312"/>
          <w:sz w:val="30"/>
          <w:szCs w:val="30"/>
        </w:rPr>
      </w:pPr>
      <w:r>
        <w:rPr>
          <w:rFonts w:hint="eastAsia" w:ascii="仿宋_GB2312" w:eastAsia="仿宋_GB2312"/>
          <w:sz w:val="30"/>
          <w:szCs w:val="30"/>
        </w:rPr>
        <w:t>（7</w:t>
      </w:r>
      <w:r>
        <w:rPr>
          <w:rFonts w:ascii="仿宋_GB2312" w:eastAsia="仿宋_GB2312"/>
          <w:sz w:val="30"/>
          <w:szCs w:val="30"/>
        </w:rPr>
        <w:t>）经发包人或监理单位抽查发现承包人其技术管理人员或施工作业人员没有佩带平安卡的，由承包人按每人次500元的标准向发包人支付违约金并立即改正。</w:t>
      </w:r>
    </w:p>
    <w:p w14:paraId="29004AC4">
      <w:pPr>
        <w:wordWrap/>
        <w:topLinePunct w:val="0"/>
        <w:spacing w:after="120"/>
        <w:ind w:firstLine="600"/>
        <w:rPr>
          <w:rFonts w:ascii="仿宋_GB2312" w:eastAsia="仿宋_GB2312"/>
          <w:sz w:val="30"/>
          <w:szCs w:val="30"/>
        </w:rPr>
      </w:pPr>
      <w:r>
        <w:rPr>
          <w:rFonts w:hint="eastAsia" w:ascii="仿宋_GB2312" w:eastAsia="仿宋_GB2312"/>
          <w:sz w:val="30"/>
          <w:szCs w:val="30"/>
        </w:rPr>
        <w:t>（8</w:t>
      </w:r>
      <w:r>
        <w:rPr>
          <w:rFonts w:ascii="仿宋_GB2312" w:eastAsia="仿宋_GB2312"/>
          <w:sz w:val="30"/>
          <w:szCs w:val="30"/>
        </w:rPr>
        <w:t>）承包人的项目总负责人、技术负责人必须参加监理单位或发包人主持的工程例会和其他要求的专题会议，除获得监理单位或发包人批准外，每缺席1人次，承包人须承担1次一般违约责任。情节较轻的，可给予书面警告；承包人的项目总负责人及</w:t>
      </w:r>
      <w:r>
        <w:rPr>
          <w:rFonts w:hint="eastAsia" w:ascii="仿宋_GB2312" w:eastAsia="仿宋_GB2312"/>
          <w:sz w:val="30"/>
          <w:szCs w:val="30"/>
        </w:rPr>
        <w:t>其他关键人员</w:t>
      </w:r>
      <w:r>
        <w:rPr>
          <w:rFonts w:ascii="仿宋_GB2312" w:eastAsia="仿宋_GB2312"/>
          <w:sz w:val="30"/>
          <w:szCs w:val="30"/>
        </w:rPr>
        <w:t>需驻场，其出勤率需达到80%/月，若发包人在检查的过程中发现项目总负责人或其技术负责人不在场，1次则给予书面警告，连续2次（含2次）以上或一个月发现3次（含3次）以上，则发现一次，则每一次都按一般违约责任处理。</w:t>
      </w:r>
    </w:p>
    <w:p w14:paraId="03BA33A7">
      <w:pPr>
        <w:wordWrap/>
        <w:topLinePunct w:val="0"/>
        <w:spacing w:after="120"/>
        <w:ind w:firstLine="600"/>
        <w:rPr>
          <w:rFonts w:ascii="仿宋_GB2312" w:eastAsia="仿宋_GB2312"/>
          <w:strike/>
          <w:sz w:val="30"/>
          <w:szCs w:val="30"/>
        </w:rPr>
      </w:pPr>
      <w:r>
        <w:rPr>
          <w:rFonts w:hint="eastAsia" w:ascii="仿宋_GB2312" w:eastAsia="仿宋_GB2312"/>
          <w:sz w:val="30"/>
          <w:szCs w:val="30"/>
        </w:rPr>
        <w:t>（9</w:t>
      </w:r>
      <w:r>
        <w:rPr>
          <w:rFonts w:ascii="仿宋_GB2312" w:eastAsia="仿宋_GB2312"/>
          <w:sz w:val="30"/>
          <w:szCs w:val="30"/>
        </w:rPr>
        <w:t>）承包人不按本合同规定做好施工总承包管理或配合工作，经工程师或发包人发出限期改正通知后3天内，承包人仍未能整改至令工程师或发包人满意的，</w:t>
      </w:r>
      <w:r>
        <w:rPr>
          <w:rFonts w:hint="eastAsia" w:ascii="仿宋_GB2312" w:eastAsia="仿宋_GB2312"/>
          <w:sz w:val="30"/>
          <w:szCs w:val="30"/>
        </w:rPr>
        <w:t>发包人视情节严重程度有权要求其承担1次一般违约责任或者1次严重违约责任</w:t>
      </w:r>
      <w:r>
        <w:rPr>
          <w:rFonts w:ascii="仿宋_GB2312" w:eastAsia="仿宋_GB2312"/>
          <w:sz w:val="30"/>
          <w:szCs w:val="30"/>
        </w:rPr>
        <w:t>。</w:t>
      </w:r>
    </w:p>
    <w:p w14:paraId="7C69D156">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9）承包人不按合同约定或发包人要求提交竣工资料的，每发生一次，承担一次一般违约责任。</w:t>
      </w:r>
    </w:p>
    <w:p w14:paraId="739929DC">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10）承包人单方面擅自终止或解除本合同的，应向发包人支付违约金及赔偿损失。</w:t>
      </w:r>
    </w:p>
    <w:p w14:paraId="2B6FBA5D">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11）发包人及监理单位将不定期抽查承包人及其所管辖的专业承包单位和分包单位实行平安卡管理制度的情况，如发现违反本合同有关约定的，由承包人按相关条款的约定承担违约责任。如发现有冒名顶替或人不到场而代为刷卡等弄虚作假现象的，由承包人按相关条款的约定承担违约责任。</w:t>
      </w:r>
    </w:p>
    <w:p w14:paraId="77B8AEC5">
      <w:pPr>
        <w:pStyle w:val="26"/>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12）承包人必须向本项目的所有施工人员购买意外伤害保险。对于承包人或其分包人所雇用的工人出现的伤亡事故或损失，应由承包人自行负责（但由于发包人或监理单位的行为失误所造成的除外）。对于这类伤亡或损失，发包人不负责任，不负担涉及这类伤亡或损失的索赔、诉讼、损害赔偿及其他费用。对分包单位出现的工人意外事故或伤害，由于分包单位原因造成的，承包人同样需承担连带责任。</w:t>
      </w:r>
    </w:p>
    <w:p w14:paraId="5AAFE91D">
      <w:pPr>
        <w:pStyle w:val="26"/>
        <w:spacing w:after="120"/>
        <w:ind w:firstLine="600"/>
      </w:pPr>
      <w:r>
        <w:rPr>
          <w:rFonts w:ascii="仿宋_GB2312" w:eastAsia="仿宋_GB2312" w:cs="Times New Roman"/>
          <w:kern w:val="0"/>
          <w:sz w:val="30"/>
          <w:szCs w:val="30"/>
        </w:rPr>
        <w:t>（1</w:t>
      </w:r>
      <w:r>
        <w:rPr>
          <w:rFonts w:hint="eastAsia" w:ascii="仿宋_GB2312" w:eastAsia="仿宋_GB2312" w:cs="Times New Roman"/>
          <w:kern w:val="0"/>
          <w:sz w:val="30"/>
          <w:szCs w:val="30"/>
        </w:rPr>
        <w:t>3</w:t>
      </w:r>
      <w:r>
        <w:rPr>
          <w:rFonts w:ascii="仿宋_GB2312" w:eastAsia="仿宋_GB2312" w:cs="Times New Roman"/>
          <w:kern w:val="0"/>
          <w:sz w:val="30"/>
          <w:szCs w:val="30"/>
        </w:rPr>
        <w:t>）</w:t>
      </w:r>
      <w:r>
        <w:rPr>
          <w:rFonts w:hint="eastAsia" w:ascii="仿宋_GB2312" w:eastAsia="仿宋_GB2312" w:cs="Times New Roman"/>
          <w:kern w:val="0"/>
          <w:sz w:val="30"/>
          <w:szCs w:val="30"/>
        </w:rPr>
        <w:t>承包</w:t>
      </w:r>
      <w:r>
        <w:rPr>
          <w:rFonts w:ascii="仿宋_GB2312" w:eastAsia="仿宋_GB2312" w:cs="Times New Roman"/>
          <w:kern w:val="0"/>
          <w:sz w:val="30"/>
          <w:szCs w:val="30"/>
        </w:rPr>
        <w:t>人在履行合同过程中贿赂发包人人员的，视为不正当竞争并承担严重违约1次。情节特别严重的，发包人有权单方面解除合同。涉嫌犯罪的，移交司法部门处理。</w:t>
      </w:r>
    </w:p>
    <w:p w14:paraId="1D4E8FFB">
      <w:pPr>
        <w:pStyle w:val="26"/>
        <w:spacing w:after="120"/>
        <w:ind w:firstLine="600"/>
      </w:pPr>
      <w:r>
        <w:rPr>
          <w:rFonts w:hint="eastAsia" w:ascii="仿宋_GB2312" w:eastAsia="仿宋_GB2312"/>
          <w:sz w:val="30"/>
          <w:szCs w:val="30"/>
        </w:rPr>
        <w:t>（14）承包人</w:t>
      </w:r>
      <w:r>
        <w:rPr>
          <w:rFonts w:ascii="仿宋_GB2312" w:eastAsia="仿宋_GB2312"/>
          <w:sz w:val="30"/>
          <w:szCs w:val="30"/>
        </w:rPr>
        <w:t>完工</w:t>
      </w:r>
      <w:r>
        <w:rPr>
          <w:rFonts w:hint="eastAsia" w:ascii="仿宋_GB2312" w:eastAsia="仿宋_GB2312"/>
          <w:sz w:val="30"/>
          <w:szCs w:val="30"/>
        </w:rPr>
        <w:t>未按合同及发包人要求清理现场并退场</w:t>
      </w:r>
      <w:r>
        <w:rPr>
          <w:rFonts w:ascii="仿宋_GB2312" w:eastAsia="仿宋_GB2312"/>
          <w:sz w:val="30"/>
          <w:szCs w:val="30"/>
        </w:rPr>
        <w:t>，影响后续施工</w:t>
      </w:r>
      <w:r>
        <w:rPr>
          <w:rFonts w:hint="eastAsia" w:ascii="仿宋_GB2312" w:eastAsia="仿宋_GB2312"/>
          <w:sz w:val="30"/>
          <w:szCs w:val="30"/>
        </w:rPr>
        <w:t>的</w:t>
      </w:r>
      <w:r>
        <w:rPr>
          <w:rFonts w:ascii="仿宋_GB2312" w:eastAsia="仿宋_GB2312"/>
          <w:sz w:val="30"/>
          <w:szCs w:val="30"/>
        </w:rPr>
        <w:t>，发包人有权安排其他单位完成且相应费用由承包人承担，发包人并有权根据其对后续施工的影响程度及损失给予罚款，每延期一天扣罚施工费合同中标价的0.1％，最高罚款额为承包人施工费合同中标价的</w:t>
      </w:r>
      <w:r>
        <w:rPr>
          <w:rFonts w:hint="eastAsia" w:ascii="仿宋_GB2312" w:eastAsia="仿宋_GB2312"/>
          <w:sz w:val="30"/>
          <w:szCs w:val="30"/>
        </w:rPr>
        <w:t>2</w:t>
      </w:r>
      <w:r>
        <w:rPr>
          <w:rFonts w:ascii="仿宋_GB2312" w:eastAsia="仿宋_GB2312"/>
          <w:sz w:val="30"/>
          <w:szCs w:val="30"/>
        </w:rPr>
        <w:t>0％，所需费用及罚款从本合同结算款中扣除。</w:t>
      </w:r>
    </w:p>
    <w:p w14:paraId="3355D934">
      <w:pPr>
        <w:wordWrap/>
        <w:topLinePunct w:val="0"/>
        <w:spacing w:after="120"/>
        <w:ind w:firstLine="600"/>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5</w:t>
      </w:r>
      <w:r>
        <w:rPr>
          <w:rFonts w:ascii="仿宋_GB2312" w:eastAsia="仿宋_GB2312"/>
          <w:sz w:val="30"/>
          <w:szCs w:val="30"/>
        </w:rPr>
        <w:t>）</w:t>
      </w:r>
      <w:r>
        <w:rPr>
          <w:rFonts w:hint="eastAsia" w:ascii="仿宋_GB2312" w:eastAsia="仿宋_GB2312"/>
          <w:sz w:val="30"/>
          <w:szCs w:val="30"/>
        </w:rPr>
        <w:t>承包人</w:t>
      </w:r>
      <w:r>
        <w:rPr>
          <w:rFonts w:ascii="仿宋_GB2312" w:eastAsia="仿宋_GB2312"/>
          <w:sz w:val="30"/>
          <w:szCs w:val="30"/>
        </w:rPr>
        <w:t>应在工程竣工验收合格后30天内向发包人提交竣工结算申请单。如因故需延期，可向发包人申请并经同意后，延期30天内提交。如在60天内仍未提交，承包人须承担 1 次严重违约责任。</w:t>
      </w:r>
    </w:p>
    <w:p w14:paraId="1241FF0E">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15.2.1.4 </w:t>
      </w:r>
      <w:r>
        <w:rPr>
          <w:rFonts w:ascii="仿宋_GB2312" w:eastAsia="仿宋_GB2312"/>
          <w:sz w:val="30"/>
          <w:szCs w:val="30"/>
        </w:rPr>
        <w:t>工期延误方面的违约责任</w:t>
      </w:r>
    </w:p>
    <w:p w14:paraId="44D3A0AD">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1）承包人违反合同协议书约定延期开工的，每迟延开工1天，应向发包人支付本合同价款1‰的违约金；迟延开工超过10天的，发包人有权单方面解除合同。</w:t>
      </w:r>
    </w:p>
    <w:p w14:paraId="22FDD66D">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2）承包人违反合同条款第12条规定单方面停工的，每停工1天，应向发包人支付本合同价款1‰的违约金；连续停工超过5天或累计停工超过10天的，发包人有权单方面解除合同。</w:t>
      </w:r>
    </w:p>
    <w:p w14:paraId="0809C59C">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承包人违反合同条款第4.12条约定，延期交付施工组织设计，延期3天以内的（含3天），发包人给予书面警告；延期4～7天的，承包人应承担1次一般违约责任；延期8～10天的，承包人应承担1次严重违约责任；延期11天以上的（含11天），发包人有权单方面解除合同。</w:t>
      </w:r>
    </w:p>
    <w:p w14:paraId="5A24FD4E">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4）承包人违反合同条款约定造成本合同工程延期15～30天的，每天罚款1万元；延期30天以上的，除罚款外发包人有权单方面解除合同。</w:t>
      </w:r>
    </w:p>
    <w:p w14:paraId="45DE529F">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5）承包人违反合同条款约定造成本合同工程不能按照合同协议书约定的竣工日期竣工的，每逾期1天，承包人必须向发包人支付违约金5万元，</w:t>
      </w:r>
      <w:r>
        <w:rPr>
          <w:rFonts w:hint="eastAsia" w:ascii="仿宋_GB2312" w:eastAsia="仿宋_GB2312"/>
          <w:sz w:val="30"/>
          <w:szCs w:val="30"/>
        </w:rPr>
        <w:t>累计最高赔偿金额为合同总价的20%，</w:t>
      </w:r>
      <w:r>
        <w:rPr>
          <w:rFonts w:ascii="仿宋_GB2312" w:eastAsia="仿宋_GB2312"/>
          <w:sz w:val="30"/>
          <w:szCs w:val="30"/>
        </w:rPr>
        <w:t>同时由发包人按照对本合同工程最有利的原则，按如下约定任意选择一种方式处理：</w:t>
      </w:r>
    </w:p>
    <w:p w14:paraId="48D098ED">
      <w:pPr>
        <w:wordWrap/>
        <w:topLinePunct w:val="0"/>
        <w:spacing w:after="120"/>
        <w:ind w:firstLine="600"/>
        <w:rPr>
          <w:rFonts w:ascii="仿宋_GB2312" w:eastAsia="仿宋_GB2312"/>
          <w:sz w:val="30"/>
          <w:szCs w:val="30"/>
        </w:rPr>
      </w:pPr>
      <w:r>
        <w:rPr>
          <w:rFonts w:hint="eastAsia" w:ascii="仿宋_GB2312" w:eastAsia="仿宋_GB2312"/>
          <w:sz w:val="30"/>
          <w:szCs w:val="30"/>
        </w:rPr>
        <w:t>承包人按上述约定向发包人支付违约金并在发包人限定的时间内竣工；如承包人仍不能在发包人限定的时间内竣工，承包人除按上述约定支付违约金外（直至本合同工程全部竣工为止），还在工程结算时按本合同工程结算总价款下浮</w:t>
      </w:r>
      <w:r>
        <w:rPr>
          <w:rFonts w:ascii="仿宋_GB2312" w:eastAsia="仿宋_GB2312"/>
          <w:sz w:val="30"/>
          <w:szCs w:val="30"/>
        </w:rPr>
        <w:t>2%作为本合同工程的最终结算价款，同时承包人还应据实赔偿发包人的实际损失。</w:t>
      </w:r>
    </w:p>
    <w:p w14:paraId="02EEE1F2">
      <w:pPr>
        <w:wordWrap/>
        <w:topLinePunct w:val="0"/>
        <w:spacing w:after="120"/>
        <w:ind w:firstLine="600"/>
        <w:rPr>
          <w:rFonts w:ascii="仿宋_GB2312" w:eastAsia="仿宋_GB2312"/>
          <w:sz w:val="30"/>
          <w:szCs w:val="30"/>
        </w:rPr>
      </w:pPr>
      <w:r>
        <w:rPr>
          <w:rFonts w:hint="eastAsia" w:ascii="仿宋_GB2312" w:eastAsia="仿宋_GB2312"/>
          <w:sz w:val="30"/>
          <w:szCs w:val="30"/>
        </w:rPr>
        <w:t>由发包人将未完工程量从本合同中分割，交由第三方完成，由此发生的费用全部从本合同价款中支付，同时由承包人向发包人支付未完工程量价款</w:t>
      </w:r>
      <w:r>
        <w:rPr>
          <w:rFonts w:ascii="仿宋_GB2312" w:eastAsia="仿宋_GB2312"/>
          <w:sz w:val="30"/>
          <w:szCs w:val="30"/>
        </w:rPr>
        <w:t>20%的违约金并赔偿发包人的实际损失。</w:t>
      </w:r>
    </w:p>
    <w:p w14:paraId="5415F706">
      <w:pPr>
        <w:pStyle w:val="26"/>
        <w:spacing w:after="120"/>
        <w:ind w:firstLine="600"/>
      </w:pPr>
      <w:r>
        <w:rPr>
          <w:rFonts w:hint="eastAsia" w:ascii="仿宋_GB2312" w:eastAsia="仿宋_GB2312"/>
          <w:sz w:val="30"/>
          <w:szCs w:val="30"/>
        </w:rPr>
        <w:t>（6）</w:t>
      </w:r>
      <w:r>
        <w:rPr>
          <w:rFonts w:ascii="仿宋_GB2312" w:eastAsia="仿宋_GB2312"/>
          <w:sz w:val="30"/>
          <w:szCs w:val="30"/>
        </w:rPr>
        <w:t>承包人无正当理由不移交工程的违约责任：以工程竣工验收为期，每延期一天扣罚施工费签约合同价的0.1％，最高罚款额为承包人施工费合同中标价的</w:t>
      </w:r>
      <w:r>
        <w:rPr>
          <w:rFonts w:hint="eastAsia" w:ascii="仿宋_GB2312" w:eastAsia="仿宋_GB2312"/>
          <w:sz w:val="30"/>
          <w:szCs w:val="30"/>
        </w:rPr>
        <w:t>2</w:t>
      </w:r>
      <w:r>
        <w:rPr>
          <w:rFonts w:ascii="仿宋_GB2312" w:eastAsia="仿宋_GB2312"/>
          <w:sz w:val="30"/>
          <w:szCs w:val="30"/>
        </w:rPr>
        <w:t>0％。</w:t>
      </w:r>
    </w:p>
    <w:p w14:paraId="307E4E55">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15.2.1.5  </w:t>
      </w:r>
      <w:r>
        <w:rPr>
          <w:rFonts w:ascii="仿宋_GB2312" w:eastAsia="仿宋_GB2312"/>
          <w:sz w:val="30"/>
          <w:szCs w:val="30"/>
        </w:rPr>
        <w:t>材料设备管理及工程质量方面的违约责任</w:t>
      </w:r>
    </w:p>
    <w:p w14:paraId="1518A88B">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发包人（包括发包人委托的材料设备检验机构）或工程师抽查承包人的工程材料设备，发现所检查的材料与合同约定标准的任何一项不符合时，承包人除必须全部退货、返工，并赔偿发包人由此遭受的实际损失外，还应当按照该批次材料的价值，按照如下约定承担违约责任：</w:t>
      </w:r>
    </w:p>
    <w:p w14:paraId="2BB587FA">
      <w:pPr>
        <w:wordWrap/>
        <w:topLinePunct w:val="0"/>
        <w:spacing w:after="120"/>
        <w:ind w:firstLine="600"/>
        <w:rPr>
          <w:rFonts w:ascii="仿宋_GB2312" w:eastAsia="仿宋_GB2312"/>
          <w:sz w:val="30"/>
          <w:szCs w:val="30"/>
        </w:rPr>
      </w:pPr>
      <w:r>
        <w:rPr>
          <w:rFonts w:ascii="仿宋_GB2312" w:eastAsia="仿宋_GB2312"/>
          <w:sz w:val="30"/>
          <w:szCs w:val="30"/>
        </w:rPr>
        <w:t>A.对于单宗或批次材料价值不高于10万元的（含10万元），但累计抽检不合格达3次，承包人承担1次一般违约责任。</w:t>
      </w:r>
    </w:p>
    <w:p w14:paraId="03F59B52">
      <w:pPr>
        <w:wordWrap/>
        <w:topLinePunct w:val="0"/>
        <w:spacing w:after="120"/>
        <w:ind w:firstLine="600"/>
        <w:rPr>
          <w:rFonts w:ascii="仿宋_GB2312" w:eastAsia="仿宋_GB2312"/>
          <w:sz w:val="30"/>
          <w:szCs w:val="30"/>
        </w:rPr>
      </w:pPr>
      <w:r>
        <w:rPr>
          <w:rFonts w:ascii="仿宋_GB2312" w:eastAsia="仿宋_GB2312"/>
          <w:sz w:val="30"/>
          <w:szCs w:val="30"/>
        </w:rPr>
        <w:t>B.单宗或批次材料价值在10万元以上100万元以下（含100万元），承包人承担1次一般违约责任。</w:t>
      </w:r>
    </w:p>
    <w:p w14:paraId="408DB495">
      <w:pPr>
        <w:wordWrap/>
        <w:topLinePunct w:val="0"/>
        <w:spacing w:after="120"/>
        <w:ind w:firstLine="600"/>
        <w:rPr>
          <w:rFonts w:ascii="仿宋_GB2312" w:eastAsia="仿宋_GB2312"/>
          <w:sz w:val="30"/>
          <w:szCs w:val="30"/>
        </w:rPr>
      </w:pPr>
      <w:r>
        <w:rPr>
          <w:rFonts w:ascii="仿宋_GB2312" w:eastAsia="仿宋_GB2312"/>
          <w:sz w:val="30"/>
          <w:szCs w:val="30"/>
        </w:rPr>
        <w:t>C.单宗或批次材料价值100-200万元（含200万元），承包人承担1次严重违约责任。</w:t>
      </w:r>
    </w:p>
    <w:p w14:paraId="250CDE2F">
      <w:pPr>
        <w:wordWrap/>
        <w:topLinePunct w:val="0"/>
        <w:spacing w:after="120"/>
        <w:ind w:firstLine="600"/>
        <w:rPr>
          <w:rFonts w:ascii="仿宋_GB2312" w:eastAsia="仿宋_GB2312"/>
          <w:sz w:val="30"/>
          <w:szCs w:val="30"/>
        </w:rPr>
      </w:pPr>
      <w:r>
        <w:rPr>
          <w:rFonts w:ascii="仿宋_GB2312" w:eastAsia="仿宋_GB2312"/>
          <w:sz w:val="30"/>
          <w:szCs w:val="30"/>
        </w:rPr>
        <w:t>D.单宗或批次材料价值在200万元以上的，发包人有权部分解除合同或解除合同，并要求承包人赔偿发包人由此遭受的实际损失。</w:t>
      </w:r>
    </w:p>
    <w:p w14:paraId="0D5F7726">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承包人必须保证用于本合同工程所有的材料设备的品牌、型号、规格、质量等符合本合同及招投标文件的要求，严禁假冒伪劣产品，严禁以次充好，严禁未经发包人批准即以其他产品（包括承包人的产品）顶替本合同及招投标文件中规定的产品。如发生上述情况，承包人必须无条件在发包人限定的时间内全部更换为符合要求的产品，并由承包人按所需更换的符合要求的货物价款的30%向发包人支付违约金，因此给发包人造成损失的，由承包人负责赔偿；同时，发包人有权将承包人的上述行为通过媒体公开披露，并移送有关主管部门依法处理。如因此致使发包人需要另</w:t>
      </w:r>
      <w:r>
        <w:rPr>
          <w:rFonts w:hint="eastAsia" w:ascii="仿宋_GB2312" w:eastAsia="仿宋_GB2312"/>
          <w:sz w:val="30"/>
          <w:szCs w:val="30"/>
        </w:rPr>
        <w:t>行采购符合本合同及招投标文件要求的货物的，由承包人按另行采购的货物总价款的两倍向发包人支付违约金。</w:t>
      </w:r>
    </w:p>
    <w:p w14:paraId="0F0AAD43">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3）承包人不按合同专用条款约定对用于本合同工程的材料设备进行管理的，视同不服从发包人及监理单位管理，应按</w:t>
      </w:r>
      <w:r>
        <w:rPr>
          <w:rFonts w:hint="eastAsia" w:ascii="仿宋_GB2312" w:eastAsia="仿宋_GB2312"/>
          <w:sz w:val="30"/>
          <w:szCs w:val="30"/>
        </w:rPr>
        <w:t>15.2.1.3第（1）条</w:t>
      </w:r>
      <w:r>
        <w:rPr>
          <w:rFonts w:ascii="仿宋_GB2312" w:eastAsia="仿宋_GB2312"/>
          <w:sz w:val="30"/>
          <w:szCs w:val="30"/>
        </w:rPr>
        <w:t>的约定承担违约责任；同时发包人有权暂停支付本合同工程进度款，直到承包人完成相关工作为止。</w:t>
      </w:r>
    </w:p>
    <w:p w14:paraId="00E62725">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承包人必须对各工序报验核查质量控制点。承包人申请报验后，经工程师或发包人检查发现存在较大质量问题（存在质量问题的部分超过检查部分工程的10%），则该工序质量为不合格，承包人必须对不合格部分进行返工，返工后经检查合格才准进入下一工序，工期不予顺延。复检的结果，按每一分项工程计算，总计发现3次或连续发现2次质量控制点不合格的，承包人承担1次一般违约责任；总计发现3次以上（不含本数）或连续发现2次以上（不含本数）质量控制点不合格的，承包人承担1次严重违约责任；承包人采取整改措施后效果仍不明显的，发包人</w:t>
      </w:r>
      <w:r>
        <w:rPr>
          <w:rFonts w:hint="eastAsia" w:ascii="仿宋_GB2312" w:eastAsia="仿宋_GB2312"/>
          <w:sz w:val="30"/>
          <w:szCs w:val="30"/>
        </w:rPr>
        <w:t>有权部分解除合同，将该分项工程另行发包，且不免除承包人应承担的违约赔偿责任。</w:t>
      </w:r>
    </w:p>
    <w:p w14:paraId="6E1971F9">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工程竣工验收不符合国家强制性标准及规范要求或者未能实现一次验收合格的，承包人除应向发包人支付所在工程总造价20%的违约金并无偿采取补救措施及赔偿发包人的实际损失外，还应承担由此引起的一切责任。</w:t>
      </w:r>
    </w:p>
    <w:p w14:paraId="794024E2">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6）工程质量未达到本合同协议书约定质量标准的，承包人向发包人交纳单位工程审定结算总价2％的违约金。</w:t>
      </w:r>
      <w:r>
        <w:rPr>
          <w:rFonts w:hint="eastAsia" w:ascii="仿宋_GB2312" w:eastAsia="仿宋_GB2312"/>
          <w:sz w:val="30"/>
          <w:szCs w:val="30"/>
        </w:rPr>
        <w:t>如未能按照</w:t>
      </w:r>
      <w:r>
        <w:rPr>
          <w:rFonts w:ascii="仿宋_GB2312" w:eastAsia="仿宋_GB2312"/>
          <w:sz w:val="30"/>
          <w:szCs w:val="30"/>
        </w:rPr>
        <w:t>本合同协议书</w:t>
      </w:r>
      <w:r>
        <w:rPr>
          <w:rFonts w:hint="eastAsia" w:ascii="仿宋_GB2312" w:eastAsia="仿宋_GB2312"/>
          <w:sz w:val="30"/>
          <w:szCs w:val="30"/>
        </w:rPr>
        <w:t>取得奖项，承包人需承担以下违约责任：</w:t>
      </w:r>
      <w:r>
        <w:rPr>
          <w:rFonts w:hint="eastAsia" w:ascii="仿宋_GB2312" w:eastAsia="仿宋_GB2312"/>
          <w:sz w:val="30"/>
          <w:szCs w:val="30"/>
          <w:u w:val="single"/>
        </w:rPr>
        <w:t xml:space="preserve">     。</w:t>
      </w:r>
    </w:p>
    <w:p w14:paraId="4CD5CAA5">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7）在本合同工程质量保修期内发现有重大质量不合格问题的（该重大质量问题应界定为达不到要求的质量标准，属质量保修的问题除外），承包人必须在规定的期限内返工达到合同约定的质量等级并赔偿由此给发包人造成的损失，同时按该不合格项目所处分项工程总造价的5%向发包人支付违约金。</w:t>
      </w:r>
    </w:p>
    <w:p w14:paraId="35CCF8CE">
      <w:pPr>
        <w:wordWrap/>
        <w:topLinePunct w:val="0"/>
        <w:spacing w:after="120"/>
        <w:ind w:firstLine="600"/>
        <w:rPr>
          <w:rFonts w:ascii="仿宋_GB2312" w:eastAsia="仿宋_GB2312"/>
          <w:sz w:val="30"/>
          <w:szCs w:val="30"/>
        </w:rPr>
      </w:pPr>
      <w:r>
        <w:rPr>
          <w:rFonts w:ascii="仿宋_GB2312" w:eastAsia="仿宋_GB2312"/>
          <w:sz w:val="30"/>
          <w:szCs w:val="30"/>
        </w:rPr>
        <w:t>15.2.1.</w:t>
      </w:r>
      <w:r>
        <w:rPr>
          <w:rFonts w:hint="eastAsia" w:ascii="仿宋_GB2312" w:eastAsia="仿宋_GB2312"/>
          <w:sz w:val="30"/>
          <w:szCs w:val="30"/>
        </w:rPr>
        <w:t>6</w:t>
      </w:r>
      <w:r>
        <w:rPr>
          <w:rFonts w:ascii="仿宋_GB2312" w:eastAsia="仿宋_GB2312"/>
          <w:sz w:val="30"/>
          <w:szCs w:val="30"/>
        </w:rPr>
        <w:t>安全生产方面的违约责任</w:t>
      </w:r>
    </w:p>
    <w:p w14:paraId="65A8288D">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承包人在政府行政主管部门组织的安全生产检查中，被发现存在严重的安全隐患，被通报批评，或被新闻媒体曝光造成不良影响的，被通报或被曝光1次，承包人必须承担1次严重违约责任；造成严重社会影响或累计被通报或被曝光3次以上（含本数）的，发包人有权解除合同。</w:t>
      </w:r>
    </w:p>
    <w:p w14:paraId="5523AFFB">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承包人在发包人、工程师进行的日常安全生产检查中，被发现存在安全隐患的，承包人应限期改正。若同样问题被发现2次或累计类似问题被发现3次的，承包人必须承担1次一般违约责任。此类问题的认定，以发包人、工程师书面通知、指令、通报或会议纪要为准。</w:t>
      </w:r>
    </w:p>
    <w:p w14:paraId="562B206A">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3）承包人因自身原因造成安全事故（含工程质量事故）的，除按国家规定由主管部门处罚外，承包人需承担违约处罚。发生安全事故，发包人给予承包人一次严重违约处罚，直至部分或全部解除合同。</w:t>
      </w:r>
    </w:p>
    <w:p w14:paraId="331A7F9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4）在政府行政主管部门组织的质量安全检查中，如发现承包人施工总承包安全职责管理范围内存在严重的安全隐患，被通报批评，或被勒令停工整改，或被新闻媒体曝光造成不良影响的，</w:t>
      </w:r>
      <w:r>
        <w:rPr>
          <w:rFonts w:hint="eastAsia" w:ascii="仿宋_GB2312" w:eastAsia="仿宋_GB2312"/>
          <w:sz w:val="30"/>
          <w:szCs w:val="30"/>
        </w:rPr>
        <w:t>每发生1次，承包人承担1次严重违约责任</w:t>
      </w:r>
      <w:r>
        <w:rPr>
          <w:rFonts w:ascii="仿宋_GB2312" w:eastAsia="仿宋_GB2312"/>
          <w:sz w:val="30"/>
          <w:szCs w:val="30"/>
        </w:rPr>
        <w:t>。</w:t>
      </w:r>
    </w:p>
    <w:p w14:paraId="787EC8C6">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5）发生事故的：</w:t>
      </w:r>
    </w:p>
    <w:p w14:paraId="33C4B9BD">
      <w:pPr>
        <w:wordWrap/>
        <w:topLinePunct w:val="0"/>
        <w:spacing w:after="120"/>
        <w:ind w:firstLine="600"/>
        <w:rPr>
          <w:rFonts w:ascii="仿宋_GB2312" w:eastAsia="仿宋_GB2312"/>
          <w:sz w:val="30"/>
          <w:szCs w:val="30"/>
        </w:rPr>
      </w:pPr>
      <w:r>
        <w:rPr>
          <w:rFonts w:hint="eastAsia" w:ascii="仿宋_GB2312" w:eastAsia="仿宋_GB2312"/>
          <w:sz w:val="30"/>
          <w:szCs w:val="30"/>
        </w:rPr>
        <w:t>①发生特别重大事故，如造成人员死亡的，承包人须向发包人支付违约金，违约金从人民币</w:t>
      </w:r>
      <w:r>
        <w:rPr>
          <w:rFonts w:ascii="仿宋_GB2312" w:eastAsia="仿宋_GB2312"/>
          <w:sz w:val="30"/>
          <w:szCs w:val="30"/>
        </w:rPr>
        <w:t>1000万元起计，死亡的人数多于30人时，每增加死亡1人，承包人除支付上述违约金外还须再向发包人支付违约金人民币50万元／人；</w:t>
      </w:r>
    </w:p>
    <w:p w14:paraId="1256FC1E">
      <w:pPr>
        <w:wordWrap/>
        <w:topLinePunct w:val="0"/>
        <w:spacing w:after="120"/>
        <w:ind w:firstLine="600"/>
        <w:rPr>
          <w:rFonts w:ascii="仿宋_GB2312" w:eastAsia="仿宋_GB2312"/>
          <w:sz w:val="30"/>
          <w:szCs w:val="30"/>
        </w:rPr>
      </w:pPr>
      <w:r>
        <w:rPr>
          <w:rFonts w:hint="eastAsia" w:ascii="仿宋_GB2312" w:eastAsia="仿宋_GB2312"/>
          <w:sz w:val="30"/>
          <w:szCs w:val="30"/>
        </w:rPr>
        <w:t>②发生重大事故，如造成人员死亡的，承包人须向发包人支付违约金，违约金从人民币</w:t>
      </w:r>
      <w:r>
        <w:rPr>
          <w:rFonts w:ascii="仿宋_GB2312" w:eastAsia="仿宋_GB2312"/>
          <w:sz w:val="30"/>
          <w:szCs w:val="30"/>
        </w:rPr>
        <w:t>500万元起计，死亡的人数多于10人时，每增加死亡1人，承包人除支付上述违约金外还须再向发包人支付违约金人民币50万元／人；</w:t>
      </w:r>
    </w:p>
    <w:p w14:paraId="0AB6F1CE">
      <w:pPr>
        <w:wordWrap/>
        <w:topLinePunct w:val="0"/>
        <w:spacing w:after="120"/>
        <w:ind w:firstLine="600"/>
        <w:rPr>
          <w:rFonts w:ascii="仿宋_GB2312" w:eastAsia="仿宋_GB2312"/>
          <w:sz w:val="30"/>
          <w:szCs w:val="30"/>
        </w:rPr>
      </w:pPr>
      <w:r>
        <w:rPr>
          <w:rFonts w:hint="eastAsia" w:ascii="仿宋_GB2312" w:eastAsia="仿宋_GB2312"/>
          <w:sz w:val="30"/>
          <w:szCs w:val="30"/>
        </w:rPr>
        <w:t>③发生较大事故，如造成人员死亡或重伤的，承包人须向发包人支付违约金，违约金从人民币</w:t>
      </w:r>
      <w:r>
        <w:rPr>
          <w:rFonts w:ascii="仿宋_GB2312" w:eastAsia="仿宋_GB2312"/>
          <w:sz w:val="30"/>
          <w:szCs w:val="30"/>
        </w:rPr>
        <w:t>300万元起计，死亡的人数多于3人或重伤人数多于20人时，每增加死亡1人或重伤3人，承包人除支付上述违约金外还须再向发包人支付违约金人民币50万元；</w:t>
      </w:r>
    </w:p>
    <w:p w14:paraId="6638467B">
      <w:pPr>
        <w:wordWrap/>
        <w:topLinePunct w:val="0"/>
        <w:spacing w:after="120"/>
        <w:ind w:firstLine="600"/>
        <w:rPr>
          <w:rFonts w:ascii="仿宋_GB2312" w:eastAsia="仿宋_GB2312"/>
          <w:sz w:val="30"/>
          <w:szCs w:val="30"/>
        </w:rPr>
      </w:pPr>
      <w:r>
        <w:rPr>
          <w:rFonts w:hint="eastAsia" w:ascii="仿宋_GB2312" w:eastAsia="仿宋_GB2312"/>
          <w:sz w:val="30"/>
          <w:szCs w:val="30"/>
        </w:rPr>
        <w:t>④发生一般事故，如造成人员死亡或重伤的，承包人须向发包人支付违约金，违约金从人民币</w:t>
      </w:r>
      <w:r>
        <w:rPr>
          <w:rFonts w:ascii="仿宋_GB2312" w:eastAsia="仿宋_GB2312"/>
          <w:sz w:val="30"/>
          <w:szCs w:val="30"/>
        </w:rPr>
        <w:t>100万元起计，死亡的人数多于1人或重伤人数多于3人时，每增加死亡1人或重伤3人，承包人除支付上述违约金外还须再向发包人支付违约金人民币50万元。</w:t>
      </w:r>
    </w:p>
    <w:p w14:paraId="758B8059">
      <w:pPr>
        <w:wordWrap/>
        <w:topLinePunct w:val="0"/>
        <w:spacing w:after="120"/>
        <w:ind w:firstLine="600"/>
        <w:rPr>
          <w:rFonts w:ascii="仿宋_GB2312" w:eastAsia="仿宋_GB2312"/>
          <w:sz w:val="30"/>
          <w:szCs w:val="30"/>
        </w:rPr>
      </w:pPr>
      <w:r>
        <w:rPr>
          <w:rFonts w:hint="eastAsia" w:ascii="仿宋_GB2312" w:eastAsia="仿宋_GB2312"/>
          <w:sz w:val="30"/>
          <w:szCs w:val="30"/>
        </w:rPr>
        <w:t>⑤安全事故及质量事故等级界定按国家现行有关规定执行。</w:t>
      </w:r>
    </w:p>
    <w:p w14:paraId="71F0CE54">
      <w:pPr>
        <w:wordWrap/>
        <w:topLinePunct w:val="0"/>
        <w:spacing w:after="120"/>
        <w:ind w:firstLine="600"/>
        <w:rPr>
          <w:rFonts w:ascii="仿宋_GB2312" w:eastAsia="仿宋_GB2312"/>
          <w:sz w:val="30"/>
          <w:szCs w:val="30"/>
        </w:rPr>
      </w:pPr>
      <w:r>
        <w:rPr>
          <w:rFonts w:hint="eastAsia" w:ascii="仿宋_GB2312" w:eastAsia="仿宋_GB2312"/>
          <w:sz w:val="30"/>
          <w:szCs w:val="30"/>
        </w:rPr>
        <w:t>承包人依照支付违约金后，所支付的违约金不足以弥补由此给发包人造成的损失的，承包人还须补偿发包人的其他损失。</w:t>
      </w:r>
    </w:p>
    <w:p w14:paraId="6429009F">
      <w:pPr>
        <w:wordWrap/>
        <w:topLinePunct w:val="0"/>
        <w:spacing w:after="120"/>
        <w:ind w:firstLine="600"/>
        <w:rPr>
          <w:rFonts w:ascii="仿宋_GB2312" w:eastAsia="仿宋_GB2312"/>
          <w:sz w:val="30"/>
          <w:szCs w:val="30"/>
        </w:rPr>
      </w:pPr>
      <w:r>
        <w:rPr>
          <w:rFonts w:ascii="仿宋_GB2312" w:eastAsia="仿宋_GB2312"/>
          <w:sz w:val="30"/>
          <w:szCs w:val="30"/>
        </w:rPr>
        <w:t>15.2.1.</w:t>
      </w:r>
      <w:r>
        <w:rPr>
          <w:rFonts w:hint="eastAsia" w:ascii="仿宋_GB2312" w:eastAsia="仿宋_GB2312"/>
          <w:sz w:val="30"/>
          <w:szCs w:val="30"/>
        </w:rPr>
        <w:t>7</w:t>
      </w:r>
      <w:r>
        <w:rPr>
          <w:rFonts w:ascii="仿宋_GB2312" w:eastAsia="仿宋_GB2312"/>
          <w:sz w:val="30"/>
          <w:szCs w:val="30"/>
        </w:rPr>
        <w:t>文明施工、环境保护方面的违约责任</w:t>
      </w:r>
    </w:p>
    <w:p w14:paraId="01C06171">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1）发包人、工程师，对承包人文明施工措施进行对照检查。经检查发现承包人因自身原因未能落实的，承包人必须承担1次一般违约责任，并限期改正；如限期届满未改正的，承包人须承担1次严重违约责任。</w:t>
      </w:r>
    </w:p>
    <w:p w14:paraId="0864A5FA">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在行发包人管部门的检查中，承包人的施工场地被评为不合格工地或者被通报批评或者被新闻媒体曝光的，承包人必须承担1次严重违约责任，并立即采取切实有效措施予以整改；拒不采取切实有效措施整改的，或整改效果不明显的，发包人有权部分或全部解除合同。</w:t>
      </w:r>
    </w:p>
    <w:p w14:paraId="7B5BEE48">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承包人在施工过程中因其自身原因造成周围环境卫生状况较差，被其他施工单位或周围居民投诉的，承包人必须在当天内整改。若故意拖延或类似问题累计被投诉2次以上且经查实的，承包人必须承担1次严重违约责任。</w:t>
      </w:r>
    </w:p>
    <w:p w14:paraId="76BDFED7">
      <w:pPr>
        <w:wordWrap/>
        <w:topLinePunct w:val="0"/>
        <w:spacing w:after="120"/>
        <w:ind w:firstLine="600"/>
        <w:rPr>
          <w:rFonts w:ascii="仿宋_GB2312" w:eastAsia="仿宋_GB2312"/>
          <w:sz w:val="30"/>
          <w:szCs w:val="30"/>
        </w:rPr>
      </w:pPr>
      <w:r>
        <w:rPr>
          <w:rFonts w:ascii="仿宋_GB2312" w:eastAsia="仿宋_GB2312"/>
          <w:sz w:val="30"/>
          <w:szCs w:val="30"/>
        </w:rPr>
        <w:t>15.2.1.</w:t>
      </w:r>
      <w:r>
        <w:rPr>
          <w:rFonts w:hint="eastAsia" w:ascii="仿宋_GB2312" w:eastAsia="仿宋_GB2312"/>
          <w:sz w:val="30"/>
          <w:szCs w:val="30"/>
        </w:rPr>
        <w:t>8</w:t>
      </w:r>
      <w:r>
        <w:rPr>
          <w:rFonts w:ascii="仿宋_GB2312" w:eastAsia="仿宋_GB2312"/>
          <w:sz w:val="30"/>
          <w:szCs w:val="30"/>
        </w:rPr>
        <w:t>工程转包、分包方面的违约责任</w:t>
      </w:r>
    </w:p>
    <w:p w14:paraId="191D3E2B">
      <w:pPr>
        <w:wordWrap/>
        <w:topLinePunct w:val="0"/>
        <w:spacing w:after="120"/>
        <w:ind w:firstLine="600"/>
        <w:rPr>
          <w:rFonts w:ascii="仿宋_GB2312" w:eastAsia="仿宋_GB2312"/>
          <w:bCs/>
          <w:sz w:val="30"/>
          <w:szCs w:val="30"/>
        </w:rPr>
      </w:pPr>
      <w:r>
        <w:rPr>
          <w:rFonts w:hint="eastAsia" w:ascii="仿宋_GB2312" w:eastAsia="仿宋_GB2312"/>
          <w:bCs/>
          <w:sz w:val="30"/>
          <w:szCs w:val="30"/>
        </w:rPr>
        <w:t>（</w:t>
      </w:r>
      <w:r>
        <w:rPr>
          <w:rFonts w:ascii="仿宋_GB2312" w:eastAsia="仿宋_GB2312"/>
          <w:bCs/>
          <w:sz w:val="30"/>
          <w:szCs w:val="30"/>
        </w:rPr>
        <w:t>1）承包人不按约定进行分包管理的，视同不服从发包人及监理单位管理，应承担</w:t>
      </w:r>
      <w:r>
        <w:rPr>
          <w:rFonts w:hint="eastAsia" w:ascii="仿宋_GB2312" w:eastAsia="仿宋_GB2312"/>
          <w:b/>
          <w:bCs w:val="0"/>
          <w:color w:val="FF0000"/>
          <w:sz w:val="30"/>
          <w:szCs w:val="30"/>
        </w:rPr>
        <w:t>严重</w:t>
      </w:r>
      <w:r>
        <w:rPr>
          <w:rFonts w:ascii="仿宋_GB2312" w:eastAsia="仿宋_GB2312"/>
          <w:bCs/>
          <w:sz w:val="30"/>
          <w:szCs w:val="30"/>
        </w:rPr>
        <w:t>违约责任；同时发包人有权暂停支付本合同工程进度款，直到承包人完成相关工作为止。</w:t>
      </w:r>
    </w:p>
    <w:p w14:paraId="6D46B984">
      <w:pPr>
        <w:wordWrap/>
        <w:topLinePunct w:val="0"/>
        <w:spacing w:after="120"/>
        <w:ind w:firstLine="600"/>
        <w:rPr>
          <w:rFonts w:ascii="仿宋_GB2312" w:eastAsia="仿宋_GB2312"/>
          <w:bCs/>
          <w:sz w:val="30"/>
          <w:szCs w:val="30"/>
        </w:rPr>
      </w:pPr>
      <w:r>
        <w:rPr>
          <w:rFonts w:hint="eastAsia" w:ascii="仿宋_GB2312" w:eastAsia="仿宋_GB2312"/>
          <w:bCs/>
          <w:sz w:val="30"/>
          <w:szCs w:val="30"/>
        </w:rPr>
        <w:t>（</w:t>
      </w:r>
      <w:r>
        <w:rPr>
          <w:rFonts w:ascii="仿宋_GB2312" w:eastAsia="仿宋_GB2312"/>
          <w:bCs/>
          <w:sz w:val="30"/>
          <w:szCs w:val="30"/>
        </w:rPr>
        <w:t>2</w:t>
      </w:r>
      <w:r>
        <w:rPr>
          <w:rFonts w:ascii="仿宋_GB2312" w:eastAsia="仿宋_GB2312"/>
          <w:bCs/>
          <w:sz w:val="30"/>
          <w:szCs w:val="30"/>
        </w:rPr>
        <w:t>）承包人转包工程或者违反法律法规及本合同约定分包工程的，发包人有权单方面部分解除合同或解除合同，并由承包人承担由此产生的一切责任及损失。</w:t>
      </w:r>
      <w:r>
        <w:rPr>
          <w:rFonts w:hint="eastAsia" w:ascii="仿宋_GB2312" w:eastAsia="仿宋_GB2312"/>
          <w:bCs/>
          <w:sz w:val="30"/>
          <w:szCs w:val="30"/>
        </w:rPr>
        <w:t>造成工期延误的，按本合同</w:t>
      </w:r>
      <w:r>
        <w:rPr>
          <w:rFonts w:ascii="仿宋_GB2312" w:eastAsia="仿宋_GB2312"/>
          <w:bCs/>
          <w:sz w:val="30"/>
          <w:szCs w:val="30"/>
        </w:rPr>
        <w:t>15.2.1.4第（4）及第（5）</w:t>
      </w:r>
      <w:r>
        <w:rPr>
          <w:rFonts w:hint="eastAsia" w:ascii="仿宋_GB2312" w:eastAsia="仿宋_GB2312"/>
          <w:bCs/>
          <w:sz w:val="30"/>
          <w:szCs w:val="30"/>
        </w:rPr>
        <w:t>条承担工期延误违约责任。</w:t>
      </w:r>
    </w:p>
    <w:p w14:paraId="2238D1DA">
      <w:pPr>
        <w:wordWrap/>
        <w:topLinePunct w:val="0"/>
        <w:spacing w:after="120"/>
        <w:ind w:firstLine="600"/>
        <w:rPr>
          <w:rFonts w:ascii="仿宋_GB2312" w:eastAsia="仿宋_GB2312"/>
          <w:sz w:val="30"/>
          <w:szCs w:val="30"/>
        </w:rPr>
      </w:pPr>
      <w:r>
        <w:rPr>
          <w:rFonts w:ascii="仿宋_GB2312" w:eastAsia="仿宋_GB2312"/>
          <w:sz w:val="30"/>
          <w:szCs w:val="30"/>
        </w:rPr>
        <w:t>15.2.1.</w:t>
      </w:r>
      <w:r>
        <w:rPr>
          <w:rFonts w:hint="eastAsia" w:ascii="仿宋_GB2312" w:eastAsia="仿宋_GB2312"/>
          <w:sz w:val="30"/>
          <w:szCs w:val="30"/>
        </w:rPr>
        <w:t>9建筑工人</w:t>
      </w:r>
      <w:r>
        <w:rPr>
          <w:rFonts w:ascii="仿宋_GB2312" w:eastAsia="仿宋_GB2312"/>
          <w:sz w:val="30"/>
          <w:szCs w:val="30"/>
        </w:rPr>
        <w:t>工资支付方面的违约责任</w:t>
      </w:r>
    </w:p>
    <w:p w14:paraId="74E9FBD2">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1）承包人违反约定，被</w:t>
      </w:r>
      <w:r>
        <w:rPr>
          <w:rFonts w:hint="eastAsia" w:ascii="仿宋_GB2312" w:eastAsia="仿宋_GB2312"/>
          <w:sz w:val="30"/>
          <w:szCs w:val="30"/>
        </w:rPr>
        <w:t>建筑工人</w:t>
      </w:r>
      <w:r>
        <w:rPr>
          <w:rFonts w:ascii="仿宋_GB2312" w:eastAsia="仿宋_GB2312"/>
          <w:sz w:val="30"/>
          <w:szCs w:val="30"/>
        </w:rPr>
        <w:t>投诉或上访属实的，承包人必须在 3 天内发放拖欠的款项。若继续拖延被投诉 2 次及以上，经查实，承包人必须承担 1 次严重违约责任。若仍然不予整改并发放拖欠的款项，使</w:t>
      </w:r>
      <w:r>
        <w:rPr>
          <w:rFonts w:hint="eastAsia" w:ascii="仿宋_GB2312" w:eastAsia="仿宋_GB2312"/>
          <w:sz w:val="30"/>
          <w:szCs w:val="30"/>
        </w:rPr>
        <w:t>建筑工人</w:t>
      </w:r>
      <w:r>
        <w:rPr>
          <w:rFonts w:ascii="仿宋_GB2312" w:eastAsia="仿宋_GB2312"/>
          <w:sz w:val="30"/>
          <w:szCs w:val="30"/>
        </w:rPr>
        <w:t>采取停工、集聚围阻发包人办公地点甚至政府办公部门、阻塞交通要道、围堵或破坏、拆除己移交发包人的工程等过激行动的，承包人必须承担 2 次严重违约责任，并立即采取切实有效措施予以整改；拒不采取切实有效措施整改的，或整改效果不明显的，发包人有权部分或全部解除合同。</w:t>
      </w:r>
    </w:p>
    <w:p w14:paraId="43F67CB5">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2）由于承包人或其管理的分包单位（包括施工专业分包、供货分包及劳务分包单位等）拖欠</w:t>
      </w:r>
      <w:r>
        <w:rPr>
          <w:rFonts w:hint="eastAsia" w:ascii="仿宋_GB2312" w:eastAsia="仿宋_GB2312"/>
          <w:sz w:val="30"/>
          <w:szCs w:val="30"/>
        </w:rPr>
        <w:t>建筑工人</w:t>
      </w:r>
      <w:r>
        <w:rPr>
          <w:rFonts w:ascii="仿宋_GB2312" w:eastAsia="仿宋_GB2312"/>
          <w:sz w:val="30"/>
          <w:szCs w:val="30"/>
        </w:rPr>
        <w:t>工资致使发包人被投诉或起诉并被判令先行垫付</w:t>
      </w:r>
      <w:r>
        <w:rPr>
          <w:rFonts w:hint="eastAsia" w:ascii="仿宋_GB2312" w:eastAsia="仿宋_GB2312"/>
          <w:sz w:val="30"/>
          <w:szCs w:val="30"/>
        </w:rPr>
        <w:t>建筑工人</w:t>
      </w:r>
      <w:r>
        <w:rPr>
          <w:rFonts w:ascii="仿宋_GB2312" w:eastAsia="仿宋_GB2312"/>
          <w:sz w:val="30"/>
          <w:szCs w:val="30"/>
        </w:rPr>
        <w:t>工资的，承包人除承担1次严重违约责任外，还应向发包人支付发包人先行垫付的</w:t>
      </w:r>
      <w:r>
        <w:rPr>
          <w:rFonts w:hint="eastAsia" w:ascii="仿宋_GB2312" w:eastAsia="仿宋_GB2312"/>
          <w:sz w:val="30"/>
          <w:szCs w:val="30"/>
        </w:rPr>
        <w:t>建筑工人</w:t>
      </w:r>
      <w:r>
        <w:rPr>
          <w:rFonts w:ascii="仿宋_GB2312" w:eastAsia="仿宋_GB2312"/>
          <w:sz w:val="30"/>
          <w:szCs w:val="30"/>
        </w:rPr>
        <w:t>工资金额的两倍作为补偿。</w:t>
      </w:r>
    </w:p>
    <w:p w14:paraId="3793D12C">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3）因承包人违约导致发包人暂停支付工程款时，承包人不得以此为理由拖欠</w:t>
      </w:r>
      <w:r>
        <w:rPr>
          <w:rFonts w:hint="eastAsia" w:ascii="仿宋_GB2312" w:eastAsia="仿宋_GB2312"/>
          <w:sz w:val="30"/>
          <w:szCs w:val="30"/>
        </w:rPr>
        <w:t>建筑工人</w:t>
      </w:r>
      <w:r>
        <w:rPr>
          <w:rFonts w:ascii="仿宋_GB2312" w:eastAsia="仿宋_GB2312"/>
          <w:sz w:val="30"/>
          <w:szCs w:val="30"/>
        </w:rPr>
        <w:t xml:space="preserve">工资，在发包人和承包人就暂停支付工程款问题解决之前，承包人有义务先行支付其所属工人工资。 </w:t>
      </w:r>
    </w:p>
    <w:p w14:paraId="34AB67F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承包人不按合同及有关规定按时、足额支付分包单位合同价款及民工工资致使民工集体上访、集聚围阻而造成社会不良影响的，发包人将立即终止与承包人的合同，并上报省、市主管部门建议取消其参加省、市重大项目的投标资格，并由发包人予以公告。如属恶意煽动并造成社会不良影响的，发包人将提请司法部门追究其法律责任。</w:t>
      </w:r>
    </w:p>
    <w:p w14:paraId="53301343">
      <w:pPr>
        <w:wordWrap/>
        <w:topLinePunct w:val="0"/>
        <w:spacing w:after="120"/>
        <w:ind w:firstLine="600"/>
        <w:rPr>
          <w:rFonts w:ascii="仿宋_GB2312" w:eastAsia="仿宋_GB2312"/>
          <w:sz w:val="30"/>
          <w:szCs w:val="30"/>
        </w:rPr>
      </w:pPr>
      <w:r>
        <w:rPr>
          <w:rFonts w:hint="eastAsia" w:ascii="仿宋_GB2312" w:eastAsia="仿宋_GB2312"/>
          <w:sz w:val="30"/>
          <w:szCs w:val="30"/>
        </w:rPr>
        <w:t>15.2.1.10 承包人不配合审计工作的违约责任</w:t>
      </w:r>
    </w:p>
    <w:p w14:paraId="0150EA64">
      <w:pPr>
        <w:wordWrap/>
        <w:topLinePunct w:val="0"/>
        <w:spacing w:after="120"/>
        <w:ind w:firstLine="600"/>
        <w:rPr>
          <w:rFonts w:ascii="仿宋_GB2312" w:eastAsia="仿宋_GB2312"/>
          <w:sz w:val="30"/>
          <w:szCs w:val="30"/>
        </w:rPr>
      </w:pPr>
      <w:r>
        <w:rPr>
          <w:rFonts w:hint="eastAsia" w:ascii="仿宋_GB2312" w:eastAsia="仿宋_GB2312"/>
          <w:sz w:val="30"/>
          <w:szCs w:val="30"/>
        </w:rPr>
        <w:t>1、发包人有权对项目的全过程进行审计或审计调查，承包人应积极配合发包人的审计工作，提供必要的办公场所、条件及有关资料，确保按时提供真实审计资料，并对发现问题进行整改被审计单位拒绝、拖延提供，或者提供的资料不真实、不规范不完整，或者拒绝、阻碍检查的，按违约责任处理。</w:t>
      </w:r>
    </w:p>
    <w:p w14:paraId="01895525">
      <w:pPr>
        <w:wordWrap/>
        <w:topLinePunct w:val="0"/>
        <w:spacing w:after="120"/>
        <w:ind w:firstLine="600"/>
        <w:rPr>
          <w:rFonts w:ascii="仿宋_GB2312" w:eastAsia="仿宋_GB2312"/>
          <w:sz w:val="30"/>
          <w:szCs w:val="30"/>
        </w:rPr>
      </w:pPr>
      <w:r>
        <w:rPr>
          <w:rFonts w:hint="eastAsia" w:ascii="仿宋_GB2312" w:eastAsia="仿宋_GB2312"/>
          <w:sz w:val="30"/>
          <w:szCs w:val="30"/>
        </w:rPr>
        <w:t>(1)一般审计违约责任。承包人违反本合同不配合发包人进行审计或审计调查的工作，发包人发出通知，口头指令限期时间内，承包人不履行审计配合责任，承担一般违约责任，向发包人交纳违约金 5000 元/次。</w:t>
      </w:r>
    </w:p>
    <w:p w14:paraId="5C2ACC09">
      <w:pPr>
        <w:wordWrap/>
        <w:topLinePunct w:val="0"/>
        <w:spacing w:after="120"/>
        <w:ind w:firstLine="600"/>
        <w:rPr>
          <w:rFonts w:ascii="仿宋_GB2312" w:eastAsia="仿宋_GB2312"/>
          <w:sz w:val="30"/>
          <w:szCs w:val="30"/>
        </w:rPr>
      </w:pPr>
      <w:r>
        <w:rPr>
          <w:rFonts w:hint="eastAsia" w:ascii="仿宋_GB2312" w:eastAsia="仿宋_GB2312"/>
          <w:sz w:val="30"/>
          <w:szCs w:val="30"/>
        </w:rPr>
        <w:t>(2) 严重审计违约责任。承包人违反本合同的约定拒绝接受发包人进行审计或审计调查的义务，超出发包人发出通知，口头指令等限期要求时间 7 天后审计单位仍拒绝、拖延提供，或者提供的资料不真实、不完整，或者拒绝、阻碍检查的，或者给与通报批评、书面警告、责令限期改正后,仍拒不改正的，承担严重违约责任，向发包人交纳违约金 1万元/次。</w:t>
      </w:r>
    </w:p>
    <w:p w14:paraId="1A186D6C">
      <w:pPr>
        <w:wordWrap/>
        <w:topLinePunct w:val="0"/>
        <w:spacing w:after="120"/>
        <w:ind w:firstLine="600"/>
        <w:rPr>
          <w:rFonts w:ascii="仿宋_GB2312" w:eastAsia="仿宋_GB2312"/>
          <w:sz w:val="30"/>
          <w:szCs w:val="30"/>
        </w:rPr>
      </w:pPr>
      <w:r>
        <w:rPr>
          <w:rFonts w:ascii="仿宋_GB2312" w:eastAsia="仿宋_GB2312"/>
          <w:sz w:val="30"/>
          <w:szCs w:val="30"/>
        </w:rPr>
        <w:t>15.2.1.1</w:t>
      </w:r>
      <w:r>
        <w:rPr>
          <w:rFonts w:hint="eastAsia" w:ascii="仿宋_GB2312" w:eastAsia="仿宋_GB2312"/>
          <w:sz w:val="30"/>
          <w:szCs w:val="30"/>
        </w:rPr>
        <w:t>1</w:t>
      </w:r>
      <w:r>
        <w:rPr>
          <w:rFonts w:ascii="仿宋_GB2312" w:eastAsia="仿宋_GB2312"/>
          <w:sz w:val="30"/>
          <w:szCs w:val="30"/>
        </w:rPr>
        <w:t>除上述约定之外，承包人不履行或不完全履行合同其他义务的，均构成违约，应当承担1次一般违约责任。情节较重的，应当承担1次严重违约责任。并立即采取切实有效措施予以整改；拒不采取切实有效措施整改的，或整改效果不明显的，发包人有权部分或全部解除合同。</w:t>
      </w:r>
    </w:p>
    <w:p w14:paraId="7D789F10">
      <w:pPr>
        <w:wordWrap/>
        <w:topLinePunct w:val="0"/>
        <w:spacing w:after="120"/>
        <w:ind w:firstLine="600"/>
        <w:rPr>
          <w:rFonts w:ascii="仿宋_GB2312" w:eastAsia="仿宋_GB2312"/>
          <w:sz w:val="30"/>
          <w:szCs w:val="30"/>
        </w:rPr>
      </w:pPr>
      <w:r>
        <w:rPr>
          <w:rFonts w:ascii="仿宋_GB2312" w:eastAsia="仿宋_GB2312"/>
          <w:sz w:val="30"/>
          <w:szCs w:val="30"/>
        </w:rPr>
        <w:t>15.2.1.1</w:t>
      </w:r>
      <w:r>
        <w:rPr>
          <w:rFonts w:hint="eastAsia" w:ascii="仿宋_GB2312" w:eastAsia="仿宋_GB2312"/>
          <w:sz w:val="30"/>
          <w:szCs w:val="30"/>
        </w:rPr>
        <w:t>2</w:t>
      </w:r>
      <w:r>
        <w:rPr>
          <w:rFonts w:ascii="仿宋_GB2312" w:eastAsia="仿宋_GB2312"/>
          <w:sz w:val="30"/>
          <w:szCs w:val="30"/>
        </w:rPr>
        <w:t>承包人违约责任的认定方式及送达程序：</w:t>
      </w:r>
    </w:p>
    <w:p w14:paraId="73B7716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1）认定方式：以发包人发出的通知、通报、会议纪要等书面文件确定的内容为准。</w:t>
      </w:r>
    </w:p>
    <w:p w14:paraId="520DD0E0">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2）送达程序：发包人以下列方式之一将书面违约处理决定送达承包人：</w:t>
      </w:r>
    </w:p>
    <w:p w14:paraId="24AF2362">
      <w:pPr>
        <w:wordWrap/>
        <w:topLinePunct w:val="0"/>
        <w:spacing w:after="120"/>
        <w:ind w:firstLine="600"/>
        <w:rPr>
          <w:rFonts w:ascii="仿宋_GB2312" w:eastAsia="仿宋_GB2312"/>
          <w:sz w:val="30"/>
          <w:szCs w:val="30"/>
        </w:rPr>
      </w:pPr>
      <w:r>
        <w:rPr>
          <w:rFonts w:hint="eastAsia" w:ascii="仿宋_GB2312" w:eastAsia="仿宋_GB2312"/>
          <w:sz w:val="30"/>
          <w:szCs w:val="30"/>
        </w:rPr>
        <w:t>①承包人现场管理机构工作人员签收。</w:t>
      </w:r>
    </w:p>
    <w:p w14:paraId="176D7AFF">
      <w:pPr>
        <w:wordWrap/>
        <w:topLinePunct w:val="0"/>
        <w:spacing w:after="120"/>
        <w:ind w:firstLine="600"/>
        <w:rPr>
          <w:rFonts w:ascii="仿宋_GB2312" w:eastAsia="仿宋_GB2312"/>
          <w:sz w:val="30"/>
          <w:szCs w:val="30"/>
        </w:rPr>
      </w:pPr>
      <w:r>
        <w:rPr>
          <w:rFonts w:hint="eastAsia" w:ascii="仿宋_GB2312" w:eastAsia="仿宋_GB2312"/>
          <w:sz w:val="30"/>
          <w:szCs w:val="30"/>
        </w:rPr>
        <w:t>②承包人其他工作人员签收。</w:t>
      </w:r>
    </w:p>
    <w:p w14:paraId="54B7A5C6">
      <w:pPr>
        <w:wordWrap/>
        <w:topLinePunct w:val="0"/>
        <w:spacing w:after="120"/>
        <w:ind w:firstLine="600"/>
        <w:rPr>
          <w:rFonts w:ascii="仿宋_GB2312" w:eastAsia="仿宋_GB2312"/>
          <w:sz w:val="30"/>
          <w:szCs w:val="30"/>
        </w:rPr>
      </w:pPr>
      <w:r>
        <w:rPr>
          <w:rFonts w:hint="eastAsia" w:ascii="仿宋_GB2312" w:eastAsia="仿宋_GB2312"/>
          <w:sz w:val="30"/>
          <w:szCs w:val="30"/>
        </w:rPr>
        <w:t>③发包人邮寄送达（以发包人邮寄凭证为准，视为承包人已签收）。</w:t>
      </w:r>
    </w:p>
    <w:p w14:paraId="7EA63B24">
      <w:pPr>
        <w:wordWrap/>
        <w:topLinePunct w:val="0"/>
        <w:spacing w:after="120"/>
        <w:ind w:firstLine="600"/>
        <w:rPr>
          <w:rFonts w:ascii="仿宋_GB2312" w:eastAsia="仿宋_GB2312"/>
          <w:sz w:val="30"/>
          <w:szCs w:val="30"/>
        </w:rPr>
      </w:pPr>
      <w:r>
        <w:rPr>
          <w:rFonts w:hint="eastAsia" w:ascii="仿宋_GB2312" w:eastAsia="仿宋_GB2312"/>
          <w:sz w:val="30"/>
          <w:szCs w:val="30"/>
        </w:rPr>
        <w:t>④发包人派两名以上（含两名）工作人员送达承包人公司，即视为承包人已确认收到。</w:t>
      </w:r>
    </w:p>
    <w:p w14:paraId="07EC174F">
      <w:pPr>
        <w:wordWrap/>
        <w:topLinePunct w:val="0"/>
        <w:spacing w:after="120"/>
        <w:ind w:firstLine="600"/>
        <w:rPr>
          <w:rFonts w:ascii="仿宋_GB2312" w:eastAsia="仿宋_GB2312"/>
          <w:sz w:val="30"/>
          <w:szCs w:val="30"/>
        </w:rPr>
      </w:pPr>
      <w:r>
        <w:rPr>
          <w:rFonts w:hint="eastAsia" w:ascii="仿宋_GB2312" w:eastAsia="仿宋_GB2312"/>
          <w:sz w:val="30"/>
          <w:szCs w:val="30"/>
        </w:rPr>
        <w:t>⑤其他法律法规规定的送达确认方式。</w:t>
      </w:r>
    </w:p>
    <w:p w14:paraId="2A0276A6">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发包人以书面形式作出的违约处理决定一经送达承包人立即生效。承包人如有足够证据证明不应由其承担违约责任的，应在收到违约处理决定后3天内以书面形式向发包人提出异议并附上有关证据；发包人在收到承包人的异议后 15 天内审核完毕且作出书面决定并通知承包人。在异议审核期间，承包人须照常施工，不得以审核未确定为由拖延或者中止工程施工。</w:t>
      </w:r>
    </w:p>
    <w:p w14:paraId="59CB61B2">
      <w:pPr>
        <w:wordWrap/>
        <w:topLinePunct w:val="0"/>
        <w:spacing w:after="120"/>
        <w:ind w:firstLine="600"/>
        <w:rPr>
          <w:rFonts w:ascii="仿宋_GB2312" w:eastAsia="仿宋_GB2312"/>
          <w:sz w:val="30"/>
          <w:szCs w:val="30"/>
        </w:rPr>
      </w:pPr>
      <w:r>
        <w:rPr>
          <w:rFonts w:ascii="仿宋_GB2312" w:eastAsia="仿宋_GB2312"/>
          <w:sz w:val="30"/>
          <w:szCs w:val="30"/>
        </w:rPr>
        <w:t xml:space="preserve">15.2.2 </w:t>
      </w:r>
      <w:r>
        <w:rPr>
          <w:rFonts w:hint="eastAsia" w:ascii="仿宋_GB2312" w:eastAsia="仿宋_GB2312"/>
          <w:sz w:val="30"/>
          <w:szCs w:val="30"/>
        </w:rPr>
        <w:t>通知改正</w:t>
      </w:r>
    </w:p>
    <w:p w14:paraId="28B82563">
      <w:pPr>
        <w:wordWrap/>
        <w:topLinePunct w:val="0"/>
        <w:spacing w:after="120"/>
        <w:ind w:firstLine="600"/>
        <w:rPr>
          <w:rFonts w:ascii="仿宋_GB2312" w:eastAsia="仿宋_GB2312"/>
          <w:sz w:val="30"/>
          <w:szCs w:val="30"/>
        </w:rPr>
      </w:pPr>
      <w:r>
        <w:rPr>
          <w:rFonts w:hint="eastAsia" w:ascii="仿宋_GB2312" w:eastAsia="仿宋_GB2312"/>
          <w:sz w:val="30"/>
          <w:szCs w:val="30"/>
        </w:rPr>
        <w:t>工程师通知承包人改正的合理期限是：</w:t>
      </w:r>
      <w:r>
        <w:rPr>
          <w:rFonts w:hint="eastAsia" w:ascii="仿宋_GB2312" w:eastAsia="仿宋_GB2312"/>
          <w:sz w:val="30"/>
          <w:szCs w:val="30"/>
          <w:u w:val="single"/>
        </w:rPr>
        <w:t>以发包人或监理工程师要求的期限为准</w:t>
      </w:r>
      <w:r>
        <w:rPr>
          <w:rFonts w:hint="eastAsia" w:ascii="仿宋_GB2312" w:eastAsia="仿宋_GB2312"/>
          <w:sz w:val="30"/>
          <w:szCs w:val="30"/>
        </w:rPr>
        <w:t>。</w:t>
      </w:r>
    </w:p>
    <w:p w14:paraId="15BD059A">
      <w:pPr>
        <w:wordWrap/>
        <w:topLinePunct w:val="0"/>
        <w:spacing w:after="120"/>
        <w:ind w:firstLine="600"/>
        <w:rPr>
          <w:rFonts w:ascii="仿宋_GB2312" w:eastAsia="仿宋_GB2312"/>
          <w:sz w:val="30"/>
          <w:szCs w:val="30"/>
        </w:rPr>
      </w:pPr>
      <w:r>
        <w:rPr>
          <w:rFonts w:ascii="仿宋_GB2312" w:eastAsia="仿宋_GB2312"/>
          <w:sz w:val="30"/>
          <w:szCs w:val="30"/>
        </w:rPr>
        <w:t xml:space="preserve">15.2.3 </w:t>
      </w:r>
      <w:r>
        <w:rPr>
          <w:rFonts w:hint="eastAsia" w:ascii="仿宋_GB2312" w:eastAsia="仿宋_GB2312"/>
          <w:sz w:val="30"/>
          <w:szCs w:val="30"/>
        </w:rPr>
        <w:t>承包人违约的责任</w:t>
      </w:r>
    </w:p>
    <w:p w14:paraId="741F3525">
      <w:pPr>
        <w:wordWrap/>
        <w:topLinePunct w:val="0"/>
        <w:spacing w:after="120"/>
        <w:ind w:firstLine="600"/>
        <w:rPr>
          <w:rFonts w:ascii="仿宋_GB2312" w:eastAsia="仿宋_GB2312"/>
          <w:sz w:val="30"/>
          <w:szCs w:val="30"/>
        </w:rPr>
      </w:pPr>
      <w:r>
        <w:rPr>
          <w:rFonts w:hint="eastAsia" w:ascii="仿宋_GB2312" w:eastAsia="仿宋_GB2312"/>
          <w:sz w:val="30"/>
          <w:szCs w:val="30"/>
        </w:rPr>
        <w:t>承包人违约</w:t>
      </w:r>
      <w:r>
        <w:rPr>
          <w:rFonts w:ascii="仿宋_GB2312" w:eastAsia="仿宋_GB2312"/>
          <w:sz w:val="30"/>
          <w:szCs w:val="30"/>
        </w:rPr>
        <w:t>责任</w:t>
      </w:r>
      <w:r>
        <w:rPr>
          <w:rFonts w:hint="eastAsia" w:ascii="仿宋_GB2312" w:eastAsia="仿宋_GB2312"/>
          <w:sz w:val="30"/>
          <w:szCs w:val="30"/>
        </w:rPr>
        <w:t>的</w:t>
      </w:r>
      <w:r>
        <w:rPr>
          <w:rFonts w:ascii="仿宋_GB2312" w:eastAsia="仿宋_GB2312"/>
          <w:sz w:val="30"/>
          <w:szCs w:val="30"/>
        </w:rPr>
        <w:t>承担方式</w:t>
      </w:r>
      <w:r>
        <w:rPr>
          <w:rFonts w:hint="eastAsia" w:ascii="仿宋_GB2312" w:eastAsia="仿宋_GB2312"/>
          <w:sz w:val="30"/>
          <w:szCs w:val="30"/>
        </w:rPr>
        <w:t>和</w:t>
      </w:r>
      <w:r>
        <w:rPr>
          <w:rFonts w:ascii="仿宋_GB2312" w:eastAsia="仿宋_GB2312"/>
          <w:sz w:val="30"/>
          <w:szCs w:val="30"/>
        </w:rPr>
        <w:t>计算方法</w:t>
      </w:r>
      <w:r>
        <w:rPr>
          <w:rFonts w:hint="eastAsia" w:ascii="仿宋_GB2312" w:eastAsia="仿宋_GB2312"/>
          <w:sz w:val="30"/>
          <w:szCs w:val="30"/>
        </w:rPr>
        <w:t>：</w:t>
      </w:r>
      <w:r>
        <w:rPr>
          <w:rFonts w:hint="eastAsia" w:ascii="仿宋_GB2312" w:eastAsia="仿宋_GB2312"/>
          <w:sz w:val="30"/>
          <w:szCs w:val="30"/>
          <w:u w:val="single"/>
        </w:rPr>
        <w:t>按专用条款</w:t>
      </w:r>
      <w:r>
        <w:rPr>
          <w:rFonts w:hint="eastAsia" w:ascii="仿宋_GB2312" w:eastAsia="仿宋_GB2312"/>
          <w:sz w:val="30"/>
          <w:szCs w:val="30"/>
        </w:rPr>
        <w:t>。</w:t>
      </w:r>
    </w:p>
    <w:p w14:paraId="444DEEE8">
      <w:pPr>
        <w:wordWrap/>
        <w:topLinePunct w:val="0"/>
        <w:spacing w:after="120"/>
        <w:ind w:firstLine="0" w:firstLineChars="0"/>
        <w:outlineLvl w:val="1"/>
        <w:rPr>
          <w:rFonts w:ascii="仿宋" w:hAnsi="仿宋" w:eastAsia="仿宋" w:cs="仿宋"/>
          <w:sz w:val="32"/>
          <w:szCs w:val="32"/>
        </w:rPr>
      </w:pPr>
      <w:bookmarkStart w:id="898" w:name="_Toc16432"/>
      <w:bookmarkStart w:id="899" w:name="_Toc17796"/>
      <w:bookmarkStart w:id="900" w:name="_Toc54862347"/>
      <w:bookmarkStart w:id="901" w:name="_Toc7599"/>
      <w:r>
        <w:rPr>
          <w:rFonts w:hint="eastAsia" w:ascii="仿宋" w:hAnsi="仿宋" w:eastAsia="仿宋" w:cs="仿宋"/>
          <w:sz w:val="32"/>
          <w:szCs w:val="32"/>
        </w:rPr>
        <w:t>第16条 合同解除</w:t>
      </w:r>
      <w:bookmarkEnd w:id="898"/>
      <w:bookmarkEnd w:id="899"/>
      <w:bookmarkEnd w:id="900"/>
      <w:bookmarkEnd w:id="901"/>
    </w:p>
    <w:p w14:paraId="015B3CCB">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16.1 由发包人解除合同</w:t>
      </w:r>
    </w:p>
    <w:p w14:paraId="535FD18D">
      <w:pPr>
        <w:wordWrap/>
        <w:topLinePunct w:val="0"/>
        <w:spacing w:after="120"/>
        <w:ind w:firstLine="600"/>
        <w:rPr>
          <w:rFonts w:ascii="仿宋_GB2312" w:eastAsia="仿宋_GB2312"/>
          <w:sz w:val="30"/>
          <w:szCs w:val="30"/>
        </w:rPr>
      </w:pPr>
      <w:r>
        <w:rPr>
          <w:rFonts w:ascii="仿宋_GB2312" w:eastAsia="仿宋_GB2312"/>
          <w:sz w:val="30"/>
          <w:szCs w:val="30"/>
        </w:rPr>
        <w:t xml:space="preserve">16.1.1 </w:t>
      </w:r>
      <w:r>
        <w:rPr>
          <w:rFonts w:hint="eastAsia" w:ascii="仿宋_GB2312" w:eastAsia="仿宋_GB2312"/>
          <w:sz w:val="30"/>
          <w:szCs w:val="30"/>
        </w:rPr>
        <w:t>因承包人违约解除合同</w:t>
      </w:r>
    </w:p>
    <w:p w14:paraId="3CDCC6F4">
      <w:pPr>
        <w:wordWrap/>
        <w:topLinePunct w:val="0"/>
        <w:spacing w:after="120"/>
        <w:ind w:firstLine="600"/>
        <w:rPr>
          <w:rFonts w:ascii="仿宋_GB2312" w:eastAsia="仿宋_GB2312"/>
          <w:sz w:val="30"/>
          <w:szCs w:val="30"/>
        </w:rPr>
      </w:pPr>
      <w:r>
        <w:rPr>
          <w:rFonts w:hint="eastAsia" w:ascii="仿宋_GB2312" w:eastAsia="仿宋_GB2312"/>
          <w:sz w:val="30"/>
          <w:szCs w:val="30"/>
        </w:rPr>
        <w:t>双方约定可由发包人解除合同的其他事由：</w:t>
      </w:r>
      <w:r>
        <w:rPr>
          <w:rFonts w:hint="eastAsia" w:ascii="微软雅黑" w:hAnsi="微软雅黑" w:eastAsia="微软雅黑" w:cs="微软雅黑"/>
          <w:sz w:val="30"/>
          <w:szCs w:val="30"/>
          <w:u w:val="single"/>
        </w:rPr>
        <w:t>/</w:t>
      </w:r>
      <w:r>
        <w:rPr>
          <w:rFonts w:hint="eastAsia" w:ascii="仿宋_GB2312" w:eastAsia="仿宋_GB2312"/>
          <w:sz w:val="30"/>
          <w:szCs w:val="30"/>
        </w:rPr>
        <w:t>。</w:t>
      </w:r>
    </w:p>
    <w:p w14:paraId="0F93FBA5">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16.2 由承包人解除合同</w:t>
      </w:r>
    </w:p>
    <w:p w14:paraId="59F37C30">
      <w:pPr>
        <w:wordWrap/>
        <w:topLinePunct w:val="0"/>
        <w:spacing w:after="120"/>
        <w:ind w:firstLine="600"/>
        <w:rPr>
          <w:rFonts w:ascii="仿宋_GB2312" w:eastAsia="仿宋_GB2312"/>
          <w:sz w:val="30"/>
          <w:szCs w:val="30"/>
        </w:rPr>
      </w:pPr>
      <w:r>
        <w:rPr>
          <w:rFonts w:ascii="仿宋_GB2312" w:eastAsia="仿宋_GB2312"/>
          <w:sz w:val="30"/>
          <w:szCs w:val="30"/>
        </w:rPr>
        <w:t xml:space="preserve">16.2.1 </w:t>
      </w:r>
      <w:r>
        <w:rPr>
          <w:rFonts w:hint="eastAsia" w:ascii="仿宋_GB2312" w:eastAsia="仿宋_GB2312"/>
          <w:sz w:val="30"/>
          <w:szCs w:val="30"/>
        </w:rPr>
        <w:t>因发包人违约解除合同</w:t>
      </w:r>
    </w:p>
    <w:p w14:paraId="0E95029C">
      <w:pPr>
        <w:wordWrap/>
        <w:topLinePunct w:val="0"/>
        <w:spacing w:after="120"/>
        <w:ind w:firstLine="600"/>
        <w:rPr>
          <w:rFonts w:ascii="仿宋_GB2312" w:eastAsia="仿宋_GB2312"/>
          <w:sz w:val="30"/>
          <w:szCs w:val="30"/>
        </w:rPr>
      </w:pPr>
      <w:r>
        <w:rPr>
          <w:rFonts w:hint="eastAsia" w:ascii="仿宋_GB2312" w:eastAsia="仿宋_GB2312"/>
          <w:sz w:val="30"/>
          <w:szCs w:val="30"/>
        </w:rPr>
        <w:t>双方约定可由承包人解除合同的其他事由：</w:t>
      </w:r>
      <w:r>
        <w:rPr>
          <w:rFonts w:hint="eastAsia" w:ascii="微软雅黑" w:hAnsi="微软雅黑" w:eastAsia="微软雅黑" w:cs="微软雅黑"/>
          <w:sz w:val="30"/>
          <w:szCs w:val="30"/>
          <w:u w:val="single"/>
        </w:rPr>
        <w:t>/</w:t>
      </w:r>
      <w:r>
        <w:rPr>
          <w:rFonts w:hint="eastAsia" w:ascii="仿宋_GB2312" w:eastAsia="仿宋_GB2312"/>
          <w:sz w:val="30"/>
          <w:szCs w:val="30"/>
        </w:rPr>
        <w:t>。</w:t>
      </w:r>
    </w:p>
    <w:p w14:paraId="59175356">
      <w:pPr>
        <w:wordWrap/>
        <w:topLinePunct w:val="0"/>
        <w:spacing w:after="120"/>
        <w:ind w:firstLine="0" w:firstLineChars="0"/>
        <w:outlineLvl w:val="1"/>
        <w:rPr>
          <w:rFonts w:ascii="仿宋" w:hAnsi="仿宋" w:eastAsia="仿宋" w:cs="仿宋"/>
          <w:sz w:val="32"/>
          <w:szCs w:val="32"/>
        </w:rPr>
      </w:pPr>
      <w:bookmarkStart w:id="902" w:name="_Toc54862348"/>
      <w:bookmarkStart w:id="903" w:name="_Toc21840"/>
      <w:bookmarkStart w:id="904" w:name="_Toc24613"/>
      <w:bookmarkStart w:id="905" w:name="_Toc29255"/>
      <w:r>
        <w:rPr>
          <w:rFonts w:hint="eastAsia" w:ascii="仿宋" w:hAnsi="仿宋" w:eastAsia="仿宋" w:cs="仿宋"/>
          <w:sz w:val="32"/>
          <w:szCs w:val="32"/>
        </w:rPr>
        <w:t>第17条 不可抗力</w:t>
      </w:r>
      <w:bookmarkEnd w:id="902"/>
      <w:bookmarkEnd w:id="903"/>
      <w:bookmarkEnd w:id="904"/>
      <w:bookmarkEnd w:id="905"/>
    </w:p>
    <w:p w14:paraId="75A0AB2E">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17.1 不可抗力的定义</w:t>
      </w:r>
    </w:p>
    <w:p w14:paraId="4E759C6F">
      <w:pPr>
        <w:wordWrap/>
        <w:topLinePunct w:val="0"/>
        <w:spacing w:after="120"/>
        <w:ind w:firstLine="600"/>
        <w:rPr>
          <w:rFonts w:ascii="仿宋_GB2312" w:eastAsia="仿宋_GB2312"/>
          <w:sz w:val="30"/>
          <w:szCs w:val="30"/>
          <w:u w:val="single"/>
        </w:rPr>
      </w:pPr>
      <w:r>
        <w:rPr>
          <w:rFonts w:ascii="仿宋_GB2312" w:eastAsia="仿宋_GB2312"/>
          <w:sz w:val="30"/>
          <w:szCs w:val="30"/>
        </w:rPr>
        <w:t>除通用合同条件约定的不可抗力事件之外，视为不可抗力的其他情形：</w:t>
      </w:r>
      <w:r>
        <w:rPr>
          <w:rFonts w:hint="eastAsia" w:ascii="仿宋_GB2312" w:eastAsia="仿宋_GB2312"/>
          <w:sz w:val="30"/>
          <w:szCs w:val="30"/>
          <w:u w:val="single"/>
        </w:rPr>
        <w:t>（1）异常天气：仅指 50 年（含 50 年）一遇以上的洪水或 24小时平均风力8级以上的大风或24个小时内降雨量为50 mm以上的暴雨或37摄氏度以上的高温天气。因异常天气袭击工地为确保安全而停工的，承包人应于台风、洪水、暴雨、高温天气结束之日起7日内，向当地气象部门索取工程所在地台风、暴雨天气资料或报告（含气象实况及对此分析的内容），连同施工日志、现场照片办理证据保全公证，方可认定为是不可抗力。</w:t>
      </w:r>
    </w:p>
    <w:p w14:paraId="15834FD0">
      <w:pPr>
        <w:wordWrap/>
        <w:topLinePunct w:val="0"/>
        <w:spacing w:after="120"/>
        <w:ind w:firstLine="600"/>
        <w:rPr>
          <w:rFonts w:ascii="仿宋_GB2312" w:eastAsia="仿宋_GB2312"/>
          <w:sz w:val="30"/>
          <w:szCs w:val="30"/>
        </w:rPr>
      </w:pPr>
      <w:r>
        <w:rPr>
          <w:rFonts w:hint="eastAsia" w:ascii="仿宋_GB2312" w:eastAsia="仿宋_GB2312"/>
          <w:sz w:val="30"/>
          <w:szCs w:val="30"/>
          <w:u w:val="single"/>
        </w:rPr>
        <w:t xml:space="preserve">（2）里氏 5 级（含 5 级）以上的地震。 </w:t>
      </w:r>
      <w:r>
        <w:rPr>
          <w:rFonts w:hint="eastAsia" w:ascii="仿宋_GB2312" w:eastAsia="仿宋_GB2312"/>
          <w:sz w:val="30"/>
          <w:szCs w:val="30"/>
        </w:rPr>
        <w:t>。</w:t>
      </w:r>
    </w:p>
    <w:p w14:paraId="16E467B4">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17.6 因不可抗力解除合同</w:t>
      </w:r>
    </w:p>
    <w:p w14:paraId="753F5AC5">
      <w:pPr>
        <w:wordWrap/>
        <w:topLinePunct w:val="0"/>
        <w:spacing w:after="120"/>
        <w:ind w:firstLine="600"/>
        <w:rPr>
          <w:rFonts w:ascii="仿宋_GB2312" w:eastAsia="仿宋_GB2312"/>
          <w:sz w:val="30"/>
          <w:szCs w:val="30"/>
        </w:rPr>
      </w:pPr>
      <w:r>
        <w:rPr>
          <w:rFonts w:ascii="仿宋_GB2312" w:eastAsia="仿宋_GB2312"/>
          <w:sz w:val="30"/>
          <w:szCs w:val="30"/>
        </w:rPr>
        <w:t>合同解除后，发包人应</w:t>
      </w:r>
      <w:r>
        <w:rPr>
          <w:rFonts w:hint="eastAsia" w:ascii="仿宋_GB2312" w:eastAsia="仿宋_GB2312"/>
          <w:sz w:val="30"/>
          <w:szCs w:val="30"/>
        </w:rPr>
        <w:t>当</w:t>
      </w:r>
      <w:r>
        <w:rPr>
          <w:rFonts w:ascii="仿宋_GB2312" w:eastAsia="仿宋_GB2312"/>
          <w:sz w:val="30"/>
          <w:szCs w:val="30"/>
        </w:rPr>
        <w:t>在商定或确定发包人应支付款项后</w:t>
      </w:r>
      <w:r>
        <w:rPr>
          <w:rFonts w:hint="eastAsia" w:ascii="仿宋_GB2312" w:eastAsia="仿宋_GB2312"/>
          <w:sz w:val="30"/>
          <w:szCs w:val="30"/>
        </w:rPr>
        <w:t>的</w:t>
      </w:r>
      <w:r>
        <w:rPr>
          <w:rFonts w:hint="eastAsia" w:ascii="仿宋_GB2312" w:eastAsia="仿宋_GB2312"/>
          <w:sz w:val="30"/>
          <w:szCs w:val="30"/>
          <w:u w:val="single"/>
        </w:rPr>
        <w:t>42</w:t>
      </w:r>
      <w:r>
        <w:rPr>
          <w:rFonts w:ascii="仿宋_GB2312" w:eastAsia="仿宋_GB2312"/>
          <w:sz w:val="30"/>
          <w:szCs w:val="30"/>
        </w:rPr>
        <w:t>天内完成款项的支付。</w:t>
      </w:r>
    </w:p>
    <w:p w14:paraId="37D3B2DE">
      <w:pPr>
        <w:wordWrap/>
        <w:topLinePunct w:val="0"/>
        <w:spacing w:after="120"/>
        <w:ind w:firstLine="0" w:firstLineChars="0"/>
        <w:outlineLvl w:val="1"/>
        <w:rPr>
          <w:rFonts w:ascii="仿宋" w:hAnsi="仿宋" w:eastAsia="仿宋" w:cs="仿宋"/>
          <w:sz w:val="32"/>
          <w:szCs w:val="32"/>
        </w:rPr>
      </w:pPr>
      <w:bookmarkStart w:id="906" w:name="_Toc4784277"/>
      <w:bookmarkEnd w:id="906"/>
      <w:bookmarkStart w:id="907" w:name="_Toc4784276"/>
      <w:bookmarkEnd w:id="907"/>
      <w:bookmarkStart w:id="908" w:name="_Toc4802"/>
      <w:bookmarkStart w:id="909" w:name="_Toc54862349"/>
      <w:bookmarkStart w:id="910" w:name="_Toc30898"/>
      <w:bookmarkStart w:id="911" w:name="_Toc30625"/>
      <w:r>
        <w:rPr>
          <w:rFonts w:hint="eastAsia" w:ascii="仿宋" w:hAnsi="仿宋" w:eastAsia="仿宋" w:cs="仿宋"/>
          <w:sz w:val="32"/>
          <w:szCs w:val="32"/>
        </w:rPr>
        <w:t>第18条 保险</w:t>
      </w:r>
      <w:bookmarkEnd w:id="908"/>
      <w:bookmarkEnd w:id="909"/>
      <w:bookmarkEnd w:id="910"/>
      <w:bookmarkEnd w:id="911"/>
    </w:p>
    <w:p w14:paraId="084C353F">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18.1 设计和工程保险</w:t>
      </w:r>
    </w:p>
    <w:p w14:paraId="51B64BF4">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8.1.1 </w:t>
      </w:r>
      <w:r>
        <w:rPr>
          <w:rFonts w:hint="eastAsia" w:ascii="仿宋_GB2312" w:eastAsia="仿宋_GB2312"/>
          <w:sz w:val="30"/>
          <w:szCs w:val="30"/>
        </w:rPr>
        <w:t>除专用合同条件另有约定外，承包人应投保建筑工程一切险或安装工程一切险。</w:t>
      </w:r>
    </w:p>
    <w:p w14:paraId="3F55D7FD">
      <w:pPr>
        <w:pStyle w:val="26"/>
        <w:spacing w:after="120"/>
        <w:ind w:firstLine="600"/>
        <w:rPr>
          <w:rFonts w:ascii="仿宋_GB2312" w:eastAsia="仿宋_GB2312" w:cs="Times New Roman"/>
          <w:kern w:val="0"/>
          <w:sz w:val="30"/>
          <w:szCs w:val="30"/>
        </w:rPr>
      </w:pPr>
      <w:r>
        <w:rPr>
          <w:rFonts w:hint="eastAsia" w:ascii="仿宋_GB2312" w:eastAsia="仿宋_GB2312" w:cs="Times New Roman"/>
          <w:kern w:val="0"/>
          <w:sz w:val="30"/>
          <w:szCs w:val="30"/>
        </w:rPr>
        <w:t>承包人的投保险种、保险范围、保险金额、保险费率、保险期限等有关内容约定如下：。</w:t>
      </w:r>
    </w:p>
    <w:p w14:paraId="642E9D24">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 xml:space="preserve">8.1.2 </w:t>
      </w:r>
      <w:r>
        <w:rPr>
          <w:rFonts w:hint="eastAsia" w:ascii="仿宋_GB2312" w:eastAsia="仿宋_GB2312"/>
          <w:sz w:val="30"/>
          <w:szCs w:val="30"/>
        </w:rPr>
        <w:t>承包人负责购买本项目第三者责任险。第三者责任险最低投保额约定如下：。</w:t>
      </w:r>
    </w:p>
    <w:p w14:paraId="3CF850C1">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18.2 工伤和意外伤害保险</w:t>
      </w:r>
    </w:p>
    <w:p w14:paraId="1B0C504F">
      <w:pPr>
        <w:wordWrap/>
        <w:topLinePunct w:val="0"/>
        <w:spacing w:after="120"/>
        <w:ind w:firstLine="600"/>
        <w:rPr>
          <w:rFonts w:ascii="仿宋_GB2312" w:eastAsia="仿宋_GB2312"/>
          <w:sz w:val="30"/>
          <w:szCs w:val="30"/>
        </w:rPr>
      </w:pPr>
      <w:r>
        <w:rPr>
          <w:rFonts w:hint="eastAsia" w:ascii="仿宋_GB2312" w:eastAsia="仿宋_GB2312"/>
          <w:sz w:val="30"/>
          <w:szCs w:val="30"/>
        </w:rPr>
        <w:t>1</w:t>
      </w:r>
      <w:r>
        <w:rPr>
          <w:rFonts w:ascii="仿宋_GB2312" w:eastAsia="仿宋_GB2312"/>
          <w:sz w:val="30"/>
          <w:szCs w:val="30"/>
        </w:rPr>
        <w:t>8.2.3 关于</w:t>
      </w:r>
      <w:r>
        <w:rPr>
          <w:rFonts w:hint="eastAsia" w:ascii="仿宋_GB2312" w:eastAsia="仿宋_GB2312"/>
          <w:sz w:val="30"/>
          <w:szCs w:val="30"/>
        </w:rPr>
        <w:t>工伤保险和意外伤害保险</w:t>
      </w:r>
      <w:r>
        <w:rPr>
          <w:rFonts w:ascii="仿宋_GB2312" w:eastAsia="仿宋_GB2312"/>
          <w:sz w:val="30"/>
          <w:szCs w:val="30"/>
        </w:rPr>
        <w:t>的特别</w:t>
      </w:r>
      <w:r>
        <w:rPr>
          <w:rFonts w:hint="eastAsia" w:ascii="仿宋_GB2312" w:eastAsia="仿宋_GB2312"/>
          <w:sz w:val="30"/>
          <w:szCs w:val="30"/>
        </w:rPr>
        <w:t>约</w:t>
      </w:r>
      <w:r>
        <w:rPr>
          <w:rFonts w:ascii="仿宋_GB2312" w:eastAsia="仿宋_GB2312"/>
          <w:sz w:val="30"/>
          <w:szCs w:val="30"/>
        </w:rPr>
        <w:t>定：</w:t>
      </w:r>
      <w:r>
        <w:rPr>
          <w:rFonts w:hint="eastAsia" w:ascii="仿宋_GB2312" w:eastAsia="仿宋_GB2312"/>
          <w:sz w:val="30"/>
          <w:szCs w:val="30"/>
          <w:u w:val="single"/>
        </w:rPr>
        <w:t>按保险合同</w:t>
      </w:r>
      <w:r>
        <w:rPr>
          <w:rFonts w:hint="eastAsia" w:ascii="仿宋_GB2312" w:eastAsia="仿宋_GB2312"/>
          <w:sz w:val="30"/>
          <w:szCs w:val="30"/>
        </w:rPr>
        <w:t>。</w:t>
      </w:r>
    </w:p>
    <w:p w14:paraId="2E450280">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18.3 货物保险</w:t>
      </w:r>
    </w:p>
    <w:p w14:paraId="1498B810">
      <w:pPr>
        <w:wordWrap/>
        <w:topLinePunct w:val="0"/>
        <w:spacing w:after="120"/>
        <w:ind w:firstLine="600"/>
        <w:rPr>
          <w:rFonts w:ascii="仿宋_GB2312" w:eastAsia="仿宋_GB2312"/>
          <w:sz w:val="30"/>
          <w:szCs w:val="30"/>
        </w:rPr>
      </w:pPr>
      <w:r>
        <w:rPr>
          <w:rFonts w:hint="eastAsia" w:ascii="仿宋_GB2312" w:eastAsia="仿宋_GB2312"/>
          <w:sz w:val="30"/>
          <w:szCs w:val="30"/>
        </w:rPr>
        <w:t>关于承包人应为其施工设备、材料、工程设备和临时工程等办理财产</w:t>
      </w:r>
      <w:r>
        <w:rPr>
          <w:rFonts w:ascii="仿宋_GB2312" w:eastAsia="仿宋_GB2312"/>
          <w:sz w:val="30"/>
          <w:szCs w:val="30"/>
        </w:rPr>
        <w:t>保险的特别</w:t>
      </w:r>
      <w:r>
        <w:rPr>
          <w:rFonts w:hint="eastAsia" w:ascii="仿宋_GB2312" w:eastAsia="仿宋_GB2312"/>
          <w:sz w:val="30"/>
          <w:szCs w:val="30"/>
        </w:rPr>
        <w:t>约</w:t>
      </w:r>
      <w:r>
        <w:rPr>
          <w:rFonts w:ascii="仿宋_GB2312" w:eastAsia="仿宋_GB2312"/>
          <w:sz w:val="30"/>
          <w:szCs w:val="30"/>
        </w:rPr>
        <w:t>定：</w:t>
      </w:r>
      <w:r>
        <w:rPr>
          <w:rFonts w:hint="eastAsia" w:ascii="仿宋_GB2312" w:eastAsia="仿宋_GB2312"/>
          <w:sz w:val="30"/>
          <w:szCs w:val="30"/>
          <w:u w:val="single"/>
        </w:rPr>
        <w:t>按保险合同</w:t>
      </w:r>
      <w:r>
        <w:rPr>
          <w:rFonts w:hint="eastAsia" w:ascii="仿宋_GB2312" w:eastAsia="仿宋_GB2312"/>
          <w:sz w:val="30"/>
          <w:szCs w:val="30"/>
        </w:rPr>
        <w:t>。</w:t>
      </w:r>
    </w:p>
    <w:p w14:paraId="03FD687D">
      <w:pPr>
        <w:wordWrap/>
        <w:topLinePunct w:val="0"/>
        <w:spacing w:after="120"/>
        <w:ind w:firstLine="600"/>
        <w:rPr>
          <w:rFonts w:ascii="仿宋_GB2312" w:eastAsia="仿宋_GB2312"/>
          <w:sz w:val="30"/>
          <w:szCs w:val="30"/>
        </w:rPr>
      </w:pPr>
      <w:r>
        <w:rPr>
          <w:rFonts w:ascii="仿宋_GB2312" w:eastAsia="仿宋_GB2312"/>
          <w:sz w:val="30"/>
          <w:szCs w:val="30"/>
        </w:rPr>
        <w:t>18.4 安全生产责任保险</w:t>
      </w:r>
    </w:p>
    <w:p w14:paraId="4FD2680C">
      <w:pPr>
        <w:wordWrap/>
        <w:topLinePunct w:val="0"/>
        <w:spacing w:after="120"/>
        <w:ind w:firstLine="600"/>
        <w:rPr>
          <w:rFonts w:ascii="仿宋_GB2312" w:eastAsia="仿宋_GB2312"/>
          <w:sz w:val="30"/>
          <w:szCs w:val="30"/>
        </w:rPr>
      </w:pPr>
      <w:r>
        <w:rPr>
          <w:rFonts w:ascii="仿宋_GB2312" w:eastAsia="仿宋_GB2312"/>
          <w:sz w:val="30"/>
          <w:szCs w:val="30"/>
        </w:rPr>
        <w:t>承包人应依照法律规定办理安全生产责任保险，并缴纳保险费。</w:t>
      </w:r>
    </w:p>
    <w:p w14:paraId="10498051">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18.5 其他保险</w:t>
      </w:r>
    </w:p>
    <w:p w14:paraId="43A41AE9">
      <w:pPr>
        <w:wordWrap/>
        <w:topLinePunct w:val="0"/>
        <w:spacing w:after="120"/>
        <w:ind w:firstLine="600"/>
        <w:rPr>
          <w:rFonts w:ascii="仿宋_GB2312" w:eastAsia="仿宋_GB2312"/>
          <w:sz w:val="30"/>
          <w:szCs w:val="30"/>
        </w:rPr>
      </w:pPr>
      <w:r>
        <w:rPr>
          <w:rFonts w:hint="eastAsia" w:ascii="仿宋_GB2312" w:eastAsia="仿宋_GB2312"/>
          <w:sz w:val="30"/>
          <w:szCs w:val="30"/>
        </w:rPr>
        <w:t>关于其他保险的约定：</w:t>
      </w:r>
      <w:r>
        <w:rPr>
          <w:rFonts w:hint="eastAsia" w:ascii="仿宋_GB2312" w:eastAsia="仿宋_GB2312"/>
          <w:sz w:val="30"/>
          <w:szCs w:val="30"/>
          <w:u w:val="single"/>
        </w:rPr>
        <w:t>按保险合同</w:t>
      </w:r>
      <w:r>
        <w:rPr>
          <w:rFonts w:hint="eastAsia" w:ascii="仿宋_GB2312" w:eastAsia="仿宋_GB2312"/>
          <w:sz w:val="30"/>
          <w:szCs w:val="30"/>
        </w:rPr>
        <w:t>。</w:t>
      </w:r>
    </w:p>
    <w:p w14:paraId="32E7AE2C">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18.6 对各项保险的一般要求</w:t>
      </w:r>
    </w:p>
    <w:p w14:paraId="285E59B1">
      <w:pPr>
        <w:wordWrap/>
        <w:topLinePunct w:val="0"/>
        <w:spacing w:after="120"/>
        <w:ind w:firstLine="600"/>
        <w:rPr>
          <w:rFonts w:ascii="仿宋_GB2312" w:eastAsia="仿宋_GB2312"/>
          <w:sz w:val="30"/>
          <w:szCs w:val="30"/>
        </w:rPr>
      </w:pPr>
      <w:r>
        <w:rPr>
          <w:rFonts w:ascii="仿宋_GB2312" w:eastAsia="仿宋_GB2312"/>
          <w:sz w:val="30"/>
          <w:szCs w:val="30"/>
        </w:rPr>
        <w:t>18.</w:t>
      </w:r>
      <w:r>
        <w:rPr>
          <w:rFonts w:hint="eastAsia" w:ascii="仿宋_GB2312" w:eastAsia="仿宋_GB2312"/>
          <w:sz w:val="30"/>
          <w:szCs w:val="30"/>
        </w:rPr>
        <w:t>6</w:t>
      </w:r>
      <w:r>
        <w:rPr>
          <w:rFonts w:ascii="仿宋_GB2312" w:eastAsia="仿宋_GB2312"/>
          <w:sz w:val="30"/>
          <w:szCs w:val="30"/>
        </w:rPr>
        <w:t>.2 保险凭证</w:t>
      </w:r>
    </w:p>
    <w:p w14:paraId="63E2C7F4">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合同当事人应在保险单出具起一个月内向另一方当事人提交其已投保的各项保险的凭证和保险单复印件，保险单必须与专用合同条件约定的条件保持一致。保险单的条件：。</w:t>
      </w:r>
    </w:p>
    <w:p w14:paraId="3C3AEDCA">
      <w:pPr>
        <w:wordWrap/>
        <w:topLinePunct w:val="0"/>
        <w:spacing w:after="120"/>
        <w:ind w:firstLine="600"/>
        <w:rPr>
          <w:rFonts w:ascii="仿宋_GB2312" w:eastAsia="仿宋_GB2312"/>
          <w:sz w:val="30"/>
          <w:szCs w:val="30"/>
        </w:rPr>
      </w:pPr>
      <w:r>
        <w:rPr>
          <w:rFonts w:ascii="仿宋_GB2312" w:eastAsia="仿宋_GB2312"/>
          <w:sz w:val="30"/>
          <w:szCs w:val="30"/>
        </w:rPr>
        <w:t>18.</w:t>
      </w:r>
      <w:r>
        <w:rPr>
          <w:rFonts w:hint="eastAsia" w:ascii="仿宋_GB2312" w:eastAsia="仿宋_GB2312"/>
          <w:sz w:val="30"/>
          <w:szCs w:val="30"/>
        </w:rPr>
        <w:t>6</w:t>
      </w:r>
      <w:r>
        <w:rPr>
          <w:rFonts w:ascii="仿宋_GB2312" w:eastAsia="仿宋_GB2312"/>
          <w:sz w:val="30"/>
          <w:szCs w:val="30"/>
        </w:rPr>
        <w:t>.4 通知义务</w:t>
      </w:r>
    </w:p>
    <w:p w14:paraId="23126111">
      <w:pPr>
        <w:wordWrap/>
        <w:topLinePunct w:val="0"/>
        <w:spacing w:after="120"/>
        <w:ind w:firstLine="600"/>
        <w:rPr>
          <w:rFonts w:ascii="仿宋_GB2312" w:eastAsia="仿宋_GB2312"/>
          <w:sz w:val="30"/>
          <w:szCs w:val="30"/>
        </w:rPr>
      </w:pPr>
      <w:r>
        <w:rPr>
          <w:rFonts w:hint="eastAsia" w:ascii="仿宋_GB2312" w:eastAsia="仿宋_GB2312"/>
          <w:sz w:val="30"/>
          <w:szCs w:val="30"/>
        </w:rPr>
        <w:t>关于变更保险合同时的通知义务的约定：。</w:t>
      </w:r>
    </w:p>
    <w:p w14:paraId="0FF0B653">
      <w:pPr>
        <w:pStyle w:val="26"/>
        <w:spacing w:after="120"/>
        <w:ind w:firstLine="600"/>
        <w:rPr>
          <w:rFonts w:ascii="仿宋_GB2312" w:eastAsia="仿宋_GB2312" w:cs="Times New Roman"/>
          <w:kern w:val="0"/>
          <w:sz w:val="30"/>
          <w:szCs w:val="30"/>
        </w:rPr>
      </w:pPr>
      <w:bookmarkStart w:id="912" w:name="_Toc54862350"/>
      <w:bookmarkStart w:id="913" w:name="_Toc7971"/>
      <w:bookmarkStart w:id="914" w:name="_Toc8879"/>
      <w:bookmarkStart w:id="915" w:name="_Toc26913"/>
      <w:r>
        <w:rPr>
          <w:rFonts w:hint="eastAsia" w:ascii="仿宋_GB2312" w:eastAsia="仿宋_GB2312" w:cs="Times New Roman"/>
          <w:kern w:val="0"/>
          <w:sz w:val="30"/>
          <w:szCs w:val="30"/>
        </w:rPr>
        <w:t>18.6.5 保险金不足的补偿</w:t>
      </w:r>
    </w:p>
    <w:p w14:paraId="7F03060C">
      <w:pPr>
        <w:pStyle w:val="26"/>
        <w:spacing w:after="120"/>
        <w:ind w:firstLine="600"/>
        <w:rPr>
          <w:rFonts w:ascii="仿宋_GB2312" w:eastAsia="仿宋_GB2312" w:cs="Times New Roman"/>
          <w:kern w:val="0"/>
          <w:sz w:val="30"/>
          <w:szCs w:val="30"/>
        </w:rPr>
      </w:pPr>
      <w:r>
        <w:rPr>
          <w:rFonts w:hint="eastAsia" w:ascii="仿宋_GB2312" w:eastAsia="仿宋_GB2312" w:cs="Times New Roman"/>
          <w:kern w:val="0"/>
          <w:sz w:val="30"/>
          <w:szCs w:val="30"/>
        </w:rPr>
        <w:t>保险金不足以补偿损失的，应由承包人和（或）发包人按合同约定负责补偿，合同未约定的，由承包人负责补偿。</w:t>
      </w:r>
    </w:p>
    <w:p w14:paraId="53D9FDCD">
      <w:pPr>
        <w:pStyle w:val="26"/>
        <w:spacing w:after="120"/>
        <w:ind w:firstLine="600"/>
        <w:rPr>
          <w:rFonts w:ascii="仿宋_GB2312" w:eastAsia="仿宋_GB2312" w:cs="Times New Roman"/>
          <w:kern w:val="0"/>
          <w:sz w:val="30"/>
          <w:szCs w:val="30"/>
        </w:rPr>
      </w:pPr>
      <w:r>
        <w:rPr>
          <w:rFonts w:hint="eastAsia" w:ascii="仿宋_GB2312" w:eastAsia="仿宋_GB2312" w:cs="Times New Roman"/>
          <w:kern w:val="0"/>
          <w:sz w:val="30"/>
          <w:szCs w:val="30"/>
        </w:rPr>
        <w:t>18.6.6 工期拖延</w:t>
      </w:r>
    </w:p>
    <w:p w14:paraId="11AB28C6">
      <w:pPr>
        <w:pStyle w:val="26"/>
        <w:spacing w:after="120"/>
        <w:ind w:firstLine="600"/>
        <w:rPr>
          <w:rFonts w:ascii="仿宋_GB2312" w:eastAsia="仿宋_GB2312" w:cs="Times New Roman"/>
          <w:kern w:val="0"/>
          <w:sz w:val="30"/>
          <w:szCs w:val="30"/>
        </w:rPr>
      </w:pPr>
      <w:r>
        <w:rPr>
          <w:rFonts w:hint="eastAsia" w:ascii="仿宋_GB2312" w:eastAsia="仿宋_GB2312" w:cs="Times New Roman"/>
          <w:kern w:val="0"/>
          <w:sz w:val="30"/>
          <w:szCs w:val="30"/>
        </w:rPr>
        <w:t>因承包人原因引起工程进度滞后，导致建筑工期超出保单保险期限，且保单责任已经终止的情况下，若发生保单责任内的事故，造成的损失由承包人承担。</w:t>
      </w:r>
    </w:p>
    <w:p w14:paraId="5CFA7509">
      <w:pPr>
        <w:wordWrap/>
        <w:topLinePunct w:val="0"/>
        <w:spacing w:after="120"/>
        <w:ind w:firstLine="0" w:firstLineChars="0"/>
        <w:outlineLvl w:val="1"/>
        <w:rPr>
          <w:rFonts w:ascii="仿宋" w:hAnsi="仿宋" w:eastAsia="仿宋" w:cs="仿宋"/>
          <w:sz w:val="32"/>
          <w:szCs w:val="32"/>
        </w:rPr>
      </w:pPr>
      <w:r>
        <w:rPr>
          <w:rFonts w:hint="eastAsia" w:ascii="仿宋" w:hAnsi="仿宋" w:eastAsia="仿宋" w:cs="仿宋"/>
          <w:sz w:val="32"/>
          <w:szCs w:val="32"/>
        </w:rPr>
        <w:t>第20条 争议解决</w:t>
      </w:r>
      <w:bookmarkEnd w:id="912"/>
      <w:bookmarkEnd w:id="913"/>
      <w:bookmarkEnd w:id="914"/>
      <w:bookmarkEnd w:id="915"/>
    </w:p>
    <w:p w14:paraId="0D5CA970">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20.3 争议评审</w:t>
      </w:r>
    </w:p>
    <w:p w14:paraId="17B9B681">
      <w:pPr>
        <w:wordWrap/>
        <w:topLinePunct w:val="0"/>
        <w:spacing w:after="120"/>
        <w:ind w:firstLine="600"/>
        <w:rPr>
          <w:rFonts w:ascii="仿宋_GB2312" w:eastAsia="仿宋_GB2312"/>
          <w:sz w:val="30"/>
          <w:szCs w:val="30"/>
        </w:rPr>
      </w:pPr>
      <w:r>
        <w:rPr>
          <w:rFonts w:hint="eastAsia" w:ascii="仿宋_GB2312" w:eastAsia="仿宋_GB2312"/>
          <w:sz w:val="30"/>
          <w:szCs w:val="30"/>
        </w:rPr>
        <w:t>合同当事人是否同意将工程争议提交争议评审小组决定： 。</w:t>
      </w:r>
    </w:p>
    <w:p w14:paraId="51FDDD37">
      <w:pPr>
        <w:wordWrap/>
        <w:topLinePunct w:val="0"/>
        <w:spacing w:after="120"/>
        <w:ind w:firstLine="600"/>
        <w:rPr>
          <w:rFonts w:ascii="仿宋_GB2312" w:eastAsia="仿宋_GB2312"/>
          <w:sz w:val="30"/>
          <w:szCs w:val="30"/>
        </w:rPr>
      </w:pPr>
      <w:r>
        <w:rPr>
          <w:rFonts w:ascii="仿宋_GB2312" w:eastAsia="仿宋_GB2312"/>
          <w:sz w:val="30"/>
          <w:szCs w:val="30"/>
        </w:rPr>
        <w:t>20.3.1</w:t>
      </w:r>
      <w:r>
        <w:rPr>
          <w:rFonts w:hint="eastAsia" w:ascii="仿宋_GB2312" w:eastAsia="仿宋_GB2312"/>
          <w:sz w:val="30"/>
          <w:szCs w:val="30"/>
        </w:rPr>
        <w:t xml:space="preserve"> 争议评审小组</w:t>
      </w:r>
      <w:r>
        <w:rPr>
          <w:rFonts w:ascii="仿宋_GB2312" w:eastAsia="仿宋_GB2312"/>
          <w:sz w:val="30"/>
          <w:szCs w:val="30"/>
        </w:rPr>
        <w:t>的确定</w:t>
      </w:r>
    </w:p>
    <w:p w14:paraId="7097591C">
      <w:pPr>
        <w:wordWrap/>
        <w:topLinePunct w:val="0"/>
        <w:spacing w:after="120"/>
        <w:ind w:firstLine="600"/>
        <w:rPr>
          <w:rFonts w:ascii="仿宋_GB2312" w:eastAsia="仿宋_GB2312"/>
          <w:sz w:val="30"/>
          <w:szCs w:val="30"/>
        </w:rPr>
      </w:pPr>
      <w:r>
        <w:rPr>
          <w:rFonts w:hint="eastAsia" w:ascii="仿宋_GB2312" w:eastAsia="仿宋_GB2312"/>
          <w:sz w:val="30"/>
          <w:szCs w:val="30"/>
        </w:rPr>
        <w:t>争议评审小组成员的人数：</w:t>
      </w:r>
      <w:r>
        <w:rPr>
          <w:rFonts w:hint="eastAsia" w:ascii="微软雅黑" w:hAnsi="微软雅黑" w:eastAsia="微软雅黑" w:cs="微软雅黑"/>
          <w:sz w:val="30"/>
          <w:szCs w:val="30"/>
          <w:u w:val="single"/>
        </w:rPr>
        <w:t>/</w:t>
      </w:r>
      <w:r>
        <w:rPr>
          <w:rFonts w:ascii="仿宋_GB2312" w:eastAsia="仿宋_GB2312"/>
          <w:sz w:val="30"/>
          <w:szCs w:val="30"/>
        </w:rPr>
        <w:t>。</w:t>
      </w:r>
    </w:p>
    <w:p w14:paraId="1EDAE8CF">
      <w:pPr>
        <w:wordWrap/>
        <w:topLinePunct w:val="0"/>
        <w:spacing w:after="120"/>
        <w:ind w:firstLine="600"/>
        <w:rPr>
          <w:rFonts w:ascii="仿宋_GB2312" w:eastAsia="仿宋_GB2312"/>
          <w:sz w:val="30"/>
          <w:szCs w:val="30"/>
        </w:rPr>
      </w:pPr>
      <w:r>
        <w:rPr>
          <w:rFonts w:hint="eastAsia" w:ascii="仿宋_GB2312" w:eastAsia="仿宋_GB2312"/>
          <w:sz w:val="30"/>
          <w:szCs w:val="30"/>
        </w:rPr>
        <w:t>争议评审小组成员的确定：</w:t>
      </w:r>
      <w:r>
        <w:rPr>
          <w:rFonts w:hint="eastAsia" w:ascii="微软雅黑" w:hAnsi="微软雅黑" w:eastAsia="微软雅黑" w:cs="微软雅黑"/>
          <w:sz w:val="30"/>
          <w:szCs w:val="30"/>
          <w:u w:val="single"/>
        </w:rPr>
        <w:t>/</w:t>
      </w:r>
      <w:r>
        <w:rPr>
          <w:rFonts w:ascii="仿宋_GB2312" w:eastAsia="仿宋_GB2312"/>
          <w:sz w:val="30"/>
          <w:szCs w:val="30"/>
        </w:rPr>
        <w:t>。</w:t>
      </w:r>
    </w:p>
    <w:p w14:paraId="5689BA32">
      <w:pPr>
        <w:wordWrap/>
        <w:topLinePunct w:val="0"/>
        <w:spacing w:after="120"/>
        <w:ind w:firstLine="600"/>
        <w:rPr>
          <w:rFonts w:ascii="仿宋_GB2312" w:eastAsia="仿宋_GB2312"/>
          <w:sz w:val="30"/>
          <w:szCs w:val="30"/>
        </w:rPr>
      </w:pPr>
      <w:r>
        <w:rPr>
          <w:rFonts w:hint="eastAsia" w:ascii="仿宋_GB2312" w:eastAsia="仿宋_GB2312"/>
          <w:sz w:val="30"/>
          <w:szCs w:val="30"/>
        </w:rPr>
        <w:t>选定争议避免/评审组的期限：</w:t>
      </w:r>
      <w:r>
        <w:rPr>
          <w:rFonts w:hint="eastAsia" w:ascii="微软雅黑" w:hAnsi="微软雅黑" w:eastAsia="微软雅黑" w:cs="微软雅黑"/>
          <w:sz w:val="30"/>
          <w:szCs w:val="30"/>
          <w:u w:val="single"/>
        </w:rPr>
        <w:t>/</w:t>
      </w:r>
      <w:r>
        <w:rPr>
          <w:rFonts w:ascii="仿宋_GB2312" w:eastAsia="仿宋_GB2312"/>
          <w:sz w:val="30"/>
          <w:szCs w:val="30"/>
        </w:rPr>
        <w:t>。</w:t>
      </w:r>
    </w:p>
    <w:p w14:paraId="0E5820EE">
      <w:pPr>
        <w:wordWrap/>
        <w:topLinePunct w:val="0"/>
        <w:spacing w:after="120"/>
        <w:ind w:firstLine="600"/>
        <w:rPr>
          <w:rFonts w:ascii="仿宋_GB2312" w:eastAsia="仿宋_GB2312"/>
          <w:sz w:val="30"/>
          <w:szCs w:val="30"/>
        </w:rPr>
      </w:pPr>
      <w:r>
        <w:rPr>
          <w:rFonts w:hint="eastAsia" w:ascii="仿宋_GB2312" w:eastAsia="仿宋_GB2312"/>
          <w:sz w:val="30"/>
          <w:szCs w:val="30"/>
        </w:rPr>
        <w:t>评审机构：</w:t>
      </w:r>
      <w:r>
        <w:rPr>
          <w:rFonts w:hint="eastAsia" w:ascii="微软雅黑" w:hAnsi="微软雅黑" w:eastAsia="微软雅黑" w:cs="微软雅黑"/>
          <w:sz w:val="30"/>
          <w:szCs w:val="30"/>
          <w:u w:val="single"/>
        </w:rPr>
        <w:t>/</w:t>
      </w:r>
      <w:r>
        <w:rPr>
          <w:rFonts w:ascii="仿宋_GB2312" w:eastAsia="仿宋_GB2312"/>
          <w:sz w:val="30"/>
          <w:szCs w:val="30"/>
        </w:rPr>
        <w:t>。</w:t>
      </w:r>
    </w:p>
    <w:p w14:paraId="756B4964">
      <w:pPr>
        <w:wordWrap/>
        <w:topLinePunct w:val="0"/>
        <w:spacing w:after="120"/>
        <w:ind w:firstLine="600"/>
        <w:rPr>
          <w:rFonts w:ascii="仿宋_GB2312" w:eastAsia="仿宋_GB2312"/>
          <w:sz w:val="30"/>
          <w:szCs w:val="30"/>
        </w:rPr>
      </w:pPr>
      <w:r>
        <w:rPr>
          <w:rFonts w:hint="eastAsia" w:ascii="仿宋_GB2312" w:eastAsia="仿宋_GB2312"/>
          <w:sz w:val="30"/>
          <w:szCs w:val="30"/>
        </w:rPr>
        <w:t>其他事项的约定：</w:t>
      </w:r>
      <w:r>
        <w:rPr>
          <w:rFonts w:hint="eastAsia" w:ascii="微软雅黑" w:hAnsi="微软雅黑" w:eastAsia="微软雅黑" w:cs="微软雅黑"/>
          <w:sz w:val="30"/>
          <w:szCs w:val="30"/>
          <w:u w:val="single"/>
        </w:rPr>
        <w:t>/</w:t>
      </w:r>
      <w:r>
        <w:rPr>
          <w:rFonts w:ascii="仿宋_GB2312" w:eastAsia="仿宋_GB2312"/>
          <w:sz w:val="30"/>
          <w:szCs w:val="30"/>
        </w:rPr>
        <w:t>。</w:t>
      </w:r>
    </w:p>
    <w:p w14:paraId="379EB413">
      <w:pPr>
        <w:wordWrap/>
        <w:topLinePunct w:val="0"/>
        <w:spacing w:after="120"/>
        <w:ind w:firstLine="600"/>
        <w:rPr>
          <w:rFonts w:ascii="仿宋_GB2312" w:eastAsia="仿宋_GB2312"/>
          <w:sz w:val="30"/>
          <w:szCs w:val="30"/>
        </w:rPr>
      </w:pPr>
      <w:r>
        <w:rPr>
          <w:rFonts w:ascii="仿宋_GB2312" w:eastAsia="仿宋_GB2312"/>
          <w:sz w:val="30"/>
          <w:szCs w:val="30"/>
        </w:rPr>
        <w:t>争议评审员报酬</w:t>
      </w:r>
      <w:r>
        <w:rPr>
          <w:rFonts w:hint="eastAsia" w:ascii="仿宋_GB2312" w:eastAsia="仿宋_GB2312"/>
          <w:sz w:val="30"/>
          <w:szCs w:val="30"/>
        </w:rPr>
        <w:t>的承担人：</w:t>
      </w:r>
      <w:r>
        <w:rPr>
          <w:rFonts w:hint="eastAsia" w:ascii="微软雅黑" w:hAnsi="微软雅黑" w:eastAsia="微软雅黑" w:cs="微软雅黑"/>
          <w:sz w:val="30"/>
          <w:szCs w:val="30"/>
          <w:u w:val="single"/>
        </w:rPr>
        <w:t>/</w:t>
      </w:r>
      <w:r>
        <w:rPr>
          <w:rFonts w:hint="eastAsia" w:ascii="仿宋_GB2312" w:eastAsia="仿宋_GB2312"/>
          <w:sz w:val="30"/>
          <w:szCs w:val="30"/>
        </w:rPr>
        <w:t>。</w:t>
      </w:r>
    </w:p>
    <w:p w14:paraId="4446E152">
      <w:pPr>
        <w:wordWrap/>
        <w:topLinePunct w:val="0"/>
        <w:spacing w:after="120"/>
        <w:ind w:firstLine="600"/>
        <w:rPr>
          <w:rFonts w:ascii="仿宋_GB2312" w:eastAsia="仿宋_GB2312"/>
          <w:sz w:val="30"/>
          <w:szCs w:val="30"/>
        </w:rPr>
      </w:pPr>
      <w:r>
        <w:rPr>
          <w:rFonts w:hint="eastAsia" w:ascii="仿宋_GB2312" w:eastAsia="仿宋_GB2312"/>
          <w:sz w:val="30"/>
          <w:szCs w:val="30"/>
        </w:rPr>
        <w:t>20.3.2 争议的避免</w:t>
      </w:r>
    </w:p>
    <w:p w14:paraId="3E2E365B">
      <w:pPr>
        <w:wordWrap/>
        <w:topLinePunct w:val="0"/>
        <w:spacing w:after="120"/>
        <w:ind w:firstLine="600"/>
        <w:rPr>
          <w:rFonts w:ascii="仿宋_GB2312" w:eastAsia="仿宋_GB2312"/>
          <w:sz w:val="30"/>
          <w:szCs w:val="30"/>
        </w:rPr>
      </w:pPr>
      <w:r>
        <w:rPr>
          <w:rFonts w:hint="eastAsia" w:ascii="仿宋_GB2312" w:eastAsia="仿宋_GB2312"/>
          <w:sz w:val="30"/>
          <w:szCs w:val="30"/>
        </w:rPr>
        <w:t>发包人和承包人是否均出席争议避免的非正式讨论：</w:t>
      </w:r>
      <w:r>
        <w:rPr>
          <w:rFonts w:hint="eastAsia" w:ascii="仿宋_GB2312" w:eastAsia="仿宋_GB2312"/>
          <w:sz w:val="30"/>
          <w:szCs w:val="30"/>
          <w:u w:val="single"/>
        </w:rPr>
        <w:t>是</w:t>
      </w:r>
      <w:r>
        <w:rPr>
          <w:rFonts w:ascii="仿宋_GB2312" w:eastAsia="仿宋_GB2312"/>
          <w:sz w:val="30"/>
          <w:szCs w:val="30"/>
        </w:rPr>
        <w:t>。</w:t>
      </w:r>
    </w:p>
    <w:p w14:paraId="049430FD">
      <w:pPr>
        <w:wordWrap/>
        <w:topLinePunct w:val="0"/>
        <w:spacing w:after="120"/>
        <w:ind w:firstLine="600"/>
        <w:rPr>
          <w:rFonts w:ascii="仿宋_GB2312" w:eastAsia="仿宋_GB2312"/>
          <w:sz w:val="30"/>
          <w:szCs w:val="30"/>
        </w:rPr>
      </w:pPr>
      <w:r>
        <w:rPr>
          <w:rFonts w:ascii="仿宋_GB2312" w:eastAsia="仿宋_GB2312"/>
          <w:sz w:val="30"/>
          <w:szCs w:val="30"/>
        </w:rPr>
        <w:t>20.3.3</w:t>
      </w:r>
      <w:r>
        <w:rPr>
          <w:rFonts w:hint="eastAsia" w:ascii="仿宋_GB2312" w:eastAsia="仿宋_GB2312"/>
          <w:sz w:val="30"/>
          <w:szCs w:val="30"/>
        </w:rPr>
        <w:t xml:space="preserve"> 争议评审小组的决定</w:t>
      </w:r>
    </w:p>
    <w:p w14:paraId="5B8F760A">
      <w:pPr>
        <w:wordWrap/>
        <w:topLinePunct w:val="0"/>
        <w:spacing w:after="120"/>
        <w:ind w:firstLine="600"/>
        <w:rPr>
          <w:rFonts w:ascii="仿宋_GB2312" w:eastAsia="仿宋_GB2312"/>
          <w:sz w:val="30"/>
          <w:szCs w:val="30"/>
        </w:rPr>
      </w:pPr>
      <w:r>
        <w:rPr>
          <w:rFonts w:hint="eastAsia" w:ascii="仿宋_GB2312" w:eastAsia="仿宋_GB2312"/>
          <w:sz w:val="30"/>
          <w:szCs w:val="30"/>
        </w:rPr>
        <w:t>关于争议评审小组的决定的特别约定：</w:t>
      </w:r>
      <w:r>
        <w:rPr>
          <w:rFonts w:ascii="仿宋_GB2312" w:eastAsia="仿宋_GB2312"/>
          <w:sz w:val="30"/>
          <w:szCs w:val="30"/>
        </w:rPr>
        <w:t>。</w:t>
      </w:r>
    </w:p>
    <w:p w14:paraId="46534586">
      <w:pPr>
        <w:wordWrap/>
        <w:topLinePunct w:val="0"/>
        <w:spacing w:after="120"/>
        <w:ind w:firstLine="600"/>
        <w:rPr>
          <w:rFonts w:ascii="仿宋" w:hAnsi="仿宋" w:eastAsia="仿宋" w:cs="仿宋"/>
          <w:sz w:val="30"/>
          <w:szCs w:val="30"/>
        </w:rPr>
      </w:pPr>
      <w:r>
        <w:rPr>
          <w:rFonts w:hint="eastAsia" w:ascii="仿宋" w:hAnsi="仿宋" w:eastAsia="仿宋" w:cs="仿宋"/>
          <w:sz w:val="30"/>
          <w:szCs w:val="30"/>
        </w:rPr>
        <w:t>20.4 仲裁或诉讼</w:t>
      </w:r>
    </w:p>
    <w:p w14:paraId="569A3E25">
      <w:pPr>
        <w:wordWrap/>
        <w:topLinePunct w:val="0"/>
        <w:spacing w:after="120"/>
        <w:ind w:firstLine="600"/>
        <w:rPr>
          <w:rFonts w:ascii="仿宋_GB2312" w:eastAsia="仿宋_GB2312"/>
          <w:sz w:val="30"/>
          <w:szCs w:val="30"/>
        </w:rPr>
      </w:pPr>
      <w:r>
        <w:rPr>
          <w:rFonts w:hint="eastAsia" w:ascii="仿宋_GB2312" w:eastAsia="仿宋_GB2312"/>
          <w:sz w:val="30"/>
          <w:szCs w:val="30"/>
        </w:rPr>
        <w:t>因合同及合同有关事项发生的争议，按下列第</w:t>
      </w:r>
      <w:r>
        <w:rPr>
          <w:rFonts w:hint="eastAsia" w:ascii="仿宋_GB2312" w:eastAsia="仿宋_GB2312"/>
          <w:sz w:val="30"/>
          <w:szCs w:val="30"/>
          <w:u w:val="single"/>
        </w:rPr>
        <w:t>（</w:t>
      </w:r>
      <w:r>
        <w:rPr>
          <w:rFonts w:ascii="仿宋_GB2312" w:eastAsia="仿宋_GB2312"/>
          <w:sz w:val="30"/>
          <w:szCs w:val="30"/>
          <w:u w:val="single"/>
        </w:rPr>
        <w:t xml:space="preserve">2） </w:t>
      </w:r>
      <w:r>
        <w:rPr>
          <w:rFonts w:ascii="仿宋_GB2312" w:eastAsia="仿宋_GB2312"/>
          <w:sz w:val="30"/>
          <w:szCs w:val="30"/>
        </w:rPr>
        <w:t>种方式解决：</w:t>
      </w:r>
    </w:p>
    <w:p w14:paraId="2B7C338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1）向仲裁委员会申请仲裁；</w:t>
      </w:r>
    </w:p>
    <w:p w14:paraId="6E657814">
      <w:pPr>
        <w:wordWrap/>
        <w:topLinePunct w:val="0"/>
        <w:spacing w:after="120"/>
        <w:ind w:firstLine="60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2）向</w:t>
      </w:r>
      <w:r>
        <w:rPr>
          <w:rFonts w:hint="eastAsia" w:ascii="仿宋_GB2312" w:eastAsia="仿宋_GB2312"/>
          <w:sz w:val="30"/>
          <w:szCs w:val="30"/>
          <w:u w:val="single"/>
        </w:rPr>
        <w:t>工程所在地有管辖权</w:t>
      </w:r>
      <w:r>
        <w:rPr>
          <w:rFonts w:ascii="仿宋_GB2312" w:eastAsia="仿宋_GB2312"/>
          <w:sz w:val="30"/>
          <w:szCs w:val="30"/>
        </w:rPr>
        <w:t>人民法院起诉。</w:t>
      </w:r>
    </w:p>
    <w:p w14:paraId="539B6805">
      <w:pPr>
        <w:wordWrap/>
        <w:topLinePunct w:val="0"/>
        <w:spacing w:after="120"/>
        <w:ind w:firstLine="600"/>
        <w:rPr>
          <w:rFonts w:ascii="仿宋_GB2312" w:eastAsia="仿宋_GB2312"/>
          <w:sz w:val="30"/>
          <w:szCs w:val="30"/>
        </w:rPr>
      </w:pPr>
    </w:p>
    <w:p w14:paraId="088554D5">
      <w:pPr>
        <w:wordWrap/>
        <w:topLinePunct w:val="0"/>
        <w:spacing w:after="120" w:line="400" w:lineRule="exact"/>
        <w:ind w:firstLine="600"/>
        <w:rPr>
          <w:rFonts w:ascii="仿宋_GB2312" w:eastAsia="仿宋_GB2312"/>
          <w:sz w:val="30"/>
          <w:szCs w:val="30"/>
          <w:lang w:val="zh-CN"/>
        </w:rPr>
      </w:pPr>
    </w:p>
    <w:p w14:paraId="68B683BC">
      <w:pPr>
        <w:wordWrap/>
        <w:topLinePunct w:val="0"/>
        <w:spacing w:after="120"/>
        <w:ind w:firstLine="600"/>
        <w:rPr>
          <w:rFonts w:ascii="仿宋_GB2312" w:eastAsia="仿宋_GB2312"/>
          <w:sz w:val="30"/>
          <w:szCs w:val="30"/>
        </w:rPr>
        <w:sectPr>
          <w:headerReference r:id="rId15" w:type="default"/>
          <w:pgSz w:w="11906" w:h="16838"/>
          <w:pgMar w:top="1440" w:right="1800" w:bottom="1440" w:left="1800" w:header="720" w:footer="998" w:gutter="0"/>
          <w:cols w:space="720" w:num="1"/>
          <w:docGrid w:linePitch="326" w:charSpace="0"/>
        </w:sectPr>
      </w:pPr>
    </w:p>
    <w:p w14:paraId="0D5DCA10">
      <w:pPr>
        <w:pStyle w:val="109"/>
        <w:snapToGrid w:val="0"/>
        <w:spacing w:after="120" w:line="360" w:lineRule="auto"/>
        <w:ind w:firstLine="1440" w:firstLineChars="450"/>
        <w:outlineLvl w:val="0"/>
        <w:rPr>
          <w:rFonts w:ascii="仿宋" w:hAnsi="仿宋" w:eastAsia="仿宋" w:cs="仿宋"/>
          <w:sz w:val="32"/>
          <w:szCs w:val="32"/>
        </w:rPr>
      </w:pPr>
      <w:bookmarkStart w:id="916" w:name="_Toc54862351"/>
      <w:bookmarkStart w:id="917" w:name="_Toc8858"/>
      <w:bookmarkStart w:id="918" w:name="_Toc31315"/>
      <w:bookmarkStart w:id="919" w:name="_Toc20343"/>
      <w:r>
        <w:rPr>
          <w:rFonts w:hint="eastAsia" w:ascii="仿宋" w:hAnsi="仿宋" w:eastAsia="仿宋" w:cs="仿宋"/>
          <w:sz w:val="32"/>
          <w:szCs w:val="32"/>
        </w:rPr>
        <w:t>专用合同条件附件</w:t>
      </w:r>
      <w:bookmarkEnd w:id="916"/>
      <w:bookmarkEnd w:id="917"/>
      <w:bookmarkEnd w:id="918"/>
      <w:bookmarkEnd w:id="919"/>
    </w:p>
    <w:p w14:paraId="68FEB297">
      <w:pPr>
        <w:wordWrap/>
        <w:topLinePunct w:val="0"/>
        <w:spacing w:after="120"/>
      </w:pPr>
    </w:p>
    <w:p w14:paraId="53F9A4A2">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1：发包人要求</w:t>
      </w:r>
    </w:p>
    <w:p w14:paraId="34AFE47E">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2：发包人供应材料设备一览表</w:t>
      </w:r>
    </w:p>
    <w:p w14:paraId="483FBF22">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3：工程质量保修书</w:t>
      </w:r>
    </w:p>
    <w:p w14:paraId="68832AFD">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4：主要建设工程文件目录</w:t>
      </w:r>
    </w:p>
    <w:p w14:paraId="40EA2A66">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5：承包人主要管理人员表</w:t>
      </w:r>
    </w:p>
    <w:p w14:paraId="6F8B90A2">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6</w:t>
      </w:r>
      <w:r>
        <w:rPr>
          <w:rFonts w:hint="eastAsia" w:ascii="仿宋_GB2312" w:hAnsi="仿宋_GB2312" w:eastAsia="仿宋_GB2312" w:cs="仿宋_GB2312"/>
          <w:sz w:val="28"/>
          <w:szCs w:val="28"/>
        </w:rPr>
        <w:t>：价格指数权重表</w:t>
      </w:r>
    </w:p>
    <w:p w14:paraId="0D841FA8">
      <w:pPr>
        <w:pStyle w:val="26"/>
        <w:wordWrap/>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7：</w:t>
      </w:r>
      <w:r>
        <w:rPr>
          <w:rFonts w:hint="eastAsia" w:ascii="仿宋_GB2312" w:hAnsi="仿宋_GB2312" w:eastAsia="仿宋_GB2312" w:cs="仿宋_GB2312"/>
          <w:sz w:val="28"/>
          <w:szCs w:val="28"/>
        </w:rPr>
        <w:t>安全生产协议书</w:t>
      </w:r>
    </w:p>
    <w:p w14:paraId="7AD20D0E">
      <w:pPr>
        <w:wordWrap/>
        <w:topLinePunct w:val="0"/>
        <w:spacing w:after="120"/>
        <w:ind w:firstLine="56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8</w:t>
      </w:r>
      <w:r>
        <w:rPr>
          <w:rFonts w:hint="eastAsia" w:ascii="仿宋_GB2312" w:hAnsi="仿宋_GB2312" w:eastAsia="仿宋_GB2312" w:cs="仿宋_GB2312"/>
          <w:sz w:val="28"/>
          <w:szCs w:val="28"/>
        </w:rPr>
        <w:t>：廉政协议书</w:t>
      </w:r>
    </w:p>
    <w:p w14:paraId="31610462">
      <w:pPr>
        <w:wordWrap/>
        <w:topLinePunct w:val="0"/>
        <w:spacing w:after="120"/>
        <w:ind w:firstLine="560"/>
        <w:jc w:val="left"/>
        <w:rPr>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9：</w:t>
      </w:r>
      <w:r>
        <w:rPr>
          <w:rFonts w:hint="eastAsia" w:ascii="仿宋_GB2312" w:hAnsi="仿宋_GB2312" w:eastAsia="仿宋_GB2312" w:cs="仿宋_GB2312"/>
          <w:sz w:val="28"/>
          <w:szCs w:val="28"/>
        </w:rPr>
        <w:t>履约保函</w:t>
      </w:r>
    </w:p>
    <w:p w14:paraId="3CD59967">
      <w:pPr>
        <w:wordWrap/>
        <w:topLinePunct w:val="0"/>
        <w:spacing w:after="120"/>
        <w:ind w:firstLine="560"/>
        <w:rPr>
          <w:rFonts w:ascii="仿宋_GB2312" w:hAnsi="仿宋_GB2312" w:eastAsia="仿宋_GB2312" w:cs="仿宋_GB2312"/>
          <w:sz w:val="28"/>
          <w:szCs w:val="28"/>
        </w:rPr>
      </w:pPr>
      <w:r>
        <w:rPr>
          <w:rFonts w:ascii="仿宋_GB2312" w:hAnsi="仿宋_GB2312" w:eastAsia="仿宋_GB2312" w:cs="仿宋_GB2312"/>
          <w:sz w:val="28"/>
          <w:szCs w:val="28"/>
        </w:rPr>
        <w:t>附件10</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设计部分合同专章</w:t>
      </w:r>
    </w:p>
    <w:p w14:paraId="46405121">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1：预付款保函</w:t>
      </w:r>
    </w:p>
    <w:p w14:paraId="5FB0C465">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2：联合体工作协议书</w:t>
      </w:r>
    </w:p>
    <w:p w14:paraId="5ACD1DAD">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3：项目部机构设置图</w:t>
      </w:r>
    </w:p>
    <w:p w14:paraId="7109C37B">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4：联合体法人代表授权书</w:t>
      </w:r>
    </w:p>
    <w:p w14:paraId="7B96EC2A">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5：联合体工作实施细则</w:t>
      </w:r>
    </w:p>
    <w:p w14:paraId="212F208E">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6：项目资料接受（移交）清单</w:t>
      </w:r>
    </w:p>
    <w:p w14:paraId="08A62D3D">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7：施工图预算审核方案</w:t>
      </w:r>
    </w:p>
    <w:p w14:paraId="6437CEA3">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1</w:t>
      </w:r>
      <w:r>
        <w:rPr>
          <w:rFonts w:hint="eastAsia" w:ascii="仿宋_GB2312" w:hAnsi="仿宋_GB2312" w:eastAsia="仿宋_GB2312" w:cs="仿宋_GB2312"/>
          <w:sz w:val="28"/>
          <w:szCs w:val="28"/>
        </w:rPr>
        <w:t>8：材料设备品牌选定表</w:t>
      </w:r>
    </w:p>
    <w:p w14:paraId="1684D6EF">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附件19：工程结算管理规程</w:t>
      </w:r>
    </w:p>
    <w:p w14:paraId="55F7020C">
      <w:pPr>
        <w:wordWrap/>
        <w:topLinePunct w:val="0"/>
        <w:spacing w:after="120"/>
        <w:ind w:firstLine="56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附件20：过程结算办法</w:t>
      </w:r>
    </w:p>
    <w:p w14:paraId="5C3703EE">
      <w:pPr>
        <w:wordWrap/>
        <w:topLinePunct w:val="0"/>
        <w:spacing w:after="120"/>
        <w:ind w:firstLine="56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1：第三方质量安全巡查评估结果应用管理办法（试行）</w:t>
      </w:r>
    </w:p>
    <w:p w14:paraId="786C1DA0">
      <w:pPr>
        <w:wordWrap/>
        <w:topLinePunct w:val="0"/>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2：省代建局直接代建项目工程款资金监督管理办法</w:t>
      </w:r>
    </w:p>
    <w:p w14:paraId="170A0CF3">
      <w:pPr>
        <w:wordWrap/>
        <w:topLinePunct w:val="0"/>
        <w:spacing w:after="120"/>
        <w:ind w:firstLine="420" w:firstLineChars="15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省代建局授权并负责办理直接代建项目工程款资金监督管理业务商业银行名单</w:t>
      </w:r>
    </w:p>
    <w:p w14:paraId="631FE635">
      <w:pPr>
        <w:pStyle w:val="26"/>
        <w:spacing w:after="120"/>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附件</w:t>
      </w:r>
      <w:r>
        <w:rPr>
          <w:rFonts w:ascii="仿宋_GB2312" w:hAnsi="仿宋_GB2312" w:eastAsia="仿宋_GB2312" w:cs="仿宋_GB2312"/>
          <w:sz w:val="28"/>
          <w:szCs w:val="28"/>
        </w:rPr>
        <w:t>2</w:t>
      </w:r>
      <w:r>
        <w:rPr>
          <w:rFonts w:hint="eastAsia" w:ascii="仿宋_GB2312" w:hAnsi="仿宋_GB2312" w:eastAsia="仿宋_GB2312" w:cs="仿宋_GB2312"/>
          <w:sz w:val="28"/>
          <w:szCs w:val="28"/>
        </w:rPr>
        <w:t>4：</w:t>
      </w:r>
      <w:r>
        <w:rPr>
          <w:rFonts w:ascii="仿宋_GB2312" w:hAnsi="仿宋_GB2312" w:eastAsia="仿宋_GB2312" w:cs="仿宋_GB2312"/>
          <w:sz w:val="28"/>
          <w:szCs w:val="28"/>
        </w:rPr>
        <w:t>广东省代建局施工单位智慧工地设备技术要求文档</w:t>
      </w:r>
    </w:p>
    <w:p w14:paraId="7E5B743F">
      <w:pPr>
        <w:pStyle w:val="2"/>
        <w:spacing w:after="120" w:line="240" w:lineRule="auto"/>
        <w:ind w:firstLine="560"/>
        <w:jc w:val="both"/>
        <w:rPr>
          <w:rFonts w:ascii="仿宋_GB2312" w:hAnsi="仿宋_GB2312" w:eastAsia="仿宋_GB2312" w:cs="仿宋_GB2312"/>
          <w:b w:val="0"/>
          <w:kern w:val="2"/>
          <w:sz w:val="28"/>
          <w:szCs w:val="28"/>
        </w:rPr>
      </w:pPr>
      <w:r>
        <w:rPr>
          <w:rFonts w:hint="eastAsia" w:ascii="仿宋_GB2312" w:hAnsi="仿宋_GB2312" w:eastAsia="仿宋_GB2312" w:cs="仿宋_GB2312"/>
          <w:b w:val="0"/>
          <w:kern w:val="2"/>
          <w:sz w:val="28"/>
          <w:szCs w:val="28"/>
        </w:rPr>
        <w:t>附件25：</w:t>
      </w:r>
      <w:r>
        <w:rPr>
          <w:rFonts w:ascii="仿宋_GB2312" w:hAnsi="仿宋_GB2312" w:eastAsia="仿宋_GB2312" w:cs="仿宋_GB2312"/>
          <w:b w:val="0"/>
          <w:kern w:val="2"/>
          <w:sz w:val="28"/>
          <w:szCs w:val="28"/>
        </w:rPr>
        <w:t xml:space="preserve">省代建局直接管理项目设计单位履约评价实施细则 </w:t>
      </w:r>
    </w:p>
    <w:p w14:paraId="1229BD17">
      <w:pPr>
        <w:wordWrap/>
        <w:topLinePunct w:val="0"/>
        <w:spacing w:after="120"/>
        <w:ind w:firstLine="0" w:firstLineChars="0"/>
      </w:pPr>
    </w:p>
    <w:p w14:paraId="645E77E3">
      <w:pPr>
        <w:wordWrap/>
        <w:topLinePunct w:val="0"/>
        <w:adjustRightInd/>
        <w:snapToGrid/>
        <w:spacing w:afterLines="0" w:line="240" w:lineRule="auto"/>
        <w:ind w:firstLine="0" w:firstLineChars="0"/>
        <w:jc w:val="left"/>
      </w:pPr>
      <w:r>
        <w:br w:type="page"/>
      </w:r>
    </w:p>
    <w:p w14:paraId="27DFDFA8">
      <w:pPr>
        <w:pStyle w:val="106"/>
        <w:numPr>
          <w:ilvl w:val="0"/>
          <w:numId w:val="0"/>
        </w:numPr>
        <w:spacing w:after="120"/>
        <w:jc w:val="center"/>
        <w:outlineLvl w:val="1"/>
        <w:rPr>
          <w:rFonts w:ascii="仿宋" w:hAnsi="仿宋" w:eastAsia="仿宋" w:cs="仿宋"/>
          <w:b/>
          <w:bCs/>
          <w:sz w:val="32"/>
          <w:szCs w:val="32"/>
        </w:rPr>
      </w:pPr>
      <w:bookmarkStart w:id="920" w:name="_Toc54862352"/>
      <w:bookmarkStart w:id="921" w:name="_Toc2172"/>
      <w:bookmarkStart w:id="922" w:name="_Toc30676"/>
      <w:bookmarkStart w:id="923" w:name="_Toc2089"/>
      <w:bookmarkStart w:id="924" w:name="_Hlk38571789"/>
      <w:r>
        <w:rPr>
          <w:rFonts w:hint="eastAsia" w:ascii="仿宋" w:hAnsi="仿宋" w:eastAsia="仿宋" w:cs="仿宋"/>
          <w:b/>
          <w:bCs/>
          <w:sz w:val="32"/>
          <w:szCs w:val="32"/>
        </w:rPr>
        <w:t>附件1《发包人要求》</w:t>
      </w:r>
      <w:bookmarkEnd w:id="920"/>
      <w:bookmarkEnd w:id="921"/>
      <w:bookmarkEnd w:id="922"/>
      <w:bookmarkEnd w:id="923"/>
    </w:p>
    <w:bookmarkEnd w:id="924"/>
    <w:p w14:paraId="225DC839">
      <w:pPr>
        <w:spacing w:after="120"/>
        <w:ind w:firstLine="600"/>
        <w:rPr>
          <w:rFonts w:ascii="仿宋_GB2312" w:eastAsia="仿宋_GB2312"/>
          <w:sz w:val="30"/>
          <w:szCs w:val="30"/>
        </w:rPr>
      </w:pPr>
      <w:r>
        <w:rPr>
          <w:rFonts w:hint="eastAsia" w:ascii="仿宋_GB2312" w:eastAsia="仿宋_GB2312"/>
          <w:sz w:val="30"/>
          <w:szCs w:val="30"/>
        </w:rPr>
        <w:t>《发包人要求》应尽可能清晰准确，对于可以进行定量评估的工作，《发包人要求》不仅应明确规定其产能、功能、用途、质量、环境、安全，并且要规定偏离的范围和计算方法，以及检验、试验、试运行的具体要求。对于承包人负责提供的有关设备和服务，对发包人人员进行培训和提供一些消耗品等，在《发包人要求》中应一并明确规定。</w:t>
      </w:r>
    </w:p>
    <w:p w14:paraId="11F2692E">
      <w:pPr>
        <w:spacing w:after="120"/>
        <w:ind w:firstLine="600"/>
        <w:rPr>
          <w:rFonts w:ascii="仿宋_GB2312" w:eastAsia="仿宋_GB2312"/>
          <w:sz w:val="30"/>
          <w:szCs w:val="30"/>
        </w:rPr>
      </w:pPr>
      <w:r>
        <w:rPr>
          <w:rFonts w:hint="eastAsia" w:ascii="仿宋_GB2312" w:eastAsia="仿宋_GB2312"/>
          <w:sz w:val="30"/>
          <w:szCs w:val="30"/>
        </w:rPr>
        <w:t>《发包人要求》通常包括但不限于以下内容：</w:t>
      </w:r>
    </w:p>
    <w:p w14:paraId="2968B63F">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一、功能要求</w:t>
      </w:r>
    </w:p>
    <w:p w14:paraId="560A425A">
      <w:pPr>
        <w:spacing w:after="120"/>
        <w:ind w:firstLine="600"/>
        <w:rPr>
          <w:rFonts w:ascii="仿宋_GB2312" w:eastAsia="仿宋_GB2312"/>
          <w:sz w:val="30"/>
          <w:szCs w:val="30"/>
        </w:rPr>
      </w:pPr>
      <w:r>
        <w:rPr>
          <w:rFonts w:hint="eastAsia" w:ascii="仿宋_GB2312" w:eastAsia="仿宋_GB2312"/>
          <w:sz w:val="30"/>
          <w:szCs w:val="30"/>
        </w:rPr>
        <w:t>（一）工程目的。</w:t>
      </w:r>
    </w:p>
    <w:p w14:paraId="772748B0">
      <w:pPr>
        <w:spacing w:after="120"/>
        <w:ind w:firstLine="600"/>
        <w:rPr>
          <w:rFonts w:ascii="仿宋_GB2312" w:eastAsia="仿宋_GB2312"/>
          <w:sz w:val="30"/>
          <w:szCs w:val="30"/>
        </w:rPr>
      </w:pPr>
      <w:r>
        <w:rPr>
          <w:rFonts w:hint="eastAsia" w:ascii="仿宋_GB2312" w:eastAsia="仿宋_GB2312"/>
          <w:sz w:val="30"/>
          <w:szCs w:val="30"/>
        </w:rPr>
        <w:t>（二）工程规模。</w:t>
      </w:r>
    </w:p>
    <w:p w14:paraId="7B84F6B3">
      <w:pPr>
        <w:spacing w:after="120"/>
        <w:ind w:firstLine="600"/>
        <w:rPr>
          <w:rFonts w:ascii="仿宋_GB2312" w:eastAsia="仿宋_GB2312"/>
          <w:sz w:val="30"/>
          <w:szCs w:val="30"/>
        </w:rPr>
      </w:pPr>
      <w:r>
        <w:rPr>
          <w:rFonts w:hint="eastAsia" w:ascii="仿宋_GB2312" w:eastAsia="仿宋_GB2312"/>
          <w:sz w:val="30"/>
          <w:szCs w:val="30"/>
        </w:rPr>
        <w:t>（三）性能保证指标（性能保证表）。</w:t>
      </w:r>
    </w:p>
    <w:p w14:paraId="42C1B3FB">
      <w:pPr>
        <w:spacing w:after="120"/>
        <w:ind w:firstLine="600"/>
        <w:rPr>
          <w:rFonts w:ascii="仿宋_GB2312" w:eastAsia="仿宋_GB2312"/>
          <w:sz w:val="30"/>
          <w:szCs w:val="30"/>
        </w:rPr>
      </w:pPr>
      <w:r>
        <w:rPr>
          <w:rFonts w:hint="eastAsia" w:ascii="仿宋_GB2312" w:eastAsia="仿宋_GB2312"/>
          <w:sz w:val="30"/>
          <w:szCs w:val="30"/>
        </w:rPr>
        <w:t>（四）产能保证指标。</w:t>
      </w:r>
    </w:p>
    <w:p w14:paraId="7D10BCFB">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二、工程范围</w:t>
      </w:r>
    </w:p>
    <w:p w14:paraId="032C73E7">
      <w:pPr>
        <w:spacing w:after="120"/>
        <w:ind w:firstLine="600"/>
        <w:rPr>
          <w:rFonts w:ascii="仿宋_GB2312" w:eastAsia="仿宋_GB2312"/>
          <w:sz w:val="30"/>
          <w:szCs w:val="30"/>
        </w:rPr>
      </w:pPr>
      <w:r>
        <w:rPr>
          <w:rFonts w:hint="eastAsia" w:ascii="仿宋_GB2312" w:eastAsia="仿宋_GB2312"/>
          <w:sz w:val="30"/>
          <w:szCs w:val="30"/>
        </w:rPr>
        <w:t>（一）概述</w:t>
      </w:r>
    </w:p>
    <w:p w14:paraId="23853A42">
      <w:pPr>
        <w:spacing w:after="120"/>
        <w:ind w:firstLine="600"/>
        <w:rPr>
          <w:rFonts w:ascii="仿宋_GB2312" w:eastAsia="仿宋_GB2312"/>
          <w:sz w:val="30"/>
          <w:szCs w:val="30"/>
        </w:rPr>
      </w:pPr>
      <w:r>
        <w:rPr>
          <w:rFonts w:hint="eastAsia" w:ascii="仿宋_GB2312" w:eastAsia="仿宋_GB2312"/>
          <w:sz w:val="30"/>
          <w:szCs w:val="30"/>
        </w:rPr>
        <w:t>（二）包括的工作</w:t>
      </w:r>
    </w:p>
    <w:p w14:paraId="6B2D9D72">
      <w:pPr>
        <w:spacing w:after="120"/>
        <w:ind w:firstLine="600"/>
        <w:rPr>
          <w:rFonts w:ascii="仿宋_GB2312" w:eastAsia="仿宋_GB2312"/>
          <w:sz w:val="30"/>
          <w:szCs w:val="30"/>
        </w:rPr>
      </w:pPr>
      <w:r>
        <w:rPr>
          <w:rFonts w:hint="eastAsia" w:ascii="仿宋_GB2312" w:eastAsia="仿宋_GB2312"/>
          <w:sz w:val="30"/>
          <w:szCs w:val="30"/>
        </w:rPr>
        <w:t>1. 永久工程的设计、采购、施工范围。</w:t>
      </w:r>
    </w:p>
    <w:p w14:paraId="6AB6284A">
      <w:pPr>
        <w:spacing w:after="120"/>
        <w:ind w:firstLine="600"/>
        <w:rPr>
          <w:rFonts w:ascii="仿宋_GB2312" w:eastAsia="仿宋_GB2312"/>
          <w:sz w:val="30"/>
          <w:szCs w:val="30"/>
        </w:rPr>
      </w:pPr>
      <w:r>
        <w:rPr>
          <w:rFonts w:hint="eastAsia" w:ascii="仿宋_GB2312" w:eastAsia="仿宋_GB2312"/>
          <w:sz w:val="30"/>
          <w:szCs w:val="30"/>
        </w:rPr>
        <w:t>2. 临时工程的设计与施工范围。</w:t>
      </w:r>
    </w:p>
    <w:p w14:paraId="108B570E">
      <w:pPr>
        <w:spacing w:after="120"/>
        <w:ind w:firstLine="600"/>
        <w:rPr>
          <w:rFonts w:ascii="仿宋_GB2312" w:eastAsia="仿宋_GB2312"/>
          <w:sz w:val="30"/>
          <w:szCs w:val="30"/>
        </w:rPr>
      </w:pPr>
      <w:r>
        <w:rPr>
          <w:rFonts w:hint="eastAsia" w:ascii="仿宋_GB2312" w:eastAsia="仿宋_GB2312"/>
          <w:sz w:val="30"/>
          <w:szCs w:val="30"/>
        </w:rPr>
        <w:t>3. 竣工验收工作范围。</w:t>
      </w:r>
    </w:p>
    <w:p w14:paraId="44CE9623">
      <w:pPr>
        <w:spacing w:after="120"/>
        <w:ind w:firstLine="600"/>
        <w:rPr>
          <w:rFonts w:ascii="仿宋_GB2312" w:eastAsia="仿宋_GB2312"/>
          <w:sz w:val="30"/>
          <w:szCs w:val="30"/>
        </w:rPr>
      </w:pPr>
      <w:r>
        <w:rPr>
          <w:rFonts w:hint="eastAsia" w:ascii="仿宋_GB2312" w:eastAsia="仿宋_GB2312"/>
          <w:sz w:val="30"/>
          <w:szCs w:val="30"/>
        </w:rPr>
        <w:t>4. 技术服务工作范围。</w:t>
      </w:r>
    </w:p>
    <w:p w14:paraId="651AEE31">
      <w:pPr>
        <w:spacing w:after="120"/>
        <w:ind w:firstLine="600"/>
        <w:rPr>
          <w:rFonts w:ascii="仿宋_GB2312" w:eastAsia="仿宋_GB2312"/>
          <w:sz w:val="30"/>
          <w:szCs w:val="30"/>
        </w:rPr>
      </w:pPr>
      <w:r>
        <w:rPr>
          <w:rFonts w:hint="eastAsia" w:ascii="仿宋_GB2312" w:eastAsia="仿宋_GB2312"/>
          <w:sz w:val="30"/>
          <w:szCs w:val="30"/>
        </w:rPr>
        <w:t>5. 培训工作范围。</w:t>
      </w:r>
    </w:p>
    <w:p w14:paraId="0EE25B4A">
      <w:pPr>
        <w:spacing w:after="120"/>
        <w:ind w:firstLine="600"/>
        <w:rPr>
          <w:rFonts w:ascii="仿宋_GB2312" w:eastAsia="仿宋_GB2312"/>
          <w:sz w:val="30"/>
          <w:szCs w:val="30"/>
        </w:rPr>
      </w:pPr>
      <w:r>
        <w:rPr>
          <w:rFonts w:hint="eastAsia" w:ascii="仿宋_GB2312" w:eastAsia="仿宋_GB2312"/>
          <w:sz w:val="30"/>
          <w:szCs w:val="30"/>
        </w:rPr>
        <w:t>6. 保修工作范围。</w:t>
      </w:r>
    </w:p>
    <w:p w14:paraId="2D5629EE">
      <w:pPr>
        <w:spacing w:after="120"/>
        <w:ind w:firstLine="600"/>
        <w:rPr>
          <w:rFonts w:ascii="仿宋_GB2312" w:eastAsia="仿宋_GB2312"/>
          <w:sz w:val="30"/>
          <w:szCs w:val="30"/>
        </w:rPr>
      </w:pPr>
      <w:r>
        <w:rPr>
          <w:rFonts w:hint="eastAsia" w:ascii="仿宋_GB2312" w:eastAsia="仿宋_GB2312"/>
          <w:sz w:val="30"/>
          <w:szCs w:val="30"/>
        </w:rPr>
        <w:t>（三）工作界区</w:t>
      </w:r>
    </w:p>
    <w:p w14:paraId="729E50BB">
      <w:pPr>
        <w:spacing w:after="120"/>
        <w:ind w:firstLine="600"/>
        <w:rPr>
          <w:rFonts w:ascii="仿宋_GB2312" w:eastAsia="仿宋_GB2312"/>
          <w:sz w:val="30"/>
          <w:szCs w:val="30"/>
        </w:rPr>
      </w:pPr>
      <w:r>
        <w:rPr>
          <w:rFonts w:hint="eastAsia" w:ascii="仿宋_GB2312" w:eastAsia="仿宋_GB2312"/>
          <w:sz w:val="30"/>
          <w:szCs w:val="30"/>
        </w:rPr>
        <w:t>（四）发包人提供的现场条件</w:t>
      </w:r>
    </w:p>
    <w:p w14:paraId="68D3E6F2">
      <w:pPr>
        <w:spacing w:after="120"/>
        <w:ind w:firstLine="600"/>
        <w:rPr>
          <w:rFonts w:ascii="仿宋_GB2312" w:eastAsia="仿宋_GB2312"/>
          <w:sz w:val="30"/>
          <w:szCs w:val="30"/>
        </w:rPr>
      </w:pPr>
      <w:r>
        <w:rPr>
          <w:rFonts w:hint="eastAsia" w:ascii="仿宋_GB2312" w:eastAsia="仿宋_GB2312"/>
          <w:sz w:val="30"/>
          <w:szCs w:val="30"/>
        </w:rPr>
        <w:t>1. 施工用电。</w:t>
      </w:r>
    </w:p>
    <w:p w14:paraId="18401BFB">
      <w:pPr>
        <w:spacing w:after="120"/>
        <w:ind w:firstLine="600"/>
        <w:rPr>
          <w:rFonts w:ascii="仿宋_GB2312" w:eastAsia="仿宋_GB2312"/>
          <w:sz w:val="30"/>
          <w:szCs w:val="30"/>
        </w:rPr>
      </w:pPr>
      <w:r>
        <w:rPr>
          <w:rFonts w:hint="eastAsia" w:ascii="仿宋_GB2312" w:eastAsia="仿宋_GB2312"/>
          <w:sz w:val="30"/>
          <w:szCs w:val="30"/>
        </w:rPr>
        <w:t>2. 施工用水。</w:t>
      </w:r>
    </w:p>
    <w:p w14:paraId="6775AC0A">
      <w:pPr>
        <w:spacing w:after="120"/>
        <w:ind w:firstLine="600"/>
        <w:rPr>
          <w:rFonts w:ascii="仿宋_GB2312" w:eastAsia="仿宋_GB2312"/>
          <w:sz w:val="30"/>
          <w:szCs w:val="30"/>
        </w:rPr>
      </w:pPr>
      <w:r>
        <w:rPr>
          <w:rFonts w:hint="eastAsia" w:ascii="仿宋_GB2312" w:eastAsia="仿宋_GB2312"/>
          <w:sz w:val="30"/>
          <w:szCs w:val="30"/>
        </w:rPr>
        <w:t>3. 施工排水。</w:t>
      </w:r>
    </w:p>
    <w:p w14:paraId="5566E656">
      <w:pPr>
        <w:spacing w:after="120"/>
        <w:ind w:firstLine="600"/>
        <w:rPr>
          <w:rFonts w:ascii="仿宋_GB2312" w:eastAsia="仿宋_GB2312"/>
          <w:sz w:val="30"/>
          <w:szCs w:val="30"/>
        </w:rPr>
      </w:pPr>
      <w:r>
        <w:rPr>
          <w:rFonts w:ascii="仿宋_GB2312" w:eastAsia="仿宋_GB2312"/>
          <w:sz w:val="30"/>
          <w:szCs w:val="30"/>
        </w:rPr>
        <w:t>4.</w:t>
      </w:r>
      <w:r>
        <w:rPr>
          <w:rFonts w:hint="eastAsia" w:ascii="仿宋_GB2312" w:eastAsia="仿宋_GB2312"/>
          <w:sz w:val="30"/>
          <w:szCs w:val="30"/>
        </w:rPr>
        <w:t>施工道路。</w:t>
      </w:r>
    </w:p>
    <w:p w14:paraId="39D468FF">
      <w:pPr>
        <w:spacing w:after="120"/>
        <w:ind w:firstLine="600"/>
        <w:rPr>
          <w:rFonts w:ascii="仿宋_GB2312" w:eastAsia="仿宋_GB2312"/>
          <w:sz w:val="30"/>
          <w:szCs w:val="30"/>
        </w:rPr>
      </w:pPr>
      <w:r>
        <w:rPr>
          <w:rFonts w:hint="eastAsia" w:ascii="仿宋_GB2312" w:eastAsia="仿宋_GB2312"/>
          <w:sz w:val="30"/>
          <w:szCs w:val="30"/>
        </w:rPr>
        <w:t>（五）发包人提供的技术文件</w:t>
      </w:r>
    </w:p>
    <w:p w14:paraId="73828568">
      <w:pPr>
        <w:spacing w:after="120"/>
        <w:ind w:firstLine="600"/>
        <w:rPr>
          <w:rFonts w:ascii="仿宋_GB2312" w:eastAsia="仿宋_GB2312"/>
          <w:sz w:val="30"/>
          <w:szCs w:val="30"/>
        </w:rPr>
      </w:pPr>
      <w:r>
        <w:rPr>
          <w:rFonts w:hint="eastAsia" w:ascii="仿宋_GB2312" w:eastAsia="仿宋_GB2312"/>
          <w:sz w:val="30"/>
          <w:szCs w:val="30"/>
        </w:rPr>
        <w:t>除另有批准外，承包人的工作需要遵照发包人的下列技术文件:</w:t>
      </w:r>
    </w:p>
    <w:p w14:paraId="22C13D38">
      <w:pPr>
        <w:spacing w:after="120"/>
        <w:ind w:firstLine="600"/>
        <w:rPr>
          <w:rFonts w:ascii="仿宋_GB2312" w:eastAsia="仿宋_GB2312"/>
          <w:sz w:val="30"/>
          <w:szCs w:val="30"/>
        </w:rPr>
      </w:pPr>
      <w:r>
        <w:rPr>
          <w:rFonts w:hint="eastAsia" w:ascii="仿宋_GB2312" w:eastAsia="仿宋_GB2312"/>
          <w:sz w:val="30"/>
          <w:szCs w:val="30"/>
        </w:rPr>
        <w:t>1. 发包人需求任务书。</w:t>
      </w:r>
    </w:p>
    <w:p w14:paraId="6B2E0521">
      <w:pPr>
        <w:spacing w:after="120"/>
        <w:ind w:firstLine="600"/>
        <w:rPr>
          <w:rFonts w:ascii="仿宋_GB2312" w:eastAsia="仿宋_GB2312"/>
          <w:sz w:val="30"/>
          <w:szCs w:val="30"/>
        </w:rPr>
      </w:pPr>
      <w:r>
        <w:rPr>
          <w:rFonts w:hint="eastAsia" w:ascii="仿宋_GB2312" w:eastAsia="仿宋_GB2312"/>
          <w:sz w:val="30"/>
          <w:szCs w:val="30"/>
        </w:rPr>
        <w:t>2. 发包人已完成的设计文件。</w:t>
      </w:r>
    </w:p>
    <w:p w14:paraId="56CD12E7">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三、工艺安排或要求（如有）</w:t>
      </w:r>
    </w:p>
    <w:p w14:paraId="7219242B">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四、时间要求</w:t>
      </w:r>
    </w:p>
    <w:p w14:paraId="780755A4">
      <w:pPr>
        <w:spacing w:after="120"/>
        <w:ind w:firstLine="600"/>
        <w:rPr>
          <w:rFonts w:ascii="仿宋_GB2312" w:eastAsia="仿宋_GB2312"/>
          <w:sz w:val="30"/>
          <w:szCs w:val="30"/>
        </w:rPr>
      </w:pPr>
      <w:r>
        <w:rPr>
          <w:rFonts w:hint="eastAsia" w:ascii="仿宋_GB2312" w:eastAsia="仿宋_GB2312"/>
          <w:sz w:val="30"/>
          <w:szCs w:val="30"/>
        </w:rPr>
        <w:t>（一）开始工作时间。</w:t>
      </w:r>
    </w:p>
    <w:p w14:paraId="58874A7D">
      <w:pPr>
        <w:spacing w:after="120"/>
        <w:ind w:firstLine="600"/>
        <w:rPr>
          <w:rFonts w:ascii="仿宋_GB2312" w:eastAsia="仿宋_GB2312"/>
          <w:sz w:val="30"/>
          <w:szCs w:val="30"/>
        </w:rPr>
      </w:pPr>
      <w:r>
        <w:rPr>
          <w:rFonts w:hint="eastAsia" w:ascii="仿宋_GB2312" w:eastAsia="仿宋_GB2312"/>
          <w:sz w:val="30"/>
          <w:szCs w:val="30"/>
        </w:rPr>
        <w:t>（二）设计完成时间。</w:t>
      </w:r>
    </w:p>
    <w:p w14:paraId="2CE65817">
      <w:pPr>
        <w:spacing w:after="120"/>
        <w:ind w:firstLine="600"/>
        <w:rPr>
          <w:rFonts w:ascii="仿宋_GB2312" w:eastAsia="仿宋_GB2312"/>
          <w:sz w:val="30"/>
          <w:szCs w:val="30"/>
        </w:rPr>
      </w:pPr>
      <w:r>
        <w:rPr>
          <w:rFonts w:hint="eastAsia" w:ascii="仿宋_GB2312" w:eastAsia="仿宋_GB2312"/>
          <w:sz w:val="30"/>
          <w:szCs w:val="30"/>
        </w:rPr>
        <w:t>（三）进度计划。</w:t>
      </w:r>
    </w:p>
    <w:p w14:paraId="0407E478">
      <w:pPr>
        <w:spacing w:after="120"/>
        <w:ind w:firstLine="600"/>
        <w:rPr>
          <w:rFonts w:ascii="仿宋_GB2312" w:eastAsia="仿宋_GB2312"/>
          <w:sz w:val="30"/>
          <w:szCs w:val="30"/>
        </w:rPr>
      </w:pPr>
      <w:r>
        <w:rPr>
          <w:rFonts w:hint="eastAsia" w:ascii="仿宋_GB2312" w:eastAsia="仿宋_GB2312"/>
          <w:sz w:val="30"/>
          <w:szCs w:val="30"/>
        </w:rPr>
        <w:t>（四）竣工时间。</w:t>
      </w:r>
    </w:p>
    <w:p w14:paraId="079C4120">
      <w:pPr>
        <w:spacing w:after="120"/>
        <w:ind w:firstLine="600"/>
        <w:rPr>
          <w:rFonts w:ascii="仿宋_GB2312" w:eastAsia="仿宋_GB2312"/>
          <w:sz w:val="30"/>
          <w:szCs w:val="30"/>
        </w:rPr>
      </w:pPr>
      <w:r>
        <w:rPr>
          <w:rFonts w:hint="eastAsia" w:ascii="仿宋_GB2312" w:eastAsia="仿宋_GB2312"/>
          <w:sz w:val="30"/>
          <w:szCs w:val="30"/>
        </w:rPr>
        <w:t>（五）缺陷责任期。</w:t>
      </w:r>
    </w:p>
    <w:p w14:paraId="208FB10C">
      <w:pPr>
        <w:spacing w:after="120"/>
        <w:ind w:firstLine="600"/>
        <w:rPr>
          <w:rFonts w:ascii="仿宋_GB2312" w:eastAsia="仿宋_GB2312"/>
          <w:sz w:val="30"/>
          <w:szCs w:val="30"/>
        </w:rPr>
      </w:pPr>
      <w:r>
        <w:rPr>
          <w:rFonts w:hint="eastAsia" w:ascii="仿宋_GB2312" w:eastAsia="仿宋_GB2312"/>
          <w:sz w:val="30"/>
          <w:szCs w:val="30"/>
        </w:rPr>
        <w:t>（六）其他时间要求。</w:t>
      </w:r>
    </w:p>
    <w:p w14:paraId="50A61338">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五、技术要求</w:t>
      </w:r>
    </w:p>
    <w:p w14:paraId="12E25181">
      <w:pPr>
        <w:spacing w:after="120"/>
        <w:ind w:firstLine="600"/>
        <w:rPr>
          <w:rFonts w:ascii="仿宋_GB2312" w:eastAsia="仿宋_GB2312"/>
          <w:sz w:val="30"/>
          <w:szCs w:val="30"/>
        </w:rPr>
      </w:pPr>
      <w:r>
        <w:rPr>
          <w:rFonts w:hint="eastAsia" w:ascii="仿宋_GB2312" w:eastAsia="仿宋_GB2312"/>
          <w:sz w:val="30"/>
          <w:szCs w:val="30"/>
        </w:rPr>
        <w:t>（一）设计阶段和设计任务。</w:t>
      </w:r>
    </w:p>
    <w:p w14:paraId="0D6EF0F3">
      <w:pPr>
        <w:spacing w:after="120"/>
        <w:ind w:firstLine="600"/>
        <w:rPr>
          <w:rFonts w:ascii="仿宋_GB2312" w:eastAsia="仿宋_GB2312"/>
          <w:sz w:val="30"/>
          <w:szCs w:val="30"/>
        </w:rPr>
      </w:pPr>
      <w:r>
        <w:rPr>
          <w:rFonts w:hint="eastAsia" w:ascii="仿宋_GB2312" w:eastAsia="仿宋_GB2312"/>
          <w:sz w:val="30"/>
          <w:szCs w:val="30"/>
        </w:rPr>
        <w:t>（二）设计标准和规范。</w:t>
      </w:r>
    </w:p>
    <w:p w14:paraId="36D9FB4C">
      <w:pPr>
        <w:spacing w:after="120"/>
        <w:ind w:firstLine="600"/>
        <w:rPr>
          <w:rFonts w:ascii="仿宋_GB2312" w:eastAsia="仿宋_GB2312"/>
          <w:sz w:val="30"/>
          <w:szCs w:val="30"/>
        </w:rPr>
      </w:pPr>
      <w:r>
        <w:rPr>
          <w:rFonts w:hint="eastAsia" w:ascii="仿宋_GB2312" w:eastAsia="仿宋_GB2312"/>
          <w:sz w:val="30"/>
          <w:szCs w:val="30"/>
        </w:rPr>
        <w:t>（三）技术标准和要求。</w:t>
      </w:r>
    </w:p>
    <w:p w14:paraId="72BD462F">
      <w:pPr>
        <w:spacing w:after="120"/>
        <w:ind w:firstLine="600"/>
        <w:rPr>
          <w:rFonts w:ascii="仿宋_GB2312" w:eastAsia="仿宋_GB2312"/>
          <w:sz w:val="30"/>
          <w:szCs w:val="30"/>
        </w:rPr>
      </w:pPr>
      <w:r>
        <w:rPr>
          <w:rFonts w:hint="eastAsia" w:ascii="仿宋_GB2312" w:eastAsia="仿宋_GB2312"/>
          <w:sz w:val="30"/>
          <w:szCs w:val="30"/>
        </w:rPr>
        <w:t>（四）质量标准。</w:t>
      </w:r>
    </w:p>
    <w:p w14:paraId="4A72F622">
      <w:pPr>
        <w:spacing w:after="120"/>
        <w:ind w:firstLine="600"/>
        <w:rPr>
          <w:rFonts w:ascii="仿宋_GB2312" w:eastAsia="仿宋_GB2312"/>
          <w:sz w:val="30"/>
          <w:szCs w:val="30"/>
        </w:rPr>
      </w:pPr>
      <w:r>
        <w:rPr>
          <w:rFonts w:hint="eastAsia" w:ascii="仿宋_GB2312" w:eastAsia="仿宋_GB2312"/>
          <w:sz w:val="30"/>
          <w:szCs w:val="30"/>
        </w:rPr>
        <w:t>（五）设计、施工和设备监造、试验（如有）。</w:t>
      </w:r>
    </w:p>
    <w:p w14:paraId="65BCD9DD">
      <w:pPr>
        <w:spacing w:after="120"/>
        <w:ind w:firstLine="600"/>
        <w:rPr>
          <w:rFonts w:ascii="仿宋_GB2312" w:eastAsia="仿宋_GB2312"/>
          <w:sz w:val="30"/>
          <w:szCs w:val="30"/>
        </w:rPr>
      </w:pPr>
      <w:r>
        <w:rPr>
          <w:rFonts w:hint="eastAsia" w:ascii="仿宋_GB2312" w:eastAsia="仿宋_GB2312"/>
          <w:sz w:val="30"/>
          <w:szCs w:val="30"/>
        </w:rPr>
        <w:t>（六）样品。</w:t>
      </w:r>
    </w:p>
    <w:p w14:paraId="3991E16B">
      <w:pPr>
        <w:spacing w:after="120"/>
        <w:ind w:firstLine="600"/>
        <w:rPr>
          <w:rFonts w:ascii="仿宋_GB2312" w:eastAsia="仿宋_GB2312"/>
          <w:sz w:val="30"/>
          <w:szCs w:val="30"/>
        </w:rPr>
      </w:pPr>
      <w:r>
        <w:rPr>
          <w:rFonts w:hint="eastAsia" w:ascii="仿宋_GB2312" w:eastAsia="仿宋_GB2312"/>
          <w:sz w:val="30"/>
          <w:szCs w:val="30"/>
        </w:rPr>
        <w:t>（七）发包人提供的其他条件，如发包人或其委托的第三人提供的设计、工艺包、用于试验检验的工器具等，以及据此对承包人提出的予以配套的要求。</w:t>
      </w:r>
    </w:p>
    <w:p w14:paraId="682766B7">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六、竣工试验</w:t>
      </w:r>
    </w:p>
    <w:p w14:paraId="334E9EFA">
      <w:pPr>
        <w:spacing w:after="120"/>
        <w:ind w:firstLine="600"/>
        <w:rPr>
          <w:rFonts w:ascii="仿宋_GB2312" w:eastAsia="仿宋_GB2312"/>
          <w:sz w:val="30"/>
          <w:szCs w:val="30"/>
        </w:rPr>
      </w:pPr>
      <w:r>
        <w:rPr>
          <w:rFonts w:hint="eastAsia" w:ascii="仿宋_GB2312" w:eastAsia="仿宋_GB2312"/>
          <w:sz w:val="30"/>
          <w:szCs w:val="30"/>
        </w:rPr>
        <w:t>（一）第一阶段，如对单车试验等的要求，包括试验前准备。</w:t>
      </w:r>
    </w:p>
    <w:p w14:paraId="728ED4AD">
      <w:pPr>
        <w:spacing w:after="120"/>
        <w:ind w:firstLine="600"/>
        <w:rPr>
          <w:rFonts w:ascii="仿宋_GB2312" w:eastAsia="仿宋_GB2312"/>
          <w:sz w:val="30"/>
          <w:szCs w:val="30"/>
        </w:rPr>
      </w:pPr>
      <w:r>
        <w:rPr>
          <w:rFonts w:hint="eastAsia" w:ascii="仿宋_GB2312" w:eastAsia="仿宋_GB2312"/>
          <w:sz w:val="30"/>
          <w:szCs w:val="30"/>
        </w:rPr>
        <w:t>（二）第二阶段，如对联动试车、投料试车等的要求，包括人员、设备、材料、燃料、电力、消耗品、工具等必要条件。</w:t>
      </w:r>
    </w:p>
    <w:p w14:paraId="452EE519">
      <w:pPr>
        <w:spacing w:after="120"/>
        <w:ind w:firstLine="600"/>
        <w:rPr>
          <w:rFonts w:ascii="仿宋_GB2312" w:eastAsia="仿宋_GB2312"/>
          <w:sz w:val="30"/>
          <w:szCs w:val="30"/>
        </w:rPr>
      </w:pPr>
      <w:r>
        <w:rPr>
          <w:rFonts w:hint="eastAsia" w:ascii="仿宋_GB2312" w:eastAsia="仿宋_GB2312"/>
          <w:sz w:val="30"/>
          <w:szCs w:val="30"/>
        </w:rPr>
        <w:t>（三）第三阶段，如对性能测试及其他竣工试验的要求，包括产能指标、产品质量标准、运营指标、环保指标等。</w:t>
      </w:r>
    </w:p>
    <w:p w14:paraId="38E53E35">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七、竣工验收</w:t>
      </w:r>
    </w:p>
    <w:p w14:paraId="2FAACC68">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八、竣工后试验（如有）</w:t>
      </w:r>
    </w:p>
    <w:p w14:paraId="052A6255">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九、文件要求</w:t>
      </w:r>
    </w:p>
    <w:p w14:paraId="3E31EC63">
      <w:pPr>
        <w:spacing w:after="120"/>
        <w:ind w:firstLine="600"/>
        <w:rPr>
          <w:rFonts w:ascii="仿宋_GB2312" w:eastAsia="仿宋_GB2312"/>
          <w:sz w:val="30"/>
          <w:szCs w:val="30"/>
        </w:rPr>
      </w:pPr>
      <w:r>
        <w:rPr>
          <w:rFonts w:hint="eastAsia" w:ascii="仿宋_GB2312" w:eastAsia="仿宋_GB2312"/>
          <w:sz w:val="30"/>
          <w:szCs w:val="30"/>
        </w:rPr>
        <w:t>（一）设计文件，及其相关审批、核准、备案要求。</w:t>
      </w:r>
    </w:p>
    <w:p w14:paraId="072666D9">
      <w:pPr>
        <w:spacing w:after="120"/>
        <w:ind w:firstLine="600"/>
        <w:rPr>
          <w:rFonts w:ascii="仿宋_GB2312" w:eastAsia="仿宋_GB2312"/>
          <w:sz w:val="30"/>
          <w:szCs w:val="30"/>
        </w:rPr>
      </w:pPr>
      <w:r>
        <w:rPr>
          <w:rFonts w:hint="eastAsia" w:ascii="仿宋_GB2312" w:eastAsia="仿宋_GB2312"/>
          <w:sz w:val="30"/>
          <w:szCs w:val="30"/>
        </w:rPr>
        <w:t>（二）沟通计划。</w:t>
      </w:r>
    </w:p>
    <w:p w14:paraId="3CEBD0C8">
      <w:pPr>
        <w:spacing w:after="120"/>
        <w:ind w:firstLine="600"/>
        <w:rPr>
          <w:rFonts w:ascii="仿宋_GB2312" w:eastAsia="仿宋_GB2312"/>
          <w:sz w:val="30"/>
          <w:szCs w:val="30"/>
        </w:rPr>
      </w:pPr>
      <w:r>
        <w:rPr>
          <w:rFonts w:hint="eastAsia" w:ascii="仿宋_GB2312" w:eastAsia="仿宋_GB2312"/>
          <w:sz w:val="30"/>
          <w:szCs w:val="30"/>
        </w:rPr>
        <w:t>（三）风险管理计划。</w:t>
      </w:r>
    </w:p>
    <w:p w14:paraId="3762F015">
      <w:pPr>
        <w:spacing w:after="120"/>
        <w:ind w:firstLine="600"/>
        <w:rPr>
          <w:rFonts w:ascii="仿宋_GB2312" w:eastAsia="仿宋_GB2312"/>
          <w:sz w:val="30"/>
          <w:szCs w:val="30"/>
        </w:rPr>
      </w:pPr>
      <w:r>
        <w:rPr>
          <w:rFonts w:hint="eastAsia" w:ascii="仿宋_GB2312" w:eastAsia="仿宋_GB2312"/>
          <w:sz w:val="30"/>
          <w:szCs w:val="30"/>
        </w:rPr>
        <w:t>（四）竣工文件和工程的其他记录。</w:t>
      </w:r>
    </w:p>
    <w:p w14:paraId="29938033">
      <w:pPr>
        <w:spacing w:after="120"/>
        <w:ind w:firstLine="600"/>
        <w:rPr>
          <w:rFonts w:ascii="仿宋_GB2312" w:eastAsia="仿宋_GB2312"/>
          <w:sz w:val="30"/>
          <w:szCs w:val="30"/>
        </w:rPr>
      </w:pPr>
      <w:r>
        <w:rPr>
          <w:rFonts w:hint="eastAsia" w:ascii="仿宋_GB2312" w:eastAsia="仿宋_GB2312"/>
          <w:sz w:val="30"/>
          <w:szCs w:val="30"/>
        </w:rPr>
        <w:t>（五）操作和维修手册。</w:t>
      </w:r>
    </w:p>
    <w:p w14:paraId="49D7C369">
      <w:pPr>
        <w:spacing w:after="120"/>
        <w:ind w:firstLine="600"/>
        <w:rPr>
          <w:rFonts w:ascii="仿宋_GB2312" w:eastAsia="仿宋_GB2312"/>
          <w:sz w:val="30"/>
          <w:szCs w:val="30"/>
        </w:rPr>
      </w:pPr>
      <w:r>
        <w:rPr>
          <w:rFonts w:hint="eastAsia" w:ascii="仿宋_GB2312" w:eastAsia="仿宋_GB2312"/>
          <w:sz w:val="30"/>
          <w:szCs w:val="30"/>
        </w:rPr>
        <w:t>（六）其他承包人文件。</w:t>
      </w:r>
    </w:p>
    <w:p w14:paraId="6ABC7A4C">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十、工程项目管理规定</w:t>
      </w:r>
    </w:p>
    <w:p w14:paraId="03C81E80">
      <w:pPr>
        <w:spacing w:after="120"/>
        <w:ind w:firstLine="600"/>
        <w:rPr>
          <w:rFonts w:ascii="仿宋_GB2312" w:eastAsia="仿宋_GB2312"/>
          <w:sz w:val="30"/>
          <w:szCs w:val="30"/>
        </w:rPr>
      </w:pPr>
      <w:r>
        <w:rPr>
          <w:rFonts w:hint="eastAsia" w:ascii="仿宋_GB2312" w:eastAsia="仿宋_GB2312"/>
          <w:sz w:val="30"/>
          <w:szCs w:val="30"/>
        </w:rPr>
        <w:t>（一）质量。</w:t>
      </w:r>
    </w:p>
    <w:p w14:paraId="0511C1C5">
      <w:pPr>
        <w:spacing w:after="120"/>
        <w:ind w:firstLine="600"/>
        <w:rPr>
          <w:rFonts w:ascii="仿宋_GB2312" w:eastAsia="仿宋_GB2312"/>
          <w:sz w:val="30"/>
          <w:szCs w:val="30"/>
        </w:rPr>
      </w:pPr>
      <w:r>
        <w:rPr>
          <w:rFonts w:hint="eastAsia" w:ascii="仿宋_GB2312" w:eastAsia="仿宋_GB2312"/>
          <w:sz w:val="30"/>
          <w:szCs w:val="30"/>
        </w:rPr>
        <w:t>（二）进度，包括里程碑进度计划（如果有）。</w:t>
      </w:r>
    </w:p>
    <w:p w14:paraId="40345143">
      <w:pPr>
        <w:spacing w:after="120"/>
        <w:ind w:firstLine="600"/>
        <w:rPr>
          <w:rFonts w:ascii="仿宋_GB2312" w:eastAsia="仿宋_GB2312"/>
          <w:sz w:val="30"/>
          <w:szCs w:val="30"/>
        </w:rPr>
      </w:pPr>
      <w:r>
        <w:rPr>
          <w:rFonts w:hint="eastAsia" w:ascii="仿宋_GB2312" w:eastAsia="仿宋_GB2312"/>
          <w:sz w:val="30"/>
          <w:szCs w:val="30"/>
        </w:rPr>
        <w:t>（三）支付。</w:t>
      </w:r>
    </w:p>
    <w:p w14:paraId="597EF280">
      <w:pPr>
        <w:spacing w:after="120"/>
        <w:ind w:firstLine="600"/>
        <w:rPr>
          <w:rFonts w:ascii="仿宋_GB2312" w:eastAsia="仿宋_GB2312"/>
          <w:sz w:val="30"/>
          <w:szCs w:val="30"/>
        </w:rPr>
      </w:pPr>
      <w:r>
        <w:rPr>
          <w:rFonts w:hint="eastAsia" w:ascii="仿宋_GB2312" w:eastAsia="仿宋_GB2312"/>
          <w:sz w:val="30"/>
          <w:szCs w:val="30"/>
        </w:rPr>
        <w:t>（四）HSE（健康、安全与环境管理体系）。</w:t>
      </w:r>
    </w:p>
    <w:p w14:paraId="022E25C5">
      <w:pPr>
        <w:spacing w:after="120"/>
        <w:ind w:firstLine="600"/>
        <w:rPr>
          <w:rFonts w:ascii="仿宋_GB2312" w:eastAsia="仿宋_GB2312"/>
          <w:sz w:val="30"/>
          <w:szCs w:val="30"/>
        </w:rPr>
      </w:pPr>
      <w:r>
        <w:rPr>
          <w:rFonts w:hint="eastAsia" w:ascii="仿宋_GB2312" w:eastAsia="仿宋_GB2312"/>
          <w:sz w:val="30"/>
          <w:szCs w:val="30"/>
        </w:rPr>
        <w:t>（五）沟通。</w:t>
      </w:r>
    </w:p>
    <w:p w14:paraId="345DA98D">
      <w:pPr>
        <w:spacing w:after="120"/>
        <w:ind w:firstLine="600"/>
        <w:rPr>
          <w:rFonts w:ascii="仿宋_GB2312" w:eastAsia="仿宋_GB2312"/>
          <w:sz w:val="30"/>
          <w:szCs w:val="30"/>
        </w:rPr>
      </w:pPr>
      <w:r>
        <w:rPr>
          <w:rFonts w:hint="eastAsia" w:ascii="仿宋_GB2312" w:eastAsia="仿宋_GB2312"/>
          <w:sz w:val="30"/>
          <w:szCs w:val="30"/>
        </w:rPr>
        <w:t>（六）变更。</w:t>
      </w:r>
    </w:p>
    <w:p w14:paraId="4DAB660A">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十一、其他要求</w:t>
      </w:r>
    </w:p>
    <w:p w14:paraId="7D728910">
      <w:pPr>
        <w:spacing w:after="120"/>
        <w:ind w:firstLine="600"/>
        <w:rPr>
          <w:rFonts w:ascii="仿宋_GB2312" w:eastAsia="仿宋_GB2312"/>
          <w:sz w:val="30"/>
          <w:szCs w:val="30"/>
        </w:rPr>
      </w:pPr>
      <w:r>
        <w:rPr>
          <w:rFonts w:hint="eastAsia" w:ascii="仿宋_GB2312" w:eastAsia="仿宋_GB2312"/>
          <w:sz w:val="30"/>
          <w:szCs w:val="30"/>
        </w:rPr>
        <w:t>（一）对承包人的主要人员资格要求。</w:t>
      </w:r>
    </w:p>
    <w:p w14:paraId="714CE273">
      <w:pPr>
        <w:spacing w:after="120"/>
        <w:ind w:firstLine="600"/>
        <w:rPr>
          <w:rFonts w:ascii="仿宋_GB2312" w:eastAsia="仿宋_GB2312"/>
          <w:sz w:val="30"/>
          <w:szCs w:val="30"/>
        </w:rPr>
      </w:pPr>
      <w:r>
        <w:rPr>
          <w:rFonts w:hint="eastAsia" w:ascii="仿宋_GB2312" w:eastAsia="仿宋_GB2312"/>
          <w:sz w:val="30"/>
          <w:szCs w:val="30"/>
        </w:rPr>
        <w:t>（二）相关审批、核准和备案手续的办理。</w:t>
      </w:r>
    </w:p>
    <w:p w14:paraId="64658FF4">
      <w:pPr>
        <w:spacing w:after="120"/>
        <w:ind w:firstLine="600"/>
        <w:rPr>
          <w:rFonts w:ascii="仿宋_GB2312" w:eastAsia="仿宋_GB2312"/>
          <w:sz w:val="30"/>
          <w:szCs w:val="30"/>
        </w:rPr>
      </w:pPr>
      <w:r>
        <w:rPr>
          <w:rFonts w:hint="eastAsia" w:ascii="仿宋_GB2312" w:eastAsia="仿宋_GB2312"/>
          <w:sz w:val="30"/>
          <w:szCs w:val="30"/>
        </w:rPr>
        <w:t>（三）对项目业主人员的操作培训。</w:t>
      </w:r>
    </w:p>
    <w:p w14:paraId="51DDC0CA">
      <w:pPr>
        <w:spacing w:after="120"/>
        <w:ind w:firstLine="600"/>
        <w:rPr>
          <w:rFonts w:ascii="仿宋_GB2312" w:eastAsia="仿宋_GB2312"/>
          <w:sz w:val="30"/>
          <w:szCs w:val="30"/>
        </w:rPr>
      </w:pPr>
      <w:r>
        <w:rPr>
          <w:rFonts w:hint="eastAsia" w:ascii="仿宋_GB2312" w:eastAsia="仿宋_GB2312"/>
          <w:sz w:val="30"/>
          <w:szCs w:val="30"/>
        </w:rPr>
        <w:t>（四）分包。</w:t>
      </w:r>
    </w:p>
    <w:p w14:paraId="4B133DBA">
      <w:pPr>
        <w:spacing w:after="120"/>
        <w:ind w:firstLine="600"/>
        <w:rPr>
          <w:rFonts w:ascii="仿宋_GB2312" w:eastAsia="仿宋_GB2312"/>
          <w:sz w:val="30"/>
          <w:szCs w:val="30"/>
        </w:rPr>
      </w:pPr>
      <w:r>
        <w:rPr>
          <w:rFonts w:hint="eastAsia" w:ascii="仿宋_GB2312" w:eastAsia="仿宋_GB2312"/>
          <w:sz w:val="30"/>
          <w:szCs w:val="30"/>
        </w:rPr>
        <w:t>（五）设备供应商。</w:t>
      </w:r>
    </w:p>
    <w:p w14:paraId="7103AF62">
      <w:pPr>
        <w:spacing w:after="120"/>
        <w:ind w:left="600" w:firstLine="0" w:firstLineChars="0"/>
        <w:rPr>
          <w:rFonts w:ascii="仿宋_GB2312" w:eastAsia="仿宋_GB2312"/>
          <w:sz w:val="30"/>
          <w:szCs w:val="30"/>
        </w:rPr>
      </w:pPr>
      <w:r>
        <w:rPr>
          <w:rFonts w:hint="eastAsia" w:ascii="仿宋_GB2312" w:eastAsia="仿宋_GB2312"/>
          <w:sz w:val="30"/>
          <w:szCs w:val="30"/>
        </w:rPr>
        <w:t>（六）缺陷责任期的服务要求。</w:t>
      </w:r>
    </w:p>
    <w:p w14:paraId="387EB8D5">
      <w:pPr>
        <w:wordWrap/>
        <w:topLinePunct w:val="0"/>
        <w:adjustRightInd/>
        <w:snapToGrid/>
        <w:spacing w:afterLines="0" w:line="240" w:lineRule="auto"/>
        <w:ind w:firstLine="0" w:firstLineChars="0"/>
        <w:jc w:val="left"/>
      </w:pPr>
    </w:p>
    <w:p w14:paraId="22573AEE">
      <w:pPr>
        <w:wordWrap/>
        <w:topLinePunct w:val="0"/>
        <w:adjustRightInd/>
        <w:snapToGrid/>
        <w:spacing w:afterLines="0" w:line="240" w:lineRule="auto"/>
        <w:ind w:firstLine="0" w:firstLineChars="0"/>
        <w:jc w:val="left"/>
      </w:pPr>
    </w:p>
    <w:p w14:paraId="4B9856A7">
      <w:pPr>
        <w:pStyle w:val="106"/>
        <w:numPr>
          <w:ilvl w:val="0"/>
          <w:numId w:val="0"/>
        </w:numPr>
        <w:spacing w:after="120"/>
        <w:jc w:val="center"/>
        <w:outlineLvl w:val="1"/>
        <w:rPr>
          <w:rFonts w:ascii="仿宋" w:hAnsi="仿宋" w:eastAsia="仿宋" w:cs="仿宋"/>
          <w:b/>
          <w:bCs/>
          <w:sz w:val="32"/>
          <w:szCs w:val="32"/>
        </w:rPr>
      </w:pPr>
      <w:bookmarkStart w:id="925" w:name="_Toc11729"/>
      <w:bookmarkStart w:id="926" w:name="_Toc20171894"/>
      <w:bookmarkStart w:id="927" w:name="_Toc23730"/>
      <w:bookmarkStart w:id="928" w:name="_Toc9682"/>
      <w:bookmarkStart w:id="929" w:name="_Toc54862353"/>
      <w:r>
        <w:rPr>
          <w:rFonts w:hint="eastAsia" w:ascii="仿宋" w:hAnsi="仿宋" w:eastAsia="仿宋" w:cs="仿宋"/>
          <w:b/>
          <w:bCs/>
          <w:sz w:val="32"/>
          <w:szCs w:val="32"/>
        </w:rPr>
        <w:t>附件2 发包人供应材料设备一览表</w:t>
      </w:r>
      <w:bookmarkEnd w:id="925"/>
      <w:bookmarkEnd w:id="926"/>
      <w:bookmarkEnd w:id="927"/>
      <w:bookmarkEnd w:id="928"/>
      <w:bookmarkEnd w:id="929"/>
    </w:p>
    <w:tbl>
      <w:tblPr>
        <w:tblStyle w:val="55"/>
        <w:tblW w:w="91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52"/>
        <w:gridCol w:w="1165"/>
        <w:gridCol w:w="1126"/>
        <w:gridCol w:w="567"/>
        <w:gridCol w:w="686"/>
        <w:gridCol w:w="992"/>
        <w:gridCol w:w="1134"/>
        <w:gridCol w:w="1134"/>
        <w:gridCol w:w="1134"/>
        <w:gridCol w:w="709"/>
      </w:tblGrid>
      <w:tr w14:paraId="50001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33" w:hRule="atLeast"/>
          <w:jc w:val="center"/>
        </w:trPr>
        <w:tc>
          <w:tcPr>
            <w:tcW w:w="552" w:type="dxa"/>
            <w:tcBorders>
              <w:top w:val="single" w:color="auto" w:sz="12" w:space="0"/>
              <w:bottom w:val="double" w:color="auto" w:sz="6" w:space="0"/>
            </w:tcBorders>
            <w:vAlign w:val="center"/>
          </w:tcPr>
          <w:p w14:paraId="21ABD014">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序号</w:t>
            </w:r>
          </w:p>
        </w:tc>
        <w:tc>
          <w:tcPr>
            <w:tcW w:w="1165" w:type="dxa"/>
            <w:tcBorders>
              <w:top w:val="single" w:color="auto" w:sz="12" w:space="0"/>
              <w:bottom w:val="double" w:color="auto" w:sz="6" w:space="0"/>
            </w:tcBorders>
            <w:vAlign w:val="center"/>
          </w:tcPr>
          <w:p w14:paraId="6603DCB9">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材料、设备品种</w:t>
            </w:r>
          </w:p>
        </w:tc>
        <w:tc>
          <w:tcPr>
            <w:tcW w:w="1126" w:type="dxa"/>
            <w:tcBorders>
              <w:top w:val="single" w:color="auto" w:sz="12" w:space="0"/>
              <w:bottom w:val="double" w:color="auto" w:sz="6" w:space="0"/>
            </w:tcBorders>
            <w:vAlign w:val="center"/>
          </w:tcPr>
          <w:p w14:paraId="1E9D98D8">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规格型号</w:t>
            </w:r>
          </w:p>
        </w:tc>
        <w:tc>
          <w:tcPr>
            <w:tcW w:w="567" w:type="dxa"/>
            <w:tcBorders>
              <w:top w:val="single" w:color="auto" w:sz="12" w:space="0"/>
              <w:bottom w:val="double" w:color="auto" w:sz="6" w:space="0"/>
            </w:tcBorders>
            <w:vAlign w:val="center"/>
          </w:tcPr>
          <w:p w14:paraId="4C33BE50">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单位</w:t>
            </w:r>
          </w:p>
        </w:tc>
        <w:tc>
          <w:tcPr>
            <w:tcW w:w="686" w:type="dxa"/>
            <w:tcBorders>
              <w:top w:val="single" w:color="auto" w:sz="12" w:space="0"/>
              <w:bottom w:val="double" w:color="auto" w:sz="6" w:space="0"/>
            </w:tcBorders>
            <w:vAlign w:val="center"/>
          </w:tcPr>
          <w:p w14:paraId="53656EF6">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数量</w:t>
            </w:r>
          </w:p>
        </w:tc>
        <w:tc>
          <w:tcPr>
            <w:tcW w:w="992" w:type="dxa"/>
            <w:tcBorders>
              <w:top w:val="single" w:color="auto" w:sz="12" w:space="0"/>
              <w:bottom w:val="double" w:color="auto" w:sz="6" w:space="0"/>
            </w:tcBorders>
            <w:vAlign w:val="center"/>
          </w:tcPr>
          <w:p w14:paraId="40A53188">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单价（元）</w:t>
            </w:r>
          </w:p>
        </w:tc>
        <w:tc>
          <w:tcPr>
            <w:tcW w:w="1134" w:type="dxa"/>
            <w:tcBorders>
              <w:top w:val="single" w:color="auto" w:sz="12" w:space="0"/>
              <w:bottom w:val="double" w:color="auto" w:sz="6" w:space="0"/>
            </w:tcBorders>
            <w:vAlign w:val="center"/>
          </w:tcPr>
          <w:p w14:paraId="1DC4A37D">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质量等级</w:t>
            </w:r>
          </w:p>
        </w:tc>
        <w:tc>
          <w:tcPr>
            <w:tcW w:w="1134" w:type="dxa"/>
            <w:tcBorders>
              <w:top w:val="single" w:color="auto" w:sz="12" w:space="0"/>
              <w:bottom w:val="double" w:color="auto" w:sz="6" w:space="0"/>
            </w:tcBorders>
            <w:vAlign w:val="center"/>
          </w:tcPr>
          <w:p w14:paraId="2E17C172">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供应时间</w:t>
            </w:r>
          </w:p>
        </w:tc>
        <w:tc>
          <w:tcPr>
            <w:tcW w:w="1134" w:type="dxa"/>
            <w:tcBorders>
              <w:top w:val="single" w:color="auto" w:sz="12" w:space="0"/>
              <w:bottom w:val="double" w:color="auto" w:sz="6" w:space="0"/>
            </w:tcBorders>
            <w:vAlign w:val="center"/>
          </w:tcPr>
          <w:p w14:paraId="6FCAFB93">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送达地点</w:t>
            </w:r>
          </w:p>
        </w:tc>
        <w:tc>
          <w:tcPr>
            <w:tcW w:w="709" w:type="dxa"/>
            <w:tcBorders>
              <w:top w:val="single" w:color="auto" w:sz="12" w:space="0"/>
              <w:bottom w:val="double" w:color="auto" w:sz="6" w:space="0"/>
            </w:tcBorders>
            <w:vAlign w:val="center"/>
          </w:tcPr>
          <w:p w14:paraId="3F1556BE">
            <w:pPr>
              <w:wordWrap/>
              <w:topLinePunct w:val="0"/>
              <w:spacing w:afterLines="0" w:line="240" w:lineRule="auto"/>
              <w:ind w:firstLine="0" w:firstLineChars="0"/>
              <w:jc w:val="center"/>
              <w:rPr>
                <w:rFonts w:ascii="仿宋_GB2312" w:eastAsia="仿宋_GB2312"/>
                <w:sz w:val="30"/>
                <w:szCs w:val="30"/>
              </w:rPr>
            </w:pPr>
            <w:r>
              <w:rPr>
                <w:rFonts w:hint="eastAsia" w:ascii="仿宋_GB2312" w:eastAsia="仿宋_GB2312"/>
                <w:sz w:val="30"/>
                <w:szCs w:val="30"/>
              </w:rPr>
              <w:t>备注</w:t>
            </w:r>
          </w:p>
        </w:tc>
      </w:tr>
      <w:tr w14:paraId="5F3D8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double" w:color="auto" w:sz="6" w:space="0"/>
              <w:bottom w:val="single" w:color="auto" w:sz="6" w:space="0"/>
            </w:tcBorders>
            <w:vAlign w:val="center"/>
          </w:tcPr>
          <w:p w14:paraId="03FA9C0B">
            <w:pPr>
              <w:wordWrap/>
              <w:topLinePunct w:val="0"/>
              <w:spacing w:after="120"/>
              <w:rPr>
                <w:rFonts w:ascii="仿宋_GB2312" w:eastAsia="仿宋_GB2312"/>
              </w:rPr>
            </w:pPr>
          </w:p>
        </w:tc>
        <w:tc>
          <w:tcPr>
            <w:tcW w:w="1165" w:type="dxa"/>
            <w:tcBorders>
              <w:top w:val="double" w:color="auto" w:sz="6" w:space="0"/>
              <w:bottom w:val="single" w:color="auto" w:sz="6" w:space="0"/>
            </w:tcBorders>
            <w:vAlign w:val="center"/>
          </w:tcPr>
          <w:p w14:paraId="04DB3258">
            <w:pPr>
              <w:wordWrap/>
              <w:topLinePunct w:val="0"/>
              <w:spacing w:after="120"/>
              <w:rPr>
                <w:rFonts w:ascii="仿宋_GB2312" w:eastAsia="仿宋_GB2312"/>
              </w:rPr>
            </w:pPr>
          </w:p>
        </w:tc>
        <w:tc>
          <w:tcPr>
            <w:tcW w:w="1126" w:type="dxa"/>
            <w:tcBorders>
              <w:top w:val="double" w:color="auto" w:sz="6" w:space="0"/>
              <w:bottom w:val="single" w:color="auto" w:sz="6" w:space="0"/>
            </w:tcBorders>
            <w:vAlign w:val="center"/>
          </w:tcPr>
          <w:p w14:paraId="09F84B3F">
            <w:pPr>
              <w:wordWrap/>
              <w:topLinePunct w:val="0"/>
              <w:spacing w:after="120"/>
              <w:rPr>
                <w:rFonts w:ascii="仿宋_GB2312" w:eastAsia="仿宋_GB2312"/>
              </w:rPr>
            </w:pPr>
          </w:p>
        </w:tc>
        <w:tc>
          <w:tcPr>
            <w:tcW w:w="567" w:type="dxa"/>
            <w:tcBorders>
              <w:top w:val="double" w:color="auto" w:sz="6" w:space="0"/>
              <w:bottom w:val="single" w:color="auto" w:sz="6" w:space="0"/>
            </w:tcBorders>
            <w:vAlign w:val="center"/>
          </w:tcPr>
          <w:p w14:paraId="48CB6C87">
            <w:pPr>
              <w:wordWrap/>
              <w:topLinePunct w:val="0"/>
              <w:spacing w:after="120"/>
              <w:rPr>
                <w:rFonts w:ascii="仿宋_GB2312" w:eastAsia="仿宋_GB2312"/>
              </w:rPr>
            </w:pPr>
          </w:p>
        </w:tc>
        <w:tc>
          <w:tcPr>
            <w:tcW w:w="686" w:type="dxa"/>
            <w:tcBorders>
              <w:top w:val="double" w:color="auto" w:sz="6" w:space="0"/>
              <w:bottom w:val="single" w:color="auto" w:sz="6" w:space="0"/>
            </w:tcBorders>
            <w:vAlign w:val="center"/>
          </w:tcPr>
          <w:p w14:paraId="12E648AE">
            <w:pPr>
              <w:wordWrap/>
              <w:topLinePunct w:val="0"/>
              <w:spacing w:after="120"/>
              <w:rPr>
                <w:rFonts w:ascii="仿宋_GB2312" w:eastAsia="仿宋_GB2312"/>
              </w:rPr>
            </w:pPr>
          </w:p>
        </w:tc>
        <w:tc>
          <w:tcPr>
            <w:tcW w:w="992" w:type="dxa"/>
            <w:tcBorders>
              <w:top w:val="double" w:color="auto" w:sz="6" w:space="0"/>
              <w:bottom w:val="single" w:color="auto" w:sz="6" w:space="0"/>
            </w:tcBorders>
          </w:tcPr>
          <w:p w14:paraId="15D72289">
            <w:pPr>
              <w:wordWrap/>
              <w:topLinePunct w:val="0"/>
              <w:spacing w:after="120"/>
              <w:rPr>
                <w:rFonts w:ascii="仿宋_GB2312" w:eastAsia="仿宋_GB2312"/>
              </w:rPr>
            </w:pPr>
          </w:p>
        </w:tc>
        <w:tc>
          <w:tcPr>
            <w:tcW w:w="1134" w:type="dxa"/>
            <w:tcBorders>
              <w:top w:val="double" w:color="auto" w:sz="6" w:space="0"/>
              <w:bottom w:val="single" w:color="auto" w:sz="6" w:space="0"/>
            </w:tcBorders>
            <w:vAlign w:val="center"/>
          </w:tcPr>
          <w:p w14:paraId="707202DA">
            <w:pPr>
              <w:wordWrap/>
              <w:topLinePunct w:val="0"/>
              <w:spacing w:after="120"/>
              <w:rPr>
                <w:rFonts w:ascii="仿宋_GB2312" w:eastAsia="仿宋_GB2312"/>
              </w:rPr>
            </w:pPr>
          </w:p>
        </w:tc>
        <w:tc>
          <w:tcPr>
            <w:tcW w:w="1134" w:type="dxa"/>
            <w:tcBorders>
              <w:top w:val="double" w:color="auto" w:sz="6" w:space="0"/>
              <w:bottom w:val="single" w:color="auto" w:sz="6" w:space="0"/>
            </w:tcBorders>
            <w:vAlign w:val="center"/>
          </w:tcPr>
          <w:p w14:paraId="57DF63FB">
            <w:pPr>
              <w:wordWrap/>
              <w:topLinePunct w:val="0"/>
              <w:spacing w:after="120"/>
              <w:rPr>
                <w:rFonts w:ascii="仿宋_GB2312" w:eastAsia="仿宋_GB2312"/>
              </w:rPr>
            </w:pPr>
          </w:p>
        </w:tc>
        <w:tc>
          <w:tcPr>
            <w:tcW w:w="1134" w:type="dxa"/>
            <w:tcBorders>
              <w:top w:val="double" w:color="auto" w:sz="6" w:space="0"/>
              <w:bottom w:val="single" w:color="auto" w:sz="6" w:space="0"/>
            </w:tcBorders>
            <w:vAlign w:val="center"/>
          </w:tcPr>
          <w:p w14:paraId="070C3853">
            <w:pPr>
              <w:wordWrap/>
              <w:topLinePunct w:val="0"/>
              <w:spacing w:after="120"/>
              <w:rPr>
                <w:rFonts w:ascii="仿宋_GB2312" w:eastAsia="仿宋_GB2312"/>
              </w:rPr>
            </w:pPr>
          </w:p>
        </w:tc>
        <w:tc>
          <w:tcPr>
            <w:tcW w:w="709" w:type="dxa"/>
            <w:tcBorders>
              <w:top w:val="double" w:color="auto" w:sz="6" w:space="0"/>
              <w:bottom w:val="single" w:color="auto" w:sz="6" w:space="0"/>
            </w:tcBorders>
            <w:vAlign w:val="center"/>
          </w:tcPr>
          <w:p w14:paraId="2C067668">
            <w:pPr>
              <w:wordWrap/>
              <w:topLinePunct w:val="0"/>
              <w:spacing w:after="120"/>
              <w:rPr>
                <w:rFonts w:ascii="仿宋_GB2312" w:eastAsia="仿宋_GB2312"/>
              </w:rPr>
            </w:pPr>
          </w:p>
        </w:tc>
      </w:tr>
      <w:tr w14:paraId="50C36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tcBorders>
              <w:top w:val="nil"/>
            </w:tcBorders>
            <w:vAlign w:val="center"/>
          </w:tcPr>
          <w:p w14:paraId="3D068D79">
            <w:pPr>
              <w:wordWrap/>
              <w:topLinePunct w:val="0"/>
              <w:spacing w:after="120"/>
              <w:rPr>
                <w:rFonts w:ascii="仿宋_GB2312" w:eastAsia="仿宋_GB2312"/>
              </w:rPr>
            </w:pPr>
          </w:p>
        </w:tc>
        <w:tc>
          <w:tcPr>
            <w:tcW w:w="1165" w:type="dxa"/>
            <w:tcBorders>
              <w:top w:val="nil"/>
            </w:tcBorders>
            <w:vAlign w:val="center"/>
          </w:tcPr>
          <w:p w14:paraId="522996E8">
            <w:pPr>
              <w:wordWrap/>
              <w:topLinePunct w:val="0"/>
              <w:spacing w:after="120"/>
              <w:rPr>
                <w:rFonts w:ascii="仿宋_GB2312" w:eastAsia="仿宋_GB2312"/>
              </w:rPr>
            </w:pPr>
          </w:p>
        </w:tc>
        <w:tc>
          <w:tcPr>
            <w:tcW w:w="1126" w:type="dxa"/>
            <w:tcBorders>
              <w:top w:val="nil"/>
            </w:tcBorders>
            <w:vAlign w:val="center"/>
          </w:tcPr>
          <w:p w14:paraId="3996F42E">
            <w:pPr>
              <w:wordWrap/>
              <w:topLinePunct w:val="0"/>
              <w:spacing w:after="120"/>
              <w:rPr>
                <w:rFonts w:ascii="仿宋_GB2312" w:eastAsia="仿宋_GB2312"/>
              </w:rPr>
            </w:pPr>
          </w:p>
        </w:tc>
        <w:tc>
          <w:tcPr>
            <w:tcW w:w="567" w:type="dxa"/>
            <w:tcBorders>
              <w:top w:val="nil"/>
            </w:tcBorders>
            <w:vAlign w:val="center"/>
          </w:tcPr>
          <w:p w14:paraId="76A6FD13">
            <w:pPr>
              <w:wordWrap/>
              <w:topLinePunct w:val="0"/>
              <w:spacing w:after="120"/>
              <w:rPr>
                <w:rFonts w:ascii="仿宋_GB2312" w:eastAsia="仿宋_GB2312"/>
              </w:rPr>
            </w:pPr>
          </w:p>
        </w:tc>
        <w:tc>
          <w:tcPr>
            <w:tcW w:w="686" w:type="dxa"/>
            <w:tcBorders>
              <w:top w:val="nil"/>
            </w:tcBorders>
            <w:vAlign w:val="center"/>
          </w:tcPr>
          <w:p w14:paraId="1A497953">
            <w:pPr>
              <w:wordWrap/>
              <w:topLinePunct w:val="0"/>
              <w:spacing w:after="120"/>
              <w:rPr>
                <w:rFonts w:ascii="仿宋_GB2312" w:eastAsia="仿宋_GB2312"/>
              </w:rPr>
            </w:pPr>
          </w:p>
        </w:tc>
        <w:tc>
          <w:tcPr>
            <w:tcW w:w="992" w:type="dxa"/>
            <w:tcBorders>
              <w:top w:val="nil"/>
            </w:tcBorders>
          </w:tcPr>
          <w:p w14:paraId="41A5DA98">
            <w:pPr>
              <w:wordWrap/>
              <w:topLinePunct w:val="0"/>
              <w:spacing w:after="120"/>
              <w:rPr>
                <w:rFonts w:ascii="仿宋_GB2312" w:eastAsia="仿宋_GB2312"/>
              </w:rPr>
            </w:pPr>
          </w:p>
        </w:tc>
        <w:tc>
          <w:tcPr>
            <w:tcW w:w="1134" w:type="dxa"/>
            <w:tcBorders>
              <w:top w:val="nil"/>
            </w:tcBorders>
            <w:vAlign w:val="center"/>
          </w:tcPr>
          <w:p w14:paraId="2C2B1E61">
            <w:pPr>
              <w:wordWrap/>
              <w:topLinePunct w:val="0"/>
              <w:spacing w:after="120"/>
              <w:rPr>
                <w:rFonts w:ascii="仿宋_GB2312" w:eastAsia="仿宋_GB2312"/>
              </w:rPr>
            </w:pPr>
          </w:p>
        </w:tc>
        <w:tc>
          <w:tcPr>
            <w:tcW w:w="1134" w:type="dxa"/>
            <w:tcBorders>
              <w:top w:val="nil"/>
            </w:tcBorders>
            <w:vAlign w:val="center"/>
          </w:tcPr>
          <w:p w14:paraId="1BE98C49">
            <w:pPr>
              <w:wordWrap/>
              <w:topLinePunct w:val="0"/>
              <w:spacing w:after="120"/>
              <w:rPr>
                <w:rFonts w:ascii="仿宋_GB2312" w:eastAsia="仿宋_GB2312"/>
              </w:rPr>
            </w:pPr>
          </w:p>
        </w:tc>
        <w:tc>
          <w:tcPr>
            <w:tcW w:w="1134" w:type="dxa"/>
            <w:tcBorders>
              <w:top w:val="nil"/>
            </w:tcBorders>
            <w:vAlign w:val="center"/>
          </w:tcPr>
          <w:p w14:paraId="6A6FA5BE">
            <w:pPr>
              <w:wordWrap/>
              <w:topLinePunct w:val="0"/>
              <w:spacing w:after="120"/>
              <w:rPr>
                <w:rFonts w:ascii="仿宋_GB2312" w:eastAsia="仿宋_GB2312"/>
              </w:rPr>
            </w:pPr>
          </w:p>
        </w:tc>
        <w:tc>
          <w:tcPr>
            <w:tcW w:w="709" w:type="dxa"/>
            <w:tcBorders>
              <w:top w:val="nil"/>
            </w:tcBorders>
            <w:vAlign w:val="center"/>
          </w:tcPr>
          <w:p w14:paraId="20F491B1">
            <w:pPr>
              <w:wordWrap/>
              <w:topLinePunct w:val="0"/>
              <w:spacing w:after="120"/>
              <w:rPr>
                <w:rFonts w:ascii="仿宋_GB2312" w:eastAsia="仿宋_GB2312"/>
              </w:rPr>
            </w:pPr>
          </w:p>
        </w:tc>
      </w:tr>
      <w:tr w14:paraId="2DA7E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7E001C0E">
            <w:pPr>
              <w:wordWrap/>
              <w:topLinePunct w:val="0"/>
              <w:spacing w:after="120"/>
              <w:rPr>
                <w:rFonts w:ascii="仿宋_GB2312" w:eastAsia="仿宋_GB2312"/>
              </w:rPr>
            </w:pPr>
          </w:p>
        </w:tc>
        <w:tc>
          <w:tcPr>
            <w:tcW w:w="1165" w:type="dxa"/>
            <w:vAlign w:val="center"/>
          </w:tcPr>
          <w:p w14:paraId="07D178EB">
            <w:pPr>
              <w:wordWrap/>
              <w:topLinePunct w:val="0"/>
              <w:spacing w:after="120"/>
              <w:rPr>
                <w:rFonts w:ascii="仿宋_GB2312" w:eastAsia="仿宋_GB2312"/>
              </w:rPr>
            </w:pPr>
          </w:p>
        </w:tc>
        <w:tc>
          <w:tcPr>
            <w:tcW w:w="1126" w:type="dxa"/>
            <w:vAlign w:val="center"/>
          </w:tcPr>
          <w:p w14:paraId="67456933">
            <w:pPr>
              <w:wordWrap/>
              <w:topLinePunct w:val="0"/>
              <w:spacing w:after="120"/>
              <w:rPr>
                <w:rFonts w:ascii="仿宋_GB2312" w:eastAsia="仿宋_GB2312"/>
              </w:rPr>
            </w:pPr>
          </w:p>
        </w:tc>
        <w:tc>
          <w:tcPr>
            <w:tcW w:w="567" w:type="dxa"/>
            <w:vAlign w:val="center"/>
          </w:tcPr>
          <w:p w14:paraId="2F64DC75">
            <w:pPr>
              <w:wordWrap/>
              <w:topLinePunct w:val="0"/>
              <w:spacing w:after="120"/>
              <w:rPr>
                <w:rFonts w:ascii="仿宋_GB2312" w:eastAsia="仿宋_GB2312"/>
              </w:rPr>
            </w:pPr>
          </w:p>
        </w:tc>
        <w:tc>
          <w:tcPr>
            <w:tcW w:w="686" w:type="dxa"/>
            <w:vAlign w:val="center"/>
          </w:tcPr>
          <w:p w14:paraId="1EE95E2B">
            <w:pPr>
              <w:wordWrap/>
              <w:topLinePunct w:val="0"/>
              <w:spacing w:after="120"/>
              <w:rPr>
                <w:rFonts w:ascii="仿宋_GB2312" w:eastAsia="仿宋_GB2312"/>
              </w:rPr>
            </w:pPr>
          </w:p>
        </w:tc>
        <w:tc>
          <w:tcPr>
            <w:tcW w:w="992" w:type="dxa"/>
          </w:tcPr>
          <w:p w14:paraId="3D689F7D">
            <w:pPr>
              <w:wordWrap/>
              <w:topLinePunct w:val="0"/>
              <w:spacing w:after="120"/>
              <w:rPr>
                <w:rFonts w:ascii="仿宋_GB2312" w:eastAsia="仿宋_GB2312"/>
              </w:rPr>
            </w:pPr>
          </w:p>
        </w:tc>
        <w:tc>
          <w:tcPr>
            <w:tcW w:w="1134" w:type="dxa"/>
            <w:vAlign w:val="center"/>
          </w:tcPr>
          <w:p w14:paraId="2C94548C">
            <w:pPr>
              <w:wordWrap/>
              <w:topLinePunct w:val="0"/>
              <w:spacing w:after="120"/>
              <w:rPr>
                <w:rFonts w:ascii="仿宋_GB2312" w:eastAsia="仿宋_GB2312"/>
              </w:rPr>
            </w:pPr>
          </w:p>
        </w:tc>
        <w:tc>
          <w:tcPr>
            <w:tcW w:w="1134" w:type="dxa"/>
            <w:vAlign w:val="center"/>
          </w:tcPr>
          <w:p w14:paraId="105ED8AF">
            <w:pPr>
              <w:wordWrap/>
              <w:topLinePunct w:val="0"/>
              <w:spacing w:after="120"/>
              <w:rPr>
                <w:rFonts w:ascii="仿宋_GB2312" w:eastAsia="仿宋_GB2312"/>
              </w:rPr>
            </w:pPr>
          </w:p>
        </w:tc>
        <w:tc>
          <w:tcPr>
            <w:tcW w:w="1134" w:type="dxa"/>
            <w:vAlign w:val="center"/>
          </w:tcPr>
          <w:p w14:paraId="416571F1">
            <w:pPr>
              <w:wordWrap/>
              <w:topLinePunct w:val="0"/>
              <w:spacing w:after="120"/>
              <w:rPr>
                <w:rFonts w:ascii="仿宋_GB2312" w:eastAsia="仿宋_GB2312"/>
              </w:rPr>
            </w:pPr>
          </w:p>
        </w:tc>
        <w:tc>
          <w:tcPr>
            <w:tcW w:w="709" w:type="dxa"/>
            <w:vAlign w:val="center"/>
          </w:tcPr>
          <w:p w14:paraId="7A93E092">
            <w:pPr>
              <w:wordWrap/>
              <w:topLinePunct w:val="0"/>
              <w:spacing w:after="120"/>
              <w:rPr>
                <w:rFonts w:ascii="仿宋_GB2312" w:eastAsia="仿宋_GB2312"/>
              </w:rPr>
            </w:pPr>
          </w:p>
        </w:tc>
      </w:tr>
      <w:tr w14:paraId="2889F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5755261F">
            <w:pPr>
              <w:wordWrap/>
              <w:topLinePunct w:val="0"/>
              <w:spacing w:after="120"/>
              <w:rPr>
                <w:rFonts w:ascii="仿宋_GB2312" w:eastAsia="仿宋_GB2312"/>
              </w:rPr>
            </w:pPr>
          </w:p>
        </w:tc>
        <w:tc>
          <w:tcPr>
            <w:tcW w:w="1165" w:type="dxa"/>
            <w:vAlign w:val="center"/>
          </w:tcPr>
          <w:p w14:paraId="0D81B096">
            <w:pPr>
              <w:wordWrap/>
              <w:topLinePunct w:val="0"/>
              <w:spacing w:after="120"/>
              <w:rPr>
                <w:rFonts w:ascii="仿宋_GB2312" w:eastAsia="仿宋_GB2312"/>
              </w:rPr>
            </w:pPr>
          </w:p>
        </w:tc>
        <w:tc>
          <w:tcPr>
            <w:tcW w:w="1126" w:type="dxa"/>
            <w:vAlign w:val="center"/>
          </w:tcPr>
          <w:p w14:paraId="06667BE3">
            <w:pPr>
              <w:wordWrap/>
              <w:topLinePunct w:val="0"/>
              <w:spacing w:after="120"/>
              <w:rPr>
                <w:rFonts w:ascii="仿宋_GB2312" w:eastAsia="仿宋_GB2312"/>
              </w:rPr>
            </w:pPr>
          </w:p>
        </w:tc>
        <w:tc>
          <w:tcPr>
            <w:tcW w:w="567" w:type="dxa"/>
            <w:vAlign w:val="center"/>
          </w:tcPr>
          <w:p w14:paraId="304D1FA1">
            <w:pPr>
              <w:wordWrap/>
              <w:topLinePunct w:val="0"/>
              <w:spacing w:after="120"/>
              <w:rPr>
                <w:rFonts w:ascii="仿宋_GB2312" w:eastAsia="仿宋_GB2312"/>
              </w:rPr>
            </w:pPr>
          </w:p>
        </w:tc>
        <w:tc>
          <w:tcPr>
            <w:tcW w:w="686" w:type="dxa"/>
            <w:vAlign w:val="center"/>
          </w:tcPr>
          <w:p w14:paraId="4404A2E1">
            <w:pPr>
              <w:wordWrap/>
              <w:topLinePunct w:val="0"/>
              <w:spacing w:after="120"/>
              <w:rPr>
                <w:rFonts w:ascii="仿宋_GB2312" w:eastAsia="仿宋_GB2312"/>
              </w:rPr>
            </w:pPr>
          </w:p>
        </w:tc>
        <w:tc>
          <w:tcPr>
            <w:tcW w:w="992" w:type="dxa"/>
          </w:tcPr>
          <w:p w14:paraId="288ABC3A">
            <w:pPr>
              <w:wordWrap/>
              <w:topLinePunct w:val="0"/>
              <w:spacing w:after="120"/>
              <w:rPr>
                <w:rFonts w:ascii="仿宋_GB2312" w:eastAsia="仿宋_GB2312"/>
              </w:rPr>
            </w:pPr>
          </w:p>
        </w:tc>
        <w:tc>
          <w:tcPr>
            <w:tcW w:w="1134" w:type="dxa"/>
            <w:vAlign w:val="center"/>
          </w:tcPr>
          <w:p w14:paraId="2E86925B">
            <w:pPr>
              <w:wordWrap/>
              <w:topLinePunct w:val="0"/>
              <w:spacing w:after="120"/>
              <w:rPr>
                <w:rFonts w:ascii="仿宋_GB2312" w:eastAsia="仿宋_GB2312"/>
              </w:rPr>
            </w:pPr>
          </w:p>
        </w:tc>
        <w:tc>
          <w:tcPr>
            <w:tcW w:w="1134" w:type="dxa"/>
            <w:vAlign w:val="center"/>
          </w:tcPr>
          <w:p w14:paraId="37235A89">
            <w:pPr>
              <w:wordWrap/>
              <w:topLinePunct w:val="0"/>
              <w:spacing w:after="120"/>
              <w:rPr>
                <w:rFonts w:ascii="仿宋_GB2312" w:eastAsia="仿宋_GB2312"/>
              </w:rPr>
            </w:pPr>
          </w:p>
        </w:tc>
        <w:tc>
          <w:tcPr>
            <w:tcW w:w="1134" w:type="dxa"/>
            <w:vAlign w:val="center"/>
          </w:tcPr>
          <w:p w14:paraId="46AB85E6">
            <w:pPr>
              <w:wordWrap/>
              <w:topLinePunct w:val="0"/>
              <w:spacing w:after="120"/>
              <w:rPr>
                <w:rFonts w:ascii="仿宋_GB2312" w:eastAsia="仿宋_GB2312"/>
              </w:rPr>
            </w:pPr>
          </w:p>
        </w:tc>
        <w:tc>
          <w:tcPr>
            <w:tcW w:w="709" w:type="dxa"/>
            <w:vAlign w:val="center"/>
          </w:tcPr>
          <w:p w14:paraId="53E6E56E">
            <w:pPr>
              <w:wordWrap/>
              <w:topLinePunct w:val="0"/>
              <w:spacing w:after="120"/>
              <w:rPr>
                <w:rFonts w:ascii="仿宋_GB2312" w:eastAsia="仿宋_GB2312"/>
              </w:rPr>
            </w:pPr>
          </w:p>
        </w:tc>
      </w:tr>
      <w:tr w14:paraId="3D17E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5C996378">
            <w:pPr>
              <w:wordWrap/>
              <w:topLinePunct w:val="0"/>
              <w:spacing w:after="120"/>
              <w:rPr>
                <w:rFonts w:ascii="仿宋_GB2312" w:eastAsia="仿宋_GB2312"/>
              </w:rPr>
            </w:pPr>
          </w:p>
        </w:tc>
        <w:tc>
          <w:tcPr>
            <w:tcW w:w="1165" w:type="dxa"/>
            <w:vAlign w:val="center"/>
          </w:tcPr>
          <w:p w14:paraId="7BD09E21">
            <w:pPr>
              <w:wordWrap/>
              <w:topLinePunct w:val="0"/>
              <w:spacing w:after="120"/>
              <w:rPr>
                <w:rFonts w:ascii="仿宋_GB2312" w:eastAsia="仿宋_GB2312"/>
              </w:rPr>
            </w:pPr>
          </w:p>
        </w:tc>
        <w:tc>
          <w:tcPr>
            <w:tcW w:w="1126" w:type="dxa"/>
            <w:vAlign w:val="center"/>
          </w:tcPr>
          <w:p w14:paraId="53B38600">
            <w:pPr>
              <w:wordWrap/>
              <w:topLinePunct w:val="0"/>
              <w:spacing w:after="120"/>
              <w:rPr>
                <w:rFonts w:ascii="仿宋_GB2312" w:eastAsia="仿宋_GB2312"/>
              </w:rPr>
            </w:pPr>
          </w:p>
        </w:tc>
        <w:tc>
          <w:tcPr>
            <w:tcW w:w="567" w:type="dxa"/>
            <w:vAlign w:val="center"/>
          </w:tcPr>
          <w:p w14:paraId="21EF0300">
            <w:pPr>
              <w:wordWrap/>
              <w:topLinePunct w:val="0"/>
              <w:spacing w:after="120"/>
              <w:rPr>
                <w:rFonts w:ascii="仿宋_GB2312" w:eastAsia="仿宋_GB2312"/>
              </w:rPr>
            </w:pPr>
          </w:p>
        </w:tc>
        <w:tc>
          <w:tcPr>
            <w:tcW w:w="686" w:type="dxa"/>
            <w:vAlign w:val="center"/>
          </w:tcPr>
          <w:p w14:paraId="47DFF941">
            <w:pPr>
              <w:wordWrap/>
              <w:topLinePunct w:val="0"/>
              <w:spacing w:after="120"/>
              <w:rPr>
                <w:rFonts w:ascii="仿宋_GB2312" w:eastAsia="仿宋_GB2312"/>
              </w:rPr>
            </w:pPr>
          </w:p>
        </w:tc>
        <w:tc>
          <w:tcPr>
            <w:tcW w:w="992" w:type="dxa"/>
          </w:tcPr>
          <w:p w14:paraId="690E7DBD">
            <w:pPr>
              <w:wordWrap/>
              <w:topLinePunct w:val="0"/>
              <w:spacing w:after="120"/>
              <w:rPr>
                <w:rFonts w:ascii="仿宋_GB2312" w:eastAsia="仿宋_GB2312"/>
              </w:rPr>
            </w:pPr>
          </w:p>
        </w:tc>
        <w:tc>
          <w:tcPr>
            <w:tcW w:w="1134" w:type="dxa"/>
            <w:vAlign w:val="center"/>
          </w:tcPr>
          <w:p w14:paraId="61422788">
            <w:pPr>
              <w:wordWrap/>
              <w:topLinePunct w:val="0"/>
              <w:spacing w:after="120"/>
              <w:rPr>
                <w:rFonts w:ascii="仿宋_GB2312" w:eastAsia="仿宋_GB2312"/>
              </w:rPr>
            </w:pPr>
          </w:p>
        </w:tc>
        <w:tc>
          <w:tcPr>
            <w:tcW w:w="1134" w:type="dxa"/>
            <w:vAlign w:val="center"/>
          </w:tcPr>
          <w:p w14:paraId="3E86511D">
            <w:pPr>
              <w:wordWrap/>
              <w:topLinePunct w:val="0"/>
              <w:spacing w:after="120"/>
              <w:rPr>
                <w:rFonts w:ascii="仿宋_GB2312" w:eastAsia="仿宋_GB2312"/>
              </w:rPr>
            </w:pPr>
          </w:p>
        </w:tc>
        <w:tc>
          <w:tcPr>
            <w:tcW w:w="1134" w:type="dxa"/>
            <w:vAlign w:val="center"/>
          </w:tcPr>
          <w:p w14:paraId="3996E334">
            <w:pPr>
              <w:wordWrap/>
              <w:topLinePunct w:val="0"/>
              <w:spacing w:after="120"/>
              <w:rPr>
                <w:rFonts w:ascii="仿宋_GB2312" w:eastAsia="仿宋_GB2312"/>
              </w:rPr>
            </w:pPr>
          </w:p>
        </w:tc>
        <w:tc>
          <w:tcPr>
            <w:tcW w:w="709" w:type="dxa"/>
            <w:vAlign w:val="center"/>
          </w:tcPr>
          <w:p w14:paraId="0F43D74D">
            <w:pPr>
              <w:wordWrap/>
              <w:topLinePunct w:val="0"/>
              <w:spacing w:after="120"/>
              <w:rPr>
                <w:rFonts w:ascii="仿宋_GB2312" w:eastAsia="仿宋_GB2312"/>
              </w:rPr>
            </w:pPr>
          </w:p>
        </w:tc>
      </w:tr>
      <w:tr w14:paraId="40ED3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68BC2CE7">
            <w:pPr>
              <w:wordWrap/>
              <w:topLinePunct w:val="0"/>
              <w:spacing w:after="120"/>
              <w:rPr>
                <w:rFonts w:ascii="仿宋_GB2312" w:eastAsia="仿宋_GB2312"/>
              </w:rPr>
            </w:pPr>
          </w:p>
        </w:tc>
        <w:tc>
          <w:tcPr>
            <w:tcW w:w="1165" w:type="dxa"/>
            <w:vAlign w:val="center"/>
          </w:tcPr>
          <w:p w14:paraId="62DCFC89">
            <w:pPr>
              <w:wordWrap/>
              <w:topLinePunct w:val="0"/>
              <w:spacing w:after="120"/>
              <w:rPr>
                <w:rFonts w:ascii="仿宋_GB2312" w:eastAsia="仿宋_GB2312"/>
              </w:rPr>
            </w:pPr>
          </w:p>
        </w:tc>
        <w:tc>
          <w:tcPr>
            <w:tcW w:w="1126" w:type="dxa"/>
            <w:vAlign w:val="center"/>
          </w:tcPr>
          <w:p w14:paraId="45AADE03">
            <w:pPr>
              <w:wordWrap/>
              <w:topLinePunct w:val="0"/>
              <w:spacing w:after="120"/>
              <w:rPr>
                <w:rFonts w:ascii="仿宋_GB2312" w:eastAsia="仿宋_GB2312"/>
              </w:rPr>
            </w:pPr>
          </w:p>
        </w:tc>
        <w:tc>
          <w:tcPr>
            <w:tcW w:w="567" w:type="dxa"/>
            <w:vAlign w:val="center"/>
          </w:tcPr>
          <w:p w14:paraId="1C3DB3E1">
            <w:pPr>
              <w:wordWrap/>
              <w:topLinePunct w:val="0"/>
              <w:spacing w:after="120"/>
              <w:rPr>
                <w:rFonts w:ascii="仿宋_GB2312" w:eastAsia="仿宋_GB2312"/>
              </w:rPr>
            </w:pPr>
          </w:p>
        </w:tc>
        <w:tc>
          <w:tcPr>
            <w:tcW w:w="686" w:type="dxa"/>
            <w:vAlign w:val="center"/>
          </w:tcPr>
          <w:p w14:paraId="1A56A823">
            <w:pPr>
              <w:wordWrap/>
              <w:topLinePunct w:val="0"/>
              <w:spacing w:after="120"/>
              <w:rPr>
                <w:rFonts w:ascii="仿宋_GB2312" w:eastAsia="仿宋_GB2312"/>
              </w:rPr>
            </w:pPr>
          </w:p>
        </w:tc>
        <w:tc>
          <w:tcPr>
            <w:tcW w:w="992" w:type="dxa"/>
          </w:tcPr>
          <w:p w14:paraId="0F2FE677">
            <w:pPr>
              <w:wordWrap/>
              <w:topLinePunct w:val="0"/>
              <w:spacing w:after="120"/>
              <w:rPr>
                <w:rFonts w:ascii="仿宋_GB2312" w:eastAsia="仿宋_GB2312"/>
              </w:rPr>
            </w:pPr>
          </w:p>
        </w:tc>
        <w:tc>
          <w:tcPr>
            <w:tcW w:w="1134" w:type="dxa"/>
            <w:vAlign w:val="center"/>
          </w:tcPr>
          <w:p w14:paraId="2DE6F6D5">
            <w:pPr>
              <w:wordWrap/>
              <w:topLinePunct w:val="0"/>
              <w:spacing w:after="120"/>
              <w:rPr>
                <w:rFonts w:ascii="仿宋_GB2312" w:eastAsia="仿宋_GB2312"/>
              </w:rPr>
            </w:pPr>
          </w:p>
        </w:tc>
        <w:tc>
          <w:tcPr>
            <w:tcW w:w="1134" w:type="dxa"/>
            <w:vAlign w:val="center"/>
          </w:tcPr>
          <w:p w14:paraId="2B853826">
            <w:pPr>
              <w:wordWrap/>
              <w:topLinePunct w:val="0"/>
              <w:spacing w:after="120"/>
              <w:rPr>
                <w:rFonts w:ascii="仿宋_GB2312" w:eastAsia="仿宋_GB2312"/>
              </w:rPr>
            </w:pPr>
          </w:p>
        </w:tc>
        <w:tc>
          <w:tcPr>
            <w:tcW w:w="1134" w:type="dxa"/>
            <w:vAlign w:val="center"/>
          </w:tcPr>
          <w:p w14:paraId="0C3DC215">
            <w:pPr>
              <w:wordWrap/>
              <w:topLinePunct w:val="0"/>
              <w:spacing w:after="120"/>
              <w:rPr>
                <w:rFonts w:ascii="仿宋_GB2312" w:eastAsia="仿宋_GB2312"/>
              </w:rPr>
            </w:pPr>
          </w:p>
        </w:tc>
        <w:tc>
          <w:tcPr>
            <w:tcW w:w="709" w:type="dxa"/>
            <w:vAlign w:val="center"/>
          </w:tcPr>
          <w:p w14:paraId="09E8CEFD">
            <w:pPr>
              <w:wordWrap/>
              <w:topLinePunct w:val="0"/>
              <w:spacing w:after="120"/>
              <w:rPr>
                <w:rFonts w:ascii="仿宋_GB2312" w:eastAsia="仿宋_GB2312"/>
              </w:rPr>
            </w:pPr>
          </w:p>
        </w:tc>
      </w:tr>
      <w:tr w14:paraId="4D507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0633C458">
            <w:pPr>
              <w:wordWrap/>
              <w:topLinePunct w:val="0"/>
              <w:spacing w:after="120"/>
              <w:rPr>
                <w:rFonts w:ascii="仿宋_GB2312" w:eastAsia="仿宋_GB2312"/>
              </w:rPr>
            </w:pPr>
          </w:p>
        </w:tc>
        <w:tc>
          <w:tcPr>
            <w:tcW w:w="1165" w:type="dxa"/>
            <w:vAlign w:val="center"/>
          </w:tcPr>
          <w:p w14:paraId="3961B468">
            <w:pPr>
              <w:wordWrap/>
              <w:topLinePunct w:val="0"/>
              <w:spacing w:after="120"/>
              <w:rPr>
                <w:rFonts w:ascii="仿宋_GB2312" w:eastAsia="仿宋_GB2312"/>
              </w:rPr>
            </w:pPr>
          </w:p>
        </w:tc>
        <w:tc>
          <w:tcPr>
            <w:tcW w:w="1126" w:type="dxa"/>
            <w:vAlign w:val="center"/>
          </w:tcPr>
          <w:p w14:paraId="7CD0CDB0">
            <w:pPr>
              <w:wordWrap/>
              <w:topLinePunct w:val="0"/>
              <w:spacing w:after="120"/>
              <w:rPr>
                <w:rFonts w:ascii="仿宋_GB2312" w:eastAsia="仿宋_GB2312"/>
              </w:rPr>
            </w:pPr>
          </w:p>
        </w:tc>
        <w:tc>
          <w:tcPr>
            <w:tcW w:w="567" w:type="dxa"/>
            <w:vAlign w:val="center"/>
          </w:tcPr>
          <w:p w14:paraId="7AAF4C13">
            <w:pPr>
              <w:wordWrap/>
              <w:topLinePunct w:val="0"/>
              <w:spacing w:after="120"/>
              <w:rPr>
                <w:rFonts w:ascii="仿宋_GB2312" w:eastAsia="仿宋_GB2312"/>
              </w:rPr>
            </w:pPr>
          </w:p>
        </w:tc>
        <w:tc>
          <w:tcPr>
            <w:tcW w:w="686" w:type="dxa"/>
            <w:vAlign w:val="center"/>
          </w:tcPr>
          <w:p w14:paraId="2981A891">
            <w:pPr>
              <w:wordWrap/>
              <w:topLinePunct w:val="0"/>
              <w:spacing w:after="120"/>
              <w:rPr>
                <w:rFonts w:ascii="仿宋_GB2312" w:eastAsia="仿宋_GB2312"/>
              </w:rPr>
            </w:pPr>
          </w:p>
        </w:tc>
        <w:tc>
          <w:tcPr>
            <w:tcW w:w="992" w:type="dxa"/>
          </w:tcPr>
          <w:p w14:paraId="0F21A451">
            <w:pPr>
              <w:wordWrap/>
              <w:topLinePunct w:val="0"/>
              <w:spacing w:after="120"/>
              <w:rPr>
                <w:rFonts w:ascii="仿宋_GB2312" w:eastAsia="仿宋_GB2312"/>
              </w:rPr>
            </w:pPr>
          </w:p>
        </w:tc>
        <w:tc>
          <w:tcPr>
            <w:tcW w:w="1134" w:type="dxa"/>
            <w:vAlign w:val="center"/>
          </w:tcPr>
          <w:p w14:paraId="7208A4F0">
            <w:pPr>
              <w:wordWrap/>
              <w:topLinePunct w:val="0"/>
              <w:spacing w:after="120"/>
              <w:rPr>
                <w:rFonts w:ascii="仿宋_GB2312" w:eastAsia="仿宋_GB2312"/>
              </w:rPr>
            </w:pPr>
          </w:p>
        </w:tc>
        <w:tc>
          <w:tcPr>
            <w:tcW w:w="1134" w:type="dxa"/>
            <w:vAlign w:val="center"/>
          </w:tcPr>
          <w:p w14:paraId="23952807">
            <w:pPr>
              <w:wordWrap/>
              <w:topLinePunct w:val="0"/>
              <w:spacing w:after="120"/>
              <w:rPr>
                <w:rFonts w:ascii="仿宋_GB2312" w:eastAsia="仿宋_GB2312"/>
              </w:rPr>
            </w:pPr>
          </w:p>
        </w:tc>
        <w:tc>
          <w:tcPr>
            <w:tcW w:w="1134" w:type="dxa"/>
            <w:vAlign w:val="center"/>
          </w:tcPr>
          <w:p w14:paraId="2BC8AFCC">
            <w:pPr>
              <w:wordWrap/>
              <w:topLinePunct w:val="0"/>
              <w:spacing w:after="120"/>
              <w:rPr>
                <w:rFonts w:ascii="仿宋_GB2312" w:eastAsia="仿宋_GB2312"/>
              </w:rPr>
            </w:pPr>
          </w:p>
        </w:tc>
        <w:tc>
          <w:tcPr>
            <w:tcW w:w="709" w:type="dxa"/>
            <w:vAlign w:val="center"/>
          </w:tcPr>
          <w:p w14:paraId="131B9450">
            <w:pPr>
              <w:wordWrap/>
              <w:topLinePunct w:val="0"/>
              <w:spacing w:after="120"/>
              <w:rPr>
                <w:rFonts w:ascii="仿宋_GB2312" w:eastAsia="仿宋_GB2312"/>
              </w:rPr>
            </w:pPr>
          </w:p>
        </w:tc>
      </w:tr>
      <w:tr w14:paraId="74DB4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72AE00A1">
            <w:pPr>
              <w:wordWrap/>
              <w:topLinePunct w:val="0"/>
              <w:spacing w:after="120"/>
              <w:rPr>
                <w:rFonts w:ascii="仿宋_GB2312" w:eastAsia="仿宋_GB2312"/>
              </w:rPr>
            </w:pPr>
          </w:p>
        </w:tc>
        <w:tc>
          <w:tcPr>
            <w:tcW w:w="1165" w:type="dxa"/>
            <w:vAlign w:val="center"/>
          </w:tcPr>
          <w:p w14:paraId="01D5549E">
            <w:pPr>
              <w:wordWrap/>
              <w:topLinePunct w:val="0"/>
              <w:spacing w:after="120"/>
              <w:rPr>
                <w:rFonts w:ascii="仿宋_GB2312" w:eastAsia="仿宋_GB2312"/>
              </w:rPr>
            </w:pPr>
          </w:p>
        </w:tc>
        <w:tc>
          <w:tcPr>
            <w:tcW w:w="1126" w:type="dxa"/>
            <w:vAlign w:val="center"/>
          </w:tcPr>
          <w:p w14:paraId="4B5843A1">
            <w:pPr>
              <w:wordWrap/>
              <w:topLinePunct w:val="0"/>
              <w:spacing w:after="120"/>
              <w:rPr>
                <w:rFonts w:ascii="仿宋_GB2312" w:eastAsia="仿宋_GB2312"/>
              </w:rPr>
            </w:pPr>
          </w:p>
        </w:tc>
        <w:tc>
          <w:tcPr>
            <w:tcW w:w="567" w:type="dxa"/>
            <w:vAlign w:val="center"/>
          </w:tcPr>
          <w:p w14:paraId="58B5DC96">
            <w:pPr>
              <w:wordWrap/>
              <w:topLinePunct w:val="0"/>
              <w:spacing w:after="120"/>
              <w:rPr>
                <w:rFonts w:ascii="仿宋_GB2312" w:eastAsia="仿宋_GB2312"/>
              </w:rPr>
            </w:pPr>
          </w:p>
        </w:tc>
        <w:tc>
          <w:tcPr>
            <w:tcW w:w="686" w:type="dxa"/>
            <w:vAlign w:val="center"/>
          </w:tcPr>
          <w:p w14:paraId="662C70E5">
            <w:pPr>
              <w:wordWrap/>
              <w:topLinePunct w:val="0"/>
              <w:spacing w:after="120"/>
              <w:rPr>
                <w:rFonts w:ascii="仿宋_GB2312" w:eastAsia="仿宋_GB2312"/>
              </w:rPr>
            </w:pPr>
          </w:p>
        </w:tc>
        <w:tc>
          <w:tcPr>
            <w:tcW w:w="992" w:type="dxa"/>
          </w:tcPr>
          <w:p w14:paraId="4319C9D1">
            <w:pPr>
              <w:wordWrap/>
              <w:topLinePunct w:val="0"/>
              <w:spacing w:after="120"/>
              <w:rPr>
                <w:rFonts w:ascii="仿宋_GB2312" w:eastAsia="仿宋_GB2312"/>
              </w:rPr>
            </w:pPr>
          </w:p>
        </w:tc>
        <w:tc>
          <w:tcPr>
            <w:tcW w:w="1134" w:type="dxa"/>
            <w:vAlign w:val="center"/>
          </w:tcPr>
          <w:p w14:paraId="6EC4D9B7">
            <w:pPr>
              <w:wordWrap/>
              <w:topLinePunct w:val="0"/>
              <w:spacing w:after="120"/>
              <w:rPr>
                <w:rFonts w:ascii="仿宋_GB2312" w:eastAsia="仿宋_GB2312"/>
              </w:rPr>
            </w:pPr>
          </w:p>
        </w:tc>
        <w:tc>
          <w:tcPr>
            <w:tcW w:w="1134" w:type="dxa"/>
            <w:vAlign w:val="center"/>
          </w:tcPr>
          <w:p w14:paraId="0B7404C1">
            <w:pPr>
              <w:wordWrap/>
              <w:topLinePunct w:val="0"/>
              <w:spacing w:after="120"/>
              <w:rPr>
                <w:rFonts w:ascii="仿宋_GB2312" w:eastAsia="仿宋_GB2312"/>
              </w:rPr>
            </w:pPr>
          </w:p>
        </w:tc>
        <w:tc>
          <w:tcPr>
            <w:tcW w:w="1134" w:type="dxa"/>
            <w:vAlign w:val="center"/>
          </w:tcPr>
          <w:p w14:paraId="2C7543C7">
            <w:pPr>
              <w:wordWrap/>
              <w:topLinePunct w:val="0"/>
              <w:spacing w:after="120"/>
              <w:rPr>
                <w:rFonts w:ascii="仿宋_GB2312" w:eastAsia="仿宋_GB2312"/>
              </w:rPr>
            </w:pPr>
          </w:p>
        </w:tc>
        <w:tc>
          <w:tcPr>
            <w:tcW w:w="709" w:type="dxa"/>
            <w:vAlign w:val="center"/>
          </w:tcPr>
          <w:p w14:paraId="282049ED">
            <w:pPr>
              <w:wordWrap/>
              <w:topLinePunct w:val="0"/>
              <w:spacing w:after="120"/>
              <w:rPr>
                <w:rFonts w:ascii="仿宋_GB2312" w:eastAsia="仿宋_GB2312"/>
              </w:rPr>
            </w:pPr>
          </w:p>
        </w:tc>
      </w:tr>
      <w:tr w14:paraId="2F7411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7DF2B62F">
            <w:pPr>
              <w:wordWrap/>
              <w:topLinePunct w:val="0"/>
              <w:spacing w:after="120"/>
              <w:rPr>
                <w:rFonts w:ascii="仿宋_GB2312" w:eastAsia="仿宋_GB2312"/>
              </w:rPr>
            </w:pPr>
          </w:p>
        </w:tc>
        <w:tc>
          <w:tcPr>
            <w:tcW w:w="1165" w:type="dxa"/>
            <w:vAlign w:val="center"/>
          </w:tcPr>
          <w:p w14:paraId="47F44354">
            <w:pPr>
              <w:wordWrap/>
              <w:topLinePunct w:val="0"/>
              <w:spacing w:after="120"/>
              <w:rPr>
                <w:rFonts w:ascii="仿宋_GB2312" w:eastAsia="仿宋_GB2312"/>
              </w:rPr>
            </w:pPr>
          </w:p>
        </w:tc>
        <w:tc>
          <w:tcPr>
            <w:tcW w:w="1126" w:type="dxa"/>
            <w:vAlign w:val="center"/>
          </w:tcPr>
          <w:p w14:paraId="5E2A3B92">
            <w:pPr>
              <w:wordWrap/>
              <w:topLinePunct w:val="0"/>
              <w:spacing w:after="120"/>
              <w:rPr>
                <w:rFonts w:ascii="仿宋_GB2312" w:eastAsia="仿宋_GB2312"/>
              </w:rPr>
            </w:pPr>
          </w:p>
        </w:tc>
        <w:tc>
          <w:tcPr>
            <w:tcW w:w="567" w:type="dxa"/>
            <w:vAlign w:val="center"/>
          </w:tcPr>
          <w:p w14:paraId="78FB192F">
            <w:pPr>
              <w:wordWrap/>
              <w:topLinePunct w:val="0"/>
              <w:spacing w:after="120"/>
              <w:rPr>
                <w:rFonts w:ascii="仿宋_GB2312" w:eastAsia="仿宋_GB2312"/>
              </w:rPr>
            </w:pPr>
          </w:p>
        </w:tc>
        <w:tc>
          <w:tcPr>
            <w:tcW w:w="686" w:type="dxa"/>
            <w:vAlign w:val="center"/>
          </w:tcPr>
          <w:p w14:paraId="0C41306E">
            <w:pPr>
              <w:wordWrap/>
              <w:topLinePunct w:val="0"/>
              <w:spacing w:after="120"/>
              <w:rPr>
                <w:rFonts w:ascii="仿宋_GB2312" w:eastAsia="仿宋_GB2312"/>
              </w:rPr>
            </w:pPr>
          </w:p>
        </w:tc>
        <w:tc>
          <w:tcPr>
            <w:tcW w:w="992" w:type="dxa"/>
          </w:tcPr>
          <w:p w14:paraId="70D49AF2">
            <w:pPr>
              <w:wordWrap/>
              <w:topLinePunct w:val="0"/>
              <w:spacing w:after="120"/>
              <w:rPr>
                <w:rFonts w:ascii="仿宋_GB2312" w:eastAsia="仿宋_GB2312"/>
              </w:rPr>
            </w:pPr>
          </w:p>
        </w:tc>
        <w:tc>
          <w:tcPr>
            <w:tcW w:w="1134" w:type="dxa"/>
            <w:vAlign w:val="center"/>
          </w:tcPr>
          <w:p w14:paraId="52329019">
            <w:pPr>
              <w:wordWrap/>
              <w:topLinePunct w:val="0"/>
              <w:spacing w:after="120"/>
              <w:rPr>
                <w:rFonts w:ascii="仿宋_GB2312" w:eastAsia="仿宋_GB2312"/>
              </w:rPr>
            </w:pPr>
          </w:p>
        </w:tc>
        <w:tc>
          <w:tcPr>
            <w:tcW w:w="1134" w:type="dxa"/>
            <w:vAlign w:val="center"/>
          </w:tcPr>
          <w:p w14:paraId="7B724619">
            <w:pPr>
              <w:wordWrap/>
              <w:topLinePunct w:val="0"/>
              <w:spacing w:after="120"/>
              <w:rPr>
                <w:rFonts w:ascii="仿宋_GB2312" w:eastAsia="仿宋_GB2312"/>
              </w:rPr>
            </w:pPr>
          </w:p>
        </w:tc>
        <w:tc>
          <w:tcPr>
            <w:tcW w:w="1134" w:type="dxa"/>
            <w:vAlign w:val="center"/>
          </w:tcPr>
          <w:p w14:paraId="1F7DDA02">
            <w:pPr>
              <w:wordWrap/>
              <w:topLinePunct w:val="0"/>
              <w:spacing w:after="120"/>
              <w:rPr>
                <w:rFonts w:ascii="仿宋_GB2312" w:eastAsia="仿宋_GB2312"/>
              </w:rPr>
            </w:pPr>
          </w:p>
        </w:tc>
        <w:tc>
          <w:tcPr>
            <w:tcW w:w="709" w:type="dxa"/>
            <w:vAlign w:val="center"/>
          </w:tcPr>
          <w:p w14:paraId="28F1AFC7">
            <w:pPr>
              <w:wordWrap/>
              <w:topLinePunct w:val="0"/>
              <w:spacing w:after="120"/>
              <w:rPr>
                <w:rFonts w:ascii="仿宋_GB2312" w:eastAsia="仿宋_GB2312"/>
              </w:rPr>
            </w:pPr>
          </w:p>
        </w:tc>
      </w:tr>
      <w:tr w14:paraId="35B97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5AEE6597">
            <w:pPr>
              <w:wordWrap/>
              <w:topLinePunct w:val="0"/>
              <w:spacing w:after="120"/>
              <w:rPr>
                <w:rFonts w:ascii="仿宋_GB2312" w:eastAsia="仿宋_GB2312"/>
              </w:rPr>
            </w:pPr>
          </w:p>
        </w:tc>
        <w:tc>
          <w:tcPr>
            <w:tcW w:w="1165" w:type="dxa"/>
            <w:vAlign w:val="center"/>
          </w:tcPr>
          <w:p w14:paraId="3FB7FDCE">
            <w:pPr>
              <w:wordWrap/>
              <w:topLinePunct w:val="0"/>
              <w:spacing w:after="120"/>
              <w:rPr>
                <w:rFonts w:ascii="仿宋_GB2312" w:eastAsia="仿宋_GB2312"/>
              </w:rPr>
            </w:pPr>
          </w:p>
        </w:tc>
        <w:tc>
          <w:tcPr>
            <w:tcW w:w="1126" w:type="dxa"/>
            <w:vAlign w:val="center"/>
          </w:tcPr>
          <w:p w14:paraId="547077D2">
            <w:pPr>
              <w:wordWrap/>
              <w:topLinePunct w:val="0"/>
              <w:spacing w:after="120"/>
              <w:rPr>
                <w:rFonts w:ascii="仿宋_GB2312" w:eastAsia="仿宋_GB2312"/>
              </w:rPr>
            </w:pPr>
          </w:p>
        </w:tc>
        <w:tc>
          <w:tcPr>
            <w:tcW w:w="567" w:type="dxa"/>
            <w:vAlign w:val="center"/>
          </w:tcPr>
          <w:p w14:paraId="7151289A">
            <w:pPr>
              <w:wordWrap/>
              <w:topLinePunct w:val="0"/>
              <w:spacing w:after="120"/>
              <w:rPr>
                <w:rFonts w:ascii="仿宋_GB2312" w:eastAsia="仿宋_GB2312"/>
              </w:rPr>
            </w:pPr>
          </w:p>
        </w:tc>
        <w:tc>
          <w:tcPr>
            <w:tcW w:w="686" w:type="dxa"/>
            <w:vAlign w:val="center"/>
          </w:tcPr>
          <w:p w14:paraId="117DC2F6">
            <w:pPr>
              <w:wordWrap/>
              <w:topLinePunct w:val="0"/>
              <w:spacing w:after="120"/>
              <w:rPr>
                <w:rFonts w:ascii="仿宋_GB2312" w:eastAsia="仿宋_GB2312"/>
              </w:rPr>
            </w:pPr>
          </w:p>
        </w:tc>
        <w:tc>
          <w:tcPr>
            <w:tcW w:w="992" w:type="dxa"/>
          </w:tcPr>
          <w:p w14:paraId="180B974F">
            <w:pPr>
              <w:wordWrap/>
              <w:topLinePunct w:val="0"/>
              <w:spacing w:after="120"/>
              <w:rPr>
                <w:rFonts w:ascii="仿宋_GB2312" w:eastAsia="仿宋_GB2312"/>
              </w:rPr>
            </w:pPr>
          </w:p>
        </w:tc>
        <w:tc>
          <w:tcPr>
            <w:tcW w:w="1134" w:type="dxa"/>
            <w:vAlign w:val="center"/>
          </w:tcPr>
          <w:p w14:paraId="248030F2">
            <w:pPr>
              <w:wordWrap/>
              <w:topLinePunct w:val="0"/>
              <w:spacing w:after="120"/>
              <w:rPr>
                <w:rFonts w:ascii="仿宋_GB2312" w:eastAsia="仿宋_GB2312"/>
              </w:rPr>
            </w:pPr>
          </w:p>
        </w:tc>
        <w:tc>
          <w:tcPr>
            <w:tcW w:w="1134" w:type="dxa"/>
            <w:vAlign w:val="center"/>
          </w:tcPr>
          <w:p w14:paraId="51DB04CD">
            <w:pPr>
              <w:wordWrap/>
              <w:topLinePunct w:val="0"/>
              <w:spacing w:after="120"/>
              <w:rPr>
                <w:rFonts w:ascii="仿宋_GB2312" w:eastAsia="仿宋_GB2312"/>
              </w:rPr>
            </w:pPr>
          </w:p>
        </w:tc>
        <w:tc>
          <w:tcPr>
            <w:tcW w:w="1134" w:type="dxa"/>
            <w:vAlign w:val="center"/>
          </w:tcPr>
          <w:p w14:paraId="7F6616F1">
            <w:pPr>
              <w:wordWrap/>
              <w:topLinePunct w:val="0"/>
              <w:spacing w:after="120"/>
              <w:rPr>
                <w:rFonts w:ascii="仿宋_GB2312" w:eastAsia="仿宋_GB2312"/>
              </w:rPr>
            </w:pPr>
          </w:p>
        </w:tc>
        <w:tc>
          <w:tcPr>
            <w:tcW w:w="709" w:type="dxa"/>
            <w:vAlign w:val="center"/>
          </w:tcPr>
          <w:p w14:paraId="231E828B">
            <w:pPr>
              <w:wordWrap/>
              <w:topLinePunct w:val="0"/>
              <w:spacing w:after="120"/>
              <w:rPr>
                <w:rFonts w:ascii="仿宋_GB2312" w:eastAsia="仿宋_GB2312"/>
              </w:rPr>
            </w:pPr>
          </w:p>
        </w:tc>
      </w:tr>
      <w:tr w14:paraId="21F4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0354BCE4">
            <w:pPr>
              <w:wordWrap/>
              <w:topLinePunct w:val="0"/>
              <w:spacing w:after="120"/>
              <w:rPr>
                <w:rFonts w:ascii="仿宋_GB2312" w:eastAsia="仿宋_GB2312"/>
              </w:rPr>
            </w:pPr>
          </w:p>
        </w:tc>
        <w:tc>
          <w:tcPr>
            <w:tcW w:w="1165" w:type="dxa"/>
            <w:vAlign w:val="center"/>
          </w:tcPr>
          <w:p w14:paraId="1ADB789E">
            <w:pPr>
              <w:wordWrap/>
              <w:topLinePunct w:val="0"/>
              <w:spacing w:after="120"/>
              <w:rPr>
                <w:rFonts w:ascii="仿宋_GB2312" w:eastAsia="仿宋_GB2312"/>
              </w:rPr>
            </w:pPr>
          </w:p>
        </w:tc>
        <w:tc>
          <w:tcPr>
            <w:tcW w:w="1126" w:type="dxa"/>
            <w:vAlign w:val="center"/>
          </w:tcPr>
          <w:p w14:paraId="4ACF8DB3">
            <w:pPr>
              <w:wordWrap/>
              <w:topLinePunct w:val="0"/>
              <w:spacing w:after="120"/>
              <w:rPr>
                <w:rFonts w:ascii="仿宋_GB2312" w:eastAsia="仿宋_GB2312"/>
              </w:rPr>
            </w:pPr>
          </w:p>
        </w:tc>
        <w:tc>
          <w:tcPr>
            <w:tcW w:w="567" w:type="dxa"/>
            <w:vAlign w:val="center"/>
          </w:tcPr>
          <w:p w14:paraId="0AE64C7C">
            <w:pPr>
              <w:wordWrap/>
              <w:topLinePunct w:val="0"/>
              <w:spacing w:after="120"/>
              <w:rPr>
                <w:rFonts w:ascii="仿宋_GB2312" w:eastAsia="仿宋_GB2312"/>
              </w:rPr>
            </w:pPr>
          </w:p>
        </w:tc>
        <w:tc>
          <w:tcPr>
            <w:tcW w:w="686" w:type="dxa"/>
            <w:vAlign w:val="center"/>
          </w:tcPr>
          <w:p w14:paraId="7BE576B7">
            <w:pPr>
              <w:wordWrap/>
              <w:topLinePunct w:val="0"/>
              <w:spacing w:after="120"/>
              <w:rPr>
                <w:rFonts w:ascii="仿宋_GB2312" w:eastAsia="仿宋_GB2312"/>
              </w:rPr>
            </w:pPr>
          </w:p>
        </w:tc>
        <w:tc>
          <w:tcPr>
            <w:tcW w:w="992" w:type="dxa"/>
          </w:tcPr>
          <w:p w14:paraId="13219FBF">
            <w:pPr>
              <w:wordWrap/>
              <w:topLinePunct w:val="0"/>
              <w:spacing w:after="120"/>
              <w:rPr>
                <w:rFonts w:ascii="仿宋_GB2312" w:eastAsia="仿宋_GB2312"/>
              </w:rPr>
            </w:pPr>
          </w:p>
        </w:tc>
        <w:tc>
          <w:tcPr>
            <w:tcW w:w="1134" w:type="dxa"/>
            <w:vAlign w:val="center"/>
          </w:tcPr>
          <w:p w14:paraId="71EDF4AF">
            <w:pPr>
              <w:wordWrap/>
              <w:topLinePunct w:val="0"/>
              <w:spacing w:after="120"/>
              <w:rPr>
                <w:rFonts w:ascii="仿宋_GB2312" w:eastAsia="仿宋_GB2312"/>
              </w:rPr>
            </w:pPr>
          </w:p>
        </w:tc>
        <w:tc>
          <w:tcPr>
            <w:tcW w:w="1134" w:type="dxa"/>
            <w:vAlign w:val="center"/>
          </w:tcPr>
          <w:p w14:paraId="4701FE22">
            <w:pPr>
              <w:wordWrap/>
              <w:topLinePunct w:val="0"/>
              <w:spacing w:after="120"/>
              <w:rPr>
                <w:rFonts w:ascii="仿宋_GB2312" w:eastAsia="仿宋_GB2312"/>
              </w:rPr>
            </w:pPr>
          </w:p>
        </w:tc>
        <w:tc>
          <w:tcPr>
            <w:tcW w:w="1134" w:type="dxa"/>
            <w:vAlign w:val="center"/>
          </w:tcPr>
          <w:p w14:paraId="5AF5F9A7">
            <w:pPr>
              <w:wordWrap/>
              <w:topLinePunct w:val="0"/>
              <w:spacing w:after="120"/>
              <w:rPr>
                <w:rFonts w:ascii="仿宋_GB2312" w:eastAsia="仿宋_GB2312"/>
              </w:rPr>
            </w:pPr>
          </w:p>
        </w:tc>
        <w:tc>
          <w:tcPr>
            <w:tcW w:w="709" w:type="dxa"/>
            <w:vAlign w:val="center"/>
          </w:tcPr>
          <w:p w14:paraId="4B4644C4">
            <w:pPr>
              <w:wordWrap/>
              <w:topLinePunct w:val="0"/>
              <w:spacing w:after="120"/>
              <w:rPr>
                <w:rFonts w:ascii="仿宋_GB2312" w:eastAsia="仿宋_GB2312"/>
              </w:rPr>
            </w:pPr>
          </w:p>
        </w:tc>
      </w:tr>
      <w:tr w14:paraId="3AF88E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0CF3E6E7">
            <w:pPr>
              <w:wordWrap/>
              <w:topLinePunct w:val="0"/>
              <w:spacing w:after="120"/>
              <w:rPr>
                <w:rFonts w:ascii="仿宋_GB2312" w:eastAsia="仿宋_GB2312"/>
              </w:rPr>
            </w:pPr>
          </w:p>
        </w:tc>
        <w:tc>
          <w:tcPr>
            <w:tcW w:w="1165" w:type="dxa"/>
            <w:vAlign w:val="center"/>
          </w:tcPr>
          <w:p w14:paraId="2BE2980C">
            <w:pPr>
              <w:wordWrap/>
              <w:topLinePunct w:val="0"/>
              <w:spacing w:after="120"/>
              <w:rPr>
                <w:rFonts w:ascii="仿宋_GB2312" w:eastAsia="仿宋_GB2312"/>
              </w:rPr>
            </w:pPr>
          </w:p>
        </w:tc>
        <w:tc>
          <w:tcPr>
            <w:tcW w:w="1126" w:type="dxa"/>
            <w:vAlign w:val="center"/>
          </w:tcPr>
          <w:p w14:paraId="3D15929A">
            <w:pPr>
              <w:wordWrap/>
              <w:topLinePunct w:val="0"/>
              <w:spacing w:after="120"/>
              <w:rPr>
                <w:rFonts w:ascii="仿宋_GB2312" w:eastAsia="仿宋_GB2312"/>
              </w:rPr>
            </w:pPr>
          </w:p>
        </w:tc>
        <w:tc>
          <w:tcPr>
            <w:tcW w:w="567" w:type="dxa"/>
            <w:vAlign w:val="center"/>
          </w:tcPr>
          <w:p w14:paraId="0E357229">
            <w:pPr>
              <w:wordWrap/>
              <w:topLinePunct w:val="0"/>
              <w:spacing w:after="120"/>
              <w:rPr>
                <w:rFonts w:ascii="仿宋_GB2312" w:eastAsia="仿宋_GB2312"/>
              </w:rPr>
            </w:pPr>
          </w:p>
        </w:tc>
        <w:tc>
          <w:tcPr>
            <w:tcW w:w="686" w:type="dxa"/>
            <w:vAlign w:val="center"/>
          </w:tcPr>
          <w:p w14:paraId="2828BFF6">
            <w:pPr>
              <w:wordWrap/>
              <w:topLinePunct w:val="0"/>
              <w:spacing w:after="120"/>
              <w:rPr>
                <w:rFonts w:ascii="仿宋_GB2312" w:eastAsia="仿宋_GB2312"/>
              </w:rPr>
            </w:pPr>
          </w:p>
        </w:tc>
        <w:tc>
          <w:tcPr>
            <w:tcW w:w="992" w:type="dxa"/>
          </w:tcPr>
          <w:p w14:paraId="52B58A1E">
            <w:pPr>
              <w:wordWrap/>
              <w:topLinePunct w:val="0"/>
              <w:spacing w:after="120"/>
              <w:rPr>
                <w:rFonts w:ascii="仿宋_GB2312" w:eastAsia="仿宋_GB2312"/>
              </w:rPr>
            </w:pPr>
          </w:p>
        </w:tc>
        <w:tc>
          <w:tcPr>
            <w:tcW w:w="1134" w:type="dxa"/>
            <w:vAlign w:val="center"/>
          </w:tcPr>
          <w:p w14:paraId="13677F78">
            <w:pPr>
              <w:wordWrap/>
              <w:topLinePunct w:val="0"/>
              <w:spacing w:after="120"/>
              <w:rPr>
                <w:rFonts w:ascii="仿宋_GB2312" w:eastAsia="仿宋_GB2312"/>
              </w:rPr>
            </w:pPr>
          </w:p>
        </w:tc>
        <w:tc>
          <w:tcPr>
            <w:tcW w:w="1134" w:type="dxa"/>
            <w:vAlign w:val="center"/>
          </w:tcPr>
          <w:p w14:paraId="1A1FEED6">
            <w:pPr>
              <w:wordWrap/>
              <w:topLinePunct w:val="0"/>
              <w:spacing w:after="120"/>
              <w:rPr>
                <w:rFonts w:ascii="仿宋_GB2312" w:eastAsia="仿宋_GB2312"/>
              </w:rPr>
            </w:pPr>
          </w:p>
        </w:tc>
        <w:tc>
          <w:tcPr>
            <w:tcW w:w="1134" w:type="dxa"/>
            <w:vAlign w:val="center"/>
          </w:tcPr>
          <w:p w14:paraId="28140C54">
            <w:pPr>
              <w:wordWrap/>
              <w:topLinePunct w:val="0"/>
              <w:spacing w:after="120"/>
              <w:rPr>
                <w:rFonts w:ascii="仿宋_GB2312" w:eastAsia="仿宋_GB2312"/>
              </w:rPr>
            </w:pPr>
          </w:p>
        </w:tc>
        <w:tc>
          <w:tcPr>
            <w:tcW w:w="709" w:type="dxa"/>
            <w:vAlign w:val="center"/>
          </w:tcPr>
          <w:p w14:paraId="0AF55EE8">
            <w:pPr>
              <w:wordWrap/>
              <w:topLinePunct w:val="0"/>
              <w:spacing w:after="120"/>
              <w:rPr>
                <w:rFonts w:ascii="仿宋_GB2312" w:eastAsia="仿宋_GB2312"/>
              </w:rPr>
            </w:pPr>
          </w:p>
        </w:tc>
      </w:tr>
      <w:tr w14:paraId="6A4E6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370C7DCE">
            <w:pPr>
              <w:wordWrap/>
              <w:topLinePunct w:val="0"/>
              <w:spacing w:after="120"/>
              <w:rPr>
                <w:rFonts w:ascii="仿宋_GB2312" w:eastAsia="仿宋_GB2312"/>
              </w:rPr>
            </w:pPr>
          </w:p>
        </w:tc>
        <w:tc>
          <w:tcPr>
            <w:tcW w:w="1165" w:type="dxa"/>
            <w:vAlign w:val="center"/>
          </w:tcPr>
          <w:p w14:paraId="5A1FCAA5">
            <w:pPr>
              <w:wordWrap/>
              <w:topLinePunct w:val="0"/>
              <w:spacing w:after="120"/>
              <w:rPr>
                <w:rFonts w:ascii="仿宋_GB2312" w:eastAsia="仿宋_GB2312"/>
              </w:rPr>
            </w:pPr>
          </w:p>
        </w:tc>
        <w:tc>
          <w:tcPr>
            <w:tcW w:w="1126" w:type="dxa"/>
            <w:vAlign w:val="center"/>
          </w:tcPr>
          <w:p w14:paraId="4A2019C0">
            <w:pPr>
              <w:wordWrap/>
              <w:topLinePunct w:val="0"/>
              <w:spacing w:after="120"/>
              <w:rPr>
                <w:rFonts w:ascii="仿宋_GB2312" w:eastAsia="仿宋_GB2312"/>
              </w:rPr>
            </w:pPr>
          </w:p>
        </w:tc>
        <w:tc>
          <w:tcPr>
            <w:tcW w:w="567" w:type="dxa"/>
            <w:vAlign w:val="center"/>
          </w:tcPr>
          <w:p w14:paraId="53A9C9EE">
            <w:pPr>
              <w:wordWrap/>
              <w:topLinePunct w:val="0"/>
              <w:spacing w:after="120"/>
              <w:rPr>
                <w:rFonts w:ascii="仿宋_GB2312" w:eastAsia="仿宋_GB2312"/>
              </w:rPr>
            </w:pPr>
          </w:p>
        </w:tc>
        <w:tc>
          <w:tcPr>
            <w:tcW w:w="686" w:type="dxa"/>
            <w:vAlign w:val="center"/>
          </w:tcPr>
          <w:p w14:paraId="5E141605">
            <w:pPr>
              <w:wordWrap/>
              <w:topLinePunct w:val="0"/>
              <w:spacing w:after="120"/>
              <w:rPr>
                <w:rFonts w:ascii="仿宋_GB2312" w:eastAsia="仿宋_GB2312"/>
              </w:rPr>
            </w:pPr>
          </w:p>
        </w:tc>
        <w:tc>
          <w:tcPr>
            <w:tcW w:w="992" w:type="dxa"/>
          </w:tcPr>
          <w:p w14:paraId="2037D139">
            <w:pPr>
              <w:wordWrap/>
              <w:topLinePunct w:val="0"/>
              <w:spacing w:after="120"/>
              <w:rPr>
                <w:rFonts w:ascii="仿宋_GB2312" w:eastAsia="仿宋_GB2312"/>
              </w:rPr>
            </w:pPr>
          </w:p>
        </w:tc>
        <w:tc>
          <w:tcPr>
            <w:tcW w:w="1134" w:type="dxa"/>
            <w:vAlign w:val="center"/>
          </w:tcPr>
          <w:p w14:paraId="075E0A39">
            <w:pPr>
              <w:wordWrap/>
              <w:topLinePunct w:val="0"/>
              <w:spacing w:after="120"/>
              <w:rPr>
                <w:rFonts w:ascii="仿宋_GB2312" w:eastAsia="仿宋_GB2312"/>
              </w:rPr>
            </w:pPr>
          </w:p>
        </w:tc>
        <w:tc>
          <w:tcPr>
            <w:tcW w:w="1134" w:type="dxa"/>
            <w:vAlign w:val="center"/>
          </w:tcPr>
          <w:p w14:paraId="1CA7791C">
            <w:pPr>
              <w:wordWrap/>
              <w:topLinePunct w:val="0"/>
              <w:spacing w:after="120"/>
              <w:rPr>
                <w:rFonts w:ascii="仿宋_GB2312" w:eastAsia="仿宋_GB2312"/>
              </w:rPr>
            </w:pPr>
          </w:p>
        </w:tc>
        <w:tc>
          <w:tcPr>
            <w:tcW w:w="1134" w:type="dxa"/>
            <w:vAlign w:val="center"/>
          </w:tcPr>
          <w:p w14:paraId="5D55413B">
            <w:pPr>
              <w:wordWrap/>
              <w:topLinePunct w:val="0"/>
              <w:spacing w:after="120"/>
              <w:rPr>
                <w:rFonts w:ascii="仿宋_GB2312" w:eastAsia="仿宋_GB2312"/>
              </w:rPr>
            </w:pPr>
          </w:p>
        </w:tc>
        <w:tc>
          <w:tcPr>
            <w:tcW w:w="709" w:type="dxa"/>
            <w:vAlign w:val="center"/>
          </w:tcPr>
          <w:p w14:paraId="595DB7C5">
            <w:pPr>
              <w:wordWrap/>
              <w:topLinePunct w:val="0"/>
              <w:spacing w:after="120"/>
              <w:rPr>
                <w:rFonts w:ascii="仿宋_GB2312" w:eastAsia="仿宋_GB2312"/>
              </w:rPr>
            </w:pPr>
          </w:p>
        </w:tc>
      </w:tr>
      <w:tr w14:paraId="0435B6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1F39B1E7">
            <w:pPr>
              <w:wordWrap/>
              <w:topLinePunct w:val="0"/>
              <w:spacing w:after="120"/>
              <w:rPr>
                <w:rFonts w:ascii="仿宋_GB2312" w:eastAsia="仿宋_GB2312"/>
              </w:rPr>
            </w:pPr>
          </w:p>
        </w:tc>
        <w:tc>
          <w:tcPr>
            <w:tcW w:w="1165" w:type="dxa"/>
            <w:vAlign w:val="center"/>
          </w:tcPr>
          <w:p w14:paraId="60BDAF5B">
            <w:pPr>
              <w:wordWrap/>
              <w:topLinePunct w:val="0"/>
              <w:spacing w:after="120"/>
              <w:rPr>
                <w:rFonts w:ascii="仿宋_GB2312" w:eastAsia="仿宋_GB2312"/>
              </w:rPr>
            </w:pPr>
          </w:p>
        </w:tc>
        <w:tc>
          <w:tcPr>
            <w:tcW w:w="1126" w:type="dxa"/>
            <w:vAlign w:val="center"/>
          </w:tcPr>
          <w:p w14:paraId="0FAB9EE1">
            <w:pPr>
              <w:wordWrap/>
              <w:topLinePunct w:val="0"/>
              <w:spacing w:after="120"/>
              <w:rPr>
                <w:rFonts w:ascii="仿宋_GB2312" w:eastAsia="仿宋_GB2312"/>
              </w:rPr>
            </w:pPr>
          </w:p>
        </w:tc>
        <w:tc>
          <w:tcPr>
            <w:tcW w:w="567" w:type="dxa"/>
            <w:vAlign w:val="center"/>
          </w:tcPr>
          <w:p w14:paraId="1A568F41">
            <w:pPr>
              <w:wordWrap/>
              <w:topLinePunct w:val="0"/>
              <w:spacing w:after="120"/>
              <w:rPr>
                <w:rFonts w:ascii="仿宋_GB2312" w:eastAsia="仿宋_GB2312"/>
              </w:rPr>
            </w:pPr>
          </w:p>
        </w:tc>
        <w:tc>
          <w:tcPr>
            <w:tcW w:w="686" w:type="dxa"/>
            <w:vAlign w:val="center"/>
          </w:tcPr>
          <w:p w14:paraId="33DB9581">
            <w:pPr>
              <w:wordWrap/>
              <w:topLinePunct w:val="0"/>
              <w:spacing w:after="120"/>
              <w:rPr>
                <w:rFonts w:ascii="仿宋_GB2312" w:eastAsia="仿宋_GB2312"/>
              </w:rPr>
            </w:pPr>
          </w:p>
        </w:tc>
        <w:tc>
          <w:tcPr>
            <w:tcW w:w="992" w:type="dxa"/>
          </w:tcPr>
          <w:p w14:paraId="74CDE855">
            <w:pPr>
              <w:wordWrap/>
              <w:topLinePunct w:val="0"/>
              <w:spacing w:after="120"/>
              <w:rPr>
                <w:rFonts w:ascii="仿宋_GB2312" w:eastAsia="仿宋_GB2312"/>
              </w:rPr>
            </w:pPr>
          </w:p>
        </w:tc>
        <w:tc>
          <w:tcPr>
            <w:tcW w:w="1134" w:type="dxa"/>
            <w:vAlign w:val="center"/>
          </w:tcPr>
          <w:p w14:paraId="1BECEFD8">
            <w:pPr>
              <w:wordWrap/>
              <w:topLinePunct w:val="0"/>
              <w:spacing w:after="120"/>
              <w:rPr>
                <w:rFonts w:ascii="仿宋_GB2312" w:eastAsia="仿宋_GB2312"/>
              </w:rPr>
            </w:pPr>
          </w:p>
        </w:tc>
        <w:tc>
          <w:tcPr>
            <w:tcW w:w="1134" w:type="dxa"/>
            <w:vAlign w:val="center"/>
          </w:tcPr>
          <w:p w14:paraId="477FF7DF">
            <w:pPr>
              <w:wordWrap/>
              <w:topLinePunct w:val="0"/>
              <w:spacing w:after="120"/>
              <w:rPr>
                <w:rFonts w:ascii="仿宋_GB2312" w:eastAsia="仿宋_GB2312"/>
              </w:rPr>
            </w:pPr>
          </w:p>
        </w:tc>
        <w:tc>
          <w:tcPr>
            <w:tcW w:w="1134" w:type="dxa"/>
            <w:vAlign w:val="center"/>
          </w:tcPr>
          <w:p w14:paraId="055922EC">
            <w:pPr>
              <w:wordWrap/>
              <w:topLinePunct w:val="0"/>
              <w:spacing w:after="120"/>
              <w:rPr>
                <w:rFonts w:ascii="仿宋_GB2312" w:eastAsia="仿宋_GB2312"/>
              </w:rPr>
            </w:pPr>
          </w:p>
        </w:tc>
        <w:tc>
          <w:tcPr>
            <w:tcW w:w="709" w:type="dxa"/>
            <w:vAlign w:val="center"/>
          </w:tcPr>
          <w:p w14:paraId="054C0365">
            <w:pPr>
              <w:wordWrap/>
              <w:topLinePunct w:val="0"/>
              <w:spacing w:after="120"/>
              <w:rPr>
                <w:rFonts w:ascii="仿宋_GB2312" w:eastAsia="仿宋_GB2312"/>
              </w:rPr>
            </w:pPr>
          </w:p>
        </w:tc>
      </w:tr>
      <w:tr w14:paraId="2086B4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13FCFA93">
            <w:pPr>
              <w:wordWrap/>
              <w:topLinePunct w:val="0"/>
              <w:spacing w:after="120"/>
              <w:rPr>
                <w:rFonts w:ascii="仿宋_GB2312" w:eastAsia="仿宋_GB2312"/>
              </w:rPr>
            </w:pPr>
          </w:p>
        </w:tc>
        <w:tc>
          <w:tcPr>
            <w:tcW w:w="1165" w:type="dxa"/>
            <w:vAlign w:val="center"/>
          </w:tcPr>
          <w:p w14:paraId="7DBE4EA4">
            <w:pPr>
              <w:wordWrap/>
              <w:topLinePunct w:val="0"/>
              <w:spacing w:after="120"/>
              <w:rPr>
                <w:rFonts w:ascii="仿宋_GB2312" w:eastAsia="仿宋_GB2312"/>
              </w:rPr>
            </w:pPr>
          </w:p>
        </w:tc>
        <w:tc>
          <w:tcPr>
            <w:tcW w:w="1126" w:type="dxa"/>
            <w:vAlign w:val="center"/>
          </w:tcPr>
          <w:p w14:paraId="49DA21FD">
            <w:pPr>
              <w:wordWrap/>
              <w:topLinePunct w:val="0"/>
              <w:spacing w:after="120"/>
              <w:rPr>
                <w:rFonts w:ascii="仿宋_GB2312" w:eastAsia="仿宋_GB2312"/>
              </w:rPr>
            </w:pPr>
          </w:p>
        </w:tc>
        <w:tc>
          <w:tcPr>
            <w:tcW w:w="567" w:type="dxa"/>
            <w:vAlign w:val="center"/>
          </w:tcPr>
          <w:p w14:paraId="6C20AF1B">
            <w:pPr>
              <w:wordWrap/>
              <w:topLinePunct w:val="0"/>
              <w:spacing w:after="120"/>
              <w:rPr>
                <w:rFonts w:ascii="仿宋_GB2312" w:eastAsia="仿宋_GB2312"/>
              </w:rPr>
            </w:pPr>
          </w:p>
        </w:tc>
        <w:tc>
          <w:tcPr>
            <w:tcW w:w="686" w:type="dxa"/>
            <w:vAlign w:val="center"/>
          </w:tcPr>
          <w:p w14:paraId="6B815D2F">
            <w:pPr>
              <w:wordWrap/>
              <w:topLinePunct w:val="0"/>
              <w:spacing w:after="120"/>
              <w:rPr>
                <w:rFonts w:ascii="仿宋_GB2312" w:eastAsia="仿宋_GB2312"/>
              </w:rPr>
            </w:pPr>
          </w:p>
        </w:tc>
        <w:tc>
          <w:tcPr>
            <w:tcW w:w="992" w:type="dxa"/>
          </w:tcPr>
          <w:p w14:paraId="4428FEAB">
            <w:pPr>
              <w:wordWrap/>
              <w:topLinePunct w:val="0"/>
              <w:spacing w:after="120"/>
              <w:rPr>
                <w:rFonts w:ascii="仿宋_GB2312" w:eastAsia="仿宋_GB2312"/>
              </w:rPr>
            </w:pPr>
          </w:p>
        </w:tc>
        <w:tc>
          <w:tcPr>
            <w:tcW w:w="1134" w:type="dxa"/>
            <w:vAlign w:val="center"/>
          </w:tcPr>
          <w:p w14:paraId="63D0C125">
            <w:pPr>
              <w:wordWrap/>
              <w:topLinePunct w:val="0"/>
              <w:spacing w:after="120"/>
              <w:rPr>
                <w:rFonts w:ascii="仿宋_GB2312" w:eastAsia="仿宋_GB2312"/>
              </w:rPr>
            </w:pPr>
          </w:p>
        </w:tc>
        <w:tc>
          <w:tcPr>
            <w:tcW w:w="1134" w:type="dxa"/>
            <w:vAlign w:val="center"/>
          </w:tcPr>
          <w:p w14:paraId="44A5AE8E">
            <w:pPr>
              <w:wordWrap/>
              <w:topLinePunct w:val="0"/>
              <w:spacing w:after="120"/>
              <w:rPr>
                <w:rFonts w:ascii="仿宋_GB2312" w:eastAsia="仿宋_GB2312"/>
              </w:rPr>
            </w:pPr>
          </w:p>
        </w:tc>
        <w:tc>
          <w:tcPr>
            <w:tcW w:w="1134" w:type="dxa"/>
            <w:vAlign w:val="center"/>
          </w:tcPr>
          <w:p w14:paraId="0E0A83BA">
            <w:pPr>
              <w:wordWrap/>
              <w:topLinePunct w:val="0"/>
              <w:spacing w:after="120"/>
              <w:rPr>
                <w:rFonts w:ascii="仿宋_GB2312" w:eastAsia="仿宋_GB2312"/>
              </w:rPr>
            </w:pPr>
          </w:p>
        </w:tc>
        <w:tc>
          <w:tcPr>
            <w:tcW w:w="709" w:type="dxa"/>
            <w:vAlign w:val="center"/>
          </w:tcPr>
          <w:p w14:paraId="2C958DDC">
            <w:pPr>
              <w:wordWrap/>
              <w:topLinePunct w:val="0"/>
              <w:spacing w:after="120"/>
              <w:rPr>
                <w:rFonts w:ascii="仿宋_GB2312" w:eastAsia="仿宋_GB2312"/>
              </w:rPr>
            </w:pPr>
          </w:p>
        </w:tc>
      </w:tr>
      <w:tr w14:paraId="70AD8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36C62E45">
            <w:pPr>
              <w:wordWrap/>
              <w:topLinePunct w:val="0"/>
              <w:spacing w:after="120"/>
              <w:rPr>
                <w:rFonts w:ascii="仿宋_GB2312" w:eastAsia="仿宋_GB2312"/>
              </w:rPr>
            </w:pPr>
          </w:p>
        </w:tc>
        <w:tc>
          <w:tcPr>
            <w:tcW w:w="1165" w:type="dxa"/>
            <w:vAlign w:val="center"/>
          </w:tcPr>
          <w:p w14:paraId="3D8135AF">
            <w:pPr>
              <w:wordWrap/>
              <w:topLinePunct w:val="0"/>
              <w:spacing w:after="120"/>
              <w:rPr>
                <w:rFonts w:ascii="仿宋_GB2312" w:eastAsia="仿宋_GB2312"/>
              </w:rPr>
            </w:pPr>
          </w:p>
        </w:tc>
        <w:tc>
          <w:tcPr>
            <w:tcW w:w="1126" w:type="dxa"/>
            <w:vAlign w:val="center"/>
          </w:tcPr>
          <w:p w14:paraId="0EFBECB8">
            <w:pPr>
              <w:wordWrap/>
              <w:topLinePunct w:val="0"/>
              <w:spacing w:after="120"/>
              <w:rPr>
                <w:rFonts w:ascii="仿宋_GB2312" w:eastAsia="仿宋_GB2312"/>
              </w:rPr>
            </w:pPr>
          </w:p>
        </w:tc>
        <w:tc>
          <w:tcPr>
            <w:tcW w:w="567" w:type="dxa"/>
            <w:vAlign w:val="center"/>
          </w:tcPr>
          <w:p w14:paraId="32B086E6">
            <w:pPr>
              <w:wordWrap/>
              <w:topLinePunct w:val="0"/>
              <w:spacing w:after="120"/>
              <w:rPr>
                <w:rFonts w:ascii="仿宋_GB2312" w:eastAsia="仿宋_GB2312"/>
              </w:rPr>
            </w:pPr>
          </w:p>
        </w:tc>
        <w:tc>
          <w:tcPr>
            <w:tcW w:w="686" w:type="dxa"/>
            <w:vAlign w:val="center"/>
          </w:tcPr>
          <w:p w14:paraId="5A3463C7">
            <w:pPr>
              <w:wordWrap/>
              <w:topLinePunct w:val="0"/>
              <w:spacing w:after="120"/>
              <w:rPr>
                <w:rFonts w:ascii="仿宋_GB2312" w:eastAsia="仿宋_GB2312"/>
              </w:rPr>
            </w:pPr>
          </w:p>
        </w:tc>
        <w:tc>
          <w:tcPr>
            <w:tcW w:w="992" w:type="dxa"/>
          </w:tcPr>
          <w:p w14:paraId="010B40AF">
            <w:pPr>
              <w:wordWrap/>
              <w:topLinePunct w:val="0"/>
              <w:spacing w:after="120"/>
              <w:rPr>
                <w:rFonts w:ascii="仿宋_GB2312" w:eastAsia="仿宋_GB2312"/>
              </w:rPr>
            </w:pPr>
          </w:p>
        </w:tc>
        <w:tc>
          <w:tcPr>
            <w:tcW w:w="1134" w:type="dxa"/>
            <w:vAlign w:val="center"/>
          </w:tcPr>
          <w:p w14:paraId="1D5DD6FA">
            <w:pPr>
              <w:wordWrap/>
              <w:topLinePunct w:val="0"/>
              <w:spacing w:after="120"/>
              <w:rPr>
                <w:rFonts w:ascii="仿宋_GB2312" w:eastAsia="仿宋_GB2312"/>
              </w:rPr>
            </w:pPr>
          </w:p>
        </w:tc>
        <w:tc>
          <w:tcPr>
            <w:tcW w:w="1134" w:type="dxa"/>
            <w:vAlign w:val="center"/>
          </w:tcPr>
          <w:p w14:paraId="05395B09">
            <w:pPr>
              <w:wordWrap/>
              <w:topLinePunct w:val="0"/>
              <w:spacing w:after="120"/>
              <w:rPr>
                <w:rFonts w:ascii="仿宋_GB2312" w:eastAsia="仿宋_GB2312"/>
              </w:rPr>
            </w:pPr>
          </w:p>
        </w:tc>
        <w:tc>
          <w:tcPr>
            <w:tcW w:w="1134" w:type="dxa"/>
            <w:vAlign w:val="center"/>
          </w:tcPr>
          <w:p w14:paraId="0CF5EA00">
            <w:pPr>
              <w:wordWrap/>
              <w:topLinePunct w:val="0"/>
              <w:spacing w:after="120"/>
              <w:rPr>
                <w:rFonts w:ascii="仿宋_GB2312" w:eastAsia="仿宋_GB2312"/>
              </w:rPr>
            </w:pPr>
          </w:p>
        </w:tc>
        <w:tc>
          <w:tcPr>
            <w:tcW w:w="709" w:type="dxa"/>
            <w:vAlign w:val="center"/>
          </w:tcPr>
          <w:p w14:paraId="395A9492">
            <w:pPr>
              <w:wordWrap/>
              <w:topLinePunct w:val="0"/>
              <w:spacing w:after="120"/>
              <w:rPr>
                <w:rFonts w:ascii="仿宋_GB2312" w:eastAsia="仿宋_GB2312"/>
              </w:rPr>
            </w:pPr>
          </w:p>
        </w:tc>
      </w:tr>
      <w:tr w14:paraId="05F4B5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4399D6E0">
            <w:pPr>
              <w:wordWrap/>
              <w:topLinePunct w:val="0"/>
              <w:spacing w:after="120"/>
              <w:rPr>
                <w:rFonts w:ascii="仿宋_GB2312" w:eastAsia="仿宋_GB2312"/>
              </w:rPr>
            </w:pPr>
          </w:p>
        </w:tc>
        <w:tc>
          <w:tcPr>
            <w:tcW w:w="1165" w:type="dxa"/>
            <w:vAlign w:val="center"/>
          </w:tcPr>
          <w:p w14:paraId="74667678">
            <w:pPr>
              <w:wordWrap/>
              <w:topLinePunct w:val="0"/>
              <w:spacing w:after="120"/>
              <w:rPr>
                <w:rFonts w:ascii="仿宋_GB2312" w:eastAsia="仿宋_GB2312"/>
              </w:rPr>
            </w:pPr>
          </w:p>
        </w:tc>
        <w:tc>
          <w:tcPr>
            <w:tcW w:w="1126" w:type="dxa"/>
            <w:vAlign w:val="center"/>
          </w:tcPr>
          <w:p w14:paraId="1CFFBC1E">
            <w:pPr>
              <w:wordWrap/>
              <w:topLinePunct w:val="0"/>
              <w:spacing w:after="120"/>
              <w:rPr>
                <w:rFonts w:ascii="仿宋_GB2312" w:eastAsia="仿宋_GB2312"/>
              </w:rPr>
            </w:pPr>
          </w:p>
        </w:tc>
        <w:tc>
          <w:tcPr>
            <w:tcW w:w="567" w:type="dxa"/>
            <w:vAlign w:val="center"/>
          </w:tcPr>
          <w:p w14:paraId="3A5B39BE">
            <w:pPr>
              <w:wordWrap/>
              <w:topLinePunct w:val="0"/>
              <w:spacing w:after="120"/>
              <w:rPr>
                <w:rFonts w:ascii="仿宋_GB2312" w:eastAsia="仿宋_GB2312"/>
              </w:rPr>
            </w:pPr>
          </w:p>
        </w:tc>
        <w:tc>
          <w:tcPr>
            <w:tcW w:w="686" w:type="dxa"/>
            <w:vAlign w:val="center"/>
          </w:tcPr>
          <w:p w14:paraId="6BFF3299">
            <w:pPr>
              <w:wordWrap/>
              <w:topLinePunct w:val="0"/>
              <w:spacing w:after="120"/>
              <w:rPr>
                <w:rFonts w:ascii="仿宋_GB2312" w:eastAsia="仿宋_GB2312"/>
              </w:rPr>
            </w:pPr>
          </w:p>
        </w:tc>
        <w:tc>
          <w:tcPr>
            <w:tcW w:w="992" w:type="dxa"/>
          </w:tcPr>
          <w:p w14:paraId="460472AE">
            <w:pPr>
              <w:wordWrap/>
              <w:topLinePunct w:val="0"/>
              <w:spacing w:after="120"/>
              <w:rPr>
                <w:rFonts w:ascii="仿宋_GB2312" w:eastAsia="仿宋_GB2312"/>
              </w:rPr>
            </w:pPr>
          </w:p>
        </w:tc>
        <w:tc>
          <w:tcPr>
            <w:tcW w:w="1134" w:type="dxa"/>
            <w:vAlign w:val="center"/>
          </w:tcPr>
          <w:p w14:paraId="66E0002E">
            <w:pPr>
              <w:wordWrap/>
              <w:topLinePunct w:val="0"/>
              <w:spacing w:after="120"/>
              <w:rPr>
                <w:rFonts w:ascii="仿宋_GB2312" w:eastAsia="仿宋_GB2312"/>
              </w:rPr>
            </w:pPr>
          </w:p>
        </w:tc>
        <w:tc>
          <w:tcPr>
            <w:tcW w:w="1134" w:type="dxa"/>
            <w:vAlign w:val="center"/>
          </w:tcPr>
          <w:p w14:paraId="54E47F3B">
            <w:pPr>
              <w:wordWrap/>
              <w:topLinePunct w:val="0"/>
              <w:spacing w:after="120"/>
              <w:rPr>
                <w:rFonts w:ascii="仿宋_GB2312" w:eastAsia="仿宋_GB2312"/>
              </w:rPr>
            </w:pPr>
          </w:p>
        </w:tc>
        <w:tc>
          <w:tcPr>
            <w:tcW w:w="1134" w:type="dxa"/>
            <w:vAlign w:val="center"/>
          </w:tcPr>
          <w:p w14:paraId="5E1A8912">
            <w:pPr>
              <w:wordWrap/>
              <w:topLinePunct w:val="0"/>
              <w:spacing w:after="120"/>
              <w:rPr>
                <w:rFonts w:ascii="仿宋_GB2312" w:eastAsia="仿宋_GB2312"/>
              </w:rPr>
            </w:pPr>
          </w:p>
        </w:tc>
        <w:tc>
          <w:tcPr>
            <w:tcW w:w="709" w:type="dxa"/>
            <w:vAlign w:val="center"/>
          </w:tcPr>
          <w:p w14:paraId="1EFBA391">
            <w:pPr>
              <w:wordWrap/>
              <w:topLinePunct w:val="0"/>
              <w:spacing w:after="120"/>
              <w:rPr>
                <w:rFonts w:ascii="仿宋_GB2312" w:eastAsia="仿宋_GB2312"/>
              </w:rPr>
            </w:pPr>
          </w:p>
        </w:tc>
      </w:tr>
      <w:tr w14:paraId="1F629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552" w:type="dxa"/>
            <w:vAlign w:val="center"/>
          </w:tcPr>
          <w:p w14:paraId="0396D45B">
            <w:pPr>
              <w:wordWrap/>
              <w:topLinePunct w:val="0"/>
              <w:spacing w:after="120"/>
              <w:rPr>
                <w:rFonts w:ascii="仿宋_GB2312" w:eastAsia="仿宋_GB2312"/>
              </w:rPr>
            </w:pPr>
          </w:p>
        </w:tc>
        <w:tc>
          <w:tcPr>
            <w:tcW w:w="1165" w:type="dxa"/>
            <w:vAlign w:val="center"/>
          </w:tcPr>
          <w:p w14:paraId="095B2D34">
            <w:pPr>
              <w:wordWrap/>
              <w:topLinePunct w:val="0"/>
              <w:spacing w:after="120"/>
              <w:rPr>
                <w:rFonts w:ascii="仿宋_GB2312" w:eastAsia="仿宋_GB2312"/>
              </w:rPr>
            </w:pPr>
          </w:p>
        </w:tc>
        <w:tc>
          <w:tcPr>
            <w:tcW w:w="1126" w:type="dxa"/>
            <w:vAlign w:val="center"/>
          </w:tcPr>
          <w:p w14:paraId="1B4C61C4">
            <w:pPr>
              <w:wordWrap/>
              <w:topLinePunct w:val="0"/>
              <w:spacing w:after="120"/>
              <w:rPr>
                <w:rFonts w:ascii="仿宋_GB2312" w:eastAsia="仿宋_GB2312"/>
              </w:rPr>
            </w:pPr>
          </w:p>
        </w:tc>
        <w:tc>
          <w:tcPr>
            <w:tcW w:w="567" w:type="dxa"/>
            <w:vAlign w:val="center"/>
          </w:tcPr>
          <w:p w14:paraId="12667971">
            <w:pPr>
              <w:wordWrap/>
              <w:topLinePunct w:val="0"/>
              <w:spacing w:after="120"/>
              <w:rPr>
                <w:rFonts w:ascii="仿宋_GB2312" w:eastAsia="仿宋_GB2312"/>
              </w:rPr>
            </w:pPr>
          </w:p>
        </w:tc>
        <w:tc>
          <w:tcPr>
            <w:tcW w:w="686" w:type="dxa"/>
            <w:vAlign w:val="center"/>
          </w:tcPr>
          <w:p w14:paraId="1B1C5A40">
            <w:pPr>
              <w:wordWrap/>
              <w:topLinePunct w:val="0"/>
              <w:spacing w:after="120"/>
              <w:rPr>
                <w:rFonts w:ascii="仿宋_GB2312" w:eastAsia="仿宋_GB2312"/>
              </w:rPr>
            </w:pPr>
          </w:p>
        </w:tc>
        <w:tc>
          <w:tcPr>
            <w:tcW w:w="992" w:type="dxa"/>
          </w:tcPr>
          <w:p w14:paraId="21CF1A4E">
            <w:pPr>
              <w:wordWrap/>
              <w:topLinePunct w:val="0"/>
              <w:spacing w:after="120"/>
              <w:rPr>
                <w:rFonts w:ascii="仿宋_GB2312" w:eastAsia="仿宋_GB2312"/>
              </w:rPr>
            </w:pPr>
          </w:p>
        </w:tc>
        <w:tc>
          <w:tcPr>
            <w:tcW w:w="1134" w:type="dxa"/>
            <w:vAlign w:val="center"/>
          </w:tcPr>
          <w:p w14:paraId="57F314FC">
            <w:pPr>
              <w:wordWrap/>
              <w:topLinePunct w:val="0"/>
              <w:spacing w:after="120"/>
              <w:rPr>
                <w:rFonts w:ascii="仿宋_GB2312" w:eastAsia="仿宋_GB2312"/>
              </w:rPr>
            </w:pPr>
          </w:p>
        </w:tc>
        <w:tc>
          <w:tcPr>
            <w:tcW w:w="1134" w:type="dxa"/>
            <w:vAlign w:val="center"/>
          </w:tcPr>
          <w:p w14:paraId="0700D41B">
            <w:pPr>
              <w:wordWrap/>
              <w:topLinePunct w:val="0"/>
              <w:spacing w:after="120"/>
              <w:rPr>
                <w:rFonts w:ascii="仿宋_GB2312" w:eastAsia="仿宋_GB2312"/>
              </w:rPr>
            </w:pPr>
          </w:p>
        </w:tc>
        <w:tc>
          <w:tcPr>
            <w:tcW w:w="1134" w:type="dxa"/>
            <w:vAlign w:val="center"/>
          </w:tcPr>
          <w:p w14:paraId="10A7FDF7">
            <w:pPr>
              <w:wordWrap/>
              <w:topLinePunct w:val="0"/>
              <w:spacing w:after="120"/>
              <w:rPr>
                <w:rFonts w:ascii="仿宋_GB2312" w:eastAsia="仿宋_GB2312"/>
              </w:rPr>
            </w:pPr>
          </w:p>
        </w:tc>
        <w:tc>
          <w:tcPr>
            <w:tcW w:w="709" w:type="dxa"/>
            <w:vAlign w:val="center"/>
          </w:tcPr>
          <w:p w14:paraId="372A0F34">
            <w:pPr>
              <w:wordWrap/>
              <w:topLinePunct w:val="0"/>
              <w:spacing w:after="120"/>
              <w:rPr>
                <w:rFonts w:ascii="仿宋_GB2312" w:eastAsia="仿宋_GB2312"/>
              </w:rPr>
            </w:pPr>
          </w:p>
        </w:tc>
      </w:tr>
    </w:tbl>
    <w:p w14:paraId="67D8CD6D">
      <w:pPr>
        <w:wordWrap/>
        <w:topLinePunct w:val="0"/>
        <w:spacing w:after="120"/>
        <w:ind w:firstLine="0" w:firstLineChars="0"/>
      </w:pPr>
    </w:p>
    <w:p w14:paraId="1B8C7786">
      <w:pPr>
        <w:pStyle w:val="106"/>
        <w:numPr>
          <w:ilvl w:val="0"/>
          <w:numId w:val="0"/>
        </w:numPr>
        <w:spacing w:after="120"/>
        <w:jc w:val="center"/>
        <w:outlineLvl w:val="1"/>
        <w:rPr>
          <w:rFonts w:ascii="仿宋" w:hAnsi="仿宋" w:eastAsia="仿宋" w:cs="仿宋"/>
          <w:b/>
          <w:bCs/>
          <w:sz w:val="32"/>
          <w:szCs w:val="32"/>
        </w:rPr>
      </w:pPr>
      <w:bookmarkStart w:id="930" w:name="_Toc20171895"/>
      <w:bookmarkStart w:id="931" w:name="_Toc22578"/>
      <w:bookmarkStart w:id="932" w:name="_Toc1868"/>
      <w:bookmarkStart w:id="933" w:name="_Toc19717"/>
      <w:bookmarkStart w:id="934" w:name="_Toc54862354"/>
      <w:r>
        <w:rPr>
          <w:rFonts w:hint="eastAsia" w:ascii="仿宋" w:hAnsi="仿宋" w:eastAsia="仿宋" w:cs="仿宋"/>
          <w:b/>
          <w:bCs/>
          <w:sz w:val="32"/>
          <w:szCs w:val="32"/>
        </w:rPr>
        <w:t>附件3 工程质量保修书</w:t>
      </w:r>
      <w:bookmarkEnd w:id="930"/>
      <w:bookmarkEnd w:id="931"/>
      <w:bookmarkEnd w:id="932"/>
      <w:bookmarkEnd w:id="933"/>
      <w:bookmarkEnd w:id="934"/>
    </w:p>
    <w:p w14:paraId="1AF506FC">
      <w:pPr>
        <w:wordWrap/>
        <w:topLinePunct w:val="0"/>
        <w:spacing w:after="120"/>
        <w:ind w:firstLine="0" w:firstLineChars="0"/>
        <w:rPr>
          <w:rFonts w:ascii="仿宋_GB2312" w:eastAsia="仿宋_GB2312"/>
          <w:sz w:val="30"/>
          <w:szCs w:val="30"/>
        </w:rPr>
      </w:pPr>
      <w:r>
        <w:rPr>
          <w:rFonts w:hint="eastAsia" w:ascii="仿宋_GB2312" w:eastAsia="仿宋_GB2312"/>
          <w:sz w:val="30"/>
          <w:szCs w:val="30"/>
        </w:rPr>
        <w:t>发包人（全称）：</w:t>
      </w:r>
      <w:r>
        <w:rPr>
          <w:rFonts w:hint="eastAsia" w:ascii="仿宋_GB2312" w:eastAsia="仿宋_GB2312"/>
          <w:sz w:val="30"/>
          <w:szCs w:val="30"/>
          <w:u w:val="single"/>
        </w:rPr>
        <w:t>广东省代建项目管理局</w:t>
      </w:r>
    </w:p>
    <w:p w14:paraId="2CF396BF">
      <w:pPr>
        <w:wordWrap/>
        <w:topLinePunct w:val="0"/>
        <w:spacing w:after="120"/>
        <w:ind w:firstLine="0" w:firstLineChars="0"/>
        <w:rPr>
          <w:rFonts w:ascii="仿宋_GB2312" w:eastAsia="仿宋_GB2312"/>
          <w:sz w:val="30"/>
          <w:szCs w:val="30"/>
        </w:rPr>
      </w:pPr>
      <w:r>
        <w:rPr>
          <w:rFonts w:hint="eastAsia" w:ascii="仿宋_GB2312" w:eastAsia="仿宋_GB2312"/>
          <w:sz w:val="30"/>
          <w:szCs w:val="30"/>
        </w:rPr>
        <w:t>承包人（全称）：</w:t>
      </w:r>
    </w:p>
    <w:p w14:paraId="5E987D5E">
      <w:pPr>
        <w:wordWrap/>
        <w:topLinePunct w:val="0"/>
        <w:spacing w:after="120"/>
        <w:ind w:firstLine="600"/>
        <w:rPr>
          <w:rFonts w:ascii="仿宋_GB2312" w:eastAsia="仿宋_GB2312"/>
          <w:sz w:val="30"/>
          <w:szCs w:val="30"/>
        </w:rPr>
      </w:pPr>
      <w:r>
        <w:rPr>
          <w:rFonts w:hint="eastAsia" w:ascii="仿宋_GB2312" w:eastAsia="仿宋_GB2312"/>
          <w:sz w:val="30"/>
          <w:szCs w:val="30"/>
        </w:rPr>
        <w:t>发包人和承包人根据《中华人民共和国建筑法》和《建设工程质量管理条例》，经协商一致就（工程全称）订立工程质量保修书。</w:t>
      </w:r>
    </w:p>
    <w:p w14:paraId="06371B36">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一、工程质量保修范围和内容</w:t>
      </w:r>
    </w:p>
    <w:p w14:paraId="074BDDAB">
      <w:pPr>
        <w:wordWrap/>
        <w:topLinePunct w:val="0"/>
        <w:spacing w:after="120"/>
        <w:ind w:firstLine="600"/>
        <w:rPr>
          <w:rFonts w:ascii="仿宋_GB2312" w:eastAsia="仿宋_GB2312"/>
          <w:sz w:val="30"/>
          <w:szCs w:val="30"/>
        </w:rPr>
      </w:pPr>
      <w:r>
        <w:rPr>
          <w:rFonts w:hint="eastAsia" w:ascii="仿宋_GB2312" w:eastAsia="仿宋_GB2312"/>
          <w:sz w:val="30"/>
          <w:szCs w:val="30"/>
        </w:rPr>
        <w:t>承包人在质量保修期内，按照有关法律规定和合同约定，承担工程质量保修责任。</w:t>
      </w:r>
    </w:p>
    <w:p w14:paraId="5979E410">
      <w:pPr>
        <w:wordWrap/>
        <w:topLinePunct w:val="0"/>
        <w:spacing w:after="120"/>
        <w:ind w:firstLine="600"/>
        <w:rPr>
          <w:rFonts w:ascii="仿宋_GB2312" w:eastAsia="仿宋_GB2312"/>
          <w:sz w:val="30"/>
          <w:szCs w:val="30"/>
        </w:rPr>
      </w:pPr>
      <w:r>
        <w:rPr>
          <w:rFonts w:hint="eastAsia" w:ascii="仿宋_GB2312" w:eastAsia="仿宋_GB2312"/>
          <w:sz w:val="30"/>
          <w:szCs w:val="30"/>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5F2F4A0">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二、质量保修期</w:t>
      </w:r>
    </w:p>
    <w:p w14:paraId="4E0BAF49">
      <w:pPr>
        <w:wordWrap/>
        <w:topLinePunct w:val="0"/>
        <w:spacing w:after="120"/>
        <w:ind w:firstLine="600"/>
        <w:rPr>
          <w:rFonts w:ascii="仿宋_GB2312" w:eastAsia="仿宋_GB2312"/>
          <w:sz w:val="30"/>
          <w:szCs w:val="30"/>
        </w:rPr>
      </w:pPr>
      <w:r>
        <w:rPr>
          <w:rFonts w:hint="eastAsia" w:ascii="仿宋_GB2312" w:eastAsia="仿宋_GB2312"/>
          <w:sz w:val="30"/>
          <w:szCs w:val="30"/>
        </w:rPr>
        <w:t>根据《建设工程质量管理条例》及有关规定，工程的质量保修期如下：</w:t>
      </w:r>
    </w:p>
    <w:p w14:paraId="7E2117BA">
      <w:pPr>
        <w:wordWrap/>
        <w:topLinePunct w:val="0"/>
        <w:spacing w:after="120"/>
        <w:ind w:firstLine="600"/>
        <w:rPr>
          <w:rFonts w:ascii="仿宋_GB2312" w:eastAsia="仿宋_GB2312"/>
          <w:sz w:val="30"/>
          <w:szCs w:val="30"/>
        </w:rPr>
      </w:pPr>
      <w:r>
        <w:rPr>
          <w:rFonts w:hint="eastAsia" w:ascii="仿宋_GB2312" w:eastAsia="仿宋_GB2312"/>
          <w:sz w:val="30"/>
          <w:szCs w:val="30"/>
        </w:rPr>
        <w:t>1．地基基础工程和主体结构工程为设计文件规定的工程合理使用年限；</w:t>
      </w:r>
    </w:p>
    <w:p w14:paraId="3DA72EB1">
      <w:pPr>
        <w:wordWrap/>
        <w:topLinePunct w:val="0"/>
        <w:spacing w:after="120"/>
        <w:ind w:firstLine="600"/>
        <w:rPr>
          <w:rFonts w:ascii="仿宋_GB2312" w:eastAsia="仿宋_GB2312"/>
          <w:sz w:val="30"/>
          <w:szCs w:val="30"/>
        </w:rPr>
      </w:pPr>
      <w:r>
        <w:rPr>
          <w:rFonts w:hint="eastAsia" w:ascii="仿宋_GB2312" w:eastAsia="仿宋_GB2312"/>
          <w:sz w:val="30"/>
          <w:szCs w:val="30"/>
        </w:rPr>
        <w:t>2．屋面防水工程、有防水要求的卫生间、房间和外墙面的防渗为年；</w:t>
      </w:r>
    </w:p>
    <w:p w14:paraId="0ED7BBB7">
      <w:pPr>
        <w:wordWrap/>
        <w:topLinePunct w:val="0"/>
        <w:spacing w:after="120"/>
        <w:ind w:firstLine="600"/>
        <w:rPr>
          <w:rFonts w:ascii="仿宋_GB2312" w:eastAsia="仿宋_GB2312"/>
          <w:sz w:val="30"/>
          <w:szCs w:val="30"/>
        </w:rPr>
      </w:pPr>
      <w:r>
        <w:rPr>
          <w:rFonts w:hint="eastAsia" w:ascii="仿宋_GB2312" w:eastAsia="仿宋_GB2312"/>
          <w:sz w:val="30"/>
          <w:szCs w:val="30"/>
        </w:rPr>
        <w:t>3．装修工程为 2 年；</w:t>
      </w:r>
    </w:p>
    <w:p w14:paraId="44902039">
      <w:pPr>
        <w:wordWrap/>
        <w:topLinePunct w:val="0"/>
        <w:spacing w:after="120"/>
        <w:ind w:firstLine="600"/>
        <w:rPr>
          <w:rFonts w:ascii="仿宋_GB2312" w:eastAsia="仿宋_GB2312"/>
          <w:sz w:val="30"/>
          <w:szCs w:val="30"/>
        </w:rPr>
      </w:pPr>
      <w:r>
        <w:rPr>
          <w:rFonts w:hint="eastAsia" w:ascii="仿宋_GB2312" w:eastAsia="仿宋_GB2312"/>
          <w:sz w:val="30"/>
          <w:szCs w:val="30"/>
        </w:rPr>
        <w:t>4．电气管线、给排水管道、设备安装工程为 2 年；</w:t>
      </w:r>
    </w:p>
    <w:p w14:paraId="347E662D">
      <w:pPr>
        <w:wordWrap/>
        <w:topLinePunct w:val="0"/>
        <w:spacing w:after="120"/>
        <w:ind w:firstLine="600"/>
        <w:rPr>
          <w:rFonts w:ascii="仿宋_GB2312" w:eastAsia="仿宋_GB2312"/>
          <w:sz w:val="30"/>
          <w:szCs w:val="30"/>
        </w:rPr>
      </w:pPr>
      <w:r>
        <w:rPr>
          <w:rFonts w:hint="eastAsia" w:ascii="仿宋_GB2312" w:eastAsia="仿宋_GB2312"/>
          <w:sz w:val="30"/>
          <w:szCs w:val="30"/>
        </w:rPr>
        <w:t>5．供热与供冷系统为个采暖期、供冷期；</w:t>
      </w:r>
    </w:p>
    <w:p w14:paraId="6C59A381">
      <w:pPr>
        <w:wordWrap/>
        <w:topLinePunct w:val="0"/>
        <w:spacing w:after="120"/>
        <w:ind w:firstLine="600"/>
        <w:rPr>
          <w:rFonts w:ascii="仿宋_GB2312" w:eastAsia="仿宋_GB2312"/>
          <w:sz w:val="30"/>
          <w:szCs w:val="30"/>
        </w:rPr>
      </w:pPr>
      <w:r>
        <w:rPr>
          <w:rFonts w:hint="eastAsia" w:ascii="仿宋_GB2312" w:eastAsia="仿宋_GB2312"/>
          <w:sz w:val="30"/>
          <w:szCs w:val="30"/>
        </w:rPr>
        <w:t>6．住宅小区内的给排水设施、道路等配套工程为 2 年；</w:t>
      </w:r>
    </w:p>
    <w:p w14:paraId="0334BD3E">
      <w:pPr>
        <w:wordWrap/>
        <w:topLinePunct w:val="0"/>
        <w:spacing w:after="120"/>
        <w:ind w:firstLine="600"/>
        <w:rPr>
          <w:rFonts w:ascii="仿宋_GB2312" w:eastAsia="仿宋_GB2312"/>
          <w:sz w:val="30"/>
          <w:szCs w:val="30"/>
        </w:rPr>
      </w:pPr>
      <w:r>
        <w:rPr>
          <w:rFonts w:hint="eastAsia" w:ascii="仿宋_GB2312" w:eastAsia="仿宋_GB2312"/>
          <w:sz w:val="30"/>
          <w:szCs w:val="30"/>
        </w:rPr>
        <w:t>7．其他项目保修期限约定如下：。</w:t>
      </w:r>
    </w:p>
    <w:p w14:paraId="35A4AEDC">
      <w:pPr>
        <w:wordWrap/>
        <w:topLinePunct w:val="0"/>
        <w:spacing w:after="120"/>
        <w:ind w:firstLine="600"/>
        <w:rPr>
          <w:rFonts w:ascii="仿宋_GB2312" w:eastAsia="仿宋_GB2312"/>
          <w:sz w:val="30"/>
          <w:szCs w:val="30"/>
        </w:rPr>
      </w:pPr>
      <w:r>
        <w:rPr>
          <w:rFonts w:hint="eastAsia" w:ascii="仿宋_GB2312" w:eastAsia="仿宋_GB2312"/>
          <w:sz w:val="30"/>
          <w:szCs w:val="30"/>
        </w:rPr>
        <w:t>质量保修期自工程竣工验收合格之日起计算。</w:t>
      </w:r>
    </w:p>
    <w:p w14:paraId="2A4979DE">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三、缺陷责任期</w:t>
      </w:r>
    </w:p>
    <w:p w14:paraId="62E3DD3B">
      <w:pPr>
        <w:wordWrap/>
        <w:topLinePunct w:val="0"/>
        <w:spacing w:after="120"/>
        <w:ind w:firstLine="600"/>
        <w:rPr>
          <w:rFonts w:ascii="仿宋_GB2312" w:eastAsia="仿宋_GB2312"/>
          <w:sz w:val="30"/>
          <w:szCs w:val="30"/>
        </w:rPr>
      </w:pPr>
      <w:r>
        <w:rPr>
          <w:rFonts w:hint="eastAsia" w:ascii="仿宋_GB2312" w:eastAsia="仿宋_GB2312"/>
          <w:sz w:val="30"/>
          <w:szCs w:val="30"/>
        </w:rPr>
        <w:t>工程缺陷责任期为 24 个月，缺陷责任期自工程通过竣工验收之日起计算。单位/区段工程先于全部工程进行验收，单位/区段工程缺陷责任期自单位/区段工程验收合格之日起算。</w:t>
      </w:r>
    </w:p>
    <w:p w14:paraId="0AD6512D">
      <w:pPr>
        <w:wordWrap/>
        <w:topLinePunct w:val="0"/>
        <w:spacing w:after="120"/>
        <w:ind w:firstLine="600"/>
        <w:rPr>
          <w:rFonts w:ascii="仿宋_GB2312" w:eastAsia="仿宋_GB2312"/>
          <w:sz w:val="30"/>
          <w:szCs w:val="30"/>
        </w:rPr>
      </w:pPr>
      <w:r>
        <w:rPr>
          <w:rFonts w:hint="eastAsia" w:ascii="仿宋_GB2312" w:eastAsia="仿宋_GB2312"/>
          <w:sz w:val="30"/>
          <w:szCs w:val="30"/>
        </w:rPr>
        <w:t>缺陷责任期终止后，发包人应返还剩余的质量保证金。</w:t>
      </w:r>
    </w:p>
    <w:p w14:paraId="3757ABE0">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四、质量保修责任</w:t>
      </w:r>
    </w:p>
    <w:p w14:paraId="0AF369AC">
      <w:pPr>
        <w:wordWrap/>
        <w:topLinePunct w:val="0"/>
        <w:spacing w:after="120"/>
        <w:ind w:firstLine="600"/>
        <w:rPr>
          <w:rFonts w:ascii="仿宋_GB2312" w:eastAsia="仿宋_GB2312"/>
          <w:sz w:val="30"/>
          <w:szCs w:val="30"/>
        </w:rPr>
      </w:pPr>
      <w:r>
        <w:rPr>
          <w:rFonts w:hint="eastAsia" w:ascii="仿宋_GB2312" w:eastAsia="仿宋_GB2312"/>
          <w:sz w:val="30"/>
          <w:szCs w:val="30"/>
        </w:rPr>
        <w:t>1．属于保修范围、内容的项目，承包人应当在接到保修通知之日起7天内派人保修。承包人不在约定期限内派人保修的，发包人可以委托他人修理。</w:t>
      </w:r>
    </w:p>
    <w:p w14:paraId="3228A01A">
      <w:pPr>
        <w:wordWrap/>
        <w:topLinePunct w:val="0"/>
        <w:spacing w:after="120"/>
        <w:ind w:firstLine="600"/>
        <w:rPr>
          <w:rFonts w:ascii="仿宋_GB2312" w:eastAsia="仿宋_GB2312"/>
          <w:sz w:val="30"/>
          <w:szCs w:val="30"/>
        </w:rPr>
      </w:pPr>
      <w:r>
        <w:rPr>
          <w:rFonts w:hint="eastAsia" w:ascii="仿宋_GB2312" w:eastAsia="仿宋_GB2312"/>
          <w:sz w:val="30"/>
          <w:szCs w:val="30"/>
        </w:rPr>
        <w:t>2．发生紧急事故需抢修的，承包人在接到事故通知后，应当立即到达事故现场抢修。</w:t>
      </w:r>
    </w:p>
    <w:p w14:paraId="422F8EFE">
      <w:pPr>
        <w:wordWrap/>
        <w:topLinePunct w:val="0"/>
        <w:spacing w:after="120"/>
        <w:ind w:firstLine="600"/>
        <w:rPr>
          <w:rFonts w:ascii="仿宋_GB2312" w:eastAsia="仿宋_GB2312"/>
          <w:sz w:val="30"/>
          <w:szCs w:val="30"/>
        </w:rPr>
      </w:pPr>
      <w:r>
        <w:rPr>
          <w:rFonts w:hint="eastAsia" w:ascii="仿宋_GB2312" w:eastAsia="仿宋_GB2312"/>
          <w:sz w:val="30"/>
          <w:szCs w:val="30"/>
        </w:rPr>
        <w:t>3．对于涉及结构安全的质量问题，应当按照《建设工程质量管理条例》的规定，立即向当地建设行政主管部门和有关部门报告，采取安全防范措施，并由承包人提出保修方案，承包人将设计业务分包的，应由原设计分包人或具有相应资质等级的设计人提出保修方案，承包人实施保修。</w:t>
      </w:r>
    </w:p>
    <w:p w14:paraId="602A2F38">
      <w:pPr>
        <w:wordWrap/>
        <w:topLinePunct w:val="0"/>
        <w:spacing w:after="120"/>
        <w:ind w:firstLine="600"/>
        <w:rPr>
          <w:rFonts w:ascii="仿宋_GB2312" w:eastAsia="仿宋_GB2312"/>
          <w:sz w:val="30"/>
          <w:szCs w:val="30"/>
        </w:rPr>
      </w:pPr>
      <w:r>
        <w:rPr>
          <w:rFonts w:hint="eastAsia" w:ascii="仿宋_GB2312" w:eastAsia="仿宋_GB2312"/>
          <w:sz w:val="30"/>
          <w:szCs w:val="30"/>
        </w:rPr>
        <w:t>4．质量保修完成后，由发包人组织验收。</w:t>
      </w:r>
    </w:p>
    <w:p w14:paraId="437D4E51">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五、保修费用</w:t>
      </w:r>
    </w:p>
    <w:p w14:paraId="3F56106D">
      <w:pPr>
        <w:wordWrap/>
        <w:topLinePunct w:val="0"/>
        <w:spacing w:after="120"/>
        <w:ind w:firstLine="600"/>
        <w:rPr>
          <w:rFonts w:ascii="仿宋_GB2312" w:eastAsia="仿宋_GB2312"/>
          <w:sz w:val="30"/>
          <w:szCs w:val="30"/>
        </w:rPr>
      </w:pPr>
      <w:r>
        <w:rPr>
          <w:rFonts w:hint="eastAsia" w:ascii="仿宋_GB2312" w:eastAsia="仿宋_GB2312"/>
          <w:sz w:val="30"/>
          <w:szCs w:val="30"/>
        </w:rPr>
        <w:t>保修费用由造成质量缺陷的责任方承担。</w:t>
      </w:r>
    </w:p>
    <w:p w14:paraId="53BA3960">
      <w:pPr>
        <w:pStyle w:val="106"/>
        <w:numPr>
          <w:ilvl w:val="0"/>
          <w:numId w:val="0"/>
        </w:numPr>
        <w:spacing w:after="120"/>
        <w:rPr>
          <w:rFonts w:ascii="仿宋" w:hAnsi="仿宋" w:eastAsia="仿宋" w:cs="仿宋"/>
          <w:b/>
          <w:bCs/>
          <w:sz w:val="30"/>
          <w:szCs w:val="30"/>
        </w:rPr>
      </w:pPr>
      <w:r>
        <w:rPr>
          <w:rFonts w:hint="eastAsia" w:ascii="仿宋" w:hAnsi="仿宋" w:eastAsia="仿宋" w:cs="仿宋"/>
          <w:b/>
          <w:bCs/>
          <w:sz w:val="30"/>
          <w:szCs w:val="30"/>
        </w:rPr>
        <w:t>六、双方约定的其他工程质量保修事项：。</w:t>
      </w:r>
    </w:p>
    <w:p w14:paraId="7CC1FA74">
      <w:pPr>
        <w:wordWrap/>
        <w:topLinePunct w:val="0"/>
        <w:spacing w:after="120"/>
        <w:ind w:firstLine="600"/>
        <w:rPr>
          <w:rFonts w:ascii="仿宋_GB2312" w:eastAsia="仿宋_GB2312"/>
          <w:sz w:val="30"/>
          <w:szCs w:val="30"/>
        </w:rPr>
      </w:pPr>
      <w:r>
        <w:rPr>
          <w:rFonts w:hint="eastAsia" w:ascii="仿宋_GB2312" w:eastAsia="仿宋_GB2312"/>
          <w:sz w:val="30"/>
          <w:szCs w:val="30"/>
        </w:rPr>
        <w:t>工程质量保修书由发包人、承包人在工程竣工验收前共同签署，作为工程总承包合同附件，其有效期限至保修期满。</w:t>
      </w:r>
    </w:p>
    <w:p w14:paraId="6AAA72F2">
      <w:pPr>
        <w:wordWrap/>
        <w:topLinePunct w:val="0"/>
        <w:spacing w:after="120"/>
        <w:ind w:firstLine="600"/>
        <w:rPr>
          <w:rFonts w:ascii="仿宋_GB2312" w:eastAsia="仿宋_GB2312"/>
          <w:sz w:val="30"/>
          <w:szCs w:val="30"/>
        </w:rPr>
      </w:pPr>
    </w:p>
    <w:p w14:paraId="2EB44454">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发包人(公章)：               承包人(公章)：          </w:t>
      </w:r>
    </w:p>
    <w:p w14:paraId="6183D6CF">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地  址：                     地  址：       </w:t>
      </w:r>
    </w:p>
    <w:p w14:paraId="3A1943AF">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法定代表人(签字)：           法定代表人(签字)：       </w:t>
      </w:r>
    </w:p>
    <w:p w14:paraId="280CEF80">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委托代理人(签字)：           委托代理人(签字)：       </w:t>
      </w:r>
    </w:p>
    <w:p w14:paraId="72B1956D">
      <w:pPr>
        <w:wordWrap/>
        <w:topLinePunct w:val="0"/>
        <w:spacing w:after="120"/>
        <w:ind w:firstLine="600"/>
        <w:rPr>
          <w:rFonts w:ascii="仿宋_GB2312" w:eastAsia="仿宋_GB2312"/>
          <w:sz w:val="30"/>
          <w:szCs w:val="30"/>
        </w:rPr>
      </w:pPr>
      <w:r>
        <w:rPr>
          <w:rFonts w:hint="eastAsia" w:ascii="仿宋_GB2312" w:eastAsia="仿宋_GB2312"/>
          <w:sz w:val="30"/>
          <w:szCs w:val="30"/>
        </w:rPr>
        <w:t>电  话：                     电  话：</w:t>
      </w:r>
    </w:p>
    <w:p w14:paraId="40CCD751">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传  真：                     传  真：  </w:t>
      </w:r>
    </w:p>
    <w:p w14:paraId="3CC2793F">
      <w:pPr>
        <w:wordWrap/>
        <w:topLinePunct w:val="0"/>
        <w:spacing w:after="120"/>
        <w:ind w:firstLine="600"/>
        <w:rPr>
          <w:rFonts w:ascii="仿宋_GB2312" w:eastAsia="仿宋_GB2312"/>
          <w:sz w:val="30"/>
          <w:szCs w:val="30"/>
        </w:rPr>
      </w:pPr>
      <w:r>
        <w:rPr>
          <w:rFonts w:hint="eastAsia" w:ascii="仿宋_GB2312" w:eastAsia="仿宋_GB2312"/>
          <w:sz w:val="30"/>
          <w:szCs w:val="30"/>
        </w:rPr>
        <w:t>开户银行：                   开户银行：</w:t>
      </w:r>
    </w:p>
    <w:p w14:paraId="51CE3DF8">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账  号：                     账  号： </w:t>
      </w:r>
    </w:p>
    <w:p w14:paraId="61232DE5">
      <w:pPr>
        <w:wordWrap/>
        <w:topLinePunct w:val="0"/>
        <w:spacing w:after="120"/>
        <w:ind w:firstLine="600"/>
        <w:rPr>
          <w:rFonts w:ascii="仿宋_GB2312" w:eastAsia="仿宋_GB2312"/>
          <w:sz w:val="30"/>
          <w:szCs w:val="30"/>
        </w:rPr>
      </w:pPr>
      <w:r>
        <w:rPr>
          <w:rFonts w:hint="eastAsia" w:ascii="仿宋_GB2312" w:eastAsia="仿宋_GB2312"/>
          <w:sz w:val="30"/>
          <w:szCs w:val="30"/>
        </w:rPr>
        <w:t xml:space="preserve">邮政编码：                   邮政编码：   </w:t>
      </w:r>
    </w:p>
    <w:p w14:paraId="2DED564B">
      <w:pPr>
        <w:wordWrap/>
        <w:topLinePunct w:val="0"/>
        <w:adjustRightInd/>
        <w:snapToGrid/>
        <w:spacing w:afterLines="0" w:line="240" w:lineRule="auto"/>
        <w:ind w:firstLine="0" w:firstLineChars="0"/>
        <w:jc w:val="left"/>
        <w:rPr>
          <w:sz w:val="30"/>
          <w:szCs w:val="30"/>
        </w:rPr>
      </w:pPr>
      <w:r>
        <w:rPr>
          <w:sz w:val="30"/>
          <w:szCs w:val="30"/>
        </w:rPr>
        <w:br w:type="page"/>
      </w:r>
    </w:p>
    <w:p w14:paraId="3A59E489">
      <w:pPr>
        <w:pStyle w:val="106"/>
        <w:numPr>
          <w:ilvl w:val="0"/>
          <w:numId w:val="0"/>
        </w:numPr>
        <w:spacing w:after="120"/>
        <w:jc w:val="center"/>
        <w:outlineLvl w:val="1"/>
        <w:rPr>
          <w:rFonts w:ascii="仿宋" w:hAnsi="仿宋" w:eastAsia="仿宋" w:cs="仿宋"/>
          <w:b/>
          <w:bCs/>
          <w:sz w:val="32"/>
          <w:szCs w:val="32"/>
        </w:rPr>
      </w:pPr>
      <w:bookmarkStart w:id="935" w:name="_Toc24764"/>
      <w:bookmarkStart w:id="936" w:name="_Toc29493"/>
      <w:bookmarkStart w:id="937" w:name="_Toc4250"/>
      <w:bookmarkStart w:id="938" w:name="_Toc54862355"/>
      <w:bookmarkStart w:id="939" w:name="_Toc20171896"/>
      <w:r>
        <w:rPr>
          <w:rFonts w:hint="eastAsia" w:ascii="仿宋" w:hAnsi="仿宋" w:eastAsia="仿宋" w:cs="仿宋"/>
          <w:b/>
          <w:bCs/>
          <w:sz w:val="32"/>
          <w:szCs w:val="32"/>
        </w:rPr>
        <w:t>附件4 主要建设工程文件目录</w:t>
      </w:r>
      <w:bookmarkEnd w:id="935"/>
      <w:bookmarkEnd w:id="936"/>
      <w:bookmarkEnd w:id="937"/>
      <w:bookmarkEnd w:id="938"/>
      <w:bookmarkEnd w:id="939"/>
    </w:p>
    <w:tbl>
      <w:tblPr>
        <w:tblStyle w:val="55"/>
        <w:tblW w:w="921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2125"/>
        <w:gridCol w:w="1276"/>
        <w:gridCol w:w="1450"/>
        <w:gridCol w:w="1243"/>
        <w:gridCol w:w="1450"/>
        <w:gridCol w:w="1670"/>
      </w:tblGrid>
      <w:tr w14:paraId="7782D3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2125" w:type="dxa"/>
            <w:tcBorders>
              <w:top w:val="single" w:color="auto" w:sz="12" w:space="0"/>
              <w:bottom w:val="double" w:color="auto" w:sz="6" w:space="0"/>
            </w:tcBorders>
            <w:vAlign w:val="center"/>
          </w:tcPr>
          <w:p w14:paraId="02271BF2">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文件名称</w:t>
            </w:r>
          </w:p>
        </w:tc>
        <w:tc>
          <w:tcPr>
            <w:tcW w:w="1276" w:type="dxa"/>
            <w:tcBorders>
              <w:top w:val="single" w:color="auto" w:sz="12" w:space="0"/>
              <w:bottom w:val="double" w:color="auto" w:sz="6" w:space="0"/>
            </w:tcBorders>
            <w:vAlign w:val="center"/>
          </w:tcPr>
          <w:p w14:paraId="56FD7A65">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套数</w:t>
            </w:r>
          </w:p>
        </w:tc>
        <w:tc>
          <w:tcPr>
            <w:tcW w:w="1450" w:type="dxa"/>
            <w:tcBorders>
              <w:top w:val="single" w:color="auto" w:sz="12" w:space="0"/>
              <w:bottom w:val="double" w:color="auto" w:sz="6" w:space="0"/>
            </w:tcBorders>
            <w:vAlign w:val="center"/>
          </w:tcPr>
          <w:p w14:paraId="5A9ED7B8">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费用（元）</w:t>
            </w:r>
          </w:p>
        </w:tc>
        <w:tc>
          <w:tcPr>
            <w:tcW w:w="1243" w:type="dxa"/>
            <w:tcBorders>
              <w:top w:val="single" w:color="auto" w:sz="12" w:space="0"/>
              <w:bottom w:val="double" w:color="auto" w:sz="6" w:space="0"/>
            </w:tcBorders>
            <w:vAlign w:val="center"/>
          </w:tcPr>
          <w:p w14:paraId="7A45DC4A">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质量</w:t>
            </w:r>
          </w:p>
        </w:tc>
        <w:tc>
          <w:tcPr>
            <w:tcW w:w="1450" w:type="dxa"/>
            <w:tcBorders>
              <w:top w:val="single" w:color="auto" w:sz="12" w:space="0"/>
              <w:bottom w:val="double" w:color="auto" w:sz="6" w:space="0"/>
            </w:tcBorders>
          </w:tcPr>
          <w:p w14:paraId="2427DBBB">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移交时间</w:t>
            </w:r>
          </w:p>
        </w:tc>
        <w:tc>
          <w:tcPr>
            <w:tcW w:w="1670" w:type="dxa"/>
            <w:tcBorders>
              <w:top w:val="single" w:color="auto" w:sz="12" w:space="0"/>
              <w:bottom w:val="double" w:color="auto" w:sz="6" w:space="0"/>
            </w:tcBorders>
          </w:tcPr>
          <w:p w14:paraId="34C34CE0">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责任人</w:t>
            </w:r>
          </w:p>
        </w:tc>
      </w:tr>
      <w:tr w14:paraId="00BF4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double" w:color="auto" w:sz="6" w:space="0"/>
              <w:bottom w:val="single" w:color="auto" w:sz="6" w:space="0"/>
            </w:tcBorders>
            <w:vAlign w:val="center"/>
          </w:tcPr>
          <w:p w14:paraId="1D4B3AC3">
            <w:pPr>
              <w:wordWrap/>
              <w:topLinePunct w:val="0"/>
              <w:spacing w:after="120"/>
              <w:rPr>
                <w:rFonts w:ascii="仿宋_GB2312" w:eastAsia="仿宋_GB2312"/>
              </w:rPr>
            </w:pPr>
          </w:p>
        </w:tc>
        <w:tc>
          <w:tcPr>
            <w:tcW w:w="1276" w:type="dxa"/>
            <w:tcBorders>
              <w:top w:val="double" w:color="auto" w:sz="6" w:space="0"/>
              <w:bottom w:val="single" w:color="auto" w:sz="6" w:space="0"/>
            </w:tcBorders>
            <w:vAlign w:val="center"/>
          </w:tcPr>
          <w:p w14:paraId="21043F7F">
            <w:pPr>
              <w:wordWrap/>
              <w:topLinePunct w:val="0"/>
              <w:spacing w:after="120"/>
              <w:rPr>
                <w:rFonts w:ascii="仿宋_GB2312" w:eastAsia="仿宋_GB2312"/>
              </w:rPr>
            </w:pPr>
          </w:p>
        </w:tc>
        <w:tc>
          <w:tcPr>
            <w:tcW w:w="1450" w:type="dxa"/>
            <w:tcBorders>
              <w:top w:val="double" w:color="auto" w:sz="6" w:space="0"/>
              <w:bottom w:val="single" w:color="auto" w:sz="6" w:space="0"/>
            </w:tcBorders>
            <w:vAlign w:val="center"/>
          </w:tcPr>
          <w:p w14:paraId="527A4EA5">
            <w:pPr>
              <w:wordWrap/>
              <w:topLinePunct w:val="0"/>
              <w:spacing w:after="120"/>
              <w:rPr>
                <w:rFonts w:ascii="仿宋_GB2312" w:eastAsia="仿宋_GB2312"/>
              </w:rPr>
            </w:pPr>
          </w:p>
        </w:tc>
        <w:tc>
          <w:tcPr>
            <w:tcW w:w="1243" w:type="dxa"/>
            <w:tcBorders>
              <w:top w:val="double" w:color="auto" w:sz="6" w:space="0"/>
              <w:bottom w:val="single" w:color="auto" w:sz="6" w:space="0"/>
            </w:tcBorders>
            <w:vAlign w:val="center"/>
          </w:tcPr>
          <w:p w14:paraId="47477008">
            <w:pPr>
              <w:wordWrap/>
              <w:topLinePunct w:val="0"/>
              <w:spacing w:after="120"/>
              <w:rPr>
                <w:rFonts w:ascii="仿宋_GB2312" w:eastAsia="仿宋_GB2312"/>
              </w:rPr>
            </w:pPr>
          </w:p>
        </w:tc>
        <w:tc>
          <w:tcPr>
            <w:tcW w:w="1450" w:type="dxa"/>
            <w:tcBorders>
              <w:top w:val="double" w:color="auto" w:sz="6" w:space="0"/>
              <w:bottom w:val="single" w:color="auto" w:sz="6" w:space="0"/>
            </w:tcBorders>
            <w:vAlign w:val="center"/>
          </w:tcPr>
          <w:p w14:paraId="558C1193">
            <w:pPr>
              <w:wordWrap/>
              <w:topLinePunct w:val="0"/>
              <w:spacing w:after="120"/>
              <w:rPr>
                <w:rFonts w:ascii="仿宋_GB2312" w:eastAsia="仿宋_GB2312"/>
              </w:rPr>
            </w:pPr>
          </w:p>
        </w:tc>
        <w:tc>
          <w:tcPr>
            <w:tcW w:w="1670" w:type="dxa"/>
            <w:tcBorders>
              <w:top w:val="double" w:color="auto" w:sz="6" w:space="0"/>
              <w:bottom w:val="single" w:color="auto" w:sz="6" w:space="0"/>
            </w:tcBorders>
            <w:vAlign w:val="center"/>
          </w:tcPr>
          <w:p w14:paraId="331930F4">
            <w:pPr>
              <w:wordWrap/>
              <w:topLinePunct w:val="0"/>
              <w:spacing w:after="120"/>
              <w:rPr>
                <w:rFonts w:ascii="仿宋_GB2312" w:eastAsia="仿宋_GB2312"/>
              </w:rPr>
            </w:pPr>
          </w:p>
        </w:tc>
      </w:tr>
      <w:tr w14:paraId="3E0E3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Borders>
              <w:top w:val="nil"/>
            </w:tcBorders>
            <w:vAlign w:val="center"/>
          </w:tcPr>
          <w:p w14:paraId="720F4232">
            <w:pPr>
              <w:wordWrap/>
              <w:topLinePunct w:val="0"/>
              <w:spacing w:after="120"/>
              <w:rPr>
                <w:rFonts w:ascii="仿宋_GB2312" w:eastAsia="仿宋_GB2312"/>
              </w:rPr>
            </w:pPr>
          </w:p>
        </w:tc>
        <w:tc>
          <w:tcPr>
            <w:tcW w:w="1276" w:type="dxa"/>
            <w:tcBorders>
              <w:top w:val="nil"/>
            </w:tcBorders>
            <w:vAlign w:val="center"/>
          </w:tcPr>
          <w:p w14:paraId="489FCC51">
            <w:pPr>
              <w:wordWrap/>
              <w:topLinePunct w:val="0"/>
              <w:spacing w:after="120"/>
              <w:rPr>
                <w:rFonts w:ascii="仿宋_GB2312" w:eastAsia="仿宋_GB2312"/>
              </w:rPr>
            </w:pPr>
          </w:p>
        </w:tc>
        <w:tc>
          <w:tcPr>
            <w:tcW w:w="1450" w:type="dxa"/>
            <w:tcBorders>
              <w:top w:val="nil"/>
            </w:tcBorders>
            <w:vAlign w:val="center"/>
          </w:tcPr>
          <w:p w14:paraId="6C7D7612">
            <w:pPr>
              <w:wordWrap/>
              <w:topLinePunct w:val="0"/>
              <w:spacing w:after="120"/>
              <w:rPr>
                <w:rFonts w:ascii="仿宋_GB2312" w:eastAsia="仿宋_GB2312"/>
              </w:rPr>
            </w:pPr>
          </w:p>
        </w:tc>
        <w:tc>
          <w:tcPr>
            <w:tcW w:w="1243" w:type="dxa"/>
            <w:tcBorders>
              <w:top w:val="nil"/>
            </w:tcBorders>
            <w:vAlign w:val="center"/>
          </w:tcPr>
          <w:p w14:paraId="76AF4671">
            <w:pPr>
              <w:wordWrap/>
              <w:topLinePunct w:val="0"/>
              <w:spacing w:after="120"/>
              <w:rPr>
                <w:rFonts w:ascii="仿宋_GB2312" w:eastAsia="仿宋_GB2312"/>
              </w:rPr>
            </w:pPr>
          </w:p>
        </w:tc>
        <w:tc>
          <w:tcPr>
            <w:tcW w:w="1450" w:type="dxa"/>
            <w:tcBorders>
              <w:top w:val="nil"/>
            </w:tcBorders>
            <w:vAlign w:val="center"/>
          </w:tcPr>
          <w:p w14:paraId="04E88C22">
            <w:pPr>
              <w:wordWrap/>
              <w:topLinePunct w:val="0"/>
              <w:spacing w:after="120"/>
              <w:rPr>
                <w:rFonts w:ascii="仿宋_GB2312" w:eastAsia="仿宋_GB2312"/>
              </w:rPr>
            </w:pPr>
          </w:p>
        </w:tc>
        <w:tc>
          <w:tcPr>
            <w:tcW w:w="1670" w:type="dxa"/>
            <w:tcBorders>
              <w:top w:val="nil"/>
            </w:tcBorders>
            <w:vAlign w:val="center"/>
          </w:tcPr>
          <w:p w14:paraId="0BCD2552">
            <w:pPr>
              <w:wordWrap/>
              <w:topLinePunct w:val="0"/>
              <w:spacing w:after="120"/>
              <w:rPr>
                <w:rFonts w:ascii="仿宋_GB2312" w:eastAsia="仿宋_GB2312"/>
              </w:rPr>
            </w:pPr>
          </w:p>
        </w:tc>
      </w:tr>
      <w:tr w14:paraId="6FB2F9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0C204DA6">
            <w:pPr>
              <w:wordWrap/>
              <w:topLinePunct w:val="0"/>
              <w:spacing w:after="120"/>
              <w:rPr>
                <w:rFonts w:ascii="仿宋_GB2312" w:eastAsia="仿宋_GB2312"/>
              </w:rPr>
            </w:pPr>
          </w:p>
        </w:tc>
        <w:tc>
          <w:tcPr>
            <w:tcW w:w="1276" w:type="dxa"/>
            <w:vAlign w:val="center"/>
          </w:tcPr>
          <w:p w14:paraId="4A2028A3">
            <w:pPr>
              <w:wordWrap/>
              <w:topLinePunct w:val="0"/>
              <w:spacing w:after="120"/>
              <w:rPr>
                <w:rFonts w:ascii="仿宋_GB2312" w:eastAsia="仿宋_GB2312"/>
              </w:rPr>
            </w:pPr>
          </w:p>
        </w:tc>
        <w:tc>
          <w:tcPr>
            <w:tcW w:w="1450" w:type="dxa"/>
            <w:vAlign w:val="center"/>
          </w:tcPr>
          <w:p w14:paraId="190741FE">
            <w:pPr>
              <w:wordWrap/>
              <w:topLinePunct w:val="0"/>
              <w:spacing w:after="120"/>
              <w:rPr>
                <w:rFonts w:ascii="仿宋_GB2312" w:eastAsia="仿宋_GB2312"/>
              </w:rPr>
            </w:pPr>
          </w:p>
        </w:tc>
        <w:tc>
          <w:tcPr>
            <w:tcW w:w="1243" w:type="dxa"/>
            <w:vAlign w:val="center"/>
          </w:tcPr>
          <w:p w14:paraId="422C7731">
            <w:pPr>
              <w:wordWrap/>
              <w:topLinePunct w:val="0"/>
              <w:spacing w:after="120"/>
              <w:rPr>
                <w:rFonts w:ascii="仿宋_GB2312" w:eastAsia="仿宋_GB2312"/>
              </w:rPr>
            </w:pPr>
          </w:p>
        </w:tc>
        <w:tc>
          <w:tcPr>
            <w:tcW w:w="1450" w:type="dxa"/>
            <w:vAlign w:val="center"/>
          </w:tcPr>
          <w:p w14:paraId="73422885">
            <w:pPr>
              <w:wordWrap/>
              <w:topLinePunct w:val="0"/>
              <w:spacing w:after="120"/>
              <w:rPr>
                <w:rFonts w:ascii="仿宋_GB2312" w:eastAsia="仿宋_GB2312"/>
              </w:rPr>
            </w:pPr>
          </w:p>
        </w:tc>
        <w:tc>
          <w:tcPr>
            <w:tcW w:w="1670" w:type="dxa"/>
            <w:vAlign w:val="center"/>
          </w:tcPr>
          <w:p w14:paraId="3439AF41">
            <w:pPr>
              <w:wordWrap/>
              <w:topLinePunct w:val="0"/>
              <w:spacing w:after="120"/>
              <w:rPr>
                <w:rFonts w:ascii="仿宋_GB2312" w:eastAsia="仿宋_GB2312"/>
              </w:rPr>
            </w:pPr>
          </w:p>
        </w:tc>
      </w:tr>
      <w:tr w14:paraId="28F87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61A9B1EF">
            <w:pPr>
              <w:wordWrap/>
              <w:topLinePunct w:val="0"/>
              <w:spacing w:after="120"/>
              <w:rPr>
                <w:rFonts w:ascii="仿宋_GB2312" w:eastAsia="仿宋_GB2312"/>
              </w:rPr>
            </w:pPr>
          </w:p>
        </w:tc>
        <w:tc>
          <w:tcPr>
            <w:tcW w:w="1276" w:type="dxa"/>
            <w:vAlign w:val="center"/>
          </w:tcPr>
          <w:p w14:paraId="54DA1FE2">
            <w:pPr>
              <w:wordWrap/>
              <w:topLinePunct w:val="0"/>
              <w:spacing w:after="120"/>
              <w:rPr>
                <w:rFonts w:ascii="仿宋_GB2312" w:eastAsia="仿宋_GB2312"/>
              </w:rPr>
            </w:pPr>
          </w:p>
        </w:tc>
        <w:tc>
          <w:tcPr>
            <w:tcW w:w="1450" w:type="dxa"/>
            <w:vAlign w:val="center"/>
          </w:tcPr>
          <w:p w14:paraId="07BD9764">
            <w:pPr>
              <w:wordWrap/>
              <w:topLinePunct w:val="0"/>
              <w:spacing w:after="120"/>
              <w:rPr>
                <w:rFonts w:ascii="仿宋_GB2312" w:eastAsia="仿宋_GB2312"/>
              </w:rPr>
            </w:pPr>
          </w:p>
        </w:tc>
        <w:tc>
          <w:tcPr>
            <w:tcW w:w="1243" w:type="dxa"/>
            <w:vAlign w:val="center"/>
          </w:tcPr>
          <w:p w14:paraId="65D70165">
            <w:pPr>
              <w:wordWrap/>
              <w:topLinePunct w:val="0"/>
              <w:spacing w:after="120"/>
              <w:rPr>
                <w:rFonts w:ascii="仿宋_GB2312" w:eastAsia="仿宋_GB2312"/>
              </w:rPr>
            </w:pPr>
          </w:p>
        </w:tc>
        <w:tc>
          <w:tcPr>
            <w:tcW w:w="1450" w:type="dxa"/>
            <w:vAlign w:val="center"/>
          </w:tcPr>
          <w:p w14:paraId="0E5B1B4B">
            <w:pPr>
              <w:wordWrap/>
              <w:topLinePunct w:val="0"/>
              <w:spacing w:after="120"/>
              <w:rPr>
                <w:rFonts w:ascii="仿宋_GB2312" w:eastAsia="仿宋_GB2312"/>
              </w:rPr>
            </w:pPr>
          </w:p>
        </w:tc>
        <w:tc>
          <w:tcPr>
            <w:tcW w:w="1670" w:type="dxa"/>
            <w:vAlign w:val="center"/>
          </w:tcPr>
          <w:p w14:paraId="51A295E1">
            <w:pPr>
              <w:wordWrap/>
              <w:topLinePunct w:val="0"/>
              <w:spacing w:after="120"/>
              <w:rPr>
                <w:rFonts w:ascii="仿宋_GB2312" w:eastAsia="仿宋_GB2312"/>
              </w:rPr>
            </w:pPr>
          </w:p>
        </w:tc>
      </w:tr>
      <w:tr w14:paraId="41D30F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1A9523E1">
            <w:pPr>
              <w:wordWrap/>
              <w:topLinePunct w:val="0"/>
              <w:spacing w:after="120"/>
              <w:rPr>
                <w:rFonts w:ascii="仿宋_GB2312" w:eastAsia="仿宋_GB2312"/>
              </w:rPr>
            </w:pPr>
          </w:p>
        </w:tc>
        <w:tc>
          <w:tcPr>
            <w:tcW w:w="1276" w:type="dxa"/>
            <w:vAlign w:val="center"/>
          </w:tcPr>
          <w:p w14:paraId="125A70A2">
            <w:pPr>
              <w:wordWrap/>
              <w:topLinePunct w:val="0"/>
              <w:spacing w:after="120"/>
              <w:rPr>
                <w:rFonts w:ascii="仿宋_GB2312" w:eastAsia="仿宋_GB2312"/>
              </w:rPr>
            </w:pPr>
          </w:p>
        </w:tc>
        <w:tc>
          <w:tcPr>
            <w:tcW w:w="1450" w:type="dxa"/>
            <w:vAlign w:val="center"/>
          </w:tcPr>
          <w:p w14:paraId="096905FE">
            <w:pPr>
              <w:wordWrap/>
              <w:topLinePunct w:val="0"/>
              <w:spacing w:after="120"/>
              <w:rPr>
                <w:rFonts w:ascii="仿宋_GB2312" w:eastAsia="仿宋_GB2312"/>
              </w:rPr>
            </w:pPr>
          </w:p>
        </w:tc>
        <w:tc>
          <w:tcPr>
            <w:tcW w:w="1243" w:type="dxa"/>
            <w:vAlign w:val="center"/>
          </w:tcPr>
          <w:p w14:paraId="43AF4DCA">
            <w:pPr>
              <w:wordWrap/>
              <w:topLinePunct w:val="0"/>
              <w:spacing w:after="120"/>
              <w:rPr>
                <w:rFonts w:ascii="仿宋_GB2312" w:eastAsia="仿宋_GB2312"/>
              </w:rPr>
            </w:pPr>
          </w:p>
        </w:tc>
        <w:tc>
          <w:tcPr>
            <w:tcW w:w="1450" w:type="dxa"/>
            <w:vAlign w:val="center"/>
          </w:tcPr>
          <w:p w14:paraId="2D9B6DF0">
            <w:pPr>
              <w:wordWrap/>
              <w:topLinePunct w:val="0"/>
              <w:spacing w:after="120"/>
              <w:rPr>
                <w:rFonts w:ascii="仿宋_GB2312" w:eastAsia="仿宋_GB2312"/>
              </w:rPr>
            </w:pPr>
          </w:p>
        </w:tc>
        <w:tc>
          <w:tcPr>
            <w:tcW w:w="1670" w:type="dxa"/>
            <w:vAlign w:val="center"/>
          </w:tcPr>
          <w:p w14:paraId="39578FFF">
            <w:pPr>
              <w:wordWrap/>
              <w:topLinePunct w:val="0"/>
              <w:spacing w:after="120"/>
              <w:rPr>
                <w:rFonts w:ascii="仿宋_GB2312" w:eastAsia="仿宋_GB2312"/>
              </w:rPr>
            </w:pPr>
          </w:p>
        </w:tc>
      </w:tr>
      <w:tr w14:paraId="6CDA3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0EF706F2">
            <w:pPr>
              <w:wordWrap/>
              <w:topLinePunct w:val="0"/>
              <w:spacing w:after="120"/>
              <w:rPr>
                <w:rFonts w:ascii="仿宋_GB2312" w:eastAsia="仿宋_GB2312"/>
              </w:rPr>
            </w:pPr>
          </w:p>
        </w:tc>
        <w:tc>
          <w:tcPr>
            <w:tcW w:w="1276" w:type="dxa"/>
            <w:vAlign w:val="center"/>
          </w:tcPr>
          <w:p w14:paraId="5E2B120D">
            <w:pPr>
              <w:wordWrap/>
              <w:topLinePunct w:val="0"/>
              <w:spacing w:after="120"/>
              <w:rPr>
                <w:rFonts w:ascii="仿宋_GB2312" w:eastAsia="仿宋_GB2312"/>
              </w:rPr>
            </w:pPr>
          </w:p>
        </w:tc>
        <w:tc>
          <w:tcPr>
            <w:tcW w:w="1450" w:type="dxa"/>
            <w:vAlign w:val="center"/>
          </w:tcPr>
          <w:p w14:paraId="732959EF">
            <w:pPr>
              <w:wordWrap/>
              <w:topLinePunct w:val="0"/>
              <w:spacing w:after="120"/>
              <w:rPr>
                <w:rFonts w:ascii="仿宋_GB2312" w:eastAsia="仿宋_GB2312"/>
              </w:rPr>
            </w:pPr>
          </w:p>
        </w:tc>
        <w:tc>
          <w:tcPr>
            <w:tcW w:w="1243" w:type="dxa"/>
            <w:vAlign w:val="center"/>
          </w:tcPr>
          <w:p w14:paraId="60FCB838">
            <w:pPr>
              <w:wordWrap/>
              <w:topLinePunct w:val="0"/>
              <w:spacing w:after="120"/>
              <w:rPr>
                <w:rFonts w:ascii="仿宋_GB2312" w:eastAsia="仿宋_GB2312"/>
              </w:rPr>
            </w:pPr>
          </w:p>
        </w:tc>
        <w:tc>
          <w:tcPr>
            <w:tcW w:w="1450" w:type="dxa"/>
            <w:vAlign w:val="center"/>
          </w:tcPr>
          <w:p w14:paraId="7265CA08">
            <w:pPr>
              <w:wordWrap/>
              <w:topLinePunct w:val="0"/>
              <w:spacing w:after="120"/>
              <w:rPr>
                <w:rFonts w:ascii="仿宋_GB2312" w:eastAsia="仿宋_GB2312"/>
              </w:rPr>
            </w:pPr>
          </w:p>
        </w:tc>
        <w:tc>
          <w:tcPr>
            <w:tcW w:w="1670" w:type="dxa"/>
            <w:vAlign w:val="center"/>
          </w:tcPr>
          <w:p w14:paraId="5353C6D3">
            <w:pPr>
              <w:wordWrap/>
              <w:topLinePunct w:val="0"/>
              <w:spacing w:after="120"/>
              <w:rPr>
                <w:rFonts w:ascii="仿宋_GB2312" w:eastAsia="仿宋_GB2312"/>
              </w:rPr>
            </w:pPr>
          </w:p>
        </w:tc>
      </w:tr>
      <w:tr w14:paraId="607B8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30BD49DF">
            <w:pPr>
              <w:wordWrap/>
              <w:topLinePunct w:val="0"/>
              <w:spacing w:after="120"/>
              <w:rPr>
                <w:rFonts w:ascii="仿宋_GB2312" w:eastAsia="仿宋_GB2312"/>
              </w:rPr>
            </w:pPr>
          </w:p>
        </w:tc>
        <w:tc>
          <w:tcPr>
            <w:tcW w:w="1276" w:type="dxa"/>
            <w:vAlign w:val="center"/>
          </w:tcPr>
          <w:p w14:paraId="1364CF4D">
            <w:pPr>
              <w:wordWrap/>
              <w:topLinePunct w:val="0"/>
              <w:spacing w:after="120"/>
              <w:rPr>
                <w:rFonts w:ascii="仿宋_GB2312" w:eastAsia="仿宋_GB2312"/>
              </w:rPr>
            </w:pPr>
          </w:p>
        </w:tc>
        <w:tc>
          <w:tcPr>
            <w:tcW w:w="1450" w:type="dxa"/>
            <w:vAlign w:val="center"/>
          </w:tcPr>
          <w:p w14:paraId="499904CC">
            <w:pPr>
              <w:wordWrap/>
              <w:topLinePunct w:val="0"/>
              <w:spacing w:after="120"/>
              <w:rPr>
                <w:rFonts w:ascii="仿宋_GB2312" w:eastAsia="仿宋_GB2312"/>
              </w:rPr>
            </w:pPr>
          </w:p>
        </w:tc>
        <w:tc>
          <w:tcPr>
            <w:tcW w:w="1243" w:type="dxa"/>
            <w:vAlign w:val="center"/>
          </w:tcPr>
          <w:p w14:paraId="1D796D16">
            <w:pPr>
              <w:wordWrap/>
              <w:topLinePunct w:val="0"/>
              <w:spacing w:after="120"/>
              <w:rPr>
                <w:rFonts w:ascii="仿宋_GB2312" w:eastAsia="仿宋_GB2312"/>
              </w:rPr>
            </w:pPr>
          </w:p>
        </w:tc>
        <w:tc>
          <w:tcPr>
            <w:tcW w:w="1450" w:type="dxa"/>
            <w:vAlign w:val="center"/>
          </w:tcPr>
          <w:p w14:paraId="260C7BED">
            <w:pPr>
              <w:wordWrap/>
              <w:topLinePunct w:val="0"/>
              <w:spacing w:after="120"/>
              <w:rPr>
                <w:rFonts w:ascii="仿宋_GB2312" w:eastAsia="仿宋_GB2312"/>
              </w:rPr>
            </w:pPr>
          </w:p>
        </w:tc>
        <w:tc>
          <w:tcPr>
            <w:tcW w:w="1670" w:type="dxa"/>
            <w:vAlign w:val="center"/>
          </w:tcPr>
          <w:p w14:paraId="7ED52067">
            <w:pPr>
              <w:wordWrap/>
              <w:topLinePunct w:val="0"/>
              <w:spacing w:after="120"/>
              <w:rPr>
                <w:rFonts w:ascii="仿宋_GB2312" w:eastAsia="仿宋_GB2312"/>
              </w:rPr>
            </w:pPr>
          </w:p>
        </w:tc>
      </w:tr>
      <w:tr w14:paraId="3C730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573ED136">
            <w:pPr>
              <w:wordWrap/>
              <w:topLinePunct w:val="0"/>
              <w:spacing w:after="120"/>
              <w:rPr>
                <w:rFonts w:ascii="仿宋_GB2312" w:eastAsia="仿宋_GB2312"/>
              </w:rPr>
            </w:pPr>
          </w:p>
        </w:tc>
        <w:tc>
          <w:tcPr>
            <w:tcW w:w="1276" w:type="dxa"/>
            <w:vAlign w:val="center"/>
          </w:tcPr>
          <w:p w14:paraId="01580E33">
            <w:pPr>
              <w:wordWrap/>
              <w:topLinePunct w:val="0"/>
              <w:spacing w:after="120"/>
              <w:rPr>
                <w:rFonts w:ascii="仿宋_GB2312" w:eastAsia="仿宋_GB2312"/>
              </w:rPr>
            </w:pPr>
          </w:p>
        </w:tc>
        <w:tc>
          <w:tcPr>
            <w:tcW w:w="1450" w:type="dxa"/>
            <w:vAlign w:val="center"/>
          </w:tcPr>
          <w:p w14:paraId="5A654DCF">
            <w:pPr>
              <w:wordWrap/>
              <w:topLinePunct w:val="0"/>
              <w:spacing w:after="120"/>
              <w:rPr>
                <w:rFonts w:ascii="仿宋_GB2312" w:eastAsia="仿宋_GB2312"/>
              </w:rPr>
            </w:pPr>
          </w:p>
        </w:tc>
        <w:tc>
          <w:tcPr>
            <w:tcW w:w="1243" w:type="dxa"/>
            <w:vAlign w:val="center"/>
          </w:tcPr>
          <w:p w14:paraId="25768D37">
            <w:pPr>
              <w:wordWrap/>
              <w:topLinePunct w:val="0"/>
              <w:spacing w:after="120"/>
              <w:rPr>
                <w:rFonts w:ascii="仿宋_GB2312" w:eastAsia="仿宋_GB2312"/>
              </w:rPr>
            </w:pPr>
          </w:p>
        </w:tc>
        <w:tc>
          <w:tcPr>
            <w:tcW w:w="1450" w:type="dxa"/>
            <w:vAlign w:val="center"/>
          </w:tcPr>
          <w:p w14:paraId="1BAD8B60">
            <w:pPr>
              <w:wordWrap/>
              <w:topLinePunct w:val="0"/>
              <w:spacing w:after="120"/>
              <w:rPr>
                <w:rFonts w:ascii="仿宋_GB2312" w:eastAsia="仿宋_GB2312"/>
              </w:rPr>
            </w:pPr>
          </w:p>
        </w:tc>
        <w:tc>
          <w:tcPr>
            <w:tcW w:w="1670" w:type="dxa"/>
            <w:vAlign w:val="center"/>
          </w:tcPr>
          <w:p w14:paraId="7365BB26">
            <w:pPr>
              <w:wordWrap/>
              <w:topLinePunct w:val="0"/>
              <w:spacing w:after="120"/>
              <w:rPr>
                <w:rFonts w:ascii="仿宋_GB2312" w:eastAsia="仿宋_GB2312"/>
              </w:rPr>
            </w:pPr>
          </w:p>
        </w:tc>
      </w:tr>
      <w:tr w14:paraId="33C8AA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67ABDE8F">
            <w:pPr>
              <w:wordWrap/>
              <w:topLinePunct w:val="0"/>
              <w:spacing w:after="120"/>
              <w:rPr>
                <w:rFonts w:ascii="仿宋_GB2312" w:eastAsia="仿宋_GB2312"/>
              </w:rPr>
            </w:pPr>
          </w:p>
        </w:tc>
        <w:tc>
          <w:tcPr>
            <w:tcW w:w="1276" w:type="dxa"/>
          </w:tcPr>
          <w:p w14:paraId="3F395835">
            <w:pPr>
              <w:wordWrap/>
              <w:topLinePunct w:val="0"/>
              <w:spacing w:after="120"/>
              <w:rPr>
                <w:rFonts w:ascii="仿宋_GB2312" w:eastAsia="仿宋_GB2312"/>
              </w:rPr>
            </w:pPr>
          </w:p>
        </w:tc>
        <w:tc>
          <w:tcPr>
            <w:tcW w:w="1450" w:type="dxa"/>
          </w:tcPr>
          <w:p w14:paraId="09F601FD">
            <w:pPr>
              <w:wordWrap/>
              <w:topLinePunct w:val="0"/>
              <w:spacing w:after="120"/>
              <w:rPr>
                <w:rFonts w:ascii="仿宋_GB2312" w:eastAsia="仿宋_GB2312"/>
              </w:rPr>
            </w:pPr>
          </w:p>
        </w:tc>
        <w:tc>
          <w:tcPr>
            <w:tcW w:w="1243" w:type="dxa"/>
          </w:tcPr>
          <w:p w14:paraId="02E8F751">
            <w:pPr>
              <w:wordWrap/>
              <w:topLinePunct w:val="0"/>
              <w:spacing w:after="120"/>
              <w:rPr>
                <w:rFonts w:ascii="仿宋_GB2312" w:eastAsia="仿宋_GB2312"/>
              </w:rPr>
            </w:pPr>
          </w:p>
        </w:tc>
        <w:tc>
          <w:tcPr>
            <w:tcW w:w="1450" w:type="dxa"/>
          </w:tcPr>
          <w:p w14:paraId="1A476A6B">
            <w:pPr>
              <w:wordWrap/>
              <w:topLinePunct w:val="0"/>
              <w:spacing w:after="120"/>
              <w:rPr>
                <w:rFonts w:ascii="仿宋_GB2312" w:eastAsia="仿宋_GB2312"/>
              </w:rPr>
            </w:pPr>
          </w:p>
        </w:tc>
        <w:tc>
          <w:tcPr>
            <w:tcW w:w="1670" w:type="dxa"/>
          </w:tcPr>
          <w:p w14:paraId="6493B4EC">
            <w:pPr>
              <w:wordWrap/>
              <w:topLinePunct w:val="0"/>
              <w:spacing w:after="120"/>
              <w:rPr>
                <w:rFonts w:ascii="仿宋_GB2312" w:eastAsia="仿宋_GB2312"/>
              </w:rPr>
            </w:pPr>
          </w:p>
        </w:tc>
      </w:tr>
      <w:tr w14:paraId="7466D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vAlign w:val="center"/>
          </w:tcPr>
          <w:p w14:paraId="767553AA">
            <w:pPr>
              <w:wordWrap/>
              <w:topLinePunct w:val="0"/>
              <w:spacing w:after="120"/>
              <w:rPr>
                <w:rFonts w:ascii="仿宋_GB2312" w:eastAsia="仿宋_GB2312"/>
              </w:rPr>
            </w:pPr>
          </w:p>
        </w:tc>
        <w:tc>
          <w:tcPr>
            <w:tcW w:w="1276" w:type="dxa"/>
            <w:vAlign w:val="center"/>
          </w:tcPr>
          <w:p w14:paraId="05B907A9">
            <w:pPr>
              <w:wordWrap/>
              <w:topLinePunct w:val="0"/>
              <w:spacing w:after="120"/>
              <w:rPr>
                <w:rFonts w:ascii="仿宋_GB2312" w:eastAsia="仿宋_GB2312"/>
              </w:rPr>
            </w:pPr>
          </w:p>
        </w:tc>
        <w:tc>
          <w:tcPr>
            <w:tcW w:w="1450" w:type="dxa"/>
            <w:vAlign w:val="center"/>
          </w:tcPr>
          <w:p w14:paraId="67BF9AAD">
            <w:pPr>
              <w:wordWrap/>
              <w:topLinePunct w:val="0"/>
              <w:spacing w:after="120"/>
              <w:rPr>
                <w:rFonts w:ascii="仿宋_GB2312" w:eastAsia="仿宋_GB2312"/>
              </w:rPr>
            </w:pPr>
          </w:p>
        </w:tc>
        <w:tc>
          <w:tcPr>
            <w:tcW w:w="1243" w:type="dxa"/>
            <w:vAlign w:val="center"/>
          </w:tcPr>
          <w:p w14:paraId="765BFF9B">
            <w:pPr>
              <w:wordWrap/>
              <w:topLinePunct w:val="0"/>
              <w:spacing w:after="120"/>
              <w:rPr>
                <w:rFonts w:ascii="仿宋_GB2312" w:eastAsia="仿宋_GB2312"/>
              </w:rPr>
            </w:pPr>
          </w:p>
        </w:tc>
        <w:tc>
          <w:tcPr>
            <w:tcW w:w="1450" w:type="dxa"/>
            <w:vAlign w:val="center"/>
          </w:tcPr>
          <w:p w14:paraId="0F84C520">
            <w:pPr>
              <w:wordWrap/>
              <w:topLinePunct w:val="0"/>
              <w:spacing w:after="120"/>
              <w:rPr>
                <w:rFonts w:ascii="仿宋_GB2312" w:eastAsia="仿宋_GB2312"/>
              </w:rPr>
            </w:pPr>
          </w:p>
        </w:tc>
        <w:tc>
          <w:tcPr>
            <w:tcW w:w="1670" w:type="dxa"/>
            <w:vAlign w:val="center"/>
          </w:tcPr>
          <w:p w14:paraId="08098B43">
            <w:pPr>
              <w:wordWrap/>
              <w:topLinePunct w:val="0"/>
              <w:spacing w:after="120"/>
              <w:rPr>
                <w:rFonts w:ascii="仿宋_GB2312" w:eastAsia="仿宋_GB2312"/>
              </w:rPr>
            </w:pPr>
          </w:p>
        </w:tc>
      </w:tr>
      <w:tr w14:paraId="7079E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00444F5C">
            <w:pPr>
              <w:wordWrap/>
              <w:topLinePunct w:val="0"/>
              <w:spacing w:after="120"/>
              <w:rPr>
                <w:rFonts w:ascii="仿宋_GB2312" w:eastAsia="仿宋_GB2312"/>
              </w:rPr>
            </w:pPr>
          </w:p>
        </w:tc>
        <w:tc>
          <w:tcPr>
            <w:tcW w:w="1276" w:type="dxa"/>
          </w:tcPr>
          <w:p w14:paraId="2BBC2AC0">
            <w:pPr>
              <w:wordWrap/>
              <w:topLinePunct w:val="0"/>
              <w:spacing w:after="120"/>
              <w:rPr>
                <w:rFonts w:ascii="仿宋_GB2312" w:eastAsia="仿宋_GB2312"/>
              </w:rPr>
            </w:pPr>
          </w:p>
        </w:tc>
        <w:tc>
          <w:tcPr>
            <w:tcW w:w="1450" w:type="dxa"/>
          </w:tcPr>
          <w:p w14:paraId="2AD13294">
            <w:pPr>
              <w:wordWrap/>
              <w:topLinePunct w:val="0"/>
              <w:spacing w:after="120"/>
              <w:rPr>
                <w:rFonts w:ascii="仿宋_GB2312" w:eastAsia="仿宋_GB2312"/>
              </w:rPr>
            </w:pPr>
          </w:p>
        </w:tc>
        <w:tc>
          <w:tcPr>
            <w:tcW w:w="1243" w:type="dxa"/>
          </w:tcPr>
          <w:p w14:paraId="1E696AF0">
            <w:pPr>
              <w:wordWrap/>
              <w:topLinePunct w:val="0"/>
              <w:spacing w:after="120"/>
              <w:rPr>
                <w:rFonts w:ascii="仿宋_GB2312" w:eastAsia="仿宋_GB2312"/>
              </w:rPr>
            </w:pPr>
          </w:p>
        </w:tc>
        <w:tc>
          <w:tcPr>
            <w:tcW w:w="1450" w:type="dxa"/>
          </w:tcPr>
          <w:p w14:paraId="02820E34">
            <w:pPr>
              <w:wordWrap/>
              <w:topLinePunct w:val="0"/>
              <w:spacing w:after="120"/>
              <w:rPr>
                <w:rFonts w:ascii="仿宋_GB2312" w:eastAsia="仿宋_GB2312"/>
              </w:rPr>
            </w:pPr>
          </w:p>
        </w:tc>
        <w:tc>
          <w:tcPr>
            <w:tcW w:w="1670" w:type="dxa"/>
          </w:tcPr>
          <w:p w14:paraId="21894ADB">
            <w:pPr>
              <w:wordWrap/>
              <w:topLinePunct w:val="0"/>
              <w:spacing w:after="120"/>
              <w:rPr>
                <w:rFonts w:ascii="仿宋_GB2312" w:eastAsia="仿宋_GB2312"/>
              </w:rPr>
            </w:pPr>
          </w:p>
        </w:tc>
      </w:tr>
      <w:tr w14:paraId="20459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4F7FE8CC">
            <w:pPr>
              <w:wordWrap/>
              <w:topLinePunct w:val="0"/>
              <w:spacing w:after="120"/>
              <w:rPr>
                <w:rFonts w:ascii="仿宋_GB2312" w:eastAsia="仿宋_GB2312"/>
              </w:rPr>
            </w:pPr>
          </w:p>
        </w:tc>
        <w:tc>
          <w:tcPr>
            <w:tcW w:w="1276" w:type="dxa"/>
          </w:tcPr>
          <w:p w14:paraId="683B8ABE">
            <w:pPr>
              <w:wordWrap/>
              <w:topLinePunct w:val="0"/>
              <w:spacing w:after="120"/>
              <w:rPr>
                <w:rFonts w:ascii="仿宋_GB2312" w:eastAsia="仿宋_GB2312"/>
              </w:rPr>
            </w:pPr>
          </w:p>
        </w:tc>
        <w:tc>
          <w:tcPr>
            <w:tcW w:w="1450" w:type="dxa"/>
          </w:tcPr>
          <w:p w14:paraId="1F773404">
            <w:pPr>
              <w:wordWrap/>
              <w:topLinePunct w:val="0"/>
              <w:spacing w:after="120"/>
              <w:rPr>
                <w:rFonts w:ascii="仿宋_GB2312" w:eastAsia="仿宋_GB2312"/>
              </w:rPr>
            </w:pPr>
          </w:p>
        </w:tc>
        <w:tc>
          <w:tcPr>
            <w:tcW w:w="1243" w:type="dxa"/>
          </w:tcPr>
          <w:p w14:paraId="56B907BF">
            <w:pPr>
              <w:wordWrap/>
              <w:topLinePunct w:val="0"/>
              <w:spacing w:after="120"/>
              <w:rPr>
                <w:rFonts w:ascii="仿宋_GB2312" w:eastAsia="仿宋_GB2312"/>
              </w:rPr>
            </w:pPr>
          </w:p>
        </w:tc>
        <w:tc>
          <w:tcPr>
            <w:tcW w:w="1450" w:type="dxa"/>
          </w:tcPr>
          <w:p w14:paraId="6C6B7C7C">
            <w:pPr>
              <w:wordWrap/>
              <w:topLinePunct w:val="0"/>
              <w:spacing w:after="120"/>
              <w:rPr>
                <w:rFonts w:ascii="仿宋_GB2312" w:eastAsia="仿宋_GB2312"/>
              </w:rPr>
            </w:pPr>
          </w:p>
        </w:tc>
        <w:tc>
          <w:tcPr>
            <w:tcW w:w="1670" w:type="dxa"/>
          </w:tcPr>
          <w:p w14:paraId="0BB3690C">
            <w:pPr>
              <w:wordWrap/>
              <w:topLinePunct w:val="0"/>
              <w:spacing w:after="120"/>
              <w:rPr>
                <w:rFonts w:ascii="仿宋_GB2312" w:eastAsia="仿宋_GB2312"/>
              </w:rPr>
            </w:pPr>
          </w:p>
        </w:tc>
      </w:tr>
      <w:tr w14:paraId="332F0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793734ED">
            <w:pPr>
              <w:wordWrap/>
              <w:topLinePunct w:val="0"/>
              <w:spacing w:after="120"/>
              <w:rPr>
                <w:rFonts w:ascii="仿宋_GB2312" w:eastAsia="仿宋_GB2312"/>
              </w:rPr>
            </w:pPr>
          </w:p>
        </w:tc>
        <w:tc>
          <w:tcPr>
            <w:tcW w:w="1276" w:type="dxa"/>
          </w:tcPr>
          <w:p w14:paraId="601A2BC2">
            <w:pPr>
              <w:wordWrap/>
              <w:topLinePunct w:val="0"/>
              <w:spacing w:after="120"/>
              <w:rPr>
                <w:rFonts w:ascii="仿宋_GB2312" w:eastAsia="仿宋_GB2312"/>
              </w:rPr>
            </w:pPr>
          </w:p>
        </w:tc>
        <w:tc>
          <w:tcPr>
            <w:tcW w:w="1450" w:type="dxa"/>
          </w:tcPr>
          <w:p w14:paraId="21960CBF">
            <w:pPr>
              <w:wordWrap/>
              <w:topLinePunct w:val="0"/>
              <w:spacing w:after="120"/>
              <w:rPr>
                <w:rFonts w:ascii="仿宋_GB2312" w:eastAsia="仿宋_GB2312"/>
              </w:rPr>
            </w:pPr>
          </w:p>
        </w:tc>
        <w:tc>
          <w:tcPr>
            <w:tcW w:w="1243" w:type="dxa"/>
          </w:tcPr>
          <w:p w14:paraId="5AB3DDC9">
            <w:pPr>
              <w:wordWrap/>
              <w:topLinePunct w:val="0"/>
              <w:spacing w:after="120"/>
              <w:rPr>
                <w:rFonts w:ascii="仿宋_GB2312" w:eastAsia="仿宋_GB2312"/>
              </w:rPr>
            </w:pPr>
          </w:p>
        </w:tc>
        <w:tc>
          <w:tcPr>
            <w:tcW w:w="1450" w:type="dxa"/>
          </w:tcPr>
          <w:p w14:paraId="585B491C">
            <w:pPr>
              <w:wordWrap/>
              <w:topLinePunct w:val="0"/>
              <w:spacing w:after="120"/>
              <w:rPr>
                <w:rFonts w:ascii="仿宋_GB2312" w:eastAsia="仿宋_GB2312"/>
              </w:rPr>
            </w:pPr>
          </w:p>
        </w:tc>
        <w:tc>
          <w:tcPr>
            <w:tcW w:w="1670" w:type="dxa"/>
          </w:tcPr>
          <w:p w14:paraId="2E626C8E">
            <w:pPr>
              <w:wordWrap/>
              <w:topLinePunct w:val="0"/>
              <w:spacing w:after="120"/>
              <w:rPr>
                <w:rFonts w:ascii="仿宋_GB2312" w:eastAsia="仿宋_GB2312"/>
              </w:rPr>
            </w:pPr>
          </w:p>
        </w:tc>
      </w:tr>
      <w:tr w14:paraId="0C0BD4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4D1257D8">
            <w:pPr>
              <w:wordWrap/>
              <w:topLinePunct w:val="0"/>
              <w:spacing w:after="120"/>
              <w:rPr>
                <w:rFonts w:ascii="仿宋_GB2312" w:eastAsia="仿宋_GB2312"/>
              </w:rPr>
            </w:pPr>
          </w:p>
        </w:tc>
        <w:tc>
          <w:tcPr>
            <w:tcW w:w="1276" w:type="dxa"/>
          </w:tcPr>
          <w:p w14:paraId="24D6DDC3">
            <w:pPr>
              <w:wordWrap/>
              <w:topLinePunct w:val="0"/>
              <w:spacing w:after="120"/>
              <w:rPr>
                <w:rFonts w:ascii="仿宋_GB2312" w:eastAsia="仿宋_GB2312"/>
              </w:rPr>
            </w:pPr>
          </w:p>
        </w:tc>
        <w:tc>
          <w:tcPr>
            <w:tcW w:w="1450" w:type="dxa"/>
          </w:tcPr>
          <w:p w14:paraId="27D67925">
            <w:pPr>
              <w:wordWrap/>
              <w:topLinePunct w:val="0"/>
              <w:spacing w:after="120"/>
              <w:rPr>
                <w:rFonts w:ascii="仿宋_GB2312" w:eastAsia="仿宋_GB2312"/>
              </w:rPr>
            </w:pPr>
          </w:p>
        </w:tc>
        <w:tc>
          <w:tcPr>
            <w:tcW w:w="1243" w:type="dxa"/>
          </w:tcPr>
          <w:p w14:paraId="24372E4C">
            <w:pPr>
              <w:wordWrap/>
              <w:topLinePunct w:val="0"/>
              <w:spacing w:after="120"/>
              <w:rPr>
                <w:rFonts w:ascii="仿宋_GB2312" w:eastAsia="仿宋_GB2312"/>
              </w:rPr>
            </w:pPr>
          </w:p>
        </w:tc>
        <w:tc>
          <w:tcPr>
            <w:tcW w:w="1450" w:type="dxa"/>
          </w:tcPr>
          <w:p w14:paraId="3D374D27">
            <w:pPr>
              <w:wordWrap/>
              <w:topLinePunct w:val="0"/>
              <w:spacing w:after="120"/>
              <w:rPr>
                <w:rFonts w:ascii="仿宋_GB2312" w:eastAsia="仿宋_GB2312"/>
              </w:rPr>
            </w:pPr>
          </w:p>
        </w:tc>
        <w:tc>
          <w:tcPr>
            <w:tcW w:w="1670" w:type="dxa"/>
          </w:tcPr>
          <w:p w14:paraId="7BC648E0">
            <w:pPr>
              <w:wordWrap/>
              <w:topLinePunct w:val="0"/>
              <w:spacing w:after="120"/>
              <w:rPr>
                <w:rFonts w:ascii="仿宋_GB2312" w:eastAsia="仿宋_GB2312"/>
              </w:rPr>
            </w:pPr>
          </w:p>
        </w:tc>
      </w:tr>
      <w:tr w14:paraId="1CF2A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62D69EB6">
            <w:pPr>
              <w:wordWrap/>
              <w:topLinePunct w:val="0"/>
              <w:spacing w:after="120"/>
              <w:rPr>
                <w:rFonts w:ascii="仿宋_GB2312" w:eastAsia="仿宋_GB2312"/>
              </w:rPr>
            </w:pPr>
          </w:p>
        </w:tc>
        <w:tc>
          <w:tcPr>
            <w:tcW w:w="1276" w:type="dxa"/>
          </w:tcPr>
          <w:p w14:paraId="4D9A98ED">
            <w:pPr>
              <w:wordWrap/>
              <w:topLinePunct w:val="0"/>
              <w:spacing w:after="120"/>
              <w:rPr>
                <w:rFonts w:ascii="仿宋_GB2312" w:eastAsia="仿宋_GB2312"/>
              </w:rPr>
            </w:pPr>
          </w:p>
        </w:tc>
        <w:tc>
          <w:tcPr>
            <w:tcW w:w="1450" w:type="dxa"/>
          </w:tcPr>
          <w:p w14:paraId="1DAA0913">
            <w:pPr>
              <w:wordWrap/>
              <w:topLinePunct w:val="0"/>
              <w:spacing w:after="120"/>
              <w:rPr>
                <w:rFonts w:ascii="仿宋_GB2312" w:eastAsia="仿宋_GB2312"/>
              </w:rPr>
            </w:pPr>
          </w:p>
        </w:tc>
        <w:tc>
          <w:tcPr>
            <w:tcW w:w="1243" w:type="dxa"/>
          </w:tcPr>
          <w:p w14:paraId="29EDAEDF">
            <w:pPr>
              <w:wordWrap/>
              <w:topLinePunct w:val="0"/>
              <w:spacing w:after="120"/>
              <w:rPr>
                <w:rFonts w:ascii="仿宋_GB2312" w:eastAsia="仿宋_GB2312"/>
              </w:rPr>
            </w:pPr>
          </w:p>
        </w:tc>
        <w:tc>
          <w:tcPr>
            <w:tcW w:w="1450" w:type="dxa"/>
          </w:tcPr>
          <w:p w14:paraId="7971C884">
            <w:pPr>
              <w:wordWrap/>
              <w:topLinePunct w:val="0"/>
              <w:spacing w:after="120"/>
              <w:rPr>
                <w:rFonts w:ascii="仿宋_GB2312" w:eastAsia="仿宋_GB2312"/>
              </w:rPr>
            </w:pPr>
          </w:p>
        </w:tc>
        <w:tc>
          <w:tcPr>
            <w:tcW w:w="1670" w:type="dxa"/>
          </w:tcPr>
          <w:p w14:paraId="6A3B776F">
            <w:pPr>
              <w:wordWrap/>
              <w:topLinePunct w:val="0"/>
              <w:spacing w:after="120"/>
              <w:rPr>
                <w:rFonts w:ascii="仿宋_GB2312" w:eastAsia="仿宋_GB2312"/>
              </w:rPr>
            </w:pPr>
          </w:p>
        </w:tc>
      </w:tr>
      <w:tr w14:paraId="71B912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4D916BDD">
            <w:pPr>
              <w:wordWrap/>
              <w:topLinePunct w:val="0"/>
              <w:spacing w:after="120"/>
              <w:rPr>
                <w:rFonts w:ascii="仿宋_GB2312" w:eastAsia="仿宋_GB2312"/>
              </w:rPr>
            </w:pPr>
          </w:p>
        </w:tc>
        <w:tc>
          <w:tcPr>
            <w:tcW w:w="1276" w:type="dxa"/>
          </w:tcPr>
          <w:p w14:paraId="5164A06B">
            <w:pPr>
              <w:wordWrap/>
              <w:topLinePunct w:val="0"/>
              <w:spacing w:after="120"/>
              <w:rPr>
                <w:rFonts w:ascii="仿宋_GB2312" w:eastAsia="仿宋_GB2312"/>
              </w:rPr>
            </w:pPr>
          </w:p>
        </w:tc>
        <w:tc>
          <w:tcPr>
            <w:tcW w:w="1450" w:type="dxa"/>
          </w:tcPr>
          <w:p w14:paraId="313CC446">
            <w:pPr>
              <w:wordWrap/>
              <w:topLinePunct w:val="0"/>
              <w:spacing w:after="120"/>
              <w:rPr>
                <w:rFonts w:ascii="仿宋_GB2312" w:eastAsia="仿宋_GB2312"/>
              </w:rPr>
            </w:pPr>
          </w:p>
        </w:tc>
        <w:tc>
          <w:tcPr>
            <w:tcW w:w="1243" w:type="dxa"/>
          </w:tcPr>
          <w:p w14:paraId="256C8987">
            <w:pPr>
              <w:wordWrap/>
              <w:topLinePunct w:val="0"/>
              <w:spacing w:after="120"/>
              <w:rPr>
                <w:rFonts w:ascii="仿宋_GB2312" w:eastAsia="仿宋_GB2312"/>
              </w:rPr>
            </w:pPr>
          </w:p>
        </w:tc>
        <w:tc>
          <w:tcPr>
            <w:tcW w:w="1450" w:type="dxa"/>
          </w:tcPr>
          <w:p w14:paraId="5BA0A9E0">
            <w:pPr>
              <w:wordWrap/>
              <w:topLinePunct w:val="0"/>
              <w:spacing w:after="120"/>
              <w:rPr>
                <w:rFonts w:ascii="仿宋_GB2312" w:eastAsia="仿宋_GB2312"/>
              </w:rPr>
            </w:pPr>
          </w:p>
        </w:tc>
        <w:tc>
          <w:tcPr>
            <w:tcW w:w="1670" w:type="dxa"/>
          </w:tcPr>
          <w:p w14:paraId="5230EF42">
            <w:pPr>
              <w:wordWrap/>
              <w:topLinePunct w:val="0"/>
              <w:spacing w:after="120"/>
              <w:rPr>
                <w:rFonts w:ascii="仿宋_GB2312" w:eastAsia="仿宋_GB2312"/>
              </w:rPr>
            </w:pPr>
          </w:p>
        </w:tc>
      </w:tr>
      <w:tr w14:paraId="58DB8E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2203D387">
            <w:pPr>
              <w:wordWrap/>
              <w:topLinePunct w:val="0"/>
              <w:spacing w:after="120"/>
              <w:rPr>
                <w:rFonts w:ascii="仿宋_GB2312" w:eastAsia="仿宋_GB2312"/>
              </w:rPr>
            </w:pPr>
          </w:p>
        </w:tc>
        <w:tc>
          <w:tcPr>
            <w:tcW w:w="1276" w:type="dxa"/>
          </w:tcPr>
          <w:p w14:paraId="1D6B4AA9">
            <w:pPr>
              <w:wordWrap/>
              <w:topLinePunct w:val="0"/>
              <w:spacing w:after="120"/>
              <w:rPr>
                <w:rFonts w:ascii="仿宋_GB2312" w:eastAsia="仿宋_GB2312"/>
              </w:rPr>
            </w:pPr>
          </w:p>
        </w:tc>
        <w:tc>
          <w:tcPr>
            <w:tcW w:w="1450" w:type="dxa"/>
          </w:tcPr>
          <w:p w14:paraId="6719E92B">
            <w:pPr>
              <w:wordWrap/>
              <w:topLinePunct w:val="0"/>
              <w:spacing w:after="120"/>
              <w:rPr>
                <w:rFonts w:ascii="仿宋_GB2312" w:eastAsia="仿宋_GB2312"/>
              </w:rPr>
            </w:pPr>
          </w:p>
        </w:tc>
        <w:tc>
          <w:tcPr>
            <w:tcW w:w="1243" w:type="dxa"/>
          </w:tcPr>
          <w:p w14:paraId="0ADB56AB">
            <w:pPr>
              <w:wordWrap/>
              <w:topLinePunct w:val="0"/>
              <w:spacing w:after="120"/>
              <w:rPr>
                <w:rFonts w:ascii="仿宋_GB2312" w:eastAsia="仿宋_GB2312"/>
              </w:rPr>
            </w:pPr>
          </w:p>
        </w:tc>
        <w:tc>
          <w:tcPr>
            <w:tcW w:w="1450" w:type="dxa"/>
          </w:tcPr>
          <w:p w14:paraId="6AB3C809">
            <w:pPr>
              <w:wordWrap/>
              <w:topLinePunct w:val="0"/>
              <w:spacing w:after="120"/>
              <w:rPr>
                <w:rFonts w:ascii="仿宋_GB2312" w:eastAsia="仿宋_GB2312"/>
              </w:rPr>
            </w:pPr>
          </w:p>
        </w:tc>
        <w:tc>
          <w:tcPr>
            <w:tcW w:w="1670" w:type="dxa"/>
          </w:tcPr>
          <w:p w14:paraId="7CA2A678">
            <w:pPr>
              <w:wordWrap/>
              <w:topLinePunct w:val="0"/>
              <w:spacing w:after="120"/>
              <w:rPr>
                <w:rFonts w:ascii="仿宋_GB2312" w:eastAsia="仿宋_GB2312"/>
              </w:rPr>
            </w:pPr>
          </w:p>
        </w:tc>
      </w:tr>
      <w:tr w14:paraId="75B3FC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0FC907AE">
            <w:pPr>
              <w:wordWrap/>
              <w:topLinePunct w:val="0"/>
              <w:spacing w:after="120"/>
              <w:rPr>
                <w:rFonts w:ascii="仿宋_GB2312" w:eastAsia="仿宋_GB2312"/>
              </w:rPr>
            </w:pPr>
          </w:p>
        </w:tc>
        <w:tc>
          <w:tcPr>
            <w:tcW w:w="1276" w:type="dxa"/>
          </w:tcPr>
          <w:p w14:paraId="07722820">
            <w:pPr>
              <w:wordWrap/>
              <w:topLinePunct w:val="0"/>
              <w:spacing w:after="120"/>
              <w:rPr>
                <w:rFonts w:ascii="仿宋_GB2312" w:eastAsia="仿宋_GB2312"/>
              </w:rPr>
            </w:pPr>
          </w:p>
        </w:tc>
        <w:tc>
          <w:tcPr>
            <w:tcW w:w="1450" w:type="dxa"/>
          </w:tcPr>
          <w:p w14:paraId="5EDD6F51">
            <w:pPr>
              <w:wordWrap/>
              <w:topLinePunct w:val="0"/>
              <w:spacing w:after="120"/>
              <w:rPr>
                <w:rFonts w:ascii="仿宋_GB2312" w:eastAsia="仿宋_GB2312"/>
              </w:rPr>
            </w:pPr>
          </w:p>
        </w:tc>
        <w:tc>
          <w:tcPr>
            <w:tcW w:w="1243" w:type="dxa"/>
          </w:tcPr>
          <w:p w14:paraId="26841B58">
            <w:pPr>
              <w:wordWrap/>
              <w:topLinePunct w:val="0"/>
              <w:spacing w:after="120"/>
              <w:rPr>
                <w:rFonts w:ascii="仿宋_GB2312" w:eastAsia="仿宋_GB2312"/>
              </w:rPr>
            </w:pPr>
          </w:p>
        </w:tc>
        <w:tc>
          <w:tcPr>
            <w:tcW w:w="1450" w:type="dxa"/>
          </w:tcPr>
          <w:p w14:paraId="15F04E4D">
            <w:pPr>
              <w:wordWrap/>
              <w:topLinePunct w:val="0"/>
              <w:spacing w:after="120"/>
              <w:rPr>
                <w:rFonts w:ascii="仿宋_GB2312" w:eastAsia="仿宋_GB2312"/>
              </w:rPr>
            </w:pPr>
          </w:p>
        </w:tc>
        <w:tc>
          <w:tcPr>
            <w:tcW w:w="1670" w:type="dxa"/>
          </w:tcPr>
          <w:p w14:paraId="5231A453">
            <w:pPr>
              <w:wordWrap/>
              <w:topLinePunct w:val="0"/>
              <w:spacing w:after="120"/>
              <w:rPr>
                <w:rFonts w:ascii="仿宋_GB2312" w:eastAsia="仿宋_GB2312"/>
              </w:rPr>
            </w:pPr>
          </w:p>
        </w:tc>
      </w:tr>
      <w:tr w14:paraId="0D3618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2125" w:type="dxa"/>
          </w:tcPr>
          <w:p w14:paraId="29F77C74">
            <w:pPr>
              <w:wordWrap/>
              <w:topLinePunct w:val="0"/>
              <w:spacing w:after="120"/>
              <w:rPr>
                <w:rFonts w:ascii="仿宋_GB2312" w:eastAsia="仿宋_GB2312"/>
              </w:rPr>
            </w:pPr>
          </w:p>
        </w:tc>
        <w:tc>
          <w:tcPr>
            <w:tcW w:w="1276" w:type="dxa"/>
          </w:tcPr>
          <w:p w14:paraId="36032A95">
            <w:pPr>
              <w:wordWrap/>
              <w:topLinePunct w:val="0"/>
              <w:spacing w:after="120"/>
              <w:rPr>
                <w:rFonts w:ascii="仿宋_GB2312" w:eastAsia="仿宋_GB2312"/>
              </w:rPr>
            </w:pPr>
          </w:p>
        </w:tc>
        <w:tc>
          <w:tcPr>
            <w:tcW w:w="1450" w:type="dxa"/>
          </w:tcPr>
          <w:p w14:paraId="7105E5C9">
            <w:pPr>
              <w:wordWrap/>
              <w:topLinePunct w:val="0"/>
              <w:spacing w:after="120"/>
              <w:rPr>
                <w:rFonts w:ascii="仿宋_GB2312" w:eastAsia="仿宋_GB2312"/>
              </w:rPr>
            </w:pPr>
          </w:p>
        </w:tc>
        <w:tc>
          <w:tcPr>
            <w:tcW w:w="1243" w:type="dxa"/>
          </w:tcPr>
          <w:p w14:paraId="29CEC8AC">
            <w:pPr>
              <w:wordWrap/>
              <w:topLinePunct w:val="0"/>
              <w:spacing w:after="120"/>
              <w:rPr>
                <w:rFonts w:ascii="仿宋_GB2312" w:eastAsia="仿宋_GB2312"/>
              </w:rPr>
            </w:pPr>
          </w:p>
        </w:tc>
        <w:tc>
          <w:tcPr>
            <w:tcW w:w="1450" w:type="dxa"/>
          </w:tcPr>
          <w:p w14:paraId="381CCF87">
            <w:pPr>
              <w:wordWrap/>
              <w:topLinePunct w:val="0"/>
              <w:spacing w:after="120"/>
              <w:rPr>
                <w:rFonts w:ascii="仿宋_GB2312" w:eastAsia="仿宋_GB2312"/>
              </w:rPr>
            </w:pPr>
          </w:p>
        </w:tc>
        <w:tc>
          <w:tcPr>
            <w:tcW w:w="1670" w:type="dxa"/>
          </w:tcPr>
          <w:p w14:paraId="56565829">
            <w:pPr>
              <w:wordWrap/>
              <w:topLinePunct w:val="0"/>
              <w:spacing w:after="120"/>
              <w:rPr>
                <w:rFonts w:ascii="仿宋_GB2312" w:eastAsia="仿宋_GB2312"/>
              </w:rPr>
            </w:pPr>
          </w:p>
        </w:tc>
      </w:tr>
    </w:tbl>
    <w:p w14:paraId="06610D8B">
      <w:pPr>
        <w:wordWrap/>
        <w:topLinePunct w:val="0"/>
        <w:spacing w:after="120"/>
      </w:pPr>
    </w:p>
    <w:p w14:paraId="05029FD7">
      <w:pPr>
        <w:wordWrap/>
        <w:topLinePunct w:val="0"/>
        <w:spacing w:after="120"/>
      </w:pPr>
    </w:p>
    <w:p w14:paraId="13974E7E">
      <w:pPr>
        <w:wordWrap/>
        <w:topLinePunct w:val="0"/>
        <w:spacing w:after="120"/>
        <w:sectPr>
          <w:pgSz w:w="11906" w:h="16838"/>
          <w:pgMar w:top="1440" w:right="1800" w:bottom="1440" w:left="1800" w:header="720" w:footer="998" w:gutter="0"/>
          <w:cols w:space="720" w:num="1"/>
          <w:docGrid w:linePitch="326" w:charSpace="0"/>
        </w:sectPr>
      </w:pPr>
    </w:p>
    <w:p w14:paraId="64CE14A9">
      <w:pPr>
        <w:pStyle w:val="106"/>
        <w:numPr>
          <w:ilvl w:val="0"/>
          <w:numId w:val="0"/>
        </w:numPr>
        <w:spacing w:after="120"/>
        <w:jc w:val="center"/>
        <w:outlineLvl w:val="1"/>
        <w:rPr>
          <w:rFonts w:ascii="仿宋" w:hAnsi="仿宋" w:eastAsia="仿宋" w:cs="仿宋"/>
          <w:b/>
          <w:bCs/>
          <w:sz w:val="32"/>
          <w:szCs w:val="32"/>
        </w:rPr>
      </w:pPr>
      <w:bookmarkStart w:id="940" w:name="_Toc32606"/>
      <w:bookmarkStart w:id="941" w:name="_Toc29759"/>
      <w:bookmarkStart w:id="942" w:name="_Toc54862356"/>
      <w:bookmarkStart w:id="943" w:name="_Toc20171897"/>
      <w:bookmarkStart w:id="944" w:name="_Toc27569"/>
      <w:r>
        <w:rPr>
          <w:rFonts w:hint="eastAsia" w:ascii="仿宋" w:hAnsi="仿宋" w:eastAsia="仿宋" w:cs="仿宋"/>
          <w:b/>
          <w:bCs/>
          <w:sz w:val="32"/>
          <w:szCs w:val="32"/>
        </w:rPr>
        <w:t>附件5 承包人主要管理人员表</w:t>
      </w:r>
      <w:bookmarkEnd w:id="940"/>
      <w:bookmarkEnd w:id="941"/>
      <w:bookmarkEnd w:id="942"/>
      <w:bookmarkEnd w:id="943"/>
      <w:bookmarkEnd w:id="944"/>
    </w:p>
    <w:tbl>
      <w:tblPr>
        <w:tblStyle w:val="55"/>
        <w:tblW w:w="90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9"/>
        <w:gridCol w:w="1264"/>
        <w:gridCol w:w="869"/>
        <w:gridCol w:w="1117"/>
        <w:gridCol w:w="4178"/>
      </w:tblGrid>
      <w:tr w14:paraId="6DA03F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12" w:space="0"/>
              <w:bottom w:val="double" w:color="auto" w:sz="6" w:space="0"/>
            </w:tcBorders>
            <w:vAlign w:val="center"/>
          </w:tcPr>
          <w:p w14:paraId="025F3E88">
            <w:pPr>
              <w:wordWrap/>
              <w:topLinePunct w:val="0"/>
              <w:spacing w:afterLines="0"/>
              <w:ind w:firstLine="0" w:firstLineChars="0"/>
              <w:rPr>
                <w:rFonts w:ascii="仿宋_GB2312" w:eastAsia="仿宋_GB2312"/>
                <w:sz w:val="30"/>
                <w:szCs w:val="30"/>
              </w:rPr>
            </w:pPr>
            <w:r>
              <w:rPr>
                <w:rFonts w:hint="eastAsia" w:ascii="仿宋_GB2312" w:eastAsia="仿宋_GB2312"/>
                <w:sz w:val="30"/>
                <w:szCs w:val="30"/>
              </w:rPr>
              <w:t>名    称</w:t>
            </w:r>
          </w:p>
        </w:tc>
        <w:tc>
          <w:tcPr>
            <w:tcW w:w="1264" w:type="dxa"/>
            <w:tcBorders>
              <w:top w:val="single" w:color="auto" w:sz="12" w:space="0"/>
              <w:bottom w:val="double" w:color="auto" w:sz="6" w:space="0"/>
            </w:tcBorders>
            <w:vAlign w:val="center"/>
          </w:tcPr>
          <w:p w14:paraId="12609ECA">
            <w:pPr>
              <w:wordWrap/>
              <w:topLinePunct w:val="0"/>
              <w:spacing w:afterLines="0"/>
              <w:ind w:firstLine="600"/>
              <w:rPr>
                <w:rFonts w:ascii="仿宋_GB2312" w:eastAsia="仿宋_GB2312"/>
                <w:sz w:val="30"/>
                <w:szCs w:val="30"/>
              </w:rPr>
            </w:pPr>
            <w:r>
              <w:rPr>
                <w:rFonts w:hint="eastAsia" w:ascii="仿宋_GB2312" w:eastAsia="仿宋_GB2312"/>
                <w:sz w:val="30"/>
                <w:szCs w:val="30"/>
              </w:rPr>
              <w:t>姓名</w:t>
            </w:r>
          </w:p>
        </w:tc>
        <w:tc>
          <w:tcPr>
            <w:tcW w:w="869" w:type="dxa"/>
            <w:tcBorders>
              <w:top w:val="single" w:color="auto" w:sz="12" w:space="0"/>
              <w:bottom w:val="double" w:color="auto" w:sz="6" w:space="0"/>
            </w:tcBorders>
            <w:vAlign w:val="center"/>
          </w:tcPr>
          <w:p w14:paraId="7A210B9E">
            <w:pPr>
              <w:wordWrap/>
              <w:topLinePunct w:val="0"/>
              <w:spacing w:afterLines="0"/>
              <w:ind w:firstLine="0" w:firstLineChars="0"/>
              <w:rPr>
                <w:rFonts w:ascii="仿宋_GB2312" w:eastAsia="仿宋_GB2312"/>
                <w:sz w:val="30"/>
                <w:szCs w:val="30"/>
              </w:rPr>
            </w:pPr>
            <w:r>
              <w:rPr>
                <w:rFonts w:hint="eastAsia" w:ascii="仿宋_GB2312" w:eastAsia="仿宋_GB2312"/>
                <w:sz w:val="30"/>
                <w:szCs w:val="30"/>
              </w:rPr>
              <w:t>职务</w:t>
            </w:r>
          </w:p>
        </w:tc>
        <w:tc>
          <w:tcPr>
            <w:tcW w:w="1117" w:type="dxa"/>
            <w:tcBorders>
              <w:top w:val="single" w:color="auto" w:sz="12" w:space="0"/>
              <w:bottom w:val="double" w:color="auto" w:sz="6" w:space="0"/>
            </w:tcBorders>
            <w:vAlign w:val="center"/>
          </w:tcPr>
          <w:p w14:paraId="14E88830">
            <w:pPr>
              <w:wordWrap/>
              <w:topLinePunct w:val="0"/>
              <w:spacing w:afterLines="0"/>
              <w:ind w:firstLine="300" w:firstLineChars="100"/>
              <w:rPr>
                <w:rFonts w:ascii="仿宋_GB2312" w:eastAsia="仿宋_GB2312"/>
                <w:sz w:val="30"/>
                <w:szCs w:val="30"/>
              </w:rPr>
            </w:pPr>
            <w:r>
              <w:rPr>
                <w:rFonts w:hint="eastAsia" w:ascii="仿宋_GB2312" w:eastAsia="仿宋_GB2312"/>
                <w:sz w:val="30"/>
                <w:szCs w:val="30"/>
              </w:rPr>
              <w:t>职称</w:t>
            </w:r>
          </w:p>
        </w:tc>
        <w:tc>
          <w:tcPr>
            <w:tcW w:w="4178" w:type="dxa"/>
            <w:tcBorders>
              <w:top w:val="single" w:color="auto" w:sz="12" w:space="0"/>
              <w:bottom w:val="double" w:color="auto" w:sz="6" w:space="0"/>
            </w:tcBorders>
            <w:vAlign w:val="center"/>
          </w:tcPr>
          <w:p w14:paraId="64C05D3B">
            <w:pPr>
              <w:wordWrap/>
              <w:topLinePunct w:val="0"/>
              <w:spacing w:afterLines="0"/>
              <w:ind w:firstLine="0" w:firstLineChars="0"/>
              <w:rPr>
                <w:rFonts w:ascii="仿宋_GB2312" w:eastAsia="仿宋_GB2312"/>
                <w:sz w:val="30"/>
                <w:szCs w:val="30"/>
              </w:rPr>
            </w:pPr>
            <w:r>
              <w:rPr>
                <w:rFonts w:hint="eastAsia" w:ascii="仿宋_GB2312" w:eastAsia="仿宋_GB2312"/>
                <w:sz w:val="30"/>
                <w:szCs w:val="30"/>
              </w:rPr>
              <w:t>主要资历、经验及承担过的项目</w:t>
            </w:r>
          </w:p>
        </w:tc>
      </w:tr>
      <w:tr w14:paraId="0375DB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vAlign w:val="center"/>
          </w:tcPr>
          <w:p w14:paraId="297B2DAF">
            <w:pPr>
              <w:wordWrap/>
              <w:topLinePunct w:val="0"/>
              <w:spacing w:afterLines="0"/>
              <w:ind w:firstLine="600"/>
              <w:rPr>
                <w:rFonts w:ascii="仿宋_GB2312" w:eastAsia="仿宋_GB2312"/>
                <w:sz w:val="30"/>
                <w:szCs w:val="30"/>
              </w:rPr>
            </w:pPr>
            <w:r>
              <w:rPr>
                <w:rFonts w:hint="eastAsia" w:ascii="仿宋_GB2312" w:eastAsia="仿宋_GB2312"/>
                <w:sz w:val="30"/>
                <w:szCs w:val="30"/>
              </w:rPr>
              <w:t>一、总部人员</w:t>
            </w:r>
          </w:p>
        </w:tc>
      </w:tr>
      <w:tr w14:paraId="73791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nil"/>
              <w:bottom w:val="nil"/>
            </w:tcBorders>
            <w:vAlign w:val="center"/>
          </w:tcPr>
          <w:p w14:paraId="27797B6D">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项目主管</w:t>
            </w:r>
          </w:p>
        </w:tc>
        <w:tc>
          <w:tcPr>
            <w:tcW w:w="1264" w:type="dxa"/>
            <w:tcBorders>
              <w:top w:val="nil"/>
            </w:tcBorders>
            <w:vAlign w:val="center"/>
          </w:tcPr>
          <w:p w14:paraId="455F275A">
            <w:pPr>
              <w:wordWrap/>
              <w:topLinePunct w:val="0"/>
              <w:spacing w:afterLines="0"/>
              <w:ind w:firstLine="600"/>
              <w:rPr>
                <w:rFonts w:ascii="仿宋_GB2312" w:eastAsia="仿宋_GB2312"/>
                <w:sz w:val="30"/>
                <w:szCs w:val="30"/>
              </w:rPr>
            </w:pPr>
          </w:p>
        </w:tc>
        <w:tc>
          <w:tcPr>
            <w:tcW w:w="869" w:type="dxa"/>
            <w:tcBorders>
              <w:top w:val="nil"/>
            </w:tcBorders>
            <w:vAlign w:val="center"/>
          </w:tcPr>
          <w:p w14:paraId="34D660E8">
            <w:pPr>
              <w:wordWrap/>
              <w:topLinePunct w:val="0"/>
              <w:spacing w:afterLines="0"/>
              <w:ind w:firstLine="600"/>
              <w:rPr>
                <w:rFonts w:ascii="仿宋_GB2312" w:eastAsia="仿宋_GB2312"/>
                <w:sz w:val="30"/>
                <w:szCs w:val="30"/>
              </w:rPr>
            </w:pPr>
          </w:p>
        </w:tc>
        <w:tc>
          <w:tcPr>
            <w:tcW w:w="1117" w:type="dxa"/>
            <w:tcBorders>
              <w:top w:val="nil"/>
            </w:tcBorders>
            <w:vAlign w:val="center"/>
          </w:tcPr>
          <w:p w14:paraId="1953AFDE">
            <w:pPr>
              <w:wordWrap/>
              <w:topLinePunct w:val="0"/>
              <w:spacing w:afterLines="0"/>
              <w:ind w:firstLine="600"/>
              <w:rPr>
                <w:rFonts w:ascii="仿宋_GB2312" w:eastAsia="仿宋_GB2312"/>
                <w:sz w:val="30"/>
                <w:szCs w:val="30"/>
              </w:rPr>
            </w:pPr>
          </w:p>
        </w:tc>
        <w:tc>
          <w:tcPr>
            <w:tcW w:w="4178" w:type="dxa"/>
            <w:tcBorders>
              <w:top w:val="nil"/>
            </w:tcBorders>
            <w:vAlign w:val="center"/>
          </w:tcPr>
          <w:p w14:paraId="511F8BD3">
            <w:pPr>
              <w:wordWrap/>
              <w:topLinePunct w:val="0"/>
              <w:spacing w:afterLines="0"/>
              <w:ind w:firstLine="600"/>
              <w:rPr>
                <w:rFonts w:ascii="仿宋_GB2312" w:eastAsia="仿宋_GB2312"/>
                <w:sz w:val="30"/>
                <w:szCs w:val="30"/>
              </w:rPr>
            </w:pPr>
          </w:p>
        </w:tc>
      </w:tr>
      <w:tr w14:paraId="133779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nil"/>
            </w:tcBorders>
            <w:vAlign w:val="center"/>
          </w:tcPr>
          <w:p w14:paraId="6B4B474E">
            <w:pPr>
              <w:wordWrap/>
              <w:topLinePunct w:val="0"/>
              <w:spacing w:afterLines="0"/>
              <w:ind w:firstLine="600"/>
              <w:rPr>
                <w:rFonts w:ascii="仿宋_GB2312" w:eastAsia="仿宋_GB2312"/>
                <w:sz w:val="30"/>
                <w:szCs w:val="30"/>
              </w:rPr>
            </w:pPr>
          </w:p>
        </w:tc>
        <w:tc>
          <w:tcPr>
            <w:tcW w:w="1264" w:type="dxa"/>
            <w:vAlign w:val="center"/>
          </w:tcPr>
          <w:p w14:paraId="48EBDD28">
            <w:pPr>
              <w:wordWrap/>
              <w:topLinePunct w:val="0"/>
              <w:spacing w:afterLines="0"/>
              <w:ind w:firstLine="600"/>
              <w:rPr>
                <w:rFonts w:ascii="仿宋_GB2312" w:eastAsia="仿宋_GB2312"/>
                <w:sz w:val="30"/>
                <w:szCs w:val="30"/>
              </w:rPr>
            </w:pPr>
          </w:p>
        </w:tc>
        <w:tc>
          <w:tcPr>
            <w:tcW w:w="869" w:type="dxa"/>
            <w:vAlign w:val="center"/>
          </w:tcPr>
          <w:p w14:paraId="097BDD18">
            <w:pPr>
              <w:wordWrap/>
              <w:topLinePunct w:val="0"/>
              <w:spacing w:afterLines="0"/>
              <w:ind w:firstLine="600"/>
              <w:rPr>
                <w:rFonts w:ascii="仿宋_GB2312" w:eastAsia="仿宋_GB2312"/>
                <w:sz w:val="30"/>
                <w:szCs w:val="30"/>
              </w:rPr>
            </w:pPr>
          </w:p>
        </w:tc>
        <w:tc>
          <w:tcPr>
            <w:tcW w:w="1117" w:type="dxa"/>
            <w:vAlign w:val="center"/>
          </w:tcPr>
          <w:p w14:paraId="0FC2BC61">
            <w:pPr>
              <w:wordWrap/>
              <w:topLinePunct w:val="0"/>
              <w:spacing w:afterLines="0"/>
              <w:ind w:firstLine="600"/>
              <w:rPr>
                <w:rFonts w:ascii="仿宋_GB2312" w:eastAsia="仿宋_GB2312"/>
                <w:sz w:val="30"/>
                <w:szCs w:val="30"/>
              </w:rPr>
            </w:pPr>
          </w:p>
        </w:tc>
        <w:tc>
          <w:tcPr>
            <w:tcW w:w="4178" w:type="dxa"/>
            <w:vAlign w:val="center"/>
          </w:tcPr>
          <w:p w14:paraId="681827A9">
            <w:pPr>
              <w:wordWrap/>
              <w:topLinePunct w:val="0"/>
              <w:spacing w:afterLines="0"/>
              <w:ind w:firstLine="600"/>
              <w:rPr>
                <w:rFonts w:ascii="仿宋_GB2312" w:eastAsia="仿宋_GB2312"/>
                <w:sz w:val="30"/>
                <w:szCs w:val="30"/>
              </w:rPr>
            </w:pPr>
          </w:p>
        </w:tc>
      </w:tr>
      <w:tr w14:paraId="1297AA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nil"/>
              <w:bottom w:val="nil"/>
            </w:tcBorders>
            <w:vAlign w:val="center"/>
          </w:tcPr>
          <w:p w14:paraId="3FC26860">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其他人员</w:t>
            </w:r>
          </w:p>
        </w:tc>
        <w:tc>
          <w:tcPr>
            <w:tcW w:w="1264" w:type="dxa"/>
            <w:vAlign w:val="center"/>
          </w:tcPr>
          <w:p w14:paraId="6EB51599">
            <w:pPr>
              <w:wordWrap/>
              <w:topLinePunct w:val="0"/>
              <w:spacing w:afterLines="0"/>
              <w:ind w:firstLine="600"/>
              <w:rPr>
                <w:rFonts w:ascii="仿宋_GB2312" w:eastAsia="仿宋_GB2312"/>
                <w:sz w:val="30"/>
                <w:szCs w:val="30"/>
              </w:rPr>
            </w:pPr>
          </w:p>
        </w:tc>
        <w:tc>
          <w:tcPr>
            <w:tcW w:w="869" w:type="dxa"/>
            <w:vAlign w:val="center"/>
          </w:tcPr>
          <w:p w14:paraId="07E49B6A">
            <w:pPr>
              <w:wordWrap/>
              <w:topLinePunct w:val="0"/>
              <w:spacing w:afterLines="0"/>
              <w:ind w:firstLine="600"/>
              <w:rPr>
                <w:rFonts w:ascii="仿宋_GB2312" w:eastAsia="仿宋_GB2312"/>
                <w:sz w:val="30"/>
                <w:szCs w:val="30"/>
              </w:rPr>
            </w:pPr>
          </w:p>
        </w:tc>
        <w:tc>
          <w:tcPr>
            <w:tcW w:w="1117" w:type="dxa"/>
            <w:vAlign w:val="center"/>
          </w:tcPr>
          <w:p w14:paraId="4AC88976">
            <w:pPr>
              <w:wordWrap/>
              <w:topLinePunct w:val="0"/>
              <w:spacing w:afterLines="0"/>
              <w:ind w:firstLine="600"/>
              <w:rPr>
                <w:rFonts w:ascii="仿宋_GB2312" w:eastAsia="仿宋_GB2312"/>
                <w:sz w:val="30"/>
                <w:szCs w:val="30"/>
              </w:rPr>
            </w:pPr>
          </w:p>
        </w:tc>
        <w:tc>
          <w:tcPr>
            <w:tcW w:w="4178" w:type="dxa"/>
            <w:vAlign w:val="center"/>
          </w:tcPr>
          <w:p w14:paraId="230BD2FA">
            <w:pPr>
              <w:wordWrap/>
              <w:topLinePunct w:val="0"/>
              <w:spacing w:afterLines="0"/>
              <w:ind w:firstLine="600"/>
              <w:rPr>
                <w:rFonts w:ascii="仿宋_GB2312" w:eastAsia="仿宋_GB2312"/>
                <w:sz w:val="30"/>
                <w:szCs w:val="30"/>
              </w:rPr>
            </w:pPr>
          </w:p>
        </w:tc>
      </w:tr>
      <w:tr w14:paraId="0A9601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nil"/>
              <w:bottom w:val="nil"/>
            </w:tcBorders>
            <w:vAlign w:val="center"/>
          </w:tcPr>
          <w:p w14:paraId="6AA17957">
            <w:pPr>
              <w:wordWrap/>
              <w:topLinePunct w:val="0"/>
              <w:spacing w:afterLines="0"/>
              <w:ind w:firstLine="600"/>
              <w:rPr>
                <w:rFonts w:ascii="仿宋_GB2312" w:eastAsia="仿宋_GB2312"/>
                <w:sz w:val="30"/>
                <w:szCs w:val="30"/>
              </w:rPr>
            </w:pPr>
          </w:p>
        </w:tc>
        <w:tc>
          <w:tcPr>
            <w:tcW w:w="1264" w:type="dxa"/>
            <w:vAlign w:val="center"/>
          </w:tcPr>
          <w:p w14:paraId="3F957D7C">
            <w:pPr>
              <w:wordWrap/>
              <w:topLinePunct w:val="0"/>
              <w:spacing w:afterLines="0"/>
              <w:ind w:firstLine="600"/>
              <w:rPr>
                <w:rFonts w:ascii="仿宋_GB2312" w:eastAsia="仿宋_GB2312"/>
                <w:sz w:val="30"/>
                <w:szCs w:val="30"/>
              </w:rPr>
            </w:pPr>
          </w:p>
        </w:tc>
        <w:tc>
          <w:tcPr>
            <w:tcW w:w="869" w:type="dxa"/>
            <w:vAlign w:val="center"/>
          </w:tcPr>
          <w:p w14:paraId="0B8F4FCC">
            <w:pPr>
              <w:wordWrap/>
              <w:topLinePunct w:val="0"/>
              <w:spacing w:afterLines="0"/>
              <w:ind w:firstLine="600"/>
              <w:rPr>
                <w:rFonts w:ascii="仿宋_GB2312" w:eastAsia="仿宋_GB2312"/>
                <w:sz w:val="30"/>
                <w:szCs w:val="30"/>
              </w:rPr>
            </w:pPr>
          </w:p>
        </w:tc>
        <w:tc>
          <w:tcPr>
            <w:tcW w:w="1117" w:type="dxa"/>
            <w:vAlign w:val="center"/>
          </w:tcPr>
          <w:p w14:paraId="4ABE70E3">
            <w:pPr>
              <w:wordWrap/>
              <w:topLinePunct w:val="0"/>
              <w:spacing w:afterLines="0"/>
              <w:ind w:firstLine="600"/>
              <w:rPr>
                <w:rFonts w:ascii="仿宋_GB2312" w:eastAsia="仿宋_GB2312"/>
                <w:sz w:val="30"/>
                <w:szCs w:val="30"/>
              </w:rPr>
            </w:pPr>
          </w:p>
        </w:tc>
        <w:tc>
          <w:tcPr>
            <w:tcW w:w="4178" w:type="dxa"/>
            <w:vAlign w:val="center"/>
          </w:tcPr>
          <w:p w14:paraId="71197BC9">
            <w:pPr>
              <w:wordWrap/>
              <w:topLinePunct w:val="0"/>
              <w:spacing w:afterLines="0"/>
              <w:ind w:firstLine="600"/>
              <w:rPr>
                <w:rFonts w:ascii="仿宋_GB2312" w:eastAsia="仿宋_GB2312"/>
                <w:sz w:val="30"/>
                <w:szCs w:val="30"/>
              </w:rPr>
            </w:pPr>
          </w:p>
        </w:tc>
      </w:tr>
      <w:tr w14:paraId="310B4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vAlign w:val="center"/>
          </w:tcPr>
          <w:p w14:paraId="0FFEC981">
            <w:pPr>
              <w:wordWrap/>
              <w:topLinePunct w:val="0"/>
              <w:spacing w:afterLines="0"/>
              <w:ind w:firstLine="600"/>
              <w:rPr>
                <w:rFonts w:ascii="仿宋_GB2312" w:eastAsia="仿宋_GB2312"/>
                <w:sz w:val="30"/>
                <w:szCs w:val="30"/>
              </w:rPr>
            </w:pPr>
            <w:r>
              <w:rPr>
                <w:rFonts w:hint="eastAsia" w:ascii="仿宋_GB2312" w:eastAsia="仿宋_GB2312"/>
                <w:sz w:val="30"/>
                <w:szCs w:val="30"/>
              </w:rPr>
              <w:t>二、现场人员</w:t>
            </w:r>
          </w:p>
        </w:tc>
      </w:tr>
      <w:tr w14:paraId="4156D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5640B3CD">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工程总承包</w:t>
            </w:r>
          </w:p>
          <w:p w14:paraId="3BE7081C">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项目经理</w:t>
            </w:r>
          </w:p>
        </w:tc>
        <w:tc>
          <w:tcPr>
            <w:tcW w:w="1264" w:type="dxa"/>
            <w:vAlign w:val="center"/>
          </w:tcPr>
          <w:p w14:paraId="0A48B4CA">
            <w:pPr>
              <w:wordWrap/>
              <w:topLinePunct w:val="0"/>
              <w:spacing w:afterLines="0"/>
              <w:ind w:firstLine="600"/>
              <w:rPr>
                <w:rFonts w:ascii="仿宋_GB2312" w:eastAsia="仿宋_GB2312"/>
                <w:sz w:val="30"/>
                <w:szCs w:val="30"/>
              </w:rPr>
            </w:pPr>
          </w:p>
        </w:tc>
        <w:tc>
          <w:tcPr>
            <w:tcW w:w="869" w:type="dxa"/>
            <w:vAlign w:val="center"/>
          </w:tcPr>
          <w:p w14:paraId="00E8ED79">
            <w:pPr>
              <w:wordWrap/>
              <w:topLinePunct w:val="0"/>
              <w:spacing w:afterLines="0"/>
              <w:ind w:firstLine="600"/>
              <w:rPr>
                <w:rFonts w:ascii="仿宋_GB2312" w:eastAsia="仿宋_GB2312"/>
                <w:sz w:val="30"/>
                <w:szCs w:val="30"/>
              </w:rPr>
            </w:pPr>
          </w:p>
        </w:tc>
        <w:tc>
          <w:tcPr>
            <w:tcW w:w="1117" w:type="dxa"/>
            <w:vAlign w:val="center"/>
          </w:tcPr>
          <w:p w14:paraId="0E6446B5">
            <w:pPr>
              <w:wordWrap/>
              <w:topLinePunct w:val="0"/>
              <w:spacing w:afterLines="0"/>
              <w:ind w:firstLine="600"/>
              <w:rPr>
                <w:rFonts w:ascii="仿宋_GB2312" w:eastAsia="仿宋_GB2312"/>
                <w:sz w:val="30"/>
                <w:szCs w:val="30"/>
              </w:rPr>
            </w:pPr>
          </w:p>
        </w:tc>
        <w:tc>
          <w:tcPr>
            <w:tcW w:w="4178" w:type="dxa"/>
            <w:vAlign w:val="center"/>
          </w:tcPr>
          <w:p w14:paraId="5DFA0FA8">
            <w:pPr>
              <w:wordWrap/>
              <w:topLinePunct w:val="0"/>
              <w:spacing w:afterLines="0"/>
              <w:ind w:firstLine="600"/>
              <w:rPr>
                <w:rFonts w:ascii="仿宋_GB2312" w:eastAsia="仿宋_GB2312"/>
                <w:sz w:val="30"/>
                <w:szCs w:val="30"/>
              </w:rPr>
            </w:pPr>
          </w:p>
          <w:p w14:paraId="19DFAC69">
            <w:pPr>
              <w:wordWrap/>
              <w:topLinePunct w:val="0"/>
              <w:spacing w:afterLines="0"/>
              <w:ind w:firstLine="600"/>
              <w:rPr>
                <w:rFonts w:ascii="仿宋_GB2312" w:eastAsia="仿宋_GB2312"/>
                <w:sz w:val="30"/>
                <w:szCs w:val="30"/>
              </w:rPr>
            </w:pPr>
          </w:p>
        </w:tc>
      </w:tr>
      <w:tr w14:paraId="409D9C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3101B64E">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项目副经理</w:t>
            </w:r>
          </w:p>
        </w:tc>
        <w:tc>
          <w:tcPr>
            <w:tcW w:w="1264" w:type="dxa"/>
            <w:vAlign w:val="center"/>
          </w:tcPr>
          <w:p w14:paraId="486DE0FE">
            <w:pPr>
              <w:wordWrap/>
              <w:topLinePunct w:val="0"/>
              <w:spacing w:afterLines="0"/>
              <w:ind w:firstLine="600"/>
              <w:rPr>
                <w:rFonts w:ascii="仿宋_GB2312" w:eastAsia="仿宋_GB2312"/>
                <w:sz w:val="30"/>
                <w:szCs w:val="30"/>
              </w:rPr>
            </w:pPr>
          </w:p>
        </w:tc>
        <w:tc>
          <w:tcPr>
            <w:tcW w:w="869" w:type="dxa"/>
            <w:vAlign w:val="center"/>
          </w:tcPr>
          <w:p w14:paraId="1D68D371">
            <w:pPr>
              <w:wordWrap/>
              <w:topLinePunct w:val="0"/>
              <w:spacing w:afterLines="0"/>
              <w:ind w:firstLine="600"/>
              <w:rPr>
                <w:rFonts w:ascii="仿宋_GB2312" w:eastAsia="仿宋_GB2312"/>
                <w:sz w:val="30"/>
                <w:szCs w:val="30"/>
              </w:rPr>
            </w:pPr>
          </w:p>
        </w:tc>
        <w:tc>
          <w:tcPr>
            <w:tcW w:w="1117" w:type="dxa"/>
            <w:vAlign w:val="center"/>
          </w:tcPr>
          <w:p w14:paraId="5A78D704">
            <w:pPr>
              <w:wordWrap/>
              <w:topLinePunct w:val="0"/>
              <w:spacing w:afterLines="0"/>
              <w:ind w:firstLine="600"/>
              <w:rPr>
                <w:rFonts w:ascii="仿宋_GB2312" w:eastAsia="仿宋_GB2312"/>
                <w:sz w:val="30"/>
                <w:szCs w:val="30"/>
              </w:rPr>
            </w:pPr>
          </w:p>
        </w:tc>
        <w:tc>
          <w:tcPr>
            <w:tcW w:w="4178" w:type="dxa"/>
            <w:vAlign w:val="center"/>
          </w:tcPr>
          <w:p w14:paraId="47F1CD43">
            <w:pPr>
              <w:wordWrap/>
              <w:topLinePunct w:val="0"/>
              <w:spacing w:afterLines="0"/>
              <w:ind w:firstLine="600"/>
              <w:rPr>
                <w:rFonts w:ascii="仿宋_GB2312" w:eastAsia="仿宋_GB2312"/>
                <w:sz w:val="30"/>
                <w:szCs w:val="30"/>
              </w:rPr>
            </w:pPr>
          </w:p>
        </w:tc>
      </w:tr>
      <w:tr w14:paraId="0279B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7E513EE0">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设计负责人</w:t>
            </w:r>
          </w:p>
        </w:tc>
        <w:tc>
          <w:tcPr>
            <w:tcW w:w="1264" w:type="dxa"/>
            <w:vAlign w:val="center"/>
          </w:tcPr>
          <w:p w14:paraId="6CD930C2">
            <w:pPr>
              <w:wordWrap/>
              <w:topLinePunct w:val="0"/>
              <w:spacing w:afterLines="0"/>
              <w:ind w:firstLine="600"/>
              <w:rPr>
                <w:rFonts w:ascii="仿宋_GB2312" w:eastAsia="仿宋_GB2312"/>
                <w:sz w:val="30"/>
                <w:szCs w:val="30"/>
              </w:rPr>
            </w:pPr>
          </w:p>
        </w:tc>
        <w:tc>
          <w:tcPr>
            <w:tcW w:w="869" w:type="dxa"/>
            <w:vAlign w:val="center"/>
          </w:tcPr>
          <w:p w14:paraId="1EA61F47">
            <w:pPr>
              <w:wordWrap/>
              <w:topLinePunct w:val="0"/>
              <w:spacing w:afterLines="0"/>
              <w:ind w:firstLine="600"/>
              <w:rPr>
                <w:rFonts w:ascii="仿宋_GB2312" w:eastAsia="仿宋_GB2312"/>
                <w:sz w:val="30"/>
                <w:szCs w:val="30"/>
              </w:rPr>
            </w:pPr>
          </w:p>
        </w:tc>
        <w:tc>
          <w:tcPr>
            <w:tcW w:w="1117" w:type="dxa"/>
            <w:vAlign w:val="center"/>
          </w:tcPr>
          <w:p w14:paraId="12F80BA7">
            <w:pPr>
              <w:wordWrap/>
              <w:topLinePunct w:val="0"/>
              <w:spacing w:afterLines="0"/>
              <w:ind w:firstLine="600"/>
              <w:rPr>
                <w:rFonts w:ascii="仿宋_GB2312" w:eastAsia="仿宋_GB2312"/>
                <w:sz w:val="30"/>
                <w:szCs w:val="30"/>
              </w:rPr>
            </w:pPr>
          </w:p>
        </w:tc>
        <w:tc>
          <w:tcPr>
            <w:tcW w:w="4178" w:type="dxa"/>
            <w:vAlign w:val="center"/>
          </w:tcPr>
          <w:p w14:paraId="3E7C31D6">
            <w:pPr>
              <w:wordWrap/>
              <w:topLinePunct w:val="0"/>
              <w:spacing w:afterLines="0"/>
              <w:ind w:firstLine="600"/>
              <w:rPr>
                <w:rFonts w:ascii="仿宋_GB2312" w:eastAsia="仿宋_GB2312"/>
                <w:sz w:val="30"/>
                <w:szCs w:val="30"/>
              </w:rPr>
            </w:pPr>
          </w:p>
        </w:tc>
      </w:tr>
      <w:tr w14:paraId="7D165F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60CEC59E">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采购负责人</w:t>
            </w:r>
          </w:p>
        </w:tc>
        <w:tc>
          <w:tcPr>
            <w:tcW w:w="1264" w:type="dxa"/>
            <w:vAlign w:val="center"/>
          </w:tcPr>
          <w:p w14:paraId="0230BD61">
            <w:pPr>
              <w:wordWrap/>
              <w:topLinePunct w:val="0"/>
              <w:spacing w:afterLines="0"/>
              <w:ind w:firstLine="600"/>
              <w:rPr>
                <w:rFonts w:ascii="仿宋_GB2312" w:eastAsia="仿宋_GB2312"/>
                <w:sz w:val="30"/>
                <w:szCs w:val="30"/>
              </w:rPr>
            </w:pPr>
          </w:p>
        </w:tc>
        <w:tc>
          <w:tcPr>
            <w:tcW w:w="869" w:type="dxa"/>
            <w:vAlign w:val="center"/>
          </w:tcPr>
          <w:p w14:paraId="15E46FD5">
            <w:pPr>
              <w:wordWrap/>
              <w:topLinePunct w:val="0"/>
              <w:spacing w:afterLines="0"/>
              <w:ind w:firstLine="600"/>
              <w:rPr>
                <w:rFonts w:ascii="仿宋_GB2312" w:eastAsia="仿宋_GB2312"/>
                <w:sz w:val="30"/>
                <w:szCs w:val="30"/>
              </w:rPr>
            </w:pPr>
          </w:p>
        </w:tc>
        <w:tc>
          <w:tcPr>
            <w:tcW w:w="1117" w:type="dxa"/>
            <w:vAlign w:val="center"/>
          </w:tcPr>
          <w:p w14:paraId="3F804AA9">
            <w:pPr>
              <w:wordWrap/>
              <w:topLinePunct w:val="0"/>
              <w:spacing w:afterLines="0"/>
              <w:ind w:firstLine="600"/>
              <w:rPr>
                <w:rFonts w:ascii="仿宋_GB2312" w:eastAsia="仿宋_GB2312"/>
                <w:sz w:val="30"/>
                <w:szCs w:val="30"/>
              </w:rPr>
            </w:pPr>
          </w:p>
        </w:tc>
        <w:tc>
          <w:tcPr>
            <w:tcW w:w="4178" w:type="dxa"/>
            <w:vAlign w:val="center"/>
          </w:tcPr>
          <w:p w14:paraId="7DF788B4">
            <w:pPr>
              <w:wordWrap/>
              <w:topLinePunct w:val="0"/>
              <w:spacing w:afterLines="0"/>
              <w:ind w:firstLine="600"/>
              <w:rPr>
                <w:rFonts w:ascii="仿宋_GB2312" w:eastAsia="仿宋_GB2312"/>
                <w:sz w:val="30"/>
                <w:szCs w:val="30"/>
              </w:rPr>
            </w:pPr>
          </w:p>
        </w:tc>
      </w:tr>
      <w:tr w14:paraId="44BCD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01C805CE">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施工负责人</w:t>
            </w:r>
          </w:p>
        </w:tc>
        <w:tc>
          <w:tcPr>
            <w:tcW w:w="1264" w:type="dxa"/>
            <w:vAlign w:val="center"/>
          </w:tcPr>
          <w:p w14:paraId="1FEC6FD3">
            <w:pPr>
              <w:wordWrap/>
              <w:topLinePunct w:val="0"/>
              <w:spacing w:afterLines="0"/>
              <w:ind w:firstLine="600"/>
              <w:rPr>
                <w:rFonts w:ascii="仿宋_GB2312" w:eastAsia="仿宋_GB2312"/>
                <w:sz w:val="30"/>
                <w:szCs w:val="30"/>
              </w:rPr>
            </w:pPr>
          </w:p>
        </w:tc>
        <w:tc>
          <w:tcPr>
            <w:tcW w:w="869" w:type="dxa"/>
            <w:vAlign w:val="center"/>
          </w:tcPr>
          <w:p w14:paraId="5A1393AA">
            <w:pPr>
              <w:wordWrap/>
              <w:topLinePunct w:val="0"/>
              <w:spacing w:afterLines="0"/>
              <w:ind w:firstLine="600"/>
              <w:rPr>
                <w:rFonts w:ascii="仿宋_GB2312" w:eastAsia="仿宋_GB2312"/>
                <w:sz w:val="30"/>
                <w:szCs w:val="30"/>
              </w:rPr>
            </w:pPr>
          </w:p>
        </w:tc>
        <w:tc>
          <w:tcPr>
            <w:tcW w:w="1117" w:type="dxa"/>
            <w:vAlign w:val="center"/>
          </w:tcPr>
          <w:p w14:paraId="2A2BAE9C">
            <w:pPr>
              <w:wordWrap/>
              <w:topLinePunct w:val="0"/>
              <w:spacing w:afterLines="0"/>
              <w:ind w:firstLine="600"/>
              <w:rPr>
                <w:rFonts w:ascii="仿宋_GB2312" w:eastAsia="仿宋_GB2312"/>
                <w:sz w:val="30"/>
                <w:szCs w:val="30"/>
              </w:rPr>
            </w:pPr>
          </w:p>
        </w:tc>
        <w:tc>
          <w:tcPr>
            <w:tcW w:w="4178" w:type="dxa"/>
            <w:vAlign w:val="center"/>
          </w:tcPr>
          <w:p w14:paraId="0FB638E2">
            <w:pPr>
              <w:wordWrap/>
              <w:topLinePunct w:val="0"/>
              <w:spacing w:afterLines="0"/>
              <w:ind w:firstLine="600"/>
              <w:rPr>
                <w:rFonts w:ascii="仿宋_GB2312" w:eastAsia="仿宋_GB2312"/>
                <w:sz w:val="30"/>
                <w:szCs w:val="30"/>
              </w:rPr>
            </w:pPr>
          </w:p>
        </w:tc>
      </w:tr>
      <w:tr w14:paraId="365F18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775022D5">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技术负责人</w:t>
            </w:r>
          </w:p>
        </w:tc>
        <w:tc>
          <w:tcPr>
            <w:tcW w:w="1264" w:type="dxa"/>
            <w:vAlign w:val="center"/>
          </w:tcPr>
          <w:p w14:paraId="231AB60D">
            <w:pPr>
              <w:wordWrap/>
              <w:topLinePunct w:val="0"/>
              <w:spacing w:afterLines="0"/>
              <w:ind w:firstLine="600"/>
              <w:rPr>
                <w:rFonts w:ascii="仿宋_GB2312" w:eastAsia="仿宋_GB2312"/>
                <w:sz w:val="30"/>
                <w:szCs w:val="30"/>
              </w:rPr>
            </w:pPr>
          </w:p>
        </w:tc>
        <w:tc>
          <w:tcPr>
            <w:tcW w:w="869" w:type="dxa"/>
            <w:vAlign w:val="center"/>
          </w:tcPr>
          <w:p w14:paraId="792B43D7">
            <w:pPr>
              <w:wordWrap/>
              <w:topLinePunct w:val="0"/>
              <w:spacing w:afterLines="0"/>
              <w:ind w:firstLine="600"/>
              <w:rPr>
                <w:rFonts w:ascii="仿宋_GB2312" w:eastAsia="仿宋_GB2312"/>
                <w:sz w:val="30"/>
                <w:szCs w:val="30"/>
              </w:rPr>
            </w:pPr>
          </w:p>
        </w:tc>
        <w:tc>
          <w:tcPr>
            <w:tcW w:w="1117" w:type="dxa"/>
            <w:vAlign w:val="center"/>
          </w:tcPr>
          <w:p w14:paraId="04E13854">
            <w:pPr>
              <w:wordWrap/>
              <w:topLinePunct w:val="0"/>
              <w:spacing w:afterLines="0"/>
              <w:ind w:firstLine="600"/>
              <w:rPr>
                <w:rFonts w:ascii="仿宋_GB2312" w:eastAsia="仿宋_GB2312"/>
                <w:sz w:val="30"/>
                <w:szCs w:val="30"/>
              </w:rPr>
            </w:pPr>
          </w:p>
        </w:tc>
        <w:tc>
          <w:tcPr>
            <w:tcW w:w="4178" w:type="dxa"/>
            <w:vAlign w:val="center"/>
          </w:tcPr>
          <w:p w14:paraId="017B2C04">
            <w:pPr>
              <w:wordWrap/>
              <w:topLinePunct w:val="0"/>
              <w:spacing w:afterLines="0"/>
              <w:ind w:firstLine="600"/>
              <w:rPr>
                <w:rFonts w:ascii="仿宋_GB2312" w:eastAsia="仿宋_GB2312"/>
                <w:sz w:val="30"/>
                <w:szCs w:val="30"/>
              </w:rPr>
            </w:pPr>
          </w:p>
        </w:tc>
      </w:tr>
      <w:tr w14:paraId="19607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1ACBFDAC">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造价管理</w:t>
            </w:r>
          </w:p>
        </w:tc>
        <w:tc>
          <w:tcPr>
            <w:tcW w:w="1264" w:type="dxa"/>
            <w:vAlign w:val="center"/>
          </w:tcPr>
          <w:p w14:paraId="0052C648">
            <w:pPr>
              <w:wordWrap/>
              <w:topLinePunct w:val="0"/>
              <w:spacing w:afterLines="0"/>
              <w:ind w:firstLine="600"/>
              <w:rPr>
                <w:rFonts w:ascii="仿宋_GB2312" w:eastAsia="仿宋_GB2312"/>
                <w:sz w:val="30"/>
                <w:szCs w:val="30"/>
              </w:rPr>
            </w:pPr>
          </w:p>
        </w:tc>
        <w:tc>
          <w:tcPr>
            <w:tcW w:w="869" w:type="dxa"/>
            <w:vAlign w:val="center"/>
          </w:tcPr>
          <w:p w14:paraId="744EA3B4">
            <w:pPr>
              <w:wordWrap/>
              <w:topLinePunct w:val="0"/>
              <w:spacing w:afterLines="0"/>
              <w:ind w:firstLine="600"/>
              <w:rPr>
                <w:rFonts w:ascii="仿宋_GB2312" w:eastAsia="仿宋_GB2312"/>
                <w:sz w:val="30"/>
                <w:szCs w:val="30"/>
              </w:rPr>
            </w:pPr>
          </w:p>
        </w:tc>
        <w:tc>
          <w:tcPr>
            <w:tcW w:w="1117" w:type="dxa"/>
            <w:vAlign w:val="center"/>
          </w:tcPr>
          <w:p w14:paraId="214A6EFD">
            <w:pPr>
              <w:wordWrap/>
              <w:topLinePunct w:val="0"/>
              <w:spacing w:afterLines="0"/>
              <w:ind w:firstLine="600"/>
              <w:rPr>
                <w:rFonts w:ascii="仿宋_GB2312" w:eastAsia="仿宋_GB2312"/>
                <w:sz w:val="30"/>
                <w:szCs w:val="30"/>
              </w:rPr>
            </w:pPr>
          </w:p>
        </w:tc>
        <w:tc>
          <w:tcPr>
            <w:tcW w:w="4178" w:type="dxa"/>
            <w:vAlign w:val="center"/>
          </w:tcPr>
          <w:p w14:paraId="5CAD0EA1">
            <w:pPr>
              <w:wordWrap/>
              <w:topLinePunct w:val="0"/>
              <w:spacing w:afterLines="0"/>
              <w:ind w:firstLine="600"/>
              <w:rPr>
                <w:rFonts w:ascii="仿宋_GB2312" w:eastAsia="仿宋_GB2312"/>
                <w:sz w:val="30"/>
                <w:szCs w:val="30"/>
              </w:rPr>
            </w:pPr>
          </w:p>
        </w:tc>
      </w:tr>
      <w:tr w14:paraId="488DD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2DBB2EB7">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质量管理</w:t>
            </w:r>
          </w:p>
        </w:tc>
        <w:tc>
          <w:tcPr>
            <w:tcW w:w="1264" w:type="dxa"/>
            <w:vAlign w:val="center"/>
          </w:tcPr>
          <w:p w14:paraId="35C5F7E3">
            <w:pPr>
              <w:wordWrap/>
              <w:topLinePunct w:val="0"/>
              <w:spacing w:afterLines="0"/>
              <w:ind w:firstLine="600"/>
              <w:rPr>
                <w:rFonts w:ascii="仿宋_GB2312" w:eastAsia="仿宋_GB2312"/>
                <w:sz w:val="30"/>
                <w:szCs w:val="30"/>
              </w:rPr>
            </w:pPr>
          </w:p>
        </w:tc>
        <w:tc>
          <w:tcPr>
            <w:tcW w:w="869" w:type="dxa"/>
            <w:vAlign w:val="center"/>
          </w:tcPr>
          <w:p w14:paraId="1251F676">
            <w:pPr>
              <w:wordWrap/>
              <w:topLinePunct w:val="0"/>
              <w:spacing w:afterLines="0"/>
              <w:ind w:firstLine="600"/>
              <w:rPr>
                <w:rFonts w:ascii="仿宋_GB2312" w:eastAsia="仿宋_GB2312"/>
                <w:sz w:val="30"/>
                <w:szCs w:val="30"/>
              </w:rPr>
            </w:pPr>
          </w:p>
        </w:tc>
        <w:tc>
          <w:tcPr>
            <w:tcW w:w="1117" w:type="dxa"/>
            <w:vAlign w:val="center"/>
          </w:tcPr>
          <w:p w14:paraId="2577C846">
            <w:pPr>
              <w:wordWrap/>
              <w:topLinePunct w:val="0"/>
              <w:spacing w:afterLines="0"/>
              <w:ind w:firstLine="600"/>
              <w:rPr>
                <w:rFonts w:ascii="仿宋_GB2312" w:eastAsia="仿宋_GB2312"/>
                <w:sz w:val="30"/>
                <w:szCs w:val="30"/>
              </w:rPr>
            </w:pPr>
          </w:p>
        </w:tc>
        <w:tc>
          <w:tcPr>
            <w:tcW w:w="4178" w:type="dxa"/>
            <w:vAlign w:val="center"/>
          </w:tcPr>
          <w:p w14:paraId="49CB8849">
            <w:pPr>
              <w:wordWrap/>
              <w:topLinePunct w:val="0"/>
              <w:spacing w:afterLines="0"/>
              <w:ind w:firstLine="600"/>
              <w:rPr>
                <w:rFonts w:ascii="仿宋_GB2312" w:eastAsia="仿宋_GB2312"/>
                <w:sz w:val="30"/>
                <w:szCs w:val="30"/>
              </w:rPr>
            </w:pPr>
          </w:p>
        </w:tc>
      </w:tr>
      <w:tr w14:paraId="492BA9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10F516A7">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计划管理</w:t>
            </w:r>
          </w:p>
        </w:tc>
        <w:tc>
          <w:tcPr>
            <w:tcW w:w="1264" w:type="dxa"/>
            <w:vAlign w:val="center"/>
          </w:tcPr>
          <w:p w14:paraId="214FFCF9">
            <w:pPr>
              <w:wordWrap/>
              <w:topLinePunct w:val="0"/>
              <w:spacing w:afterLines="0"/>
              <w:ind w:firstLine="600"/>
              <w:rPr>
                <w:rFonts w:ascii="仿宋_GB2312" w:eastAsia="仿宋_GB2312"/>
                <w:sz w:val="30"/>
                <w:szCs w:val="30"/>
              </w:rPr>
            </w:pPr>
          </w:p>
        </w:tc>
        <w:tc>
          <w:tcPr>
            <w:tcW w:w="869" w:type="dxa"/>
            <w:vAlign w:val="center"/>
          </w:tcPr>
          <w:p w14:paraId="34B1A830">
            <w:pPr>
              <w:wordWrap/>
              <w:topLinePunct w:val="0"/>
              <w:spacing w:afterLines="0"/>
              <w:ind w:firstLine="600"/>
              <w:rPr>
                <w:rFonts w:ascii="仿宋_GB2312" w:eastAsia="仿宋_GB2312"/>
                <w:sz w:val="30"/>
                <w:szCs w:val="30"/>
              </w:rPr>
            </w:pPr>
          </w:p>
        </w:tc>
        <w:tc>
          <w:tcPr>
            <w:tcW w:w="1117" w:type="dxa"/>
            <w:vAlign w:val="center"/>
          </w:tcPr>
          <w:p w14:paraId="4E916C41">
            <w:pPr>
              <w:wordWrap/>
              <w:topLinePunct w:val="0"/>
              <w:spacing w:afterLines="0"/>
              <w:ind w:firstLine="600"/>
              <w:rPr>
                <w:rFonts w:ascii="仿宋_GB2312" w:eastAsia="仿宋_GB2312"/>
                <w:sz w:val="30"/>
                <w:szCs w:val="30"/>
              </w:rPr>
            </w:pPr>
          </w:p>
        </w:tc>
        <w:tc>
          <w:tcPr>
            <w:tcW w:w="4178" w:type="dxa"/>
            <w:vAlign w:val="center"/>
          </w:tcPr>
          <w:p w14:paraId="27529E16">
            <w:pPr>
              <w:wordWrap/>
              <w:topLinePunct w:val="0"/>
              <w:spacing w:afterLines="0"/>
              <w:ind w:firstLine="600"/>
              <w:rPr>
                <w:rFonts w:ascii="仿宋_GB2312" w:eastAsia="仿宋_GB2312"/>
                <w:sz w:val="30"/>
                <w:szCs w:val="30"/>
              </w:rPr>
            </w:pPr>
          </w:p>
        </w:tc>
      </w:tr>
      <w:tr w14:paraId="58EB63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35CCEE2B">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安全管理</w:t>
            </w:r>
          </w:p>
        </w:tc>
        <w:tc>
          <w:tcPr>
            <w:tcW w:w="1264" w:type="dxa"/>
            <w:vAlign w:val="center"/>
          </w:tcPr>
          <w:p w14:paraId="1A507700">
            <w:pPr>
              <w:wordWrap/>
              <w:topLinePunct w:val="0"/>
              <w:spacing w:afterLines="0"/>
              <w:ind w:firstLine="600"/>
              <w:rPr>
                <w:rFonts w:ascii="仿宋_GB2312" w:eastAsia="仿宋_GB2312"/>
                <w:sz w:val="30"/>
                <w:szCs w:val="30"/>
              </w:rPr>
            </w:pPr>
          </w:p>
        </w:tc>
        <w:tc>
          <w:tcPr>
            <w:tcW w:w="869" w:type="dxa"/>
            <w:vAlign w:val="center"/>
          </w:tcPr>
          <w:p w14:paraId="109643C0">
            <w:pPr>
              <w:wordWrap/>
              <w:topLinePunct w:val="0"/>
              <w:spacing w:afterLines="0"/>
              <w:ind w:firstLine="600"/>
              <w:rPr>
                <w:rFonts w:ascii="仿宋_GB2312" w:eastAsia="仿宋_GB2312"/>
                <w:sz w:val="30"/>
                <w:szCs w:val="30"/>
              </w:rPr>
            </w:pPr>
          </w:p>
        </w:tc>
        <w:tc>
          <w:tcPr>
            <w:tcW w:w="1117" w:type="dxa"/>
            <w:vAlign w:val="center"/>
          </w:tcPr>
          <w:p w14:paraId="7F29A9EF">
            <w:pPr>
              <w:wordWrap/>
              <w:topLinePunct w:val="0"/>
              <w:spacing w:afterLines="0"/>
              <w:ind w:firstLine="600"/>
              <w:rPr>
                <w:rFonts w:ascii="仿宋_GB2312" w:eastAsia="仿宋_GB2312"/>
                <w:sz w:val="30"/>
                <w:szCs w:val="30"/>
              </w:rPr>
            </w:pPr>
          </w:p>
        </w:tc>
        <w:tc>
          <w:tcPr>
            <w:tcW w:w="4178" w:type="dxa"/>
            <w:vAlign w:val="center"/>
          </w:tcPr>
          <w:p w14:paraId="21F831BE">
            <w:pPr>
              <w:wordWrap/>
              <w:topLinePunct w:val="0"/>
              <w:spacing w:afterLines="0"/>
              <w:ind w:firstLine="600"/>
              <w:rPr>
                <w:rFonts w:ascii="仿宋_GB2312" w:eastAsia="仿宋_GB2312"/>
                <w:sz w:val="30"/>
                <w:szCs w:val="30"/>
              </w:rPr>
            </w:pPr>
          </w:p>
        </w:tc>
      </w:tr>
      <w:tr w14:paraId="376A5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tcBorders>
              <w:top w:val="single" w:color="auto" w:sz="6" w:space="0"/>
              <w:bottom w:val="single" w:color="auto" w:sz="6" w:space="0"/>
            </w:tcBorders>
            <w:vAlign w:val="center"/>
          </w:tcPr>
          <w:p w14:paraId="4444CC9B">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环境管理</w:t>
            </w:r>
          </w:p>
        </w:tc>
        <w:tc>
          <w:tcPr>
            <w:tcW w:w="1264" w:type="dxa"/>
            <w:vAlign w:val="center"/>
          </w:tcPr>
          <w:p w14:paraId="794E1EEF">
            <w:pPr>
              <w:wordWrap/>
              <w:topLinePunct w:val="0"/>
              <w:spacing w:afterLines="0"/>
              <w:ind w:firstLine="600"/>
              <w:rPr>
                <w:rFonts w:ascii="仿宋_GB2312" w:eastAsia="仿宋_GB2312"/>
                <w:sz w:val="30"/>
                <w:szCs w:val="30"/>
              </w:rPr>
            </w:pPr>
          </w:p>
        </w:tc>
        <w:tc>
          <w:tcPr>
            <w:tcW w:w="869" w:type="dxa"/>
            <w:vAlign w:val="center"/>
          </w:tcPr>
          <w:p w14:paraId="353F773E">
            <w:pPr>
              <w:wordWrap/>
              <w:topLinePunct w:val="0"/>
              <w:spacing w:afterLines="0"/>
              <w:ind w:firstLine="600"/>
              <w:rPr>
                <w:rFonts w:ascii="仿宋_GB2312" w:eastAsia="仿宋_GB2312"/>
                <w:sz w:val="30"/>
                <w:szCs w:val="30"/>
              </w:rPr>
            </w:pPr>
          </w:p>
        </w:tc>
        <w:tc>
          <w:tcPr>
            <w:tcW w:w="1117" w:type="dxa"/>
            <w:vAlign w:val="center"/>
          </w:tcPr>
          <w:p w14:paraId="4CAED219">
            <w:pPr>
              <w:wordWrap/>
              <w:topLinePunct w:val="0"/>
              <w:spacing w:afterLines="0"/>
              <w:ind w:firstLine="600"/>
              <w:rPr>
                <w:rFonts w:ascii="仿宋_GB2312" w:eastAsia="仿宋_GB2312"/>
                <w:sz w:val="30"/>
                <w:szCs w:val="30"/>
              </w:rPr>
            </w:pPr>
          </w:p>
        </w:tc>
        <w:tc>
          <w:tcPr>
            <w:tcW w:w="4178" w:type="dxa"/>
            <w:vAlign w:val="center"/>
          </w:tcPr>
          <w:p w14:paraId="7CC0FD47">
            <w:pPr>
              <w:wordWrap/>
              <w:topLinePunct w:val="0"/>
              <w:spacing w:afterLines="0"/>
              <w:ind w:firstLine="600"/>
              <w:rPr>
                <w:rFonts w:ascii="仿宋_GB2312" w:eastAsia="仿宋_GB2312"/>
                <w:sz w:val="30"/>
                <w:szCs w:val="30"/>
              </w:rPr>
            </w:pPr>
          </w:p>
        </w:tc>
      </w:tr>
      <w:tr w14:paraId="015F25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Merge w:val="restart"/>
            <w:tcBorders>
              <w:top w:val="single" w:color="auto" w:sz="6" w:space="0"/>
            </w:tcBorders>
            <w:vAlign w:val="center"/>
          </w:tcPr>
          <w:p w14:paraId="1F8C3F25">
            <w:pPr>
              <w:wordWrap/>
              <w:topLinePunct w:val="0"/>
              <w:spacing w:afterLines="0"/>
              <w:ind w:firstLine="0" w:firstLineChars="0"/>
              <w:jc w:val="center"/>
              <w:rPr>
                <w:rFonts w:ascii="仿宋_GB2312" w:eastAsia="仿宋_GB2312"/>
                <w:sz w:val="30"/>
                <w:szCs w:val="30"/>
              </w:rPr>
            </w:pPr>
            <w:r>
              <w:rPr>
                <w:rFonts w:hint="eastAsia" w:ascii="仿宋_GB2312" w:eastAsia="仿宋_GB2312"/>
                <w:sz w:val="30"/>
                <w:szCs w:val="30"/>
              </w:rPr>
              <w:t>其他人员</w:t>
            </w:r>
          </w:p>
        </w:tc>
        <w:tc>
          <w:tcPr>
            <w:tcW w:w="1264" w:type="dxa"/>
            <w:vAlign w:val="center"/>
          </w:tcPr>
          <w:p w14:paraId="2895ABA7">
            <w:pPr>
              <w:wordWrap/>
              <w:topLinePunct w:val="0"/>
              <w:spacing w:afterLines="0"/>
              <w:ind w:firstLine="600"/>
              <w:rPr>
                <w:rFonts w:ascii="仿宋_GB2312" w:eastAsia="仿宋_GB2312"/>
                <w:sz w:val="30"/>
                <w:szCs w:val="30"/>
              </w:rPr>
            </w:pPr>
          </w:p>
        </w:tc>
        <w:tc>
          <w:tcPr>
            <w:tcW w:w="869" w:type="dxa"/>
            <w:vAlign w:val="center"/>
          </w:tcPr>
          <w:p w14:paraId="3153E22F">
            <w:pPr>
              <w:wordWrap/>
              <w:topLinePunct w:val="0"/>
              <w:spacing w:afterLines="0"/>
              <w:ind w:firstLine="600"/>
              <w:rPr>
                <w:rFonts w:ascii="仿宋_GB2312" w:eastAsia="仿宋_GB2312"/>
                <w:sz w:val="30"/>
                <w:szCs w:val="30"/>
              </w:rPr>
            </w:pPr>
          </w:p>
        </w:tc>
        <w:tc>
          <w:tcPr>
            <w:tcW w:w="1117" w:type="dxa"/>
            <w:vAlign w:val="center"/>
          </w:tcPr>
          <w:p w14:paraId="006179C5">
            <w:pPr>
              <w:wordWrap/>
              <w:topLinePunct w:val="0"/>
              <w:spacing w:afterLines="0"/>
              <w:ind w:firstLine="600"/>
              <w:rPr>
                <w:rFonts w:ascii="仿宋_GB2312" w:eastAsia="仿宋_GB2312"/>
                <w:sz w:val="30"/>
                <w:szCs w:val="30"/>
              </w:rPr>
            </w:pPr>
          </w:p>
        </w:tc>
        <w:tc>
          <w:tcPr>
            <w:tcW w:w="4178" w:type="dxa"/>
            <w:vAlign w:val="center"/>
          </w:tcPr>
          <w:p w14:paraId="29C7F343">
            <w:pPr>
              <w:wordWrap/>
              <w:topLinePunct w:val="0"/>
              <w:spacing w:afterLines="0"/>
              <w:ind w:firstLine="600"/>
              <w:rPr>
                <w:rFonts w:ascii="仿宋_GB2312" w:eastAsia="仿宋_GB2312"/>
                <w:sz w:val="30"/>
                <w:szCs w:val="30"/>
              </w:rPr>
            </w:pPr>
          </w:p>
        </w:tc>
      </w:tr>
      <w:tr w14:paraId="34A5C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659" w:type="dxa"/>
            <w:vMerge w:val="continue"/>
            <w:vAlign w:val="center"/>
          </w:tcPr>
          <w:p w14:paraId="725C34D8">
            <w:pPr>
              <w:wordWrap/>
              <w:topLinePunct w:val="0"/>
              <w:spacing w:afterLines="0"/>
              <w:ind w:firstLine="600"/>
              <w:rPr>
                <w:rFonts w:ascii="仿宋_GB2312" w:eastAsia="仿宋_GB2312"/>
                <w:sz w:val="30"/>
                <w:szCs w:val="30"/>
              </w:rPr>
            </w:pPr>
          </w:p>
        </w:tc>
        <w:tc>
          <w:tcPr>
            <w:tcW w:w="1264" w:type="dxa"/>
            <w:tcBorders>
              <w:bottom w:val="single" w:color="auto" w:sz="6" w:space="0"/>
            </w:tcBorders>
            <w:vAlign w:val="center"/>
          </w:tcPr>
          <w:p w14:paraId="6B7AF55F">
            <w:pPr>
              <w:wordWrap/>
              <w:topLinePunct w:val="0"/>
              <w:spacing w:afterLines="0"/>
              <w:ind w:firstLine="600"/>
              <w:rPr>
                <w:rFonts w:ascii="仿宋_GB2312" w:eastAsia="仿宋_GB2312"/>
                <w:sz w:val="30"/>
                <w:szCs w:val="30"/>
              </w:rPr>
            </w:pPr>
          </w:p>
        </w:tc>
        <w:tc>
          <w:tcPr>
            <w:tcW w:w="869" w:type="dxa"/>
            <w:tcBorders>
              <w:bottom w:val="single" w:color="auto" w:sz="6" w:space="0"/>
            </w:tcBorders>
            <w:vAlign w:val="center"/>
          </w:tcPr>
          <w:p w14:paraId="14D5927E">
            <w:pPr>
              <w:wordWrap/>
              <w:topLinePunct w:val="0"/>
              <w:spacing w:afterLines="0"/>
              <w:ind w:firstLine="600"/>
              <w:rPr>
                <w:rFonts w:ascii="仿宋_GB2312" w:eastAsia="仿宋_GB2312"/>
                <w:sz w:val="30"/>
                <w:szCs w:val="30"/>
              </w:rPr>
            </w:pPr>
          </w:p>
        </w:tc>
        <w:tc>
          <w:tcPr>
            <w:tcW w:w="1117" w:type="dxa"/>
            <w:tcBorders>
              <w:bottom w:val="single" w:color="auto" w:sz="6" w:space="0"/>
            </w:tcBorders>
            <w:vAlign w:val="center"/>
          </w:tcPr>
          <w:p w14:paraId="6BD9A200">
            <w:pPr>
              <w:wordWrap/>
              <w:topLinePunct w:val="0"/>
              <w:spacing w:afterLines="0"/>
              <w:ind w:firstLine="600"/>
              <w:rPr>
                <w:rFonts w:ascii="仿宋_GB2312" w:eastAsia="仿宋_GB2312"/>
                <w:sz w:val="30"/>
                <w:szCs w:val="30"/>
              </w:rPr>
            </w:pPr>
          </w:p>
        </w:tc>
        <w:tc>
          <w:tcPr>
            <w:tcW w:w="4178" w:type="dxa"/>
            <w:tcBorders>
              <w:bottom w:val="single" w:color="auto" w:sz="6" w:space="0"/>
            </w:tcBorders>
            <w:vAlign w:val="center"/>
          </w:tcPr>
          <w:p w14:paraId="31436C51">
            <w:pPr>
              <w:wordWrap/>
              <w:topLinePunct w:val="0"/>
              <w:spacing w:afterLines="0"/>
              <w:ind w:firstLine="600"/>
              <w:rPr>
                <w:rFonts w:ascii="仿宋_GB2312" w:eastAsia="仿宋_GB2312"/>
                <w:sz w:val="30"/>
                <w:szCs w:val="30"/>
              </w:rPr>
            </w:pPr>
          </w:p>
        </w:tc>
      </w:tr>
    </w:tbl>
    <w:p w14:paraId="479FB732">
      <w:pPr>
        <w:wordWrap/>
        <w:topLinePunct w:val="0"/>
        <w:spacing w:after="120"/>
      </w:pPr>
      <w:r>
        <w:br w:type="page"/>
      </w:r>
    </w:p>
    <w:p w14:paraId="1F605CF9">
      <w:pPr>
        <w:pStyle w:val="106"/>
        <w:numPr>
          <w:ilvl w:val="0"/>
          <w:numId w:val="0"/>
        </w:numPr>
        <w:spacing w:after="120"/>
        <w:jc w:val="center"/>
        <w:outlineLvl w:val="1"/>
        <w:rPr>
          <w:rFonts w:ascii="仿宋" w:hAnsi="仿宋" w:eastAsia="仿宋" w:cs="仿宋"/>
          <w:b/>
          <w:bCs/>
          <w:sz w:val="32"/>
          <w:szCs w:val="32"/>
        </w:rPr>
      </w:pPr>
      <w:bookmarkStart w:id="945" w:name="_Toc28748"/>
      <w:bookmarkStart w:id="946" w:name="_Toc23559"/>
      <w:bookmarkStart w:id="947" w:name="_Toc103"/>
      <w:bookmarkStart w:id="948" w:name="_Toc54862357"/>
      <w:r>
        <w:rPr>
          <w:rFonts w:hint="eastAsia" w:ascii="仿宋" w:hAnsi="仿宋" w:eastAsia="仿宋" w:cs="仿宋"/>
          <w:b/>
          <w:bCs/>
          <w:sz w:val="32"/>
          <w:szCs w:val="32"/>
        </w:rPr>
        <w:t>附件6价格指数权重表</w:t>
      </w:r>
      <w:bookmarkEnd w:id="945"/>
      <w:bookmarkEnd w:id="946"/>
      <w:bookmarkEnd w:id="947"/>
      <w:bookmarkEnd w:id="948"/>
    </w:p>
    <w:tbl>
      <w:tblPr>
        <w:tblStyle w:val="55"/>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584"/>
        <w:gridCol w:w="876"/>
        <w:gridCol w:w="1215"/>
        <w:gridCol w:w="1080"/>
        <w:gridCol w:w="1215"/>
        <w:gridCol w:w="1230"/>
        <w:gridCol w:w="1380"/>
      </w:tblGrid>
      <w:tr w14:paraId="102CB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829" w:type="dxa"/>
            <w:vMerge w:val="restart"/>
            <w:shd w:val="clear" w:color="auto" w:fill="auto"/>
            <w:vAlign w:val="center"/>
          </w:tcPr>
          <w:p w14:paraId="255E3BAA">
            <w:pPr>
              <w:wordWrap/>
              <w:topLinePunct w:val="0"/>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序号</w:t>
            </w:r>
          </w:p>
        </w:tc>
        <w:tc>
          <w:tcPr>
            <w:tcW w:w="1460" w:type="dxa"/>
            <w:gridSpan w:val="2"/>
            <w:vMerge w:val="restart"/>
            <w:shd w:val="clear" w:color="auto" w:fill="auto"/>
            <w:vAlign w:val="center"/>
          </w:tcPr>
          <w:p w14:paraId="2A19F016">
            <w:pPr>
              <w:wordWrap/>
              <w:topLinePunct w:val="0"/>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名称</w:t>
            </w:r>
          </w:p>
        </w:tc>
        <w:tc>
          <w:tcPr>
            <w:tcW w:w="2295" w:type="dxa"/>
            <w:gridSpan w:val="2"/>
            <w:shd w:val="clear" w:color="auto" w:fill="auto"/>
          </w:tcPr>
          <w:p w14:paraId="229EDCFA">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变更权重B</w:t>
            </w:r>
          </w:p>
        </w:tc>
        <w:tc>
          <w:tcPr>
            <w:tcW w:w="2445" w:type="dxa"/>
            <w:gridSpan w:val="2"/>
            <w:shd w:val="clear" w:color="auto" w:fill="auto"/>
          </w:tcPr>
          <w:p w14:paraId="273EFDD0">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基本价格指数F0</w:t>
            </w:r>
          </w:p>
        </w:tc>
        <w:tc>
          <w:tcPr>
            <w:tcW w:w="1380" w:type="dxa"/>
            <w:shd w:val="clear" w:color="auto" w:fill="auto"/>
          </w:tcPr>
          <w:p w14:paraId="193B7BBC">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备注</w:t>
            </w:r>
          </w:p>
        </w:tc>
      </w:tr>
      <w:tr w14:paraId="3FB9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829" w:type="dxa"/>
            <w:vMerge w:val="continue"/>
            <w:shd w:val="clear" w:color="auto" w:fill="auto"/>
          </w:tcPr>
          <w:p w14:paraId="0725BDB2">
            <w:pPr>
              <w:wordWrap/>
              <w:topLinePunct w:val="0"/>
              <w:spacing w:after="120"/>
              <w:ind w:firstLine="0" w:firstLineChars="0"/>
              <w:rPr>
                <w:rFonts w:ascii="仿宋" w:hAnsi="仿宋" w:eastAsia="仿宋" w:cs="仿宋"/>
                <w:sz w:val="30"/>
                <w:szCs w:val="30"/>
              </w:rPr>
            </w:pPr>
          </w:p>
        </w:tc>
        <w:tc>
          <w:tcPr>
            <w:tcW w:w="1460" w:type="dxa"/>
            <w:gridSpan w:val="2"/>
            <w:vMerge w:val="continue"/>
            <w:shd w:val="clear" w:color="auto" w:fill="auto"/>
          </w:tcPr>
          <w:p w14:paraId="3BE536A0">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57F9E480">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代号</w:t>
            </w:r>
          </w:p>
        </w:tc>
        <w:tc>
          <w:tcPr>
            <w:tcW w:w="1080" w:type="dxa"/>
            <w:shd w:val="clear" w:color="auto" w:fill="auto"/>
          </w:tcPr>
          <w:p w14:paraId="149BFC1F">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权重</w:t>
            </w:r>
          </w:p>
        </w:tc>
        <w:tc>
          <w:tcPr>
            <w:tcW w:w="1215" w:type="dxa"/>
            <w:shd w:val="clear" w:color="auto" w:fill="auto"/>
          </w:tcPr>
          <w:p w14:paraId="387C4D00">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代号</w:t>
            </w:r>
          </w:p>
        </w:tc>
        <w:tc>
          <w:tcPr>
            <w:tcW w:w="1230" w:type="dxa"/>
            <w:shd w:val="clear" w:color="auto" w:fill="auto"/>
          </w:tcPr>
          <w:p w14:paraId="3C7ABE7A">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指数</w:t>
            </w:r>
          </w:p>
        </w:tc>
        <w:tc>
          <w:tcPr>
            <w:tcW w:w="1380" w:type="dxa"/>
            <w:shd w:val="clear" w:color="auto" w:fill="auto"/>
          </w:tcPr>
          <w:p w14:paraId="13C01D1D">
            <w:pPr>
              <w:wordWrap/>
              <w:topLinePunct w:val="0"/>
              <w:spacing w:after="120"/>
              <w:ind w:firstLine="0" w:firstLineChars="0"/>
              <w:rPr>
                <w:rFonts w:ascii="仿宋" w:hAnsi="仿宋" w:eastAsia="仿宋" w:cs="仿宋"/>
                <w:sz w:val="30"/>
                <w:szCs w:val="30"/>
              </w:rPr>
            </w:pPr>
          </w:p>
        </w:tc>
      </w:tr>
      <w:tr w14:paraId="4C64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14:paraId="1CB22A57">
            <w:pPr>
              <w:wordWrap/>
              <w:topLinePunct w:val="0"/>
              <w:spacing w:after="120"/>
              <w:ind w:firstLine="0" w:firstLineChars="0"/>
              <w:rPr>
                <w:rFonts w:ascii="仿宋" w:hAnsi="仿宋" w:eastAsia="仿宋" w:cs="仿宋"/>
                <w:sz w:val="30"/>
                <w:szCs w:val="30"/>
              </w:rPr>
            </w:pPr>
          </w:p>
        </w:tc>
        <w:tc>
          <w:tcPr>
            <w:tcW w:w="584" w:type="dxa"/>
            <w:vMerge w:val="restart"/>
            <w:shd w:val="clear" w:color="auto" w:fill="auto"/>
          </w:tcPr>
          <w:p w14:paraId="51921DD2">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变</w:t>
            </w:r>
          </w:p>
          <w:p w14:paraId="7B4D7CF0">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值</w:t>
            </w:r>
          </w:p>
          <w:p w14:paraId="752C2705">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部</w:t>
            </w:r>
          </w:p>
          <w:p w14:paraId="705B2E32">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分</w:t>
            </w:r>
          </w:p>
        </w:tc>
        <w:tc>
          <w:tcPr>
            <w:tcW w:w="876" w:type="dxa"/>
            <w:shd w:val="clear" w:color="auto" w:fill="auto"/>
          </w:tcPr>
          <w:p w14:paraId="0AF89487">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3B076654">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B1</w:t>
            </w:r>
          </w:p>
        </w:tc>
        <w:tc>
          <w:tcPr>
            <w:tcW w:w="1080" w:type="dxa"/>
            <w:shd w:val="clear" w:color="auto" w:fill="auto"/>
          </w:tcPr>
          <w:p w14:paraId="57CB72AC">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547BD5C6">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F01</w:t>
            </w:r>
          </w:p>
        </w:tc>
        <w:tc>
          <w:tcPr>
            <w:tcW w:w="1230" w:type="dxa"/>
            <w:shd w:val="clear" w:color="auto" w:fill="auto"/>
          </w:tcPr>
          <w:p w14:paraId="73B7E344">
            <w:pPr>
              <w:wordWrap/>
              <w:topLinePunct w:val="0"/>
              <w:spacing w:after="120"/>
              <w:ind w:firstLine="0" w:firstLineChars="0"/>
              <w:rPr>
                <w:rFonts w:ascii="仿宋" w:hAnsi="仿宋" w:eastAsia="仿宋" w:cs="仿宋"/>
                <w:sz w:val="30"/>
                <w:szCs w:val="30"/>
              </w:rPr>
            </w:pPr>
          </w:p>
        </w:tc>
        <w:tc>
          <w:tcPr>
            <w:tcW w:w="1380" w:type="dxa"/>
            <w:shd w:val="clear" w:color="auto" w:fill="auto"/>
          </w:tcPr>
          <w:p w14:paraId="0802D362">
            <w:pPr>
              <w:wordWrap/>
              <w:topLinePunct w:val="0"/>
              <w:spacing w:after="120"/>
              <w:ind w:firstLine="0" w:firstLineChars="0"/>
              <w:rPr>
                <w:rFonts w:ascii="仿宋" w:hAnsi="仿宋" w:eastAsia="仿宋" w:cs="仿宋"/>
                <w:sz w:val="30"/>
                <w:szCs w:val="30"/>
              </w:rPr>
            </w:pPr>
          </w:p>
        </w:tc>
      </w:tr>
      <w:tr w14:paraId="23E4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14:paraId="14ADC27E">
            <w:pPr>
              <w:wordWrap/>
              <w:topLinePunct w:val="0"/>
              <w:spacing w:after="120"/>
              <w:ind w:firstLine="0" w:firstLineChars="0"/>
              <w:rPr>
                <w:rFonts w:ascii="仿宋" w:hAnsi="仿宋" w:eastAsia="仿宋" w:cs="仿宋"/>
                <w:sz w:val="30"/>
                <w:szCs w:val="30"/>
              </w:rPr>
            </w:pPr>
          </w:p>
        </w:tc>
        <w:tc>
          <w:tcPr>
            <w:tcW w:w="584" w:type="dxa"/>
            <w:vMerge w:val="continue"/>
            <w:shd w:val="clear" w:color="auto" w:fill="auto"/>
          </w:tcPr>
          <w:p w14:paraId="20A5C36B">
            <w:pPr>
              <w:wordWrap/>
              <w:topLinePunct w:val="0"/>
              <w:spacing w:after="120"/>
              <w:ind w:firstLine="0" w:firstLineChars="0"/>
              <w:rPr>
                <w:rFonts w:ascii="仿宋" w:hAnsi="仿宋" w:eastAsia="仿宋" w:cs="仿宋"/>
                <w:sz w:val="30"/>
                <w:szCs w:val="30"/>
              </w:rPr>
            </w:pPr>
          </w:p>
        </w:tc>
        <w:tc>
          <w:tcPr>
            <w:tcW w:w="876" w:type="dxa"/>
            <w:shd w:val="clear" w:color="auto" w:fill="auto"/>
          </w:tcPr>
          <w:p w14:paraId="57940358">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21E01B81">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B2</w:t>
            </w:r>
          </w:p>
        </w:tc>
        <w:tc>
          <w:tcPr>
            <w:tcW w:w="1080" w:type="dxa"/>
            <w:shd w:val="clear" w:color="auto" w:fill="auto"/>
          </w:tcPr>
          <w:p w14:paraId="42405ACA">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0A8C5517">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F02</w:t>
            </w:r>
          </w:p>
        </w:tc>
        <w:tc>
          <w:tcPr>
            <w:tcW w:w="1230" w:type="dxa"/>
            <w:shd w:val="clear" w:color="auto" w:fill="auto"/>
          </w:tcPr>
          <w:p w14:paraId="2DC38311">
            <w:pPr>
              <w:wordWrap/>
              <w:topLinePunct w:val="0"/>
              <w:spacing w:after="120"/>
              <w:ind w:firstLine="0" w:firstLineChars="0"/>
              <w:rPr>
                <w:rFonts w:ascii="仿宋" w:hAnsi="仿宋" w:eastAsia="仿宋" w:cs="仿宋"/>
                <w:sz w:val="30"/>
                <w:szCs w:val="30"/>
              </w:rPr>
            </w:pPr>
          </w:p>
        </w:tc>
        <w:tc>
          <w:tcPr>
            <w:tcW w:w="1380" w:type="dxa"/>
            <w:shd w:val="clear" w:color="auto" w:fill="auto"/>
          </w:tcPr>
          <w:p w14:paraId="21F00C66">
            <w:pPr>
              <w:wordWrap/>
              <w:topLinePunct w:val="0"/>
              <w:spacing w:after="120"/>
              <w:ind w:firstLine="0" w:firstLineChars="0"/>
              <w:rPr>
                <w:rFonts w:ascii="仿宋" w:hAnsi="仿宋" w:eastAsia="仿宋" w:cs="仿宋"/>
                <w:sz w:val="30"/>
                <w:szCs w:val="30"/>
              </w:rPr>
            </w:pPr>
          </w:p>
        </w:tc>
      </w:tr>
      <w:tr w14:paraId="421F7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14:paraId="64FF3537">
            <w:pPr>
              <w:wordWrap/>
              <w:topLinePunct w:val="0"/>
              <w:spacing w:after="120"/>
              <w:ind w:firstLine="0" w:firstLineChars="0"/>
              <w:rPr>
                <w:rFonts w:ascii="仿宋" w:hAnsi="仿宋" w:eastAsia="仿宋" w:cs="仿宋"/>
                <w:sz w:val="30"/>
                <w:szCs w:val="30"/>
              </w:rPr>
            </w:pPr>
          </w:p>
        </w:tc>
        <w:tc>
          <w:tcPr>
            <w:tcW w:w="584" w:type="dxa"/>
            <w:vMerge w:val="continue"/>
            <w:shd w:val="clear" w:color="auto" w:fill="auto"/>
          </w:tcPr>
          <w:p w14:paraId="0DD28383">
            <w:pPr>
              <w:wordWrap/>
              <w:topLinePunct w:val="0"/>
              <w:spacing w:after="120"/>
              <w:ind w:firstLine="0" w:firstLineChars="0"/>
              <w:rPr>
                <w:rFonts w:ascii="仿宋" w:hAnsi="仿宋" w:eastAsia="仿宋" w:cs="仿宋"/>
                <w:sz w:val="30"/>
                <w:szCs w:val="30"/>
              </w:rPr>
            </w:pPr>
          </w:p>
        </w:tc>
        <w:tc>
          <w:tcPr>
            <w:tcW w:w="876" w:type="dxa"/>
            <w:shd w:val="clear" w:color="auto" w:fill="auto"/>
          </w:tcPr>
          <w:p w14:paraId="534DE43B">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7E3C9863">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B3</w:t>
            </w:r>
          </w:p>
        </w:tc>
        <w:tc>
          <w:tcPr>
            <w:tcW w:w="1080" w:type="dxa"/>
            <w:shd w:val="clear" w:color="auto" w:fill="auto"/>
          </w:tcPr>
          <w:p w14:paraId="74E7D377">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3DCC7508">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F03</w:t>
            </w:r>
          </w:p>
        </w:tc>
        <w:tc>
          <w:tcPr>
            <w:tcW w:w="1230" w:type="dxa"/>
            <w:shd w:val="clear" w:color="auto" w:fill="auto"/>
          </w:tcPr>
          <w:p w14:paraId="06ED7407">
            <w:pPr>
              <w:wordWrap/>
              <w:topLinePunct w:val="0"/>
              <w:spacing w:after="120"/>
              <w:ind w:firstLine="0" w:firstLineChars="0"/>
              <w:rPr>
                <w:rFonts w:ascii="仿宋" w:hAnsi="仿宋" w:eastAsia="仿宋" w:cs="仿宋"/>
                <w:sz w:val="30"/>
                <w:szCs w:val="30"/>
              </w:rPr>
            </w:pPr>
          </w:p>
        </w:tc>
        <w:tc>
          <w:tcPr>
            <w:tcW w:w="1380" w:type="dxa"/>
            <w:shd w:val="clear" w:color="auto" w:fill="auto"/>
          </w:tcPr>
          <w:p w14:paraId="1BBF79DE">
            <w:pPr>
              <w:wordWrap/>
              <w:topLinePunct w:val="0"/>
              <w:spacing w:after="120"/>
              <w:ind w:firstLine="0" w:firstLineChars="0"/>
              <w:rPr>
                <w:rFonts w:ascii="仿宋" w:hAnsi="仿宋" w:eastAsia="仿宋" w:cs="仿宋"/>
                <w:sz w:val="30"/>
                <w:szCs w:val="30"/>
              </w:rPr>
            </w:pPr>
          </w:p>
        </w:tc>
      </w:tr>
      <w:tr w14:paraId="2EC2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14:paraId="401C91B1">
            <w:pPr>
              <w:wordWrap/>
              <w:topLinePunct w:val="0"/>
              <w:spacing w:after="120"/>
              <w:ind w:firstLine="0" w:firstLineChars="0"/>
              <w:rPr>
                <w:rFonts w:ascii="仿宋" w:hAnsi="仿宋" w:eastAsia="仿宋" w:cs="仿宋"/>
                <w:sz w:val="30"/>
                <w:szCs w:val="30"/>
              </w:rPr>
            </w:pPr>
          </w:p>
        </w:tc>
        <w:tc>
          <w:tcPr>
            <w:tcW w:w="584" w:type="dxa"/>
            <w:vMerge w:val="continue"/>
            <w:shd w:val="clear" w:color="auto" w:fill="auto"/>
          </w:tcPr>
          <w:p w14:paraId="25D2AF10">
            <w:pPr>
              <w:wordWrap/>
              <w:topLinePunct w:val="0"/>
              <w:spacing w:after="120"/>
              <w:ind w:firstLine="0" w:firstLineChars="0"/>
              <w:rPr>
                <w:rFonts w:ascii="仿宋" w:hAnsi="仿宋" w:eastAsia="仿宋" w:cs="仿宋"/>
                <w:sz w:val="30"/>
                <w:szCs w:val="30"/>
              </w:rPr>
            </w:pPr>
          </w:p>
        </w:tc>
        <w:tc>
          <w:tcPr>
            <w:tcW w:w="876" w:type="dxa"/>
            <w:shd w:val="clear" w:color="auto" w:fill="auto"/>
          </w:tcPr>
          <w:p w14:paraId="7ACC9392">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4FC3C165">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B4</w:t>
            </w:r>
          </w:p>
        </w:tc>
        <w:tc>
          <w:tcPr>
            <w:tcW w:w="1080" w:type="dxa"/>
            <w:shd w:val="clear" w:color="auto" w:fill="auto"/>
          </w:tcPr>
          <w:p w14:paraId="503E56CD">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5260B894">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F04</w:t>
            </w:r>
          </w:p>
        </w:tc>
        <w:tc>
          <w:tcPr>
            <w:tcW w:w="1230" w:type="dxa"/>
            <w:shd w:val="clear" w:color="auto" w:fill="auto"/>
          </w:tcPr>
          <w:p w14:paraId="24EEDE32">
            <w:pPr>
              <w:wordWrap/>
              <w:topLinePunct w:val="0"/>
              <w:spacing w:after="120"/>
              <w:ind w:firstLine="0" w:firstLineChars="0"/>
              <w:rPr>
                <w:rFonts w:ascii="仿宋" w:hAnsi="仿宋" w:eastAsia="仿宋" w:cs="仿宋"/>
                <w:sz w:val="30"/>
                <w:szCs w:val="30"/>
              </w:rPr>
            </w:pPr>
          </w:p>
        </w:tc>
        <w:tc>
          <w:tcPr>
            <w:tcW w:w="1380" w:type="dxa"/>
            <w:shd w:val="clear" w:color="auto" w:fill="auto"/>
          </w:tcPr>
          <w:p w14:paraId="5BBDA919">
            <w:pPr>
              <w:wordWrap/>
              <w:topLinePunct w:val="0"/>
              <w:spacing w:after="120"/>
              <w:ind w:firstLine="0" w:firstLineChars="0"/>
              <w:rPr>
                <w:rFonts w:ascii="仿宋" w:hAnsi="仿宋" w:eastAsia="仿宋" w:cs="仿宋"/>
                <w:sz w:val="30"/>
                <w:szCs w:val="30"/>
              </w:rPr>
            </w:pPr>
          </w:p>
        </w:tc>
      </w:tr>
      <w:tr w14:paraId="1804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14:paraId="5B996963">
            <w:pPr>
              <w:wordWrap/>
              <w:topLinePunct w:val="0"/>
              <w:spacing w:after="120"/>
              <w:ind w:firstLine="0" w:firstLineChars="0"/>
              <w:rPr>
                <w:rFonts w:ascii="仿宋" w:hAnsi="仿宋" w:eastAsia="仿宋" w:cs="仿宋"/>
                <w:sz w:val="30"/>
                <w:szCs w:val="30"/>
              </w:rPr>
            </w:pPr>
          </w:p>
        </w:tc>
        <w:tc>
          <w:tcPr>
            <w:tcW w:w="584" w:type="dxa"/>
            <w:vMerge w:val="continue"/>
            <w:shd w:val="clear" w:color="auto" w:fill="auto"/>
          </w:tcPr>
          <w:p w14:paraId="77D0CA79">
            <w:pPr>
              <w:wordWrap/>
              <w:topLinePunct w:val="0"/>
              <w:spacing w:after="120"/>
              <w:ind w:firstLine="0" w:firstLineChars="0"/>
              <w:rPr>
                <w:rFonts w:ascii="仿宋" w:hAnsi="仿宋" w:eastAsia="仿宋" w:cs="仿宋"/>
                <w:sz w:val="30"/>
                <w:szCs w:val="30"/>
              </w:rPr>
            </w:pPr>
          </w:p>
        </w:tc>
        <w:tc>
          <w:tcPr>
            <w:tcW w:w="876" w:type="dxa"/>
            <w:shd w:val="clear" w:color="auto" w:fill="auto"/>
          </w:tcPr>
          <w:p w14:paraId="4299A1BB">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0EE1C059">
            <w:pPr>
              <w:wordWrap/>
              <w:topLinePunct w:val="0"/>
              <w:spacing w:after="120"/>
              <w:ind w:firstLine="0" w:firstLineChars="0"/>
              <w:rPr>
                <w:rFonts w:ascii="仿宋" w:hAnsi="仿宋" w:eastAsia="仿宋" w:cs="仿宋"/>
                <w:sz w:val="30"/>
                <w:szCs w:val="30"/>
              </w:rPr>
            </w:pPr>
          </w:p>
        </w:tc>
        <w:tc>
          <w:tcPr>
            <w:tcW w:w="1080" w:type="dxa"/>
            <w:shd w:val="clear" w:color="auto" w:fill="auto"/>
          </w:tcPr>
          <w:p w14:paraId="19FAFE81">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60086782">
            <w:pPr>
              <w:wordWrap/>
              <w:topLinePunct w:val="0"/>
              <w:spacing w:after="120"/>
              <w:ind w:firstLine="0" w:firstLineChars="0"/>
              <w:rPr>
                <w:rFonts w:ascii="仿宋" w:hAnsi="仿宋" w:eastAsia="仿宋" w:cs="仿宋"/>
                <w:sz w:val="30"/>
                <w:szCs w:val="30"/>
              </w:rPr>
            </w:pPr>
          </w:p>
        </w:tc>
        <w:tc>
          <w:tcPr>
            <w:tcW w:w="1230" w:type="dxa"/>
            <w:shd w:val="clear" w:color="auto" w:fill="auto"/>
          </w:tcPr>
          <w:p w14:paraId="7DAA3F28">
            <w:pPr>
              <w:wordWrap/>
              <w:topLinePunct w:val="0"/>
              <w:spacing w:after="120"/>
              <w:ind w:firstLine="0" w:firstLineChars="0"/>
              <w:rPr>
                <w:rFonts w:ascii="仿宋" w:hAnsi="仿宋" w:eastAsia="仿宋" w:cs="仿宋"/>
                <w:sz w:val="30"/>
                <w:szCs w:val="30"/>
              </w:rPr>
            </w:pPr>
          </w:p>
        </w:tc>
        <w:tc>
          <w:tcPr>
            <w:tcW w:w="1380" w:type="dxa"/>
            <w:shd w:val="clear" w:color="auto" w:fill="auto"/>
          </w:tcPr>
          <w:p w14:paraId="772D2A38">
            <w:pPr>
              <w:wordWrap/>
              <w:topLinePunct w:val="0"/>
              <w:spacing w:after="120"/>
              <w:ind w:firstLine="0" w:firstLineChars="0"/>
              <w:rPr>
                <w:rFonts w:ascii="仿宋" w:hAnsi="仿宋" w:eastAsia="仿宋" w:cs="仿宋"/>
                <w:sz w:val="30"/>
                <w:szCs w:val="30"/>
              </w:rPr>
            </w:pPr>
          </w:p>
        </w:tc>
      </w:tr>
      <w:tr w14:paraId="3C05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shd w:val="clear" w:color="auto" w:fill="auto"/>
          </w:tcPr>
          <w:p w14:paraId="624163A1">
            <w:pPr>
              <w:wordWrap/>
              <w:topLinePunct w:val="0"/>
              <w:spacing w:after="120"/>
              <w:ind w:firstLine="0" w:firstLineChars="0"/>
              <w:rPr>
                <w:rFonts w:ascii="仿宋" w:hAnsi="仿宋" w:eastAsia="仿宋" w:cs="仿宋"/>
                <w:sz w:val="30"/>
                <w:szCs w:val="30"/>
              </w:rPr>
            </w:pPr>
          </w:p>
        </w:tc>
        <w:tc>
          <w:tcPr>
            <w:tcW w:w="584" w:type="dxa"/>
            <w:vMerge w:val="continue"/>
            <w:shd w:val="clear" w:color="auto" w:fill="auto"/>
          </w:tcPr>
          <w:p w14:paraId="775A2AF7">
            <w:pPr>
              <w:wordWrap/>
              <w:topLinePunct w:val="0"/>
              <w:spacing w:after="120"/>
              <w:ind w:firstLine="0" w:firstLineChars="0"/>
              <w:rPr>
                <w:rFonts w:ascii="仿宋" w:hAnsi="仿宋" w:eastAsia="仿宋" w:cs="仿宋"/>
                <w:sz w:val="30"/>
                <w:szCs w:val="30"/>
              </w:rPr>
            </w:pPr>
          </w:p>
        </w:tc>
        <w:tc>
          <w:tcPr>
            <w:tcW w:w="876" w:type="dxa"/>
            <w:shd w:val="clear" w:color="auto" w:fill="auto"/>
          </w:tcPr>
          <w:p w14:paraId="28B9065D">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600F12F2">
            <w:pPr>
              <w:wordWrap/>
              <w:topLinePunct w:val="0"/>
              <w:spacing w:after="120"/>
              <w:ind w:firstLine="0" w:firstLineChars="0"/>
              <w:rPr>
                <w:rFonts w:ascii="仿宋" w:hAnsi="仿宋" w:eastAsia="仿宋" w:cs="仿宋"/>
                <w:sz w:val="30"/>
                <w:szCs w:val="30"/>
              </w:rPr>
            </w:pPr>
          </w:p>
        </w:tc>
        <w:tc>
          <w:tcPr>
            <w:tcW w:w="1080" w:type="dxa"/>
            <w:shd w:val="clear" w:color="auto" w:fill="auto"/>
          </w:tcPr>
          <w:p w14:paraId="24276266">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03B700CC">
            <w:pPr>
              <w:wordWrap/>
              <w:topLinePunct w:val="0"/>
              <w:spacing w:after="120"/>
              <w:ind w:firstLine="0" w:firstLineChars="0"/>
              <w:rPr>
                <w:rFonts w:ascii="仿宋" w:hAnsi="仿宋" w:eastAsia="仿宋" w:cs="仿宋"/>
                <w:sz w:val="30"/>
                <w:szCs w:val="30"/>
              </w:rPr>
            </w:pPr>
          </w:p>
        </w:tc>
        <w:tc>
          <w:tcPr>
            <w:tcW w:w="1230" w:type="dxa"/>
            <w:shd w:val="clear" w:color="auto" w:fill="auto"/>
          </w:tcPr>
          <w:p w14:paraId="0A3BEE7F">
            <w:pPr>
              <w:wordWrap/>
              <w:topLinePunct w:val="0"/>
              <w:spacing w:after="120"/>
              <w:ind w:firstLine="0" w:firstLineChars="0"/>
              <w:rPr>
                <w:rFonts w:ascii="仿宋" w:hAnsi="仿宋" w:eastAsia="仿宋" w:cs="仿宋"/>
                <w:sz w:val="30"/>
                <w:szCs w:val="30"/>
              </w:rPr>
            </w:pPr>
          </w:p>
        </w:tc>
        <w:tc>
          <w:tcPr>
            <w:tcW w:w="1380" w:type="dxa"/>
            <w:shd w:val="clear" w:color="auto" w:fill="auto"/>
          </w:tcPr>
          <w:p w14:paraId="4C99EFC2">
            <w:pPr>
              <w:wordWrap/>
              <w:topLinePunct w:val="0"/>
              <w:spacing w:after="120"/>
              <w:ind w:firstLine="0" w:firstLineChars="0"/>
              <w:rPr>
                <w:rFonts w:ascii="仿宋" w:hAnsi="仿宋" w:eastAsia="仿宋" w:cs="仿宋"/>
                <w:sz w:val="30"/>
                <w:szCs w:val="30"/>
              </w:rPr>
            </w:pPr>
          </w:p>
        </w:tc>
      </w:tr>
      <w:tr w14:paraId="4A0F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shd w:val="clear" w:color="auto" w:fill="auto"/>
          </w:tcPr>
          <w:p w14:paraId="70185A61">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定值部分权重A</w:t>
            </w:r>
          </w:p>
        </w:tc>
        <w:tc>
          <w:tcPr>
            <w:tcW w:w="1215" w:type="dxa"/>
            <w:shd w:val="clear" w:color="auto" w:fill="auto"/>
          </w:tcPr>
          <w:p w14:paraId="49364227">
            <w:pPr>
              <w:wordWrap/>
              <w:topLinePunct w:val="0"/>
              <w:spacing w:after="120"/>
              <w:ind w:firstLine="0" w:firstLineChars="0"/>
              <w:rPr>
                <w:rFonts w:ascii="仿宋" w:hAnsi="仿宋" w:eastAsia="仿宋" w:cs="仿宋"/>
                <w:sz w:val="30"/>
                <w:szCs w:val="30"/>
              </w:rPr>
            </w:pPr>
          </w:p>
        </w:tc>
        <w:tc>
          <w:tcPr>
            <w:tcW w:w="1080" w:type="dxa"/>
            <w:shd w:val="clear" w:color="auto" w:fill="auto"/>
          </w:tcPr>
          <w:p w14:paraId="74A7A674">
            <w:pPr>
              <w:wordWrap/>
              <w:topLinePunct w:val="0"/>
              <w:spacing w:after="120"/>
              <w:ind w:firstLine="0" w:firstLineChars="0"/>
              <w:rPr>
                <w:rFonts w:ascii="仿宋" w:hAnsi="仿宋" w:eastAsia="仿宋" w:cs="仿宋"/>
                <w:sz w:val="30"/>
                <w:szCs w:val="30"/>
              </w:rPr>
            </w:pPr>
          </w:p>
        </w:tc>
        <w:tc>
          <w:tcPr>
            <w:tcW w:w="1215" w:type="dxa"/>
            <w:shd w:val="clear" w:color="auto" w:fill="auto"/>
          </w:tcPr>
          <w:p w14:paraId="72256913">
            <w:pPr>
              <w:wordWrap/>
              <w:topLinePunct w:val="0"/>
              <w:spacing w:after="120"/>
              <w:ind w:firstLine="0" w:firstLineChars="0"/>
              <w:rPr>
                <w:rFonts w:ascii="仿宋" w:hAnsi="仿宋" w:eastAsia="仿宋" w:cs="仿宋"/>
                <w:sz w:val="30"/>
                <w:szCs w:val="30"/>
              </w:rPr>
            </w:pPr>
          </w:p>
        </w:tc>
        <w:tc>
          <w:tcPr>
            <w:tcW w:w="1230" w:type="dxa"/>
            <w:shd w:val="clear" w:color="auto" w:fill="auto"/>
          </w:tcPr>
          <w:p w14:paraId="051CD0B8">
            <w:pPr>
              <w:wordWrap/>
              <w:topLinePunct w:val="0"/>
              <w:spacing w:after="120"/>
              <w:ind w:firstLine="0" w:firstLineChars="0"/>
              <w:rPr>
                <w:rFonts w:ascii="仿宋" w:hAnsi="仿宋" w:eastAsia="仿宋" w:cs="仿宋"/>
                <w:sz w:val="30"/>
                <w:szCs w:val="30"/>
              </w:rPr>
            </w:pPr>
          </w:p>
        </w:tc>
        <w:tc>
          <w:tcPr>
            <w:tcW w:w="1380" w:type="dxa"/>
            <w:shd w:val="clear" w:color="auto" w:fill="auto"/>
          </w:tcPr>
          <w:p w14:paraId="768AC4B4">
            <w:pPr>
              <w:wordWrap/>
              <w:topLinePunct w:val="0"/>
              <w:spacing w:after="120"/>
              <w:ind w:firstLine="0" w:firstLineChars="0"/>
              <w:rPr>
                <w:rFonts w:ascii="仿宋" w:hAnsi="仿宋" w:eastAsia="仿宋" w:cs="仿宋"/>
                <w:sz w:val="30"/>
                <w:szCs w:val="30"/>
              </w:rPr>
            </w:pPr>
          </w:p>
        </w:tc>
      </w:tr>
      <w:tr w14:paraId="7570F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9" w:type="dxa"/>
            <w:gridSpan w:val="3"/>
            <w:shd w:val="clear" w:color="auto" w:fill="auto"/>
          </w:tcPr>
          <w:p w14:paraId="28A00658">
            <w:pPr>
              <w:wordWrap/>
              <w:topLinePunct w:val="0"/>
              <w:spacing w:after="120"/>
              <w:ind w:firstLine="0" w:firstLineChars="0"/>
              <w:rPr>
                <w:rFonts w:ascii="仿宋" w:hAnsi="仿宋" w:eastAsia="仿宋" w:cs="仿宋"/>
                <w:sz w:val="30"/>
                <w:szCs w:val="30"/>
              </w:rPr>
            </w:pPr>
            <w:r>
              <w:rPr>
                <w:rFonts w:hint="eastAsia" w:ascii="仿宋" w:hAnsi="仿宋" w:eastAsia="仿宋" w:cs="仿宋"/>
                <w:sz w:val="30"/>
                <w:szCs w:val="30"/>
              </w:rPr>
              <w:t>合计</w:t>
            </w:r>
          </w:p>
        </w:tc>
        <w:tc>
          <w:tcPr>
            <w:tcW w:w="2295" w:type="dxa"/>
            <w:gridSpan w:val="2"/>
            <w:shd w:val="clear" w:color="auto" w:fill="auto"/>
          </w:tcPr>
          <w:p w14:paraId="247E3C26">
            <w:pPr>
              <w:wordWrap/>
              <w:topLinePunct w:val="0"/>
              <w:spacing w:after="120"/>
              <w:ind w:firstLine="0" w:firstLineChars="0"/>
              <w:rPr>
                <w:rFonts w:ascii="仿宋" w:hAnsi="仿宋" w:eastAsia="仿宋" w:cs="仿宋"/>
                <w:sz w:val="30"/>
                <w:szCs w:val="30"/>
              </w:rPr>
            </w:pPr>
          </w:p>
        </w:tc>
        <w:tc>
          <w:tcPr>
            <w:tcW w:w="2445" w:type="dxa"/>
            <w:gridSpan w:val="2"/>
            <w:shd w:val="clear" w:color="auto" w:fill="auto"/>
          </w:tcPr>
          <w:p w14:paraId="413F79C4">
            <w:pPr>
              <w:wordWrap/>
              <w:topLinePunct w:val="0"/>
              <w:spacing w:after="120"/>
              <w:ind w:firstLine="0" w:firstLineChars="0"/>
              <w:rPr>
                <w:rFonts w:ascii="仿宋" w:hAnsi="仿宋" w:eastAsia="仿宋" w:cs="仿宋"/>
                <w:sz w:val="30"/>
                <w:szCs w:val="30"/>
              </w:rPr>
            </w:pPr>
          </w:p>
        </w:tc>
        <w:tc>
          <w:tcPr>
            <w:tcW w:w="1380" w:type="dxa"/>
            <w:shd w:val="clear" w:color="auto" w:fill="auto"/>
          </w:tcPr>
          <w:p w14:paraId="7896AE79">
            <w:pPr>
              <w:wordWrap/>
              <w:topLinePunct w:val="0"/>
              <w:spacing w:after="120"/>
              <w:ind w:firstLine="0" w:firstLineChars="0"/>
              <w:rPr>
                <w:rFonts w:ascii="仿宋" w:hAnsi="仿宋" w:eastAsia="仿宋" w:cs="仿宋"/>
                <w:sz w:val="30"/>
                <w:szCs w:val="30"/>
              </w:rPr>
            </w:pPr>
          </w:p>
        </w:tc>
      </w:tr>
    </w:tbl>
    <w:p w14:paraId="5AA2255A">
      <w:pPr>
        <w:wordWrap/>
        <w:topLinePunct w:val="0"/>
        <w:spacing w:after="120"/>
      </w:pPr>
    </w:p>
    <w:p w14:paraId="73574A70">
      <w:pPr>
        <w:wordWrap/>
        <w:topLinePunct w:val="0"/>
        <w:adjustRightInd/>
        <w:snapToGrid/>
        <w:spacing w:afterLines="0" w:line="240" w:lineRule="auto"/>
        <w:ind w:firstLine="0" w:firstLineChars="0"/>
        <w:jc w:val="left"/>
      </w:pPr>
      <w:r>
        <w:br w:type="page"/>
      </w:r>
    </w:p>
    <w:p w14:paraId="4145BA0C">
      <w:pPr>
        <w:pStyle w:val="106"/>
        <w:numPr>
          <w:ilvl w:val="0"/>
          <w:numId w:val="0"/>
        </w:numPr>
        <w:spacing w:after="120"/>
        <w:jc w:val="center"/>
        <w:outlineLvl w:val="1"/>
        <w:rPr>
          <w:rFonts w:ascii="仿宋" w:hAnsi="仿宋" w:eastAsia="仿宋" w:cs="仿宋"/>
          <w:b/>
          <w:bCs/>
          <w:sz w:val="32"/>
          <w:szCs w:val="32"/>
        </w:rPr>
      </w:pPr>
      <w:bookmarkStart w:id="949" w:name="_Toc12451"/>
      <w:bookmarkStart w:id="950" w:name="_Toc3373"/>
      <w:bookmarkStart w:id="951" w:name="_Toc6802"/>
      <w:r>
        <w:rPr>
          <w:rFonts w:hint="eastAsia" w:ascii="仿宋" w:hAnsi="仿宋" w:eastAsia="仿宋" w:cs="仿宋"/>
          <w:b/>
          <w:bCs/>
          <w:sz w:val="32"/>
          <w:szCs w:val="32"/>
        </w:rPr>
        <w:t>附件7：安全生产协议书</w:t>
      </w:r>
      <w:bookmarkEnd w:id="949"/>
      <w:bookmarkEnd w:id="950"/>
      <w:bookmarkEnd w:id="951"/>
    </w:p>
    <w:p w14:paraId="255952DE">
      <w:pPr>
        <w:tabs>
          <w:tab w:val="left" w:pos="3081"/>
          <w:tab w:val="left" w:pos="5122"/>
          <w:tab w:val="left" w:pos="6125"/>
          <w:tab w:val="left" w:pos="8619"/>
        </w:tabs>
        <w:spacing w:before="217" w:after="120"/>
        <w:ind w:right="282" w:firstLine="600"/>
        <w:rPr>
          <w:rFonts w:ascii="仿宋" w:hAnsi="仿宋" w:eastAsia="仿宋"/>
          <w:bCs/>
          <w:sz w:val="30"/>
          <w:szCs w:val="30"/>
        </w:rPr>
      </w:pPr>
      <w:r>
        <w:rPr>
          <w:rFonts w:hint="eastAsia" w:ascii="仿宋" w:hAnsi="仿宋" w:eastAsia="仿宋"/>
          <w:bCs/>
          <w:sz w:val="30"/>
          <w:szCs w:val="30"/>
        </w:rPr>
        <w:t>为在</w:t>
      </w:r>
      <w:r>
        <w:rPr>
          <w:rFonts w:ascii="仿宋" w:hAnsi="仿宋" w:eastAsia="仿宋"/>
          <w:bCs/>
          <w:sz w:val="30"/>
          <w:szCs w:val="30"/>
          <w:u w:val="single"/>
        </w:rPr>
        <w:t>…</w:t>
      </w:r>
      <w:r>
        <w:rPr>
          <w:rFonts w:hint="eastAsia" w:ascii="仿宋" w:hAnsi="仿宋" w:eastAsia="仿宋"/>
          <w:bCs/>
          <w:sz w:val="30"/>
          <w:szCs w:val="30"/>
        </w:rPr>
        <w:t>施工合同的实施过程中创造安全、高效的施工环境，切实搞好本项目的安全管理工作，本项目发包人</w:t>
      </w:r>
      <w:r>
        <w:rPr>
          <w:rFonts w:hint="eastAsia" w:ascii="仿宋" w:hAnsi="仿宋" w:eastAsia="仿宋"/>
          <w:bCs/>
          <w:sz w:val="30"/>
          <w:szCs w:val="30"/>
          <w:u w:val="single"/>
        </w:rPr>
        <w:t xml:space="preserve">  广东省代建项目管理局</w:t>
      </w:r>
      <w:r>
        <w:rPr>
          <w:rFonts w:hint="eastAsia" w:ascii="仿宋" w:hAnsi="仿宋" w:eastAsia="仿宋"/>
          <w:bCs/>
          <w:sz w:val="30"/>
          <w:szCs w:val="30"/>
        </w:rPr>
        <w:t>与承包人</w:t>
      </w:r>
      <w:r>
        <w:rPr>
          <w:rFonts w:ascii="仿宋" w:hAnsi="仿宋" w:eastAsia="仿宋"/>
          <w:bCs/>
          <w:sz w:val="30"/>
          <w:szCs w:val="30"/>
          <w:u w:val="single"/>
        </w:rPr>
        <w:t>…</w:t>
      </w:r>
      <w:r>
        <w:rPr>
          <w:rFonts w:hint="eastAsia" w:ascii="仿宋" w:hAnsi="仿宋" w:eastAsia="仿宋"/>
          <w:bCs/>
          <w:sz w:val="30"/>
          <w:szCs w:val="30"/>
        </w:rPr>
        <w:t>，特此签订安全生产协议书。</w:t>
      </w:r>
    </w:p>
    <w:p w14:paraId="27996BDC">
      <w:pPr>
        <w:spacing w:after="120"/>
        <w:ind w:firstLine="750" w:firstLineChars="250"/>
        <w:rPr>
          <w:rFonts w:ascii="仿宋" w:hAnsi="仿宋" w:eastAsia="仿宋"/>
          <w:bCs/>
          <w:sz w:val="30"/>
          <w:szCs w:val="30"/>
        </w:rPr>
      </w:pPr>
      <w:r>
        <w:rPr>
          <w:rFonts w:hint="eastAsia" w:ascii="仿宋" w:hAnsi="仿宋" w:eastAsia="仿宋"/>
          <w:bCs/>
          <w:sz w:val="30"/>
          <w:szCs w:val="30"/>
        </w:rPr>
        <w:t>一、发包人职责</w:t>
      </w:r>
    </w:p>
    <w:p w14:paraId="07657F80">
      <w:pPr>
        <w:spacing w:before="82" w:after="120"/>
        <w:ind w:right="390" w:firstLine="600"/>
        <w:rPr>
          <w:rFonts w:ascii="仿宋" w:hAnsi="仿宋" w:eastAsia="仿宋"/>
          <w:bCs/>
          <w:sz w:val="30"/>
          <w:szCs w:val="30"/>
        </w:rPr>
      </w:pPr>
      <w:r>
        <w:rPr>
          <w:rFonts w:hint="eastAsia" w:ascii="仿宋" w:hAnsi="仿宋" w:eastAsia="仿宋"/>
          <w:bCs/>
          <w:sz w:val="30"/>
          <w:szCs w:val="30"/>
        </w:rPr>
        <w:t>（一）严格遵守国家有关安全生产的法律法规，认真执行工程承包合同中的有关安全要求。</w:t>
      </w:r>
    </w:p>
    <w:p w14:paraId="7E5EB3A5">
      <w:pPr>
        <w:spacing w:after="120"/>
        <w:ind w:right="380" w:firstLine="600"/>
        <w:rPr>
          <w:rFonts w:ascii="仿宋" w:hAnsi="仿宋" w:eastAsia="仿宋"/>
          <w:bCs/>
          <w:sz w:val="30"/>
          <w:szCs w:val="30"/>
        </w:rPr>
      </w:pPr>
      <w:r>
        <w:rPr>
          <w:rFonts w:hint="eastAsia" w:ascii="仿宋" w:hAnsi="仿宋" w:eastAsia="仿宋"/>
          <w:bCs/>
          <w:sz w:val="30"/>
          <w:szCs w:val="30"/>
        </w:rPr>
        <w:t>（二）按照“安全第一、预防为主、综合治理”和坚持“管生产必须管安全”的原则进行安全生产管理，做到生产与安全工作同时计划、布置、检查、总结和评比。</w:t>
      </w:r>
    </w:p>
    <w:p w14:paraId="3D73E1E5">
      <w:pPr>
        <w:spacing w:after="120"/>
        <w:ind w:right="382" w:firstLine="600"/>
        <w:rPr>
          <w:rFonts w:ascii="仿宋" w:hAnsi="仿宋" w:eastAsia="仿宋"/>
          <w:bCs/>
          <w:sz w:val="30"/>
          <w:szCs w:val="30"/>
        </w:rPr>
      </w:pPr>
      <w:r>
        <w:rPr>
          <w:rFonts w:hint="eastAsia" w:ascii="仿宋" w:hAnsi="仿宋" w:eastAsia="仿宋"/>
          <w:bCs/>
          <w:sz w:val="30"/>
          <w:szCs w:val="30"/>
        </w:rPr>
        <w:t>（三）重要的安全设施必须坚持与主体工程“三同时”的原则，即：同时设计、审批，同时施工，同时验收，投入使用。</w:t>
      </w:r>
    </w:p>
    <w:p w14:paraId="72623772">
      <w:pPr>
        <w:spacing w:after="120"/>
        <w:ind w:firstLine="600"/>
        <w:rPr>
          <w:rFonts w:ascii="仿宋" w:hAnsi="仿宋" w:eastAsia="仿宋"/>
          <w:bCs/>
          <w:sz w:val="30"/>
          <w:szCs w:val="30"/>
        </w:rPr>
      </w:pPr>
      <w:r>
        <w:rPr>
          <w:rFonts w:hint="eastAsia" w:ascii="仿宋" w:hAnsi="仿宋" w:eastAsia="仿宋"/>
          <w:bCs/>
          <w:sz w:val="30"/>
          <w:szCs w:val="30"/>
        </w:rPr>
        <w:t>（四）定期召开安全生产调度会，及时传达中央及地方有关安全生产的精神。</w:t>
      </w:r>
    </w:p>
    <w:p w14:paraId="49672F7C">
      <w:pPr>
        <w:spacing w:before="82" w:after="120"/>
        <w:ind w:right="388" w:firstLine="600"/>
        <w:rPr>
          <w:rFonts w:ascii="仿宋" w:hAnsi="仿宋" w:eastAsia="仿宋"/>
          <w:bCs/>
          <w:sz w:val="30"/>
          <w:szCs w:val="30"/>
        </w:rPr>
      </w:pPr>
      <w:r>
        <w:rPr>
          <w:rFonts w:hint="eastAsia" w:ascii="仿宋" w:hAnsi="仿宋" w:eastAsia="仿宋"/>
          <w:bCs/>
          <w:sz w:val="30"/>
          <w:szCs w:val="30"/>
        </w:rPr>
        <w:t>（五）组织对承包人施工现场进行安全生产检查，监督承包人及时处理发现的各种安全隐患。</w:t>
      </w:r>
    </w:p>
    <w:p w14:paraId="4A6358D4">
      <w:pPr>
        <w:spacing w:before="5" w:after="120"/>
        <w:ind w:firstLine="750" w:firstLineChars="250"/>
        <w:rPr>
          <w:rFonts w:ascii="仿宋" w:hAnsi="仿宋" w:eastAsia="仿宋"/>
          <w:bCs/>
          <w:sz w:val="30"/>
          <w:szCs w:val="30"/>
        </w:rPr>
      </w:pPr>
      <w:r>
        <w:rPr>
          <w:rFonts w:hint="eastAsia" w:ascii="仿宋" w:hAnsi="仿宋" w:eastAsia="仿宋"/>
          <w:bCs/>
          <w:sz w:val="30"/>
          <w:szCs w:val="30"/>
        </w:rPr>
        <w:t>二、承包人职责</w:t>
      </w:r>
    </w:p>
    <w:p w14:paraId="5895229D">
      <w:pPr>
        <w:spacing w:before="81" w:after="120"/>
        <w:ind w:right="283" w:firstLine="600"/>
        <w:rPr>
          <w:rFonts w:ascii="仿宋" w:hAnsi="仿宋" w:eastAsia="仿宋"/>
          <w:bCs/>
          <w:sz w:val="30"/>
          <w:szCs w:val="30"/>
        </w:rPr>
      </w:pPr>
      <w:r>
        <w:rPr>
          <w:rFonts w:hint="eastAsia" w:ascii="仿宋" w:hAnsi="仿宋" w:eastAsia="仿宋"/>
          <w:bCs/>
          <w:sz w:val="30"/>
          <w:szCs w:val="30"/>
        </w:rPr>
        <w:t>（一）严格遵守《中华人民共和国安全生产法》《建设工程安全生产管理条例》等国家有关安全生产的法律法规等有关安全生产的规定。认真执行工程承包合同中的有关安全要求。</w:t>
      </w:r>
    </w:p>
    <w:p w14:paraId="096915A2">
      <w:pPr>
        <w:spacing w:after="120"/>
        <w:ind w:right="266" w:firstLine="600"/>
        <w:rPr>
          <w:rFonts w:ascii="仿宋" w:hAnsi="仿宋" w:eastAsia="仿宋"/>
          <w:bCs/>
          <w:sz w:val="30"/>
          <w:szCs w:val="30"/>
        </w:rPr>
      </w:pPr>
      <w:r>
        <w:rPr>
          <w:rFonts w:hint="eastAsia" w:ascii="仿宋" w:hAnsi="仿宋" w:eastAsia="仿宋"/>
          <w:bCs/>
          <w:sz w:val="30"/>
          <w:szCs w:val="30"/>
        </w:rPr>
        <w:t>（二）坚持“安全第一、预防为主、综合治理”和“管生产必须管安全”的原则， 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00491731">
      <w:pPr>
        <w:spacing w:after="120"/>
        <w:ind w:right="387" w:firstLine="600"/>
        <w:rPr>
          <w:rFonts w:ascii="仿宋" w:hAnsi="仿宋" w:eastAsia="仿宋"/>
          <w:bCs/>
          <w:sz w:val="30"/>
          <w:szCs w:val="30"/>
        </w:rPr>
      </w:pPr>
      <w:r>
        <w:rPr>
          <w:rFonts w:hint="eastAsia" w:ascii="仿宋" w:hAnsi="仿宋" w:eastAsia="仿宋"/>
          <w:bCs/>
          <w:sz w:val="30"/>
          <w:szCs w:val="30"/>
        </w:rPr>
        <w:t>（三）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规定的最低数量和资质条件配备专职安全生产管理人员，专职负责所有员工的安全和治安保卫工作及预防事故的发生。安全机构人员有权按有关规定发布指令，并采取保护性措施防止事故发生。</w:t>
      </w:r>
    </w:p>
    <w:p w14:paraId="53FED9FF">
      <w:pPr>
        <w:spacing w:after="120"/>
        <w:ind w:firstLine="600"/>
        <w:rPr>
          <w:rFonts w:ascii="仿宋" w:hAnsi="仿宋" w:eastAsia="仿宋"/>
          <w:bCs/>
          <w:sz w:val="30"/>
          <w:szCs w:val="30"/>
        </w:rPr>
      </w:pPr>
      <w:r>
        <w:rPr>
          <w:rFonts w:hint="eastAsia" w:ascii="仿宋" w:hAnsi="仿宋" w:eastAsia="仿宋"/>
          <w:bCs/>
          <w:sz w:val="30"/>
          <w:szCs w:val="30"/>
        </w:rPr>
        <w:t>（四）承包人在任何时候都应采取各种合理的预防措施，防止其员工任何违法、违禁、暴力或妨碍治安的行为。</w:t>
      </w:r>
    </w:p>
    <w:p w14:paraId="0A685564">
      <w:pPr>
        <w:spacing w:after="120"/>
        <w:ind w:firstLine="600"/>
        <w:rPr>
          <w:rFonts w:ascii="仿宋" w:hAnsi="仿宋" w:eastAsia="仿宋"/>
          <w:bCs/>
          <w:sz w:val="30"/>
          <w:szCs w:val="30"/>
        </w:rPr>
      </w:pPr>
      <w:r>
        <w:rPr>
          <w:rFonts w:hint="eastAsia" w:ascii="仿宋" w:hAnsi="仿宋" w:eastAsia="仿宋"/>
          <w:bCs/>
          <w:sz w:val="30"/>
          <w:szCs w:val="30"/>
        </w:rPr>
        <w:t>（五）承包人必须具有劳动安全管理部门颁发的安全生产考核合格证书，参加施工的人员，必须接受安全技术教育，熟知和遵守本工种的各项安全技术操作规程， 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0C6A32E">
      <w:pPr>
        <w:spacing w:after="120"/>
        <w:ind w:right="386" w:firstLine="600"/>
        <w:rPr>
          <w:rFonts w:ascii="仿宋" w:hAnsi="仿宋" w:eastAsia="仿宋"/>
          <w:bCs/>
          <w:sz w:val="30"/>
          <w:szCs w:val="30"/>
        </w:rPr>
      </w:pPr>
      <w:r>
        <w:rPr>
          <w:rFonts w:hint="eastAsia" w:ascii="仿宋" w:hAnsi="仿宋" w:eastAsia="仿宋"/>
          <w:bCs/>
          <w:sz w:val="30"/>
          <w:szCs w:val="30"/>
        </w:rPr>
        <w:t>（六）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48D6E23F">
      <w:pPr>
        <w:spacing w:after="120"/>
        <w:ind w:right="386" w:firstLine="600"/>
        <w:rPr>
          <w:rFonts w:ascii="仿宋" w:hAnsi="仿宋" w:eastAsia="仿宋"/>
          <w:bCs/>
          <w:sz w:val="30"/>
          <w:szCs w:val="30"/>
        </w:rPr>
      </w:pPr>
      <w:r>
        <w:rPr>
          <w:rFonts w:hint="eastAsia" w:ascii="仿宋" w:hAnsi="仿宋" w:eastAsia="仿宋"/>
          <w:bCs/>
          <w:sz w:val="30"/>
          <w:szCs w:val="30"/>
        </w:rPr>
        <w:t>（七）操作人员上岗，必须按规定穿戴防护用品。施工负责人和安全检查员应随时检查劳动防护用品的穿戴情况，不按规定穿戴防护用品的人员不得上岗。</w:t>
      </w:r>
    </w:p>
    <w:p w14:paraId="22B16D1E">
      <w:pPr>
        <w:spacing w:after="120"/>
        <w:ind w:right="387" w:firstLine="600"/>
        <w:rPr>
          <w:rFonts w:ascii="仿宋" w:hAnsi="仿宋" w:eastAsia="仿宋"/>
          <w:bCs/>
          <w:sz w:val="30"/>
          <w:szCs w:val="30"/>
        </w:rPr>
      </w:pPr>
      <w:r>
        <w:rPr>
          <w:rFonts w:hint="eastAsia" w:ascii="仿宋" w:hAnsi="仿宋" w:eastAsia="仿宋"/>
          <w:bCs/>
          <w:sz w:val="30"/>
          <w:szCs w:val="30"/>
        </w:rPr>
        <w:t>（八）所有施工机具设备和高空作业的设备均应定期检查，并有安全员的签字记录，保证其经常处于完好状态；不合格的机具、设备和劳动保护用品严禁使用。</w:t>
      </w:r>
    </w:p>
    <w:p w14:paraId="4ECA5072">
      <w:pPr>
        <w:spacing w:before="5" w:after="120"/>
        <w:ind w:right="390" w:firstLine="600"/>
        <w:rPr>
          <w:rFonts w:ascii="仿宋" w:hAnsi="仿宋" w:eastAsia="仿宋"/>
          <w:bCs/>
          <w:sz w:val="30"/>
          <w:szCs w:val="30"/>
        </w:rPr>
      </w:pPr>
      <w:r>
        <w:rPr>
          <w:rFonts w:hint="eastAsia" w:ascii="仿宋" w:hAnsi="仿宋" w:eastAsia="仿宋"/>
          <w:bCs/>
          <w:sz w:val="30"/>
          <w:szCs w:val="30"/>
        </w:rPr>
        <w:t>（九）施工中采用新技术、新工艺、新设备、新材料时，必须制定相应的安全技术措施，施工现场必须具有相关的安全标志牌。</w:t>
      </w:r>
    </w:p>
    <w:p w14:paraId="2203E366">
      <w:pPr>
        <w:spacing w:after="120"/>
        <w:ind w:right="377" w:firstLine="600"/>
        <w:rPr>
          <w:rFonts w:ascii="仿宋" w:hAnsi="仿宋" w:eastAsia="仿宋"/>
          <w:bCs/>
          <w:sz w:val="30"/>
          <w:szCs w:val="30"/>
        </w:rPr>
      </w:pPr>
      <w:r>
        <w:rPr>
          <w:rFonts w:hint="eastAsia" w:ascii="仿宋" w:hAnsi="仿宋" w:eastAsia="仿宋"/>
          <w:bCs/>
          <w:sz w:val="30"/>
          <w:szCs w:val="30"/>
        </w:rPr>
        <w:t>（十）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 严肃处理相关责任人。</w:t>
      </w:r>
    </w:p>
    <w:p w14:paraId="12200239">
      <w:pPr>
        <w:spacing w:before="3" w:after="120"/>
        <w:ind w:firstLine="600"/>
        <w:rPr>
          <w:rFonts w:ascii="仿宋" w:hAnsi="仿宋" w:eastAsia="仿宋"/>
          <w:bCs/>
          <w:sz w:val="30"/>
          <w:szCs w:val="30"/>
        </w:rPr>
      </w:pPr>
      <w:r>
        <w:rPr>
          <w:rFonts w:hint="eastAsia" w:ascii="仿宋" w:hAnsi="仿宋" w:eastAsia="仿宋"/>
          <w:bCs/>
          <w:sz w:val="30"/>
          <w:szCs w:val="30"/>
        </w:rPr>
        <w:t>三、违约责任</w:t>
      </w:r>
    </w:p>
    <w:p w14:paraId="07EBA95F">
      <w:pPr>
        <w:spacing w:before="82" w:after="120"/>
        <w:ind w:firstLine="600"/>
        <w:rPr>
          <w:rFonts w:ascii="仿宋" w:hAnsi="仿宋" w:eastAsia="仿宋"/>
          <w:bCs/>
          <w:sz w:val="30"/>
          <w:szCs w:val="30"/>
        </w:rPr>
      </w:pPr>
      <w:r>
        <w:rPr>
          <w:rFonts w:hint="eastAsia" w:ascii="仿宋" w:hAnsi="仿宋" w:eastAsia="仿宋"/>
          <w:bCs/>
          <w:sz w:val="30"/>
          <w:szCs w:val="30"/>
        </w:rPr>
        <w:t>如因发包人或承包人违约造成安全事故，将依法追究责任。</w:t>
      </w:r>
    </w:p>
    <w:p w14:paraId="1333006F">
      <w:pPr>
        <w:pStyle w:val="104"/>
        <w:tabs>
          <w:tab w:val="left" w:pos="1344"/>
        </w:tabs>
        <w:spacing w:before="83" w:after="120"/>
        <w:ind w:left="0" w:right="385" w:firstLine="600" w:firstLineChars="200"/>
        <w:rPr>
          <w:rFonts w:ascii="仿宋" w:hAnsi="仿宋" w:eastAsia="仿宋"/>
          <w:bCs/>
          <w:sz w:val="30"/>
          <w:szCs w:val="30"/>
        </w:rPr>
      </w:pPr>
      <w:r>
        <w:rPr>
          <w:rFonts w:hint="eastAsia" w:ascii="仿宋" w:hAnsi="仿宋" w:eastAsia="仿宋"/>
          <w:bCs/>
          <w:sz w:val="30"/>
          <w:szCs w:val="30"/>
        </w:rPr>
        <w:t>四、本协议由双方法定代表人或其授权的代理人签署并加盖单位章后生效，全部工程竣工验收后失效。</w:t>
      </w:r>
    </w:p>
    <w:p w14:paraId="05725061">
      <w:pPr>
        <w:pStyle w:val="104"/>
        <w:tabs>
          <w:tab w:val="left" w:pos="1344"/>
          <w:tab w:val="left" w:pos="4252"/>
          <w:tab w:val="left" w:pos="8789"/>
        </w:tabs>
        <w:spacing w:before="6" w:after="120"/>
        <w:ind w:left="0" w:right="380" w:firstLine="600" w:firstLineChars="200"/>
        <w:rPr>
          <w:rFonts w:ascii="仿宋" w:hAnsi="仿宋" w:eastAsia="仿宋"/>
          <w:bCs/>
          <w:sz w:val="30"/>
          <w:szCs w:val="30"/>
        </w:rPr>
      </w:pPr>
      <w:r>
        <w:rPr>
          <w:rFonts w:hint="eastAsia" w:ascii="仿宋" w:hAnsi="仿宋" w:eastAsia="仿宋"/>
          <w:bCs/>
          <w:sz w:val="30"/>
          <w:szCs w:val="30"/>
        </w:rPr>
        <w:t>五、本协议正本二份、副本 拾 份，协议双方各执正本一份，发包人副本 陆 份，承包人副本 肆 份，当正本与副本的内容不一致时，以正本为准。</w:t>
      </w:r>
    </w:p>
    <w:p w14:paraId="53AF3871">
      <w:pPr>
        <w:tabs>
          <w:tab w:val="left" w:pos="3151"/>
          <w:tab w:val="left" w:pos="4934"/>
          <w:tab w:val="left" w:pos="5103"/>
          <w:tab w:val="left" w:pos="7781"/>
        </w:tabs>
        <w:spacing w:after="120" w:line="345" w:lineRule="auto"/>
        <w:ind w:right="262" w:firstLine="600"/>
        <w:rPr>
          <w:rFonts w:ascii="仿宋" w:hAnsi="仿宋" w:eastAsia="仿宋"/>
          <w:bCs/>
          <w:sz w:val="30"/>
          <w:szCs w:val="30"/>
        </w:rPr>
      </w:pPr>
    </w:p>
    <w:p w14:paraId="61C45862">
      <w:pPr>
        <w:tabs>
          <w:tab w:val="left" w:pos="3151"/>
          <w:tab w:val="left" w:pos="4934"/>
          <w:tab w:val="left" w:pos="5103"/>
          <w:tab w:val="left" w:pos="7781"/>
        </w:tabs>
        <w:spacing w:after="120" w:line="345" w:lineRule="auto"/>
        <w:ind w:right="262" w:firstLine="600"/>
        <w:rPr>
          <w:rFonts w:ascii="仿宋" w:hAnsi="仿宋" w:eastAsia="仿宋"/>
          <w:bCs/>
          <w:sz w:val="30"/>
          <w:szCs w:val="30"/>
        </w:rPr>
      </w:pPr>
    </w:p>
    <w:p w14:paraId="57295736">
      <w:pPr>
        <w:tabs>
          <w:tab w:val="left" w:pos="3151"/>
          <w:tab w:val="left" w:pos="4934"/>
          <w:tab w:val="left" w:pos="5103"/>
          <w:tab w:val="left" w:pos="7781"/>
        </w:tabs>
        <w:spacing w:after="120" w:line="345" w:lineRule="auto"/>
        <w:ind w:right="262" w:firstLine="600"/>
        <w:rPr>
          <w:rFonts w:ascii="仿宋" w:hAnsi="仿宋" w:eastAsia="仿宋"/>
          <w:bCs/>
          <w:sz w:val="30"/>
          <w:szCs w:val="30"/>
        </w:rPr>
      </w:pPr>
      <w:r>
        <w:rPr>
          <w:rFonts w:hint="eastAsia" w:ascii="仿宋" w:hAnsi="仿宋" w:eastAsia="仿宋"/>
          <w:bCs/>
          <w:sz w:val="30"/>
          <w:szCs w:val="30"/>
        </w:rPr>
        <w:t xml:space="preserve">发包人：广东省代建项目管理局        承包人：      </w:t>
      </w:r>
    </w:p>
    <w:p w14:paraId="20D91FF2">
      <w:pPr>
        <w:tabs>
          <w:tab w:val="left" w:pos="3151"/>
          <w:tab w:val="left" w:pos="4934"/>
          <w:tab w:val="left" w:pos="5529"/>
          <w:tab w:val="left" w:pos="7781"/>
        </w:tabs>
        <w:spacing w:after="120" w:line="345" w:lineRule="auto"/>
        <w:ind w:right="262" w:firstLine="600"/>
        <w:rPr>
          <w:rFonts w:ascii="仿宋" w:hAnsi="仿宋" w:eastAsia="仿宋"/>
          <w:bCs/>
          <w:sz w:val="30"/>
          <w:szCs w:val="30"/>
        </w:rPr>
      </w:pPr>
      <w:r>
        <w:rPr>
          <w:rFonts w:hint="eastAsia" w:ascii="仿宋" w:hAnsi="仿宋" w:eastAsia="仿宋"/>
          <w:bCs/>
          <w:sz w:val="30"/>
          <w:szCs w:val="30"/>
        </w:rPr>
        <w:t>法定代表人：                        法定代表人：</w:t>
      </w:r>
    </w:p>
    <w:p w14:paraId="06480D07">
      <w:pPr>
        <w:tabs>
          <w:tab w:val="left" w:pos="3151"/>
          <w:tab w:val="left" w:pos="4934"/>
          <w:tab w:val="left" w:pos="5174"/>
          <w:tab w:val="left" w:pos="7781"/>
        </w:tabs>
        <w:spacing w:after="120" w:line="345" w:lineRule="auto"/>
        <w:ind w:right="262" w:firstLine="600"/>
        <w:rPr>
          <w:rFonts w:ascii="仿宋" w:hAnsi="仿宋" w:eastAsia="仿宋"/>
          <w:bCs/>
          <w:sz w:val="30"/>
          <w:szCs w:val="30"/>
        </w:rPr>
      </w:pPr>
      <w:r>
        <w:rPr>
          <w:rFonts w:hint="eastAsia" w:ascii="仿宋" w:hAnsi="仿宋" w:eastAsia="仿宋"/>
          <w:bCs/>
          <w:sz w:val="30"/>
          <w:szCs w:val="30"/>
        </w:rPr>
        <w:t>或其委托代理人：</w:t>
      </w:r>
      <w:r>
        <w:rPr>
          <w:rFonts w:hint="eastAsia" w:ascii="仿宋" w:hAnsi="仿宋" w:eastAsia="仿宋"/>
          <w:bCs/>
          <w:sz w:val="30"/>
          <w:szCs w:val="30"/>
        </w:rPr>
        <w:tab/>
      </w:r>
      <w:r>
        <w:rPr>
          <w:rFonts w:hint="eastAsia" w:ascii="仿宋" w:hAnsi="仿宋" w:eastAsia="仿宋"/>
          <w:bCs/>
          <w:sz w:val="30"/>
          <w:szCs w:val="30"/>
        </w:rPr>
        <w:t xml:space="preserve">             或其委托代理人：</w:t>
      </w:r>
    </w:p>
    <w:p w14:paraId="3CEE03D8">
      <w:pPr>
        <w:spacing w:after="120"/>
        <w:ind w:firstLine="600"/>
        <w:rPr>
          <w:rFonts w:ascii="仿宋" w:hAnsi="仿宋" w:eastAsia="仿宋"/>
          <w:bCs/>
          <w:sz w:val="30"/>
          <w:szCs w:val="30"/>
        </w:rPr>
      </w:pPr>
      <w:r>
        <w:rPr>
          <w:rFonts w:hint="eastAsia" w:ascii="仿宋" w:hAnsi="仿宋" w:eastAsia="仿宋"/>
          <w:bCs/>
          <w:sz w:val="30"/>
          <w:szCs w:val="30"/>
        </w:rPr>
        <w:t>年  月  日                           年  月  日</w:t>
      </w:r>
    </w:p>
    <w:p w14:paraId="15D78FAD">
      <w:pPr>
        <w:spacing w:after="120"/>
        <w:ind w:firstLine="600"/>
        <w:rPr>
          <w:rFonts w:ascii="仿宋" w:hAnsi="仿宋" w:eastAsia="仿宋"/>
          <w:bCs/>
          <w:sz w:val="30"/>
          <w:szCs w:val="30"/>
        </w:rPr>
      </w:pPr>
    </w:p>
    <w:p w14:paraId="120EF23F">
      <w:pPr>
        <w:spacing w:after="120"/>
        <w:ind w:firstLine="0" w:firstLineChars="0"/>
        <w:rPr>
          <w:rFonts w:ascii="仿宋" w:hAnsi="仿宋" w:eastAsia="仿宋"/>
          <w:bCs/>
          <w:sz w:val="30"/>
          <w:szCs w:val="30"/>
        </w:rPr>
      </w:pPr>
    </w:p>
    <w:p w14:paraId="489F2090">
      <w:pPr>
        <w:tabs>
          <w:tab w:val="left" w:pos="3151"/>
          <w:tab w:val="left" w:pos="4934"/>
          <w:tab w:val="left" w:pos="5103"/>
          <w:tab w:val="left" w:pos="7781"/>
        </w:tabs>
        <w:spacing w:after="120" w:line="345" w:lineRule="auto"/>
        <w:ind w:right="262" w:firstLine="600"/>
        <w:rPr>
          <w:rFonts w:ascii="仿宋" w:hAnsi="仿宋" w:eastAsia="仿宋"/>
          <w:bCs/>
          <w:sz w:val="30"/>
          <w:szCs w:val="30"/>
        </w:rPr>
      </w:pPr>
      <w:r>
        <w:rPr>
          <w:rFonts w:hint="eastAsia" w:ascii="仿宋" w:hAnsi="仿宋" w:eastAsia="仿宋"/>
          <w:bCs/>
          <w:sz w:val="30"/>
          <w:szCs w:val="30"/>
        </w:rPr>
        <w:t>承包人：</w:t>
      </w:r>
    </w:p>
    <w:p w14:paraId="1698EDEE">
      <w:pPr>
        <w:tabs>
          <w:tab w:val="left" w:pos="3151"/>
          <w:tab w:val="left" w:pos="4934"/>
          <w:tab w:val="left" w:pos="5103"/>
          <w:tab w:val="left" w:pos="7781"/>
        </w:tabs>
        <w:spacing w:after="120" w:line="345" w:lineRule="auto"/>
        <w:ind w:right="262" w:firstLine="600"/>
        <w:rPr>
          <w:rFonts w:ascii="仿宋" w:hAnsi="仿宋" w:eastAsia="仿宋"/>
          <w:bCs/>
          <w:sz w:val="30"/>
          <w:szCs w:val="30"/>
        </w:rPr>
      </w:pPr>
      <w:r>
        <w:rPr>
          <w:rFonts w:hint="eastAsia" w:ascii="仿宋" w:hAnsi="仿宋" w:eastAsia="仿宋"/>
          <w:bCs/>
          <w:sz w:val="30"/>
          <w:szCs w:val="30"/>
        </w:rPr>
        <w:t>法定代表人：</w:t>
      </w:r>
    </w:p>
    <w:p w14:paraId="38714D99">
      <w:pPr>
        <w:tabs>
          <w:tab w:val="left" w:pos="3151"/>
          <w:tab w:val="left" w:pos="4934"/>
          <w:tab w:val="left" w:pos="5103"/>
          <w:tab w:val="left" w:pos="7781"/>
        </w:tabs>
        <w:spacing w:after="120" w:line="345" w:lineRule="auto"/>
        <w:ind w:right="262" w:firstLine="600"/>
        <w:rPr>
          <w:rFonts w:ascii="仿宋" w:hAnsi="仿宋" w:eastAsia="仿宋"/>
          <w:bCs/>
          <w:sz w:val="30"/>
          <w:szCs w:val="30"/>
        </w:rPr>
      </w:pPr>
      <w:r>
        <w:rPr>
          <w:rFonts w:hint="eastAsia" w:ascii="仿宋" w:hAnsi="仿宋" w:eastAsia="仿宋"/>
          <w:bCs/>
          <w:sz w:val="30"/>
          <w:szCs w:val="30"/>
        </w:rPr>
        <w:t>或其委托代理人：</w:t>
      </w:r>
    </w:p>
    <w:p w14:paraId="2406AA5E">
      <w:pPr>
        <w:tabs>
          <w:tab w:val="left" w:pos="3151"/>
          <w:tab w:val="left" w:pos="4934"/>
          <w:tab w:val="left" w:pos="5103"/>
          <w:tab w:val="left" w:pos="7781"/>
        </w:tabs>
        <w:spacing w:after="120" w:line="345" w:lineRule="auto"/>
        <w:ind w:right="262" w:firstLine="600"/>
        <w:rPr>
          <w:rFonts w:ascii="仿宋" w:hAnsi="仿宋" w:eastAsia="仿宋"/>
          <w:bCs/>
          <w:sz w:val="30"/>
          <w:szCs w:val="30"/>
        </w:rPr>
      </w:pPr>
      <w:r>
        <w:rPr>
          <w:rFonts w:hint="eastAsia" w:ascii="仿宋" w:hAnsi="仿宋" w:eastAsia="仿宋"/>
          <w:bCs/>
          <w:sz w:val="30"/>
          <w:szCs w:val="30"/>
        </w:rPr>
        <w:t>年  月  日</w:t>
      </w:r>
    </w:p>
    <w:p w14:paraId="48E7A4BE">
      <w:pPr>
        <w:spacing w:after="120"/>
        <w:jc w:val="left"/>
        <w:rPr>
          <w:szCs w:val="24"/>
        </w:rPr>
      </w:pPr>
      <w:r>
        <w:rPr>
          <w:szCs w:val="24"/>
        </w:rPr>
        <w:br w:type="page"/>
      </w:r>
    </w:p>
    <w:p w14:paraId="49AA57C1">
      <w:pPr>
        <w:pStyle w:val="106"/>
        <w:numPr>
          <w:ilvl w:val="0"/>
          <w:numId w:val="0"/>
        </w:numPr>
        <w:spacing w:after="120"/>
        <w:jc w:val="center"/>
        <w:outlineLvl w:val="1"/>
        <w:rPr>
          <w:rFonts w:ascii="仿宋" w:hAnsi="仿宋" w:eastAsia="仿宋" w:cs="仿宋"/>
          <w:b/>
          <w:bCs/>
          <w:sz w:val="32"/>
          <w:szCs w:val="32"/>
        </w:rPr>
      </w:pPr>
      <w:bookmarkStart w:id="952" w:name="_Toc5591"/>
      <w:bookmarkStart w:id="953" w:name="_Toc30188"/>
      <w:bookmarkStart w:id="954" w:name="_Toc9920"/>
      <w:r>
        <w:rPr>
          <w:rFonts w:hint="eastAsia" w:ascii="仿宋" w:hAnsi="仿宋" w:eastAsia="仿宋" w:cs="仿宋"/>
          <w:b/>
          <w:bCs/>
          <w:sz w:val="32"/>
          <w:szCs w:val="32"/>
        </w:rPr>
        <w:t>附件8 廉政协议书</w:t>
      </w:r>
      <w:bookmarkEnd w:id="952"/>
      <w:bookmarkEnd w:id="953"/>
      <w:bookmarkEnd w:id="954"/>
    </w:p>
    <w:p w14:paraId="06F84521">
      <w:pPr>
        <w:spacing w:after="120"/>
        <w:ind w:firstLine="600"/>
        <w:rPr>
          <w:rFonts w:ascii="仿宋" w:hAnsi="仿宋" w:eastAsia="仿宋"/>
          <w:sz w:val="30"/>
          <w:szCs w:val="30"/>
        </w:rPr>
      </w:pPr>
      <w:r>
        <w:rPr>
          <w:rFonts w:hint="eastAsia" w:ascii="仿宋" w:hAnsi="仿宋" w:eastAsia="仿宋"/>
          <w:sz w:val="30"/>
          <w:szCs w:val="30"/>
        </w:rPr>
        <w:t>发包人（全称）：</w:t>
      </w:r>
      <w:r>
        <w:rPr>
          <w:rFonts w:hint="eastAsia" w:ascii="仿宋" w:hAnsi="仿宋" w:eastAsia="仿宋"/>
          <w:sz w:val="30"/>
          <w:szCs w:val="30"/>
          <w:u w:val="single"/>
        </w:rPr>
        <w:t>广东省代建项目管理局</w:t>
      </w:r>
    </w:p>
    <w:p w14:paraId="05F03BEF">
      <w:pPr>
        <w:spacing w:after="120"/>
        <w:ind w:firstLine="600"/>
        <w:rPr>
          <w:rFonts w:ascii="仿宋" w:hAnsi="仿宋" w:eastAsia="仿宋"/>
          <w:sz w:val="30"/>
          <w:szCs w:val="30"/>
        </w:rPr>
      </w:pPr>
      <w:r>
        <w:rPr>
          <w:rFonts w:hint="eastAsia" w:ascii="仿宋" w:hAnsi="仿宋" w:eastAsia="仿宋"/>
          <w:sz w:val="30"/>
          <w:szCs w:val="30"/>
        </w:rPr>
        <w:t>承包人（全称）：</w:t>
      </w:r>
    </w:p>
    <w:p w14:paraId="0DFEA8C2">
      <w:pPr>
        <w:spacing w:after="120"/>
        <w:ind w:firstLine="600"/>
        <w:rPr>
          <w:rFonts w:ascii="仿宋" w:hAnsi="仿宋" w:eastAsia="仿宋"/>
          <w:sz w:val="30"/>
          <w:szCs w:val="30"/>
        </w:rPr>
      </w:pPr>
      <w:r>
        <w:rPr>
          <w:rFonts w:hint="eastAsia" w:ascii="仿宋" w:hAnsi="仿宋" w:eastAsia="仿宋"/>
          <w:sz w:val="30"/>
          <w:szCs w:val="30"/>
        </w:rPr>
        <w:t>根据国家、省有关廉政建设的规定，为做好合同工程的廉政建设，保证工程质量与施工安全，提高建设资金的有效使用和投资效益，合同双方当事人就加强合同工程的廉政建设，订立本合同。</w:t>
      </w:r>
      <w:r>
        <w:rPr>
          <w:rFonts w:hint="eastAsia" w:cs="宋体"/>
          <w:sz w:val="30"/>
          <w:szCs w:val="30"/>
        </w:rPr>
        <w:t>  </w:t>
      </w:r>
    </w:p>
    <w:p w14:paraId="59DDDCF3">
      <w:pPr>
        <w:spacing w:afterLines="0"/>
        <w:ind w:firstLine="600"/>
        <w:rPr>
          <w:rFonts w:ascii="仿宋" w:hAnsi="仿宋" w:eastAsia="仿宋"/>
          <w:sz w:val="30"/>
          <w:szCs w:val="30"/>
        </w:rPr>
      </w:pPr>
      <w:r>
        <w:rPr>
          <w:rFonts w:ascii="仿宋" w:hAnsi="仿宋" w:eastAsia="仿宋"/>
          <w:sz w:val="30"/>
          <w:szCs w:val="30"/>
        </w:rPr>
        <w:t>1</w:t>
      </w:r>
      <w:r>
        <w:rPr>
          <w:rFonts w:hint="eastAsia" w:ascii="仿宋" w:hAnsi="仿宋" w:eastAsia="仿宋"/>
          <w:sz w:val="30"/>
          <w:szCs w:val="30"/>
        </w:rPr>
        <w:t>双方权利和义务</w:t>
      </w:r>
      <w:r>
        <w:rPr>
          <w:rFonts w:hint="eastAsia" w:cs="宋体"/>
          <w:sz w:val="30"/>
          <w:szCs w:val="30"/>
        </w:rPr>
        <w:t>  </w:t>
      </w:r>
    </w:p>
    <w:p w14:paraId="04A6F832">
      <w:pPr>
        <w:spacing w:afterLines="0"/>
        <w:ind w:firstLine="600"/>
        <w:rPr>
          <w:rFonts w:ascii="仿宋" w:hAnsi="仿宋" w:eastAsia="仿宋"/>
          <w:sz w:val="30"/>
          <w:szCs w:val="30"/>
        </w:rPr>
      </w:pPr>
      <w:r>
        <w:rPr>
          <w:rFonts w:ascii="仿宋" w:hAnsi="仿宋" w:eastAsia="仿宋"/>
          <w:sz w:val="30"/>
          <w:szCs w:val="30"/>
        </w:rPr>
        <w:t>1.1</w:t>
      </w:r>
      <w:r>
        <w:rPr>
          <w:rFonts w:hint="eastAsia" w:ascii="仿宋" w:hAnsi="仿宋" w:eastAsia="仿宋"/>
          <w:sz w:val="30"/>
          <w:szCs w:val="30"/>
        </w:rPr>
        <w:t>严格遵守国家、省有关法律法规的规定。</w:t>
      </w:r>
      <w:r>
        <w:rPr>
          <w:rFonts w:hint="eastAsia" w:cs="宋体"/>
          <w:sz w:val="30"/>
          <w:szCs w:val="30"/>
        </w:rPr>
        <w:t>  </w:t>
      </w:r>
    </w:p>
    <w:p w14:paraId="1E1A924F">
      <w:pPr>
        <w:spacing w:afterLines="0"/>
        <w:ind w:firstLine="600"/>
        <w:rPr>
          <w:rFonts w:ascii="仿宋" w:hAnsi="仿宋" w:eastAsia="仿宋"/>
          <w:sz w:val="30"/>
          <w:szCs w:val="30"/>
        </w:rPr>
      </w:pPr>
      <w:r>
        <w:rPr>
          <w:rFonts w:ascii="仿宋" w:hAnsi="仿宋" w:eastAsia="仿宋"/>
          <w:sz w:val="30"/>
          <w:szCs w:val="30"/>
        </w:rPr>
        <w:t>1.2</w:t>
      </w:r>
      <w:r>
        <w:rPr>
          <w:rFonts w:hint="eastAsia" w:ascii="仿宋" w:hAnsi="仿宋" w:eastAsia="仿宋"/>
          <w:sz w:val="30"/>
          <w:szCs w:val="30"/>
        </w:rPr>
        <w:t>严格执行合同工程一切合同文件，自觉按合同办事。</w:t>
      </w:r>
      <w:r>
        <w:rPr>
          <w:rFonts w:hint="eastAsia" w:cs="宋体"/>
          <w:sz w:val="30"/>
          <w:szCs w:val="30"/>
        </w:rPr>
        <w:t>  </w:t>
      </w:r>
    </w:p>
    <w:p w14:paraId="2F6C63B0">
      <w:pPr>
        <w:spacing w:afterLines="0"/>
        <w:ind w:firstLine="600"/>
        <w:rPr>
          <w:rFonts w:ascii="仿宋" w:hAnsi="仿宋" w:eastAsia="仿宋"/>
          <w:sz w:val="30"/>
          <w:szCs w:val="30"/>
        </w:rPr>
      </w:pPr>
      <w:r>
        <w:rPr>
          <w:rFonts w:ascii="仿宋" w:hAnsi="仿宋" w:eastAsia="仿宋"/>
          <w:sz w:val="30"/>
          <w:szCs w:val="30"/>
        </w:rPr>
        <w:t>1.3 </w:t>
      </w:r>
      <w:r>
        <w:rPr>
          <w:rFonts w:hint="eastAsia" w:ascii="仿宋" w:hAnsi="仿宋" w:eastAsia="仿宋"/>
          <w:sz w:val="30"/>
          <w:szCs w:val="30"/>
        </w:rPr>
        <w:t>合同双方当事人的业务活动应坚持公平、公开、公正和诚信的原则（法律认定的商业秘密和合同文件另有规定除外），不得损害国家和集体利益，不得违反工程建设管理规章制度。</w:t>
      </w:r>
      <w:r>
        <w:rPr>
          <w:rFonts w:hint="eastAsia" w:cs="宋体"/>
          <w:sz w:val="30"/>
          <w:szCs w:val="30"/>
        </w:rPr>
        <w:t>  </w:t>
      </w:r>
    </w:p>
    <w:p w14:paraId="29056C7D">
      <w:pPr>
        <w:spacing w:afterLines="0"/>
        <w:ind w:firstLine="600"/>
        <w:rPr>
          <w:rFonts w:ascii="仿宋" w:hAnsi="仿宋" w:eastAsia="仿宋"/>
          <w:sz w:val="30"/>
          <w:szCs w:val="30"/>
        </w:rPr>
      </w:pPr>
      <w:r>
        <w:rPr>
          <w:rFonts w:ascii="仿宋" w:hAnsi="仿宋" w:eastAsia="仿宋"/>
          <w:sz w:val="30"/>
          <w:szCs w:val="30"/>
        </w:rPr>
        <w:t>1.4  </w:t>
      </w:r>
      <w:r>
        <w:rPr>
          <w:rFonts w:hint="eastAsia" w:ascii="仿宋" w:hAnsi="仿宋" w:eastAsia="仿宋"/>
          <w:sz w:val="30"/>
          <w:szCs w:val="30"/>
        </w:rPr>
        <w:t>建立健全廉政制度，开展廉政教育，设立廉政告示牌，公布举报电话，监督并认真查处违法违纪行为。  </w:t>
      </w:r>
    </w:p>
    <w:p w14:paraId="21BA2369">
      <w:pPr>
        <w:spacing w:afterLines="0"/>
        <w:ind w:firstLine="600"/>
        <w:rPr>
          <w:rFonts w:ascii="仿宋" w:hAnsi="仿宋" w:eastAsia="仿宋"/>
          <w:sz w:val="30"/>
          <w:szCs w:val="30"/>
        </w:rPr>
      </w:pPr>
      <w:r>
        <w:rPr>
          <w:rFonts w:ascii="仿宋" w:hAnsi="仿宋" w:eastAsia="仿宋"/>
          <w:sz w:val="30"/>
          <w:szCs w:val="30"/>
        </w:rPr>
        <w:t>1.5  </w:t>
      </w:r>
      <w:r>
        <w:rPr>
          <w:rFonts w:hint="eastAsia" w:ascii="仿宋" w:hAnsi="仿宋" w:eastAsia="仿宋"/>
          <w:sz w:val="30"/>
          <w:szCs w:val="30"/>
        </w:rPr>
        <w:t>发现对方在业务活动中有违反廉政建设规定的行为，应及时给予提醒和纠正。  </w:t>
      </w:r>
    </w:p>
    <w:p w14:paraId="41F7DD95">
      <w:pPr>
        <w:spacing w:afterLines="0"/>
        <w:ind w:firstLine="600"/>
        <w:rPr>
          <w:rFonts w:ascii="仿宋" w:hAnsi="仿宋" w:eastAsia="仿宋"/>
          <w:sz w:val="30"/>
          <w:szCs w:val="30"/>
        </w:rPr>
      </w:pPr>
      <w:r>
        <w:rPr>
          <w:rFonts w:ascii="仿宋" w:hAnsi="仿宋" w:eastAsia="仿宋"/>
          <w:sz w:val="30"/>
          <w:szCs w:val="30"/>
        </w:rPr>
        <w:t>1.6  </w:t>
      </w:r>
      <w:r>
        <w:rPr>
          <w:rFonts w:hint="eastAsia" w:ascii="仿宋" w:hAnsi="仿宋" w:eastAsia="仿宋"/>
          <w:sz w:val="30"/>
          <w:szCs w:val="30"/>
        </w:rPr>
        <w:t>发现对方严重违反合同的行为，有向其上级部门举报、建议给予处理并要求告知处理结果的权利。没有上级部门的，可按本合同第二部分《通用条款》第</w:t>
      </w:r>
      <w:r>
        <w:rPr>
          <w:rFonts w:ascii="仿宋" w:hAnsi="仿宋" w:eastAsia="仿宋"/>
          <w:sz w:val="30"/>
          <w:szCs w:val="30"/>
        </w:rPr>
        <w:t>87 </w:t>
      </w:r>
      <w:r>
        <w:rPr>
          <w:rFonts w:hint="eastAsia" w:ascii="仿宋" w:hAnsi="仿宋" w:eastAsia="仿宋"/>
          <w:sz w:val="30"/>
          <w:szCs w:val="30"/>
        </w:rPr>
        <w:t>条规定处理。  </w:t>
      </w:r>
    </w:p>
    <w:p w14:paraId="04BF48A7">
      <w:pPr>
        <w:spacing w:afterLines="0"/>
        <w:ind w:firstLine="600"/>
        <w:rPr>
          <w:rFonts w:ascii="仿宋" w:hAnsi="仿宋" w:eastAsia="仿宋"/>
          <w:sz w:val="30"/>
          <w:szCs w:val="30"/>
        </w:rPr>
      </w:pPr>
      <w:r>
        <w:rPr>
          <w:rFonts w:ascii="仿宋" w:hAnsi="仿宋" w:eastAsia="仿宋"/>
          <w:sz w:val="30"/>
          <w:szCs w:val="30"/>
        </w:rPr>
        <w:t>2  </w:t>
      </w:r>
      <w:r>
        <w:rPr>
          <w:rFonts w:hint="eastAsia" w:ascii="仿宋" w:hAnsi="仿宋" w:eastAsia="仿宋"/>
          <w:sz w:val="30"/>
          <w:szCs w:val="30"/>
        </w:rPr>
        <w:t>发包人义务  </w:t>
      </w:r>
    </w:p>
    <w:p w14:paraId="2B245CB9">
      <w:pPr>
        <w:spacing w:afterLines="0"/>
        <w:ind w:firstLine="600"/>
        <w:rPr>
          <w:rFonts w:ascii="仿宋" w:hAnsi="仿宋" w:eastAsia="仿宋"/>
          <w:sz w:val="30"/>
          <w:szCs w:val="30"/>
        </w:rPr>
      </w:pPr>
      <w:r>
        <w:rPr>
          <w:rFonts w:ascii="仿宋" w:hAnsi="仿宋" w:eastAsia="仿宋"/>
          <w:sz w:val="30"/>
          <w:szCs w:val="30"/>
        </w:rPr>
        <w:t>2.1  </w:t>
      </w:r>
      <w:r>
        <w:rPr>
          <w:rFonts w:hint="eastAsia" w:ascii="仿宋" w:hAnsi="仿宋" w:eastAsia="仿宋"/>
          <w:sz w:val="30"/>
          <w:szCs w:val="30"/>
        </w:rPr>
        <w:t>发包人及其工作人员不得索取或接受承包人的礼金、有价证券和贵重物品，不得在承包人报销任何应由发包人或其工作人员个人支付的费用。  </w:t>
      </w:r>
    </w:p>
    <w:p w14:paraId="336101AC">
      <w:pPr>
        <w:spacing w:afterLines="0"/>
        <w:ind w:firstLine="600"/>
        <w:rPr>
          <w:rFonts w:ascii="仿宋" w:hAnsi="仿宋" w:eastAsia="仿宋"/>
          <w:sz w:val="30"/>
          <w:szCs w:val="30"/>
        </w:rPr>
      </w:pPr>
      <w:r>
        <w:rPr>
          <w:rFonts w:ascii="仿宋" w:hAnsi="仿宋" w:eastAsia="仿宋"/>
          <w:sz w:val="30"/>
          <w:szCs w:val="30"/>
        </w:rPr>
        <w:t>2.2  </w:t>
      </w:r>
      <w:r>
        <w:rPr>
          <w:rFonts w:hint="eastAsia" w:ascii="仿宋" w:hAnsi="仿宋" w:eastAsia="仿宋"/>
          <w:sz w:val="30"/>
          <w:szCs w:val="30"/>
        </w:rPr>
        <w:t>发包人及其工作人员不得参加承包人安排的宴请（工作餐除外）和娱乐活动，不得接受承包人提供的通讯、交通工具和高档办公用品等物品。</w:t>
      </w:r>
    </w:p>
    <w:p w14:paraId="0ABD0E69">
      <w:pPr>
        <w:spacing w:afterLines="0"/>
        <w:ind w:firstLine="600"/>
        <w:rPr>
          <w:rFonts w:ascii="仿宋" w:hAnsi="仿宋" w:eastAsia="仿宋"/>
          <w:sz w:val="30"/>
          <w:szCs w:val="30"/>
        </w:rPr>
      </w:pPr>
      <w:r>
        <w:rPr>
          <w:rFonts w:ascii="仿宋" w:hAnsi="仿宋" w:eastAsia="仿宋"/>
          <w:sz w:val="30"/>
          <w:szCs w:val="30"/>
        </w:rPr>
        <w:t>2.3  </w:t>
      </w:r>
      <w:r>
        <w:rPr>
          <w:rFonts w:hint="eastAsia" w:ascii="仿宋" w:hAnsi="仿宋" w:eastAsia="仿宋"/>
          <w:sz w:val="30"/>
          <w:szCs w:val="30"/>
        </w:rPr>
        <w:t>发包人及其工作人员不得要求或者接受承包人为其住房装修、婚丧嫁娶活动、配偶子女工作安排以及出国出境、旅游等提供方便。  </w:t>
      </w:r>
    </w:p>
    <w:p w14:paraId="675C46DE">
      <w:pPr>
        <w:spacing w:afterLines="0"/>
        <w:ind w:firstLine="600"/>
        <w:rPr>
          <w:rFonts w:ascii="仿宋" w:hAnsi="仿宋" w:eastAsia="仿宋"/>
          <w:sz w:val="30"/>
          <w:szCs w:val="30"/>
        </w:rPr>
      </w:pPr>
      <w:r>
        <w:rPr>
          <w:rFonts w:ascii="仿宋" w:hAnsi="仿宋" w:eastAsia="仿宋"/>
          <w:sz w:val="30"/>
          <w:szCs w:val="30"/>
        </w:rPr>
        <w:t>2.4 </w:t>
      </w:r>
      <w:r>
        <w:rPr>
          <w:rFonts w:hint="eastAsia" w:ascii="仿宋" w:hAnsi="仿宋" w:eastAsia="仿宋"/>
          <w:sz w:val="30"/>
          <w:szCs w:val="30"/>
        </w:rPr>
        <w:t>发包人及其工作人员不得以任何理由向承包人推荐分包人、推销材料和工程设备，不得要求承包人购买合同以外的材料和工程设备。  </w:t>
      </w:r>
    </w:p>
    <w:p w14:paraId="62ACEA7A">
      <w:pPr>
        <w:spacing w:afterLines="0"/>
        <w:ind w:firstLine="600"/>
        <w:rPr>
          <w:rFonts w:ascii="仿宋" w:hAnsi="仿宋" w:eastAsia="仿宋"/>
          <w:sz w:val="30"/>
          <w:szCs w:val="30"/>
        </w:rPr>
      </w:pPr>
      <w:r>
        <w:rPr>
          <w:rFonts w:ascii="仿宋" w:hAnsi="仿宋" w:eastAsia="仿宋"/>
          <w:sz w:val="30"/>
          <w:szCs w:val="30"/>
        </w:rPr>
        <w:t>2.5  </w:t>
      </w:r>
      <w:r>
        <w:rPr>
          <w:rFonts w:hint="eastAsia" w:ascii="仿宋" w:hAnsi="仿宋" w:eastAsia="仿宋"/>
          <w:sz w:val="30"/>
          <w:szCs w:val="30"/>
        </w:rPr>
        <w:t>发包人及其工作人员要秉公办事，不准营私舞弊，不准利用职权私自为合同工程安排施工队伍，也不得从事与合同工程有关的各种有偿中介活动。  </w:t>
      </w:r>
    </w:p>
    <w:p w14:paraId="0F24EF7D">
      <w:pPr>
        <w:spacing w:afterLines="0"/>
        <w:ind w:firstLine="600"/>
        <w:rPr>
          <w:rFonts w:ascii="仿宋" w:hAnsi="仿宋" w:eastAsia="仿宋"/>
          <w:sz w:val="30"/>
          <w:szCs w:val="30"/>
        </w:rPr>
      </w:pPr>
      <w:r>
        <w:rPr>
          <w:rFonts w:ascii="仿宋" w:hAnsi="仿宋" w:eastAsia="仿宋"/>
          <w:sz w:val="30"/>
          <w:szCs w:val="30"/>
        </w:rPr>
        <w:t>2.6 </w:t>
      </w:r>
      <w:r>
        <w:rPr>
          <w:rFonts w:hint="eastAsia" w:ascii="仿宋" w:hAnsi="仿宋" w:eastAsia="仿宋"/>
          <w:sz w:val="30"/>
          <w:szCs w:val="30"/>
        </w:rPr>
        <w:t>发包人及其工作人员（含其配偶、子女）不得从事与合同工程有关的材料和工程设备供应、工程分包、劳务等经济活动。  </w:t>
      </w:r>
    </w:p>
    <w:p w14:paraId="3BF03534">
      <w:pPr>
        <w:spacing w:afterLines="0"/>
        <w:ind w:firstLine="600"/>
        <w:rPr>
          <w:rFonts w:ascii="仿宋" w:hAnsi="仿宋" w:eastAsia="仿宋"/>
          <w:sz w:val="30"/>
          <w:szCs w:val="30"/>
        </w:rPr>
      </w:pPr>
      <w:r>
        <w:rPr>
          <w:rFonts w:ascii="仿宋" w:hAnsi="仿宋" w:eastAsia="仿宋"/>
          <w:sz w:val="30"/>
          <w:szCs w:val="30"/>
        </w:rPr>
        <w:t>3  </w:t>
      </w:r>
      <w:r>
        <w:rPr>
          <w:rFonts w:hint="eastAsia" w:ascii="仿宋" w:hAnsi="仿宋" w:eastAsia="仿宋"/>
          <w:sz w:val="30"/>
          <w:szCs w:val="30"/>
        </w:rPr>
        <w:t>承包人义务  </w:t>
      </w:r>
    </w:p>
    <w:p w14:paraId="392DF43E">
      <w:pPr>
        <w:spacing w:afterLines="0"/>
        <w:ind w:firstLine="600"/>
        <w:rPr>
          <w:rFonts w:ascii="仿宋" w:hAnsi="仿宋" w:eastAsia="仿宋"/>
          <w:sz w:val="30"/>
          <w:szCs w:val="30"/>
        </w:rPr>
      </w:pPr>
      <w:r>
        <w:rPr>
          <w:rFonts w:ascii="仿宋" w:hAnsi="仿宋" w:eastAsia="仿宋"/>
          <w:sz w:val="30"/>
          <w:szCs w:val="30"/>
        </w:rPr>
        <w:t>3.1  </w:t>
      </w:r>
      <w:r>
        <w:rPr>
          <w:rFonts w:hint="eastAsia" w:ascii="仿宋" w:hAnsi="仿宋" w:eastAsia="仿宋"/>
          <w:sz w:val="30"/>
          <w:szCs w:val="30"/>
        </w:rPr>
        <w:t>承包人不得以任何理由向发包人及其工作人员行贿或馈赠礼金、有价证券、贵重礼品。  </w:t>
      </w:r>
    </w:p>
    <w:p w14:paraId="571D84E3">
      <w:pPr>
        <w:spacing w:afterLines="0"/>
        <w:ind w:firstLine="600"/>
        <w:rPr>
          <w:rFonts w:ascii="仿宋" w:hAnsi="仿宋" w:eastAsia="仿宋"/>
          <w:sz w:val="30"/>
          <w:szCs w:val="30"/>
        </w:rPr>
      </w:pPr>
      <w:r>
        <w:rPr>
          <w:rFonts w:ascii="仿宋" w:hAnsi="仿宋" w:eastAsia="仿宋"/>
          <w:sz w:val="30"/>
          <w:szCs w:val="30"/>
        </w:rPr>
        <w:t>3.2  </w:t>
      </w:r>
      <w:r>
        <w:rPr>
          <w:rFonts w:hint="eastAsia" w:ascii="仿宋" w:hAnsi="仿宋" w:eastAsia="仿宋"/>
          <w:sz w:val="30"/>
          <w:szCs w:val="30"/>
        </w:rPr>
        <w:t>承包人不得以任何名义为发包人及其工作人员报销应由发包人或其工作人员个人支付的任何费用。  </w:t>
      </w:r>
    </w:p>
    <w:p w14:paraId="118FCC35">
      <w:pPr>
        <w:spacing w:afterLines="0"/>
        <w:ind w:firstLine="600"/>
        <w:rPr>
          <w:rFonts w:ascii="仿宋" w:hAnsi="仿宋" w:eastAsia="仿宋"/>
          <w:sz w:val="30"/>
          <w:szCs w:val="30"/>
        </w:rPr>
      </w:pPr>
      <w:r>
        <w:rPr>
          <w:rFonts w:ascii="仿宋" w:hAnsi="仿宋" w:eastAsia="仿宋"/>
          <w:sz w:val="30"/>
          <w:szCs w:val="30"/>
        </w:rPr>
        <w:t>3.3  </w:t>
      </w:r>
      <w:r>
        <w:rPr>
          <w:rFonts w:hint="eastAsia" w:ascii="仿宋" w:hAnsi="仿宋" w:eastAsia="仿宋"/>
          <w:sz w:val="30"/>
          <w:szCs w:val="30"/>
        </w:rPr>
        <w:t>承包人不得以任何理由安排发包人及其工作人员参加宴请（工作餐除外）及娱乐活动。</w:t>
      </w:r>
    </w:p>
    <w:p w14:paraId="5698FCFB">
      <w:pPr>
        <w:spacing w:afterLines="0"/>
        <w:ind w:firstLine="600"/>
        <w:rPr>
          <w:rFonts w:ascii="仿宋" w:hAnsi="仿宋" w:eastAsia="仿宋"/>
          <w:sz w:val="30"/>
          <w:szCs w:val="30"/>
        </w:rPr>
      </w:pPr>
      <w:r>
        <w:rPr>
          <w:rFonts w:hint="eastAsia" w:ascii="仿宋" w:hAnsi="仿宋" w:eastAsia="仿宋"/>
          <w:sz w:val="30"/>
          <w:szCs w:val="30"/>
        </w:rPr>
        <w:t> </w:t>
      </w:r>
      <w:r>
        <w:rPr>
          <w:rFonts w:ascii="仿宋" w:hAnsi="仿宋" w:eastAsia="仿宋"/>
          <w:sz w:val="30"/>
          <w:szCs w:val="30"/>
        </w:rPr>
        <w:t>3.4  </w:t>
      </w:r>
      <w:r>
        <w:rPr>
          <w:rFonts w:hint="eastAsia" w:ascii="仿宋" w:hAnsi="仿宋" w:eastAsia="仿宋"/>
          <w:sz w:val="30"/>
          <w:szCs w:val="30"/>
        </w:rPr>
        <w:t>承包人不得为发包人和个人购置或提供通讯、交通工具和高档办公用品等物品。</w:t>
      </w:r>
    </w:p>
    <w:p w14:paraId="64C84335">
      <w:pPr>
        <w:spacing w:afterLines="0"/>
        <w:ind w:firstLine="600"/>
        <w:rPr>
          <w:rFonts w:ascii="仿宋" w:hAnsi="仿宋" w:eastAsia="仿宋"/>
          <w:sz w:val="30"/>
          <w:szCs w:val="30"/>
        </w:rPr>
      </w:pPr>
      <w:r>
        <w:rPr>
          <w:rFonts w:hint="eastAsia" w:ascii="仿宋" w:hAnsi="仿宋" w:eastAsia="仿宋"/>
          <w:sz w:val="30"/>
          <w:szCs w:val="30"/>
        </w:rPr>
        <w:t> </w:t>
      </w:r>
      <w:r>
        <w:rPr>
          <w:rFonts w:ascii="仿宋" w:hAnsi="仿宋" w:eastAsia="仿宋"/>
          <w:sz w:val="30"/>
          <w:szCs w:val="30"/>
        </w:rPr>
        <w:t>3.5  </w:t>
      </w:r>
      <w:r>
        <w:rPr>
          <w:rFonts w:hint="eastAsia" w:ascii="仿宋" w:hAnsi="仿宋" w:eastAsia="仿宋"/>
          <w:sz w:val="30"/>
          <w:szCs w:val="30"/>
        </w:rPr>
        <w:t>承包人不得为发包人及其工作人员的住房装修、婚丧嫁娶活动、配偶子女工作安排以及出国出境、旅游等提供方便。  </w:t>
      </w:r>
    </w:p>
    <w:p w14:paraId="3629CDCE">
      <w:pPr>
        <w:spacing w:afterLines="0"/>
        <w:ind w:firstLine="600"/>
        <w:rPr>
          <w:rFonts w:ascii="仿宋" w:hAnsi="仿宋" w:eastAsia="仿宋"/>
          <w:sz w:val="30"/>
          <w:szCs w:val="30"/>
        </w:rPr>
      </w:pPr>
      <w:r>
        <w:rPr>
          <w:rFonts w:ascii="仿宋" w:hAnsi="仿宋" w:eastAsia="仿宋"/>
          <w:sz w:val="30"/>
          <w:szCs w:val="30"/>
        </w:rPr>
        <w:t xml:space="preserve">3.6 </w:t>
      </w:r>
      <w:r>
        <w:rPr>
          <w:rFonts w:hint="eastAsia" w:ascii="仿宋" w:hAnsi="仿宋" w:eastAsia="仿宋"/>
          <w:sz w:val="30"/>
          <w:szCs w:val="30"/>
        </w:rPr>
        <w:t>承包人不得与发包人及其工作人员亲属经营的企业存在业务关联或利益输送。</w:t>
      </w:r>
    </w:p>
    <w:p w14:paraId="2AF572E5">
      <w:pPr>
        <w:spacing w:afterLines="0"/>
        <w:ind w:firstLine="600"/>
        <w:rPr>
          <w:rFonts w:ascii="仿宋" w:hAnsi="仿宋" w:eastAsia="仿宋"/>
          <w:sz w:val="30"/>
          <w:szCs w:val="30"/>
        </w:rPr>
      </w:pPr>
      <w:r>
        <w:rPr>
          <w:rFonts w:ascii="仿宋" w:hAnsi="仿宋" w:eastAsia="仿宋"/>
          <w:sz w:val="30"/>
          <w:szCs w:val="30"/>
        </w:rPr>
        <w:t>4  </w:t>
      </w:r>
      <w:r>
        <w:rPr>
          <w:rFonts w:hint="eastAsia" w:ascii="仿宋" w:hAnsi="仿宋" w:eastAsia="仿宋"/>
          <w:sz w:val="30"/>
          <w:szCs w:val="30"/>
        </w:rPr>
        <w:t>违约责任  </w:t>
      </w:r>
    </w:p>
    <w:p w14:paraId="6E00B05E">
      <w:pPr>
        <w:spacing w:afterLines="0"/>
        <w:ind w:firstLine="600"/>
        <w:rPr>
          <w:rFonts w:ascii="仿宋" w:hAnsi="仿宋" w:eastAsia="仿宋"/>
          <w:sz w:val="30"/>
          <w:szCs w:val="30"/>
        </w:rPr>
      </w:pPr>
      <w:r>
        <w:rPr>
          <w:rFonts w:ascii="仿宋" w:hAnsi="仿宋" w:eastAsia="仿宋"/>
          <w:sz w:val="30"/>
          <w:szCs w:val="30"/>
        </w:rPr>
        <w:t>4.1  </w:t>
      </w:r>
      <w:r>
        <w:rPr>
          <w:rFonts w:hint="eastAsia" w:ascii="仿宋" w:hAnsi="仿宋" w:eastAsia="仿宋"/>
          <w:sz w:val="30"/>
          <w:szCs w:val="30"/>
        </w:rPr>
        <w:t>发包人及其工作人员违反本合同第</w:t>
      </w:r>
      <w:r>
        <w:rPr>
          <w:rFonts w:ascii="仿宋" w:hAnsi="仿宋" w:eastAsia="仿宋"/>
          <w:sz w:val="30"/>
          <w:szCs w:val="30"/>
        </w:rPr>
        <w:t>1 </w:t>
      </w:r>
      <w:r>
        <w:rPr>
          <w:rFonts w:hint="eastAsia" w:ascii="仿宋" w:hAnsi="仿宋" w:eastAsia="仿宋"/>
          <w:sz w:val="30"/>
          <w:szCs w:val="30"/>
        </w:rPr>
        <w:t>条和第</w:t>
      </w:r>
      <w:r>
        <w:rPr>
          <w:rFonts w:ascii="仿宋" w:hAnsi="仿宋" w:eastAsia="仿宋"/>
          <w:sz w:val="30"/>
          <w:szCs w:val="30"/>
        </w:rPr>
        <w:t>2 </w:t>
      </w:r>
      <w:r>
        <w:rPr>
          <w:rFonts w:hint="eastAsia" w:ascii="仿宋" w:hAnsi="仿宋" w:eastAsia="仿宋"/>
          <w:sz w:val="30"/>
          <w:szCs w:val="30"/>
        </w:rPr>
        <w:t>条规定，应按照廉政建设的有关规定给予处分；涉嫌犯罪的，移交司法机关追究刑事责任；给承包人造成损失的，应予赔偿。  </w:t>
      </w:r>
    </w:p>
    <w:p w14:paraId="4FC0C8DB">
      <w:pPr>
        <w:spacing w:afterLines="0"/>
        <w:ind w:firstLine="600"/>
        <w:rPr>
          <w:rFonts w:ascii="仿宋" w:hAnsi="仿宋" w:eastAsia="仿宋"/>
          <w:sz w:val="30"/>
          <w:szCs w:val="30"/>
        </w:rPr>
      </w:pPr>
      <w:r>
        <w:rPr>
          <w:rFonts w:ascii="仿宋" w:hAnsi="仿宋" w:eastAsia="仿宋"/>
          <w:sz w:val="30"/>
          <w:szCs w:val="30"/>
        </w:rPr>
        <w:t>4.2  </w:t>
      </w:r>
      <w:r>
        <w:rPr>
          <w:rFonts w:hint="eastAsia" w:ascii="仿宋" w:hAnsi="仿宋" w:eastAsia="仿宋"/>
          <w:sz w:val="30"/>
          <w:szCs w:val="30"/>
        </w:rPr>
        <w:t>承包人及其工作人员违反本合同第</w:t>
      </w:r>
      <w:r>
        <w:rPr>
          <w:rFonts w:ascii="仿宋" w:hAnsi="仿宋" w:eastAsia="仿宋"/>
          <w:sz w:val="30"/>
          <w:szCs w:val="30"/>
        </w:rPr>
        <w:t>1 </w:t>
      </w:r>
      <w:r>
        <w:rPr>
          <w:rFonts w:hint="eastAsia" w:ascii="仿宋" w:hAnsi="仿宋" w:eastAsia="仿宋"/>
          <w:sz w:val="30"/>
          <w:szCs w:val="30"/>
        </w:rPr>
        <w:t>条和第</w:t>
      </w:r>
      <w:r>
        <w:rPr>
          <w:rFonts w:ascii="仿宋" w:hAnsi="仿宋" w:eastAsia="仿宋"/>
          <w:sz w:val="30"/>
          <w:szCs w:val="30"/>
        </w:rPr>
        <w:t>3 </w:t>
      </w:r>
      <w:r>
        <w:rPr>
          <w:rFonts w:hint="eastAsia" w:ascii="仿宋" w:hAnsi="仿宋" w:eastAsia="仿宋"/>
          <w:sz w:val="30"/>
          <w:szCs w:val="30"/>
        </w:rPr>
        <w:t>条规定，应按照廉政建设的有关规定给予处分；情节严重的，给予承包人</w:t>
      </w:r>
      <w:r>
        <w:rPr>
          <w:rFonts w:ascii="仿宋" w:hAnsi="仿宋" w:eastAsia="仿宋"/>
          <w:sz w:val="30"/>
          <w:szCs w:val="30"/>
        </w:rPr>
        <w:t>1</w:t>
      </w:r>
      <w:r>
        <w:rPr>
          <w:rFonts w:hint="eastAsia" w:ascii="仿宋" w:hAnsi="仿宋" w:eastAsia="仿宋"/>
          <w:sz w:val="30"/>
          <w:szCs w:val="30"/>
        </w:rPr>
        <w:t>～</w:t>
      </w:r>
      <w:r>
        <w:rPr>
          <w:rFonts w:ascii="仿宋" w:hAnsi="仿宋" w:eastAsia="仿宋"/>
          <w:sz w:val="30"/>
          <w:szCs w:val="30"/>
        </w:rPr>
        <w:t>3 </w:t>
      </w:r>
      <w:r>
        <w:rPr>
          <w:rFonts w:hint="eastAsia" w:ascii="仿宋" w:hAnsi="仿宋" w:eastAsia="仿宋"/>
          <w:sz w:val="30"/>
          <w:szCs w:val="30"/>
        </w:rPr>
        <w:t>年内不得进入工程建设市场的处罚；涉嫌犯罪的，移交司法机关追究刑事责任；给发包人造成损失的，应予赔偿；  </w:t>
      </w:r>
    </w:p>
    <w:p w14:paraId="58C33927">
      <w:pPr>
        <w:spacing w:afterLines="0"/>
        <w:ind w:firstLine="600"/>
        <w:rPr>
          <w:rFonts w:ascii="仿宋" w:hAnsi="仿宋" w:eastAsia="仿宋"/>
          <w:sz w:val="30"/>
          <w:szCs w:val="30"/>
        </w:rPr>
      </w:pPr>
      <w:r>
        <w:rPr>
          <w:rFonts w:ascii="仿宋" w:hAnsi="仿宋" w:eastAsia="仿宋"/>
          <w:sz w:val="30"/>
          <w:szCs w:val="30"/>
        </w:rPr>
        <w:t>5 </w:t>
      </w:r>
      <w:r>
        <w:rPr>
          <w:rFonts w:hint="eastAsia" w:ascii="仿宋" w:hAnsi="仿宋" w:eastAsia="仿宋"/>
          <w:sz w:val="30"/>
          <w:szCs w:val="30"/>
        </w:rPr>
        <w:t>双方约定  </w:t>
      </w:r>
    </w:p>
    <w:p w14:paraId="174AB3B4">
      <w:pPr>
        <w:spacing w:afterLines="0"/>
        <w:ind w:firstLine="600"/>
        <w:rPr>
          <w:rFonts w:ascii="仿宋" w:hAnsi="仿宋" w:eastAsia="仿宋"/>
          <w:sz w:val="30"/>
          <w:szCs w:val="30"/>
        </w:rPr>
      </w:pPr>
      <w:r>
        <w:rPr>
          <w:rFonts w:hint="eastAsia" w:ascii="仿宋" w:hAnsi="仿宋" w:eastAsia="仿宋"/>
          <w:sz w:val="30"/>
          <w:szCs w:val="30"/>
        </w:rPr>
        <w:t>本合同由合同双方当事人或其上级部门负责监督执行，并由合同双方当事人或其上级部门相互约请对本合同执行情况进行检查。  </w:t>
      </w:r>
    </w:p>
    <w:p w14:paraId="0FF2BAEA">
      <w:pPr>
        <w:widowControl w:val="0"/>
        <w:spacing w:afterLines="0"/>
        <w:ind w:firstLine="600"/>
        <w:rPr>
          <w:rFonts w:ascii="仿宋" w:hAnsi="仿宋" w:eastAsia="仿宋"/>
          <w:sz w:val="30"/>
          <w:szCs w:val="30"/>
        </w:rPr>
      </w:pPr>
      <w:r>
        <w:rPr>
          <w:rFonts w:hint="eastAsia" w:ascii="仿宋" w:hAnsi="仿宋" w:eastAsia="仿宋"/>
          <w:sz w:val="30"/>
          <w:szCs w:val="30"/>
        </w:rPr>
        <w:t>6合同法律效力 </w:t>
      </w:r>
    </w:p>
    <w:p w14:paraId="455E49C3">
      <w:pPr>
        <w:spacing w:afterLines="0"/>
        <w:ind w:firstLine="600"/>
        <w:rPr>
          <w:rFonts w:ascii="仿宋" w:hAnsi="仿宋" w:eastAsia="仿宋"/>
          <w:sz w:val="30"/>
          <w:szCs w:val="30"/>
        </w:rPr>
      </w:pPr>
      <w:r>
        <w:rPr>
          <w:rFonts w:hint="eastAsia" w:ascii="仿宋" w:hAnsi="仿宋" w:eastAsia="仿宋"/>
          <w:sz w:val="30"/>
          <w:szCs w:val="30"/>
        </w:rPr>
        <w:t>本合同作为</w:t>
      </w:r>
      <w:r>
        <w:rPr>
          <w:rFonts w:hint="eastAsia" w:ascii="仿宋" w:hAnsi="仿宋" w:eastAsia="仿宋"/>
          <w:sz w:val="30"/>
          <w:szCs w:val="30"/>
          <w:u w:val="single"/>
        </w:rPr>
        <w:t>    （工程名称） </w:t>
      </w:r>
      <w:r>
        <w:rPr>
          <w:rFonts w:hint="eastAsia" w:ascii="仿宋" w:hAnsi="仿宋" w:eastAsia="仿宋"/>
          <w:sz w:val="30"/>
          <w:szCs w:val="30"/>
        </w:rPr>
        <w:t>项目工程总承包合同的附件，与工程总承包合同具有同等的法律效力。  </w:t>
      </w:r>
    </w:p>
    <w:p w14:paraId="078A0BE6">
      <w:pPr>
        <w:spacing w:afterLines="0"/>
        <w:ind w:firstLine="600"/>
        <w:rPr>
          <w:rFonts w:ascii="仿宋" w:hAnsi="仿宋" w:eastAsia="仿宋"/>
          <w:sz w:val="30"/>
          <w:szCs w:val="30"/>
        </w:rPr>
      </w:pPr>
      <w:r>
        <w:rPr>
          <w:rFonts w:ascii="仿宋" w:hAnsi="仿宋" w:eastAsia="仿宋"/>
          <w:sz w:val="30"/>
          <w:szCs w:val="30"/>
        </w:rPr>
        <w:t>7  </w:t>
      </w:r>
      <w:r>
        <w:rPr>
          <w:rFonts w:hint="eastAsia" w:ascii="仿宋" w:hAnsi="仿宋" w:eastAsia="仿宋"/>
          <w:sz w:val="30"/>
          <w:szCs w:val="30"/>
        </w:rPr>
        <w:t>合同生效  </w:t>
      </w:r>
    </w:p>
    <w:p w14:paraId="02863699">
      <w:pPr>
        <w:spacing w:afterLines="0"/>
        <w:ind w:firstLine="600"/>
        <w:rPr>
          <w:rFonts w:ascii="仿宋" w:hAnsi="仿宋" w:eastAsia="仿宋"/>
          <w:sz w:val="30"/>
          <w:szCs w:val="30"/>
        </w:rPr>
      </w:pPr>
      <w:r>
        <w:rPr>
          <w:rFonts w:hint="eastAsia" w:ascii="仿宋" w:hAnsi="仿宋" w:eastAsia="仿宋"/>
          <w:sz w:val="30"/>
          <w:szCs w:val="30"/>
        </w:rPr>
        <w:t>本合同自合同双方当事人签署之日起生效，至合同工程竣工验收合格之日后失效。</w:t>
      </w:r>
    </w:p>
    <w:p w14:paraId="3CBFD58B">
      <w:pPr>
        <w:spacing w:afterLines="0"/>
        <w:ind w:firstLine="600"/>
        <w:rPr>
          <w:rFonts w:ascii="仿宋" w:hAnsi="仿宋" w:eastAsia="仿宋"/>
          <w:sz w:val="30"/>
          <w:szCs w:val="30"/>
        </w:rPr>
      </w:pPr>
      <w:r>
        <w:rPr>
          <w:rFonts w:ascii="仿宋" w:hAnsi="仿宋" w:eastAsia="仿宋"/>
          <w:sz w:val="30"/>
          <w:szCs w:val="30"/>
        </w:rPr>
        <w:t>8  </w:t>
      </w:r>
      <w:r>
        <w:rPr>
          <w:rFonts w:hint="eastAsia" w:ascii="仿宋" w:hAnsi="仿宋" w:eastAsia="仿宋"/>
          <w:sz w:val="30"/>
          <w:szCs w:val="30"/>
        </w:rPr>
        <w:t>合同份数</w:t>
      </w:r>
    </w:p>
    <w:p w14:paraId="3530608B">
      <w:pPr>
        <w:spacing w:afterLines="0"/>
        <w:ind w:firstLine="600"/>
        <w:rPr>
          <w:rFonts w:ascii="仿宋" w:hAnsi="仿宋" w:eastAsia="仿宋"/>
          <w:sz w:val="30"/>
          <w:szCs w:val="30"/>
        </w:rPr>
      </w:pPr>
      <w:r>
        <w:rPr>
          <w:rFonts w:hint="eastAsia" w:ascii="仿宋" w:hAnsi="仿宋" w:eastAsia="仿宋"/>
          <w:sz w:val="30"/>
          <w:szCs w:val="30"/>
        </w:rPr>
        <w:t>本合同一式</w:t>
      </w:r>
      <w:r>
        <w:rPr>
          <w:rFonts w:hint="eastAsia" w:ascii="仿宋" w:hAnsi="仿宋" w:eastAsia="仿宋"/>
          <w:sz w:val="30"/>
          <w:szCs w:val="30"/>
          <w:u w:val="single"/>
        </w:rPr>
        <w:t xml:space="preserve">    </w:t>
      </w:r>
      <w:r>
        <w:rPr>
          <w:rFonts w:hint="eastAsia" w:ascii="仿宋" w:hAnsi="仿宋" w:eastAsia="仿宋"/>
          <w:sz w:val="30"/>
          <w:szCs w:val="30"/>
        </w:rPr>
        <w:t>份，合同双方当事人各执份。有上级部门的，合同双方当事人应各送交其上级部门一份。  </w:t>
      </w:r>
    </w:p>
    <w:p w14:paraId="1709E133">
      <w:pPr>
        <w:spacing w:after="120"/>
        <w:ind w:left="6750" w:hanging="6750" w:hangingChars="2250"/>
        <w:rPr>
          <w:rFonts w:ascii="仿宋" w:hAnsi="仿宋" w:eastAsia="仿宋"/>
          <w:sz w:val="30"/>
          <w:szCs w:val="30"/>
        </w:rPr>
      </w:pPr>
      <w:r>
        <w:rPr>
          <w:rFonts w:hint="eastAsia" w:ascii="仿宋" w:hAnsi="仿宋" w:eastAsia="仿宋"/>
          <w:sz w:val="30"/>
          <w:szCs w:val="30"/>
        </w:rPr>
        <w:t>发</w:t>
      </w:r>
      <w:r>
        <w:rPr>
          <w:rFonts w:hint="eastAsia" w:cs="宋体"/>
          <w:sz w:val="30"/>
          <w:szCs w:val="30"/>
        </w:rPr>
        <w:t> </w:t>
      </w:r>
      <w:r>
        <w:rPr>
          <w:rFonts w:hint="eastAsia" w:ascii="仿宋" w:hAnsi="仿宋" w:eastAsia="仿宋"/>
          <w:sz w:val="30"/>
          <w:szCs w:val="30"/>
        </w:rPr>
        <w:t>包</w:t>
      </w:r>
      <w:r>
        <w:rPr>
          <w:rFonts w:hint="eastAsia" w:cs="宋体"/>
          <w:sz w:val="30"/>
          <w:szCs w:val="30"/>
        </w:rPr>
        <w:t> </w:t>
      </w:r>
      <w:r>
        <w:rPr>
          <w:rFonts w:hint="eastAsia" w:ascii="仿宋" w:hAnsi="仿宋" w:eastAsia="仿宋"/>
          <w:sz w:val="30"/>
          <w:szCs w:val="30"/>
        </w:rPr>
        <w:t>人：（公章）</w:t>
      </w:r>
      <w:r>
        <w:rPr>
          <w:rFonts w:hint="eastAsia" w:cs="宋体"/>
          <w:sz w:val="30"/>
          <w:szCs w:val="30"/>
        </w:rPr>
        <w:t>       </w:t>
      </w:r>
      <w:r>
        <w:rPr>
          <w:rFonts w:hint="eastAsia" w:ascii="仿宋" w:hAnsi="仿宋" w:eastAsia="仿宋"/>
          <w:sz w:val="30"/>
          <w:szCs w:val="30"/>
        </w:rPr>
        <w:t>承</w:t>
      </w:r>
      <w:r>
        <w:rPr>
          <w:rFonts w:hint="eastAsia" w:cs="宋体"/>
          <w:sz w:val="30"/>
          <w:szCs w:val="30"/>
        </w:rPr>
        <w:t> </w:t>
      </w:r>
      <w:r>
        <w:rPr>
          <w:rFonts w:hint="eastAsia" w:ascii="仿宋" w:hAnsi="仿宋" w:eastAsia="仿宋"/>
          <w:sz w:val="30"/>
          <w:szCs w:val="30"/>
        </w:rPr>
        <w:t>包</w:t>
      </w:r>
      <w:r>
        <w:rPr>
          <w:rFonts w:hint="eastAsia" w:cs="宋体"/>
          <w:sz w:val="30"/>
          <w:szCs w:val="30"/>
        </w:rPr>
        <w:t> </w:t>
      </w:r>
      <w:r>
        <w:rPr>
          <w:rFonts w:hint="eastAsia" w:ascii="仿宋" w:hAnsi="仿宋" w:eastAsia="仿宋"/>
          <w:sz w:val="30"/>
          <w:szCs w:val="30"/>
        </w:rPr>
        <w:t>人：（公章）</w:t>
      </w:r>
      <w:r>
        <w:rPr>
          <w:rFonts w:hint="eastAsia" w:cs="宋体"/>
          <w:sz w:val="30"/>
          <w:szCs w:val="30"/>
        </w:rPr>
        <w:t>  </w:t>
      </w:r>
    </w:p>
    <w:p w14:paraId="5431F82E">
      <w:pPr>
        <w:spacing w:after="120"/>
        <w:ind w:firstLine="0" w:firstLineChars="0"/>
        <w:rPr>
          <w:rFonts w:ascii="仿宋" w:hAnsi="仿宋" w:eastAsia="仿宋"/>
          <w:sz w:val="30"/>
          <w:szCs w:val="30"/>
        </w:rPr>
      </w:pPr>
      <w:r>
        <w:rPr>
          <w:rFonts w:hint="eastAsia" w:ascii="仿宋" w:hAnsi="仿宋" w:eastAsia="仿宋"/>
          <w:sz w:val="30"/>
          <w:szCs w:val="30"/>
        </w:rPr>
        <w:t>广东省代建项目管理局</w:t>
      </w:r>
    </w:p>
    <w:p w14:paraId="5A298078">
      <w:pPr>
        <w:spacing w:after="120"/>
        <w:ind w:firstLine="0" w:firstLineChars="0"/>
        <w:rPr>
          <w:rFonts w:ascii="仿宋" w:hAnsi="仿宋" w:eastAsia="仿宋"/>
          <w:sz w:val="30"/>
          <w:szCs w:val="30"/>
        </w:rPr>
      </w:pPr>
      <w:r>
        <w:rPr>
          <w:rFonts w:hint="eastAsia" w:ascii="仿宋" w:hAnsi="仿宋" w:eastAsia="仿宋"/>
          <w:sz w:val="30"/>
          <w:szCs w:val="30"/>
        </w:rPr>
        <w:t>法定代表人或其委托代理人：</w:t>
      </w:r>
      <w:r>
        <w:rPr>
          <w:rFonts w:hint="eastAsia" w:cs="宋体"/>
          <w:sz w:val="30"/>
          <w:szCs w:val="30"/>
        </w:rPr>
        <w:t> </w:t>
      </w:r>
      <w:r>
        <w:rPr>
          <w:rFonts w:ascii="仿宋" w:hAnsi="仿宋" w:eastAsia="仿宋"/>
          <w:sz w:val="30"/>
          <w:szCs w:val="30"/>
        </w:rPr>
        <w:t>法定代表人或其委托代理人：</w:t>
      </w:r>
      <w:r>
        <w:rPr>
          <w:rFonts w:hint="eastAsia" w:cs="宋体"/>
          <w:sz w:val="30"/>
          <w:szCs w:val="30"/>
        </w:rPr>
        <w:t> </w:t>
      </w:r>
    </w:p>
    <w:p w14:paraId="064B1A9B">
      <w:pPr>
        <w:spacing w:after="120"/>
        <w:ind w:firstLine="600"/>
        <w:rPr>
          <w:rFonts w:ascii="仿宋" w:hAnsi="仿宋" w:eastAsia="仿宋"/>
          <w:sz w:val="30"/>
          <w:szCs w:val="30"/>
        </w:rPr>
      </w:pPr>
      <w:r>
        <w:rPr>
          <w:rFonts w:hint="eastAsia" w:ascii="仿宋" w:hAnsi="仿宋" w:eastAsia="仿宋"/>
          <w:sz w:val="30"/>
          <w:szCs w:val="30"/>
        </w:rPr>
        <w:t>（签字）                 （签字）</w:t>
      </w:r>
      <w:r>
        <w:rPr>
          <w:rFonts w:hint="eastAsia" w:cs="宋体"/>
          <w:sz w:val="30"/>
          <w:szCs w:val="30"/>
        </w:rPr>
        <w:t> </w:t>
      </w:r>
    </w:p>
    <w:p w14:paraId="35138329">
      <w:pPr>
        <w:spacing w:after="120"/>
        <w:ind w:firstLine="0" w:firstLineChars="0"/>
        <w:rPr>
          <w:rFonts w:ascii="仿宋" w:hAnsi="仿宋" w:eastAsia="仿宋"/>
          <w:sz w:val="30"/>
          <w:szCs w:val="30"/>
        </w:rPr>
      </w:pPr>
      <w:r>
        <w:rPr>
          <w:rFonts w:hint="eastAsia" w:ascii="仿宋" w:hAnsi="仿宋" w:eastAsia="仿宋"/>
          <w:sz w:val="30"/>
          <w:szCs w:val="30"/>
        </w:rPr>
        <w:t>联系电话：</w:t>
      </w:r>
      <w:r>
        <w:rPr>
          <w:rFonts w:hint="eastAsia" w:cs="宋体"/>
          <w:sz w:val="30"/>
          <w:szCs w:val="30"/>
        </w:rPr>
        <w:t xml:space="preserve">              </w:t>
      </w:r>
      <w:r>
        <w:rPr>
          <w:rFonts w:hint="eastAsia" w:ascii="仿宋" w:hAnsi="仿宋" w:eastAsia="仿宋"/>
          <w:sz w:val="30"/>
          <w:szCs w:val="30"/>
        </w:rPr>
        <w:t>联系电话：</w:t>
      </w:r>
      <w:r>
        <w:rPr>
          <w:rFonts w:hint="eastAsia" w:cs="宋体"/>
          <w:sz w:val="30"/>
          <w:szCs w:val="30"/>
        </w:rPr>
        <w:t>           </w:t>
      </w:r>
    </w:p>
    <w:p w14:paraId="00444DDF">
      <w:pPr>
        <w:spacing w:after="120"/>
        <w:ind w:firstLine="0" w:firstLineChars="0"/>
        <w:rPr>
          <w:rFonts w:cs="宋体"/>
          <w:sz w:val="30"/>
          <w:szCs w:val="30"/>
        </w:rPr>
      </w:pPr>
      <w:r>
        <w:rPr>
          <w:rFonts w:hint="eastAsia" w:ascii="仿宋" w:hAnsi="仿宋" w:eastAsia="仿宋"/>
          <w:sz w:val="30"/>
          <w:szCs w:val="30"/>
        </w:rPr>
        <w:t>上级部门：（公章）</w:t>
      </w:r>
      <w:r>
        <w:rPr>
          <w:rFonts w:hint="eastAsia" w:cs="宋体"/>
          <w:sz w:val="30"/>
          <w:szCs w:val="30"/>
        </w:rPr>
        <w:t xml:space="preserve">    </w:t>
      </w:r>
      <w:r>
        <w:rPr>
          <w:rFonts w:hint="eastAsia" w:ascii="仿宋" w:hAnsi="仿宋" w:eastAsia="仿宋"/>
          <w:sz w:val="30"/>
          <w:szCs w:val="30"/>
        </w:rPr>
        <w:t>上级部门：（公章）</w:t>
      </w:r>
      <w:r>
        <w:rPr>
          <w:rFonts w:hint="eastAsia" w:cs="宋体"/>
          <w:sz w:val="30"/>
          <w:szCs w:val="30"/>
        </w:rPr>
        <w:t>      </w:t>
      </w:r>
    </w:p>
    <w:p w14:paraId="71ACF42A">
      <w:pPr>
        <w:spacing w:after="120"/>
        <w:ind w:firstLine="0" w:firstLineChars="0"/>
        <w:rPr>
          <w:rFonts w:ascii="仿宋" w:hAnsi="仿宋" w:eastAsia="仿宋"/>
          <w:sz w:val="30"/>
          <w:szCs w:val="30"/>
        </w:rPr>
      </w:pPr>
      <w:r>
        <w:rPr>
          <w:rFonts w:ascii="仿宋" w:hAnsi="仿宋" w:eastAsia="仿宋"/>
          <w:sz w:val="30"/>
          <w:szCs w:val="30"/>
        </w:rPr>
        <w:t xml:space="preserve">202  年 </w:t>
      </w:r>
      <w:r>
        <w:rPr>
          <w:rFonts w:hint="eastAsia" w:cs="宋体"/>
          <w:sz w:val="30"/>
          <w:szCs w:val="30"/>
        </w:rPr>
        <w:t> </w:t>
      </w:r>
      <w:r>
        <w:rPr>
          <w:rFonts w:hint="eastAsia" w:ascii="仿宋" w:hAnsi="仿宋" w:eastAsia="仿宋"/>
          <w:sz w:val="30"/>
          <w:szCs w:val="30"/>
        </w:rPr>
        <w:t>月</w:t>
      </w:r>
      <w:r>
        <w:rPr>
          <w:rFonts w:hint="eastAsia" w:cs="宋体"/>
          <w:sz w:val="30"/>
          <w:szCs w:val="30"/>
        </w:rPr>
        <w:t>   </w:t>
      </w:r>
      <w:r>
        <w:rPr>
          <w:rFonts w:hint="eastAsia" w:ascii="仿宋" w:hAnsi="仿宋" w:eastAsia="仿宋"/>
          <w:sz w:val="30"/>
          <w:szCs w:val="30"/>
        </w:rPr>
        <w:t>日</w:t>
      </w:r>
      <w:r>
        <w:rPr>
          <w:rFonts w:hint="eastAsia" w:cs="宋体"/>
          <w:sz w:val="30"/>
          <w:szCs w:val="30"/>
        </w:rPr>
        <w:t>    </w:t>
      </w:r>
      <w:r>
        <w:rPr>
          <w:rFonts w:ascii="仿宋" w:hAnsi="仿宋" w:eastAsia="仿宋"/>
          <w:sz w:val="30"/>
          <w:szCs w:val="30"/>
        </w:rPr>
        <w:t xml:space="preserve"> 202  年  </w:t>
      </w:r>
      <w:r>
        <w:rPr>
          <w:rFonts w:hint="eastAsia" w:ascii="仿宋" w:hAnsi="仿宋" w:eastAsia="仿宋"/>
          <w:sz w:val="30"/>
          <w:szCs w:val="30"/>
        </w:rPr>
        <w:t xml:space="preserve">  月</w:t>
      </w:r>
      <w:r>
        <w:rPr>
          <w:rFonts w:hint="eastAsia" w:cs="宋体"/>
          <w:sz w:val="30"/>
          <w:szCs w:val="30"/>
        </w:rPr>
        <w:t>  </w:t>
      </w:r>
      <w:r>
        <w:rPr>
          <w:rFonts w:hint="eastAsia" w:ascii="仿宋" w:hAnsi="仿宋" w:eastAsia="仿宋"/>
          <w:sz w:val="30"/>
          <w:szCs w:val="30"/>
        </w:rPr>
        <w:t>日</w:t>
      </w:r>
    </w:p>
    <w:p w14:paraId="20B850FD">
      <w:pPr>
        <w:spacing w:after="120"/>
        <w:ind w:firstLine="0" w:firstLineChars="0"/>
        <w:rPr>
          <w:rFonts w:ascii="仿宋" w:hAnsi="仿宋" w:eastAsia="仿宋"/>
          <w:sz w:val="30"/>
          <w:szCs w:val="30"/>
        </w:rPr>
      </w:pPr>
    </w:p>
    <w:p w14:paraId="2E423FB8">
      <w:pPr>
        <w:spacing w:after="120"/>
        <w:ind w:firstLine="0" w:firstLineChars="0"/>
        <w:rPr>
          <w:rFonts w:ascii="仿宋" w:hAnsi="仿宋" w:eastAsia="仿宋"/>
          <w:sz w:val="30"/>
          <w:szCs w:val="30"/>
        </w:rPr>
      </w:pPr>
      <w:r>
        <w:rPr>
          <w:rFonts w:hint="eastAsia" w:ascii="仿宋" w:hAnsi="仿宋" w:eastAsia="仿宋"/>
          <w:sz w:val="30"/>
          <w:szCs w:val="30"/>
        </w:rPr>
        <w:t>承</w:t>
      </w:r>
      <w:r>
        <w:rPr>
          <w:rFonts w:hint="eastAsia" w:cs="宋体"/>
          <w:sz w:val="30"/>
          <w:szCs w:val="30"/>
        </w:rPr>
        <w:t> </w:t>
      </w:r>
      <w:r>
        <w:rPr>
          <w:rFonts w:hint="eastAsia" w:ascii="仿宋" w:hAnsi="仿宋" w:eastAsia="仿宋"/>
          <w:sz w:val="30"/>
          <w:szCs w:val="30"/>
        </w:rPr>
        <w:t>包</w:t>
      </w:r>
      <w:r>
        <w:rPr>
          <w:rFonts w:hint="eastAsia" w:cs="宋体"/>
          <w:sz w:val="30"/>
          <w:szCs w:val="30"/>
        </w:rPr>
        <w:t> </w:t>
      </w:r>
      <w:r>
        <w:rPr>
          <w:rFonts w:hint="eastAsia" w:ascii="仿宋" w:hAnsi="仿宋" w:eastAsia="仿宋"/>
          <w:sz w:val="30"/>
          <w:szCs w:val="30"/>
        </w:rPr>
        <w:t>人：（公章）</w:t>
      </w:r>
    </w:p>
    <w:p w14:paraId="115997B5">
      <w:pPr>
        <w:spacing w:after="120"/>
        <w:ind w:firstLine="0" w:firstLineChars="0"/>
        <w:rPr>
          <w:rFonts w:ascii="仿宋" w:hAnsi="仿宋" w:eastAsia="仿宋"/>
          <w:sz w:val="30"/>
          <w:szCs w:val="30"/>
        </w:rPr>
      </w:pPr>
      <w:r>
        <w:rPr>
          <w:rFonts w:hint="eastAsia" w:ascii="仿宋" w:hAnsi="仿宋" w:eastAsia="仿宋"/>
          <w:sz w:val="30"/>
          <w:szCs w:val="30"/>
        </w:rPr>
        <w:t>法定代表人或其委托代理人：（签字）</w:t>
      </w:r>
    </w:p>
    <w:p w14:paraId="400166F6">
      <w:pPr>
        <w:spacing w:after="120"/>
        <w:ind w:firstLine="0" w:firstLineChars="0"/>
        <w:rPr>
          <w:rFonts w:ascii="仿宋" w:hAnsi="仿宋" w:eastAsia="仿宋"/>
          <w:sz w:val="30"/>
          <w:szCs w:val="30"/>
        </w:rPr>
      </w:pPr>
      <w:r>
        <w:rPr>
          <w:rFonts w:hint="eastAsia" w:ascii="仿宋" w:hAnsi="仿宋" w:eastAsia="仿宋"/>
          <w:sz w:val="30"/>
          <w:szCs w:val="30"/>
        </w:rPr>
        <w:t>联系电话：</w:t>
      </w:r>
    </w:p>
    <w:p w14:paraId="181D08B1">
      <w:pPr>
        <w:spacing w:after="120"/>
        <w:ind w:firstLine="0" w:firstLineChars="0"/>
        <w:rPr>
          <w:rFonts w:ascii="仿宋" w:hAnsi="仿宋" w:eastAsia="仿宋"/>
          <w:sz w:val="30"/>
          <w:szCs w:val="30"/>
        </w:rPr>
      </w:pPr>
      <w:r>
        <w:rPr>
          <w:rFonts w:hint="eastAsia" w:ascii="仿宋" w:hAnsi="仿宋" w:eastAsia="仿宋"/>
          <w:sz w:val="30"/>
          <w:szCs w:val="30"/>
        </w:rPr>
        <w:t>上级部门：（公章）</w:t>
      </w:r>
      <w:r>
        <w:rPr>
          <w:rFonts w:hint="eastAsia" w:cs="宋体"/>
          <w:sz w:val="30"/>
          <w:szCs w:val="30"/>
        </w:rPr>
        <w:t> </w:t>
      </w:r>
    </w:p>
    <w:p w14:paraId="752F9751">
      <w:pPr>
        <w:spacing w:after="120"/>
        <w:ind w:firstLine="0" w:firstLineChars="0"/>
        <w:rPr>
          <w:rFonts w:ascii="仿宋" w:hAnsi="仿宋" w:eastAsia="仿宋"/>
          <w:sz w:val="30"/>
          <w:szCs w:val="30"/>
        </w:rPr>
      </w:pPr>
      <w:r>
        <w:rPr>
          <w:rFonts w:ascii="仿宋" w:hAnsi="仿宋" w:eastAsia="仿宋"/>
          <w:sz w:val="30"/>
          <w:szCs w:val="30"/>
        </w:rPr>
        <w:t xml:space="preserve">202  年 </w:t>
      </w:r>
      <w:r>
        <w:rPr>
          <w:rFonts w:hint="eastAsia" w:cs="宋体"/>
          <w:sz w:val="30"/>
          <w:szCs w:val="30"/>
        </w:rPr>
        <w:t> </w:t>
      </w:r>
      <w:r>
        <w:rPr>
          <w:rFonts w:hint="eastAsia" w:ascii="仿宋" w:hAnsi="仿宋" w:eastAsia="仿宋"/>
          <w:sz w:val="30"/>
          <w:szCs w:val="30"/>
        </w:rPr>
        <w:t>月</w:t>
      </w:r>
      <w:r>
        <w:rPr>
          <w:rFonts w:hint="eastAsia" w:cs="宋体"/>
          <w:sz w:val="30"/>
          <w:szCs w:val="30"/>
        </w:rPr>
        <w:t>   </w:t>
      </w:r>
      <w:r>
        <w:rPr>
          <w:rFonts w:hint="eastAsia" w:ascii="仿宋" w:hAnsi="仿宋" w:eastAsia="仿宋"/>
          <w:sz w:val="30"/>
          <w:szCs w:val="30"/>
        </w:rPr>
        <w:t>日</w:t>
      </w:r>
      <w:r>
        <w:br w:type="page"/>
      </w:r>
    </w:p>
    <w:p w14:paraId="2654353F">
      <w:pPr>
        <w:pStyle w:val="106"/>
        <w:numPr>
          <w:ilvl w:val="0"/>
          <w:numId w:val="0"/>
        </w:numPr>
        <w:spacing w:after="120"/>
        <w:jc w:val="center"/>
        <w:outlineLvl w:val="1"/>
        <w:rPr>
          <w:rFonts w:ascii="仿宋" w:hAnsi="仿宋" w:eastAsia="仿宋" w:cs="仿宋"/>
          <w:b/>
          <w:bCs/>
          <w:sz w:val="32"/>
          <w:szCs w:val="32"/>
        </w:rPr>
      </w:pPr>
      <w:bookmarkStart w:id="955" w:name="_Toc26754"/>
      <w:bookmarkStart w:id="956" w:name="_Toc17572"/>
      <w:bookmarkStart w:id="957" w:name="_Toc25894"/>
      <w:bookmarkStart w:id="958" w:name="_Toc11828"/>
      <w:bookmarkStart w:id="959" w:name="_Toc11485"/>
      <w:bookmarkStart w:id="960" w:name="_Toc27949"/>
      <w:bookmarkStart w:id="961" w:name="_Toc5948"/>
      <w:bookmarkStart w:id="962" w:name="_Toc4718"/>
      <w:bookmarkStart w:id="963" w:name="_Toc1910"/>
      <w:bookmarkStart w:id="964" w:name="_Toc26429"/>
      <w:r>
        <w:rPr>
          <w:rFonts w:hint="eastAsia" w:ascii="仿宋" w:hAnsi="仿宋" w:eastAsia="仿宋" w:cs="仿宋"/>
          <w:b/>
          <w:bCs/>
          <w:sz w:val="32"/>
          <w:szCs w:val="32"/>
        </w:rPr>
        <w:t>附件9 履约保函</w:t>
      </w:r>
      <w:bookmarkEnd w:id="955"/>
      <w:bookmarkEnd w:id="956"/>
      <w:bookmarkEnd w:id="957"/>
      <w:bookmarkEnd w:id="958"/>
      <w:bookmarkEnd w:id="959"/>
      <w:bookmarkEnd w:id="960"/>
      <w:bookmarkEnd w:id="961"/>
      <w:bookmarkEnd w:id="962"/>
      <w:bookmarkEnd w:id="963"/>
      <w:bookmarkEnd w:id="964"/>
    </w:p>
    <w:p w14:paraId="5E95C97E">
      <w:pPr>
        <w:spacing w:after="120" w:line="240" w:lineRule="auto"/>
        <w:ind w:firstLine="600"/>
        <w:jc w:val="left"/>
        <w:rPr>
          <w:rFonts w:ascii="仿宋" w:hAnsi="仿宋" w:eastAsia="仿宋" w:cs="仿宋"/>
          <w:sz w:val="30"/>
          <w:szCs w:val="30"/>
        </w:rPr>
      </w:pPr>
      <w:bookmarkStart w:id="965" w:name="_Toc30753"/>
      <w:bookmarkStart w:id="966" w:name="_Toc14747"/>
      <w:r>
        <w:rPr>
          <w:rFonts w:hint="eastAsia" w:ascii="仿宋" w:hAnsi="仿宋" w:eastAsia="仿宋" w:cs="仿宋"/>
          <w:sz w:val="30"/>
          <w:szCs w:val="30"/>
        </w:rPr>
        <w:t>（独立）履约保函</w:t>
      </w:r>
      <w:bookmarkEnd w:id="965"/>
      <w:bookmarkEnd w:id="966"/>
    </w:p>
    <w:p w14:paraId="3ADA041B">
      <w:pPr>
        <w:spacing w:after="120"/>
        <w:ind w:firstLine="600"/>
        <w:jc w:val="right"/>
        <w:rPr>
          <w:rFonts w:ascii="仿宋" w:hAnsi="仿宋" w:eastAsia="仿宋" w:cs="仿宋"/>
          <w:sz w:val="30"/>
          <w:szCs w:val="30"/>
        </w:rPr>
      </w:pPr>
      <w:r>
        <w:rPr>
          <w:rFonts w:hint="eastAsia" w:ascii="仿宋" w:hAnsi="仿宋" w:eastAsia="仿宋" w:cs="仿宋"/>
          <w:sz w:val="30"/>
          <w:szCs w:val="30"/>
        </w:rPr>
        <w:t>保函编号：</w:t>
      </w:r>
    </w:p>
    <w:p w14:paraId="664B825B">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致：广东省代建项目管理局</w:t>
      </w:r>
    </w:p>
    <w:p w14:paraId="6CD63C80">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鉴于</w:t>
      </w:r>
      <w:r>
        <w:rPr>
          <w:rFonts w:ascii="仿宋" w:hAnsi="仿宋" w:eastAsia="仿宋" w:cs="仿宋"/>
          <w:sz w:val="30"/>
          <w:szCs w:val="30"/>
          <w:u w:val="single"/>
        </w:rPr>
        <w:t>****</w:t>
      </w:r>
      <w:r>
        <w:rPr>
          <w:rFonts w:hint="eastAsia" w:ascii="仿宋" w:hAnsi="仿宋" w:eastAsia="仿宋" w:cs="仿宋"/>
          <w:sz w:val="30"/>
          <w:szCs w:val="30"/>
        </w:rPr>
        <w:t>（下称“委托人”）在贵单位的</w:t>
      </w:r>
      <w:r>
        <w:rPr>
          <w:rFonts w:ascii="仿宋" w:hAnsi="仿宋" w:eastAsia="仿宋" w:cs="仿宋"/>
          <w:sz w:val="30"/>
          <w:szCs w:val="30"/>
          <w:u w:val="single"/>
        </w:rPr>
        <w:t>*****</w:t>
      </w:r>
      <w:r>
        <w:rPr>
          <w:rFonts w:hint="eastAsia" w:ascii="仿宋" w:hAnsi="仿宋" w:eastAsia="仿宋" w:cs="仿宋"/>
          <w:sz w:val="30"/>
          <w:szCs w:val="30"/>
        </w:rPr>
        <w:t>项目中标，我行同意为委托人出具履约保函，为委托人履行</w:t>
      </w:r>
      <w:r>
        <w:rPr>
          <w:rFonts w:ascii="仿宋" w:hAnsi="仿宋" w:eastAsia="仿宋" w:cs="仿宋"/>
          <w:sz w:val="30"/>
          <w:szCs w:val="30"/>
          <w:u w:val="single"/>
        </w:rPr>
        <w:t>****</w:t>
      </w:r>
      <w:r>
        <w:rPr>
          <w:rFonts w:hint="eastAsia" w:ascii="仿宋" w:hAnsi="仿宋" w:eastAsia="仿宋" w:cs="仿宋"/>
          <w:sz w:val="30"/>
          <w:szCs w:val="30"/>
        </w:rPr>
        <w:t>合同（以下称“合同”）担保，以使你方得到履约保函的保障。</w:t>
      </w:r>
    </w:p>
    <w:p w14:paraId="14CDC879">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一、本保函为见索即付保函。我行保证在收到贵单位于保函担保期间内送达的依本保函约定的索赔文件后，在</w:t>
      </w:r>
      <w:r>
        <w:rPr>
          <w:rFonts w:ascii="仿宋" w:hAnsi="仿宋" w:eastAsia="仿宋" w:cs="仿宋"/>
          <w:sz w:val="30"/>
          <w:szCs w:val="30"/>
        </w:rPr>
        <w:t xml:space="preserve"> 7 </w:t>
      </w:r>
      <w:r>
        <w:rPr>
          <w:rFonts w:hint="eastAsia" w:ascii="仿宋" w:hAnsi="仿宋" w:eastAsia="仿宋" w:cs="仿宋"/>
          <w:sz w:val="30"/>
          <w:szCs w:val="30"/>
        </w:rPr>
        <w:t>个工作日内无条件和不可改变地向贵单位支付金额最高不超过人民币（币种）</w:t>
      </w:r>
      <w:r>
        <w:rPr>
          <w:rFonts w:ascii="仿宋" w:hAnsi="仿宋" w:eastAsia="仿宋" w:cs="仿宋"/>
          <w:sz w:val="30"/>
          <w:szCs w:val="30"/>
          <w:u w:val="single"/>
        </w:rPr>
        <w:t>****</w:t>
      </w:r>
      <w:r>
        <w:rPr>
          <w:rFonts w:hint="eastAsia" w:ascii="仿宋" w:hAnsi="仿宋" w:eastAsia="仿宋" w:cs="仿宋"/>
          <w:sz w:val="30"/>
          <w:szCs w:val="30"/>
        </w:rPr>
        <w:t>元（大写）的履约担保金（索赔可分次索赔，累计金额不超过最高金额），并放弃向你方提出任何异议和追索的权利。</w:t>
      </w:r>
    </w:p>
    <w:p w14:paraId="5954522D">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二、贵单位的索赔文件应符合下述条件：</w:t>
      </w:r>
    </w:p>
    <w:p w14:paraId="0E3F92B7">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（一）贵单位法定代表人或其授权代表签字并加盖单位公章；</w:t>
      </w:r>
    </w:p>
    <w:p w14:paraId="3BC1EE4A">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（二）在保函担保期间内送达我行；</w:t>
      </w:r>
    </w:p>
    <w:p w14:paraId="1ABC0E70">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（三）明确的索赔金额（不得超过本保函第一条所列之限额）；</w:t>
      </w:r>
    </w:p>
    <w:p w14:paraId="7130DCCF">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（四）贵单位出具的委托人违约事项说明。</w:t>
      </w:r>
    </w:p>
    <w:p w14:paraId="48D59EAA">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三、本保函担保期间为年月日至年月日，除非你方提前终止或解除本保函，本保函于下述任一事项发生之时立即失效，我行在本保函项下的担保义务即刻解除：</w:t>
      </w:r>
    </w:p>
    <w:p w14:paraId="399FBD86">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（一）本保函担保期间届满；</w:t>
      </w:r>
    </w:p>
    <w:p w14:paraId="6B671D8C">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（二）委托人履行了合同项下全部义务；</w:t>
      </w:r>
    </w:p>
    <w:p w14:paraId="20DCA727">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（三）我行担保的义务履行完毕。</w:t>
      </w:r>
    </w:p>
    <w:p w14:paraId="36EACF1E">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四、我行受本保函制约的责任是延续的、独立的和无条件的，合同的任何修改、变更、解释或不可执行都不能改变我行受本保函制约的责任，委托人在合同项下对你方的任何抗辩也不能改变我行在本保函项下的付款责任。若贵单位与委托人协商变更合同，应督促委托人书面告知我行并将变更后的合同送一份给我行备案。</w:t>
      </w:r>
    </w:p>
    <w:p w14:paraId="467B46DE">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五、保函失效后请将本保函退回我行注销。无论正本最终退回与否，不影响本保函依上述约定自动失效。</w:t>
      </w:r>
    </w:p>
    <w:p w14:paraId="3BC86709">
      <w:pPr>
        <w:spacing w:after="120" w:line="240" w:lineRule="auto"/>
        <w:ind w:firstLine="600"/>
        <w:jc w:val="left"/>
        <w:rPr>
          <w:rFonts w:ascii="仿宋" w:hAnsi="仿宋" w:eastAsia="仿宋" w:cs="仿宋"/>
          <w:sz w:val="30"/>
          <w:szCs w:val="30"/>
        </w:rPr>
      </w:pPr>
      <w:r>
        <w:rPr>
          <w:rFonts w:hint="eastAsia" w:ascii="仿宋" w:hAnsi="仿宋" w:eastAsia="仿宋" w:cs="仿宋"/>
          <w:sz w:val="30"/>
          <w:szCs w:val="30"/>
        </w:rPr>
        <w:t>六、本保函项下的所有权利和义务受中华人民共和国法律管辖和制约，我行在保函项下做出的付款承诺决不反悔。</w:t>
      </w:r>
    </w:p>
    <w:p w14:paraId="677EBA58">
      <w:pPr>
        <w:spacing w:after="120" w:line="240" w:lineRule="auto"/>
        <w:ind w:firstLine="600"/>
        <w:jc w:val="right"/>
        <w:rPr>
          <w:rFonts w:ascii="仿宋" w:hAnsi="仿宋" w:eastAsia="仿宋" w:cs="仿宋"/>
          <w:sz w:val="30"/>
          <w:szCs w:val="30"/>
        </w:rPr>
      </w:pPr>
    </w:p>
    <w:p w14:paraId="5158F352">
      <w:pPr>
        <w:spacing w:after="120" w:line="240" w:lineRule="auto"/>
        <w:ind w:firstLine="600"/>
        <w:jc w:val="right"/>
        <w:rPr>
          <w:rFonts w:ascii="仿宋" w:hAnsi="仿宋" w:eastAsia="仿宋" w:cs="仿宋"/>
          <w:sz w:val="30"/>
          <w:szCs w:val="30"/>
        </w:rPr>
      </w:pPr>
      <w:r>
        <w:rPr>
          <w:rFonts w:hint="eastAsia" w:ascii="仿宋" w:hAnsi="仿宋" w:eastAsia="仿宋" w:cs="仿宋"/>
          <w:sz w:val="30"/>
          <w:szCs w:val="30"/>
        </w:rPr>
        <w:t>担保银行（公章）：</w:t>
      </w:r>
      <w:r>
        <w:rPr>
          <w:rFonts w:ascii="仿宋" w:hAnsi="仿宋" w:eastAsia="仿宋" w:cs="仿宋"/>
          <w:sz w:val="30"/>
          <w:szCs w:val="30"/>
        </w:rPr>
        <w:t xml:space="preserve">          负责人（签章）：          </w:t>
      </w:r>
    </w:p>
    <w:p w14:paraId="23B32BF1">
      <w:pPr>
        <w:spacing w:after="120" w:line="240" w:lineRule="auto"/>
        <w:ind w:firstLine="600"/>
        <w:jc w:val="right"/>
        <w:rPr>
          <w:rFonts w:ascii="仿宋" w:hAnsi="仿宋" w:eastAsia="仿宋" w:cs="仿宋"/>
          <w:sz w:val="30"/>
          <w:szCs w:val="30"/>
        </w:rPr>
      </w:pPr>
      <w:r>
        <w:rPr>
          <w:rFonts w:hint="eastAsia" w:ascii="仿宋" w:hAnsi="仿宋" w:eastAsia="仿宋" w:cs="仿宋"/>
          <w:sz w:val="30"/>
          <w:szCs w:val="30"/>
        </w:rPr>
        <w:t>单位地址：</w:t>
      </w:r>
      <w:r>
        <w:rPr>
          <w:rFonts w:ascii="仿宋" w:hAnsi="仿宋" w:eastAsia="仿宋" w:cs="仿宋"/>
          <w:sz w:val="30"/>
          <w:szCs w:val="30"/>
        </w:rPr>
        <w:t xml:space="preserve">                    传真：          </w:t>
      </w:r>
    </w:p>
    <w:p w14:paraId="29F59F2F">
      <w:pPr>
        <w:spacing w:after="120" w:line="240" w:lineRule="auto"/>
        <w:ind w:firstLine="600"/>
        <w:jc w:val="right"/>
        <w:rPr>
          <w:rFonts w:ascii="仿宋" w:hAnsi="仿宋" w:eastAsia="仿宋" w:cs="仿宋"/>
          <w:sz w:val="30"/>
          <w:szCs w:val="30"/>
        </w:rPr>
      </w:pPr>
      <w:r>
        <w:rPr>
          <w:rFonts w:hint="eastAsia" w:ascii="仿宋" w:hAnsi="仿宋" w:eastAsia="仿宋" w:cs="仿宋"/>
          <w:sz w:val="30"/>
          <w:szCs w:val="30"/>
        </w:rPr>
        <w:t>联系人：</w:t>
      </w:r>
      <w:r>
        <w:rPr>
          <w:rFonts w:ascii="仿宋" w:hAnsi="仿宋" w:eastAsia="仿宋" w:cs="仿宋"/>
          <w:sz w:val="30"/>
          <w:szCs w:val="30"/>
        </w:rPr>
        <w:t xml:space="preserve">                联系电话：          </w:t>
      </w:r>
    </w:p>
    <w:p w14:paraId="45E1C9D4">
      <w:pPr>
        <w:spacing w:after="120" w:line="240" w:lineRule="auto"/>
        <w:ind w:firstLine="600"/>
        <w:jc w:val="right"/>
        <w:rPr>
          <w:rFonts w:ascii="仿宋" w:hAnsi="仿宋" w:eastAsia="仿宋" w:cs="仿宋"/>
          <w:szCs w:val="24"/>
        </w:rPr>
      </w:pPr>
      <w:r>
        <w:rPr>
          <w:rFonts w:hint="eastAsia" w:ascii="仿宋" w:hAnsi="仿宋" w:eastAsia="仿宋" w:cs="仿宋"/>
          <w:sz w:val="30"/>
          <w:szCs w:val="30"/>
        </w:rPr>
        <w:t>开立日期：年月日</w:t>
      </w:r>
    </w:p>
    <w:p w14:paraId="2D41D546">
      <w:pPr>
        <w:pStyle w:val="106"/>
        <w:numPr>
          <w:ilvl w:val="0"/>
          <w:numId w:val="0"/>
        </w:numPr>
        <w:spacing w:after="120"/>
      </w:pPr>
      <w:bookmarkStart w:id="967" w:name="_Toc16241"/>
      <w:bookmarkStart w:id="968" w:name="_Toc29244"/>
      <w:bookmarkStart w:id="969" w:name="_Toc14380"/>
      <w:bookmarkStart w:id="970" w:name="_Toc32168"/>
      <w:bookmarkStart w:id="971" w:name="_Toc6371"/>
      <w:bookmarkStart w:id="972" w:name="_Toc14620"/>
      <w:bookmarkStart w:id="973" w:name="_Toc19166"/>
      <w:bookmarkStart w:id="974" w:name="_Toc32639"/>
      <w:bookmarkStart w:id="975" w:name="_Toc27867"/>
      <w:bookmarkStart w:id="976" w:name="_Toc30354"/>
    </w:p>
    <w:p w14:paraId="3B77E2C6">
      <w:pPr>
        <w:pStyle w:val="106"/>
        <w:numPr>
          <w:ilvl w:val="0"/>
          <w:numId w:val="0"/>
        </w:numPr>
        <w:spacing w:after="120"/>
      </w:pPr>
    </w:p>
    <w:p w14:paraId="02AD37CA">
      <w:pPr>
        <w:pStyle w:val="106"/>
        <w:numPr>
          <w:ilvl w:val="0"/>
          <w:numId w:val="0"/>
        </w:numPr>
        <w:spacing w:after="120"/>
      </w:pPr>
    </w:p>
    <w:p w14:paraId="491141D4">
      <w:pPr>
        <w:pStyle w:val="106"/>
        <w:numPr>
          <w:ilvl w:val="0"/>
          <w:numId w:val="0"/>
        </w:numPr>
        <w:spacing w:after="120"/>
      </w:pPr>
    </w:p>
    <w:p w14:paraId="086F3859">
      <w:pPr>
        <w:pStyle w:val="106"/>
        <w:numPr>
          <w:ilvl w:val="0"/>
          <w:numId w:val="0"/>
        </w:numPr>
        <w:spacing w:after="120"/>
      </w:pPr>
    </w:p>
    <w:p w14:paraId="6A16B77C">
      <w:pPr>
        <w:pStyle w:val="106"/>
        <w:numPr>
          <w:ilvl w:val="0"/>
          <w:numId w:val="0"/>
        </w:numPr>
        <w:spacing w:after="120"/>
      </w:pPr>
    </w:p>
    <w:p w14:paraId="0A2CAF71">
      <w:pPr>
        <w:pStyle w:val="106"/>
        <w:numPr>
          <w:ilvl w:val="0"/>
          <w:numId w:val="0"/>
        </w:numPr>
        <w:spacing w:after="120"/>
      </w:pPr>
    </w:p>
    <w:p w14:paraId="41383C08">
      <w:pPr>
        <w:pStyle w:val="106"/>
        <w:numPr>
          <w:ilvl w:val="0"/>
          <w:numId w:val="0"/>
        </w:numPr>
        <w:spacing w:after="120"/>
      </w:pPr>
    </w:p>
    <w:p w14:paraId="45E6B40E">
      <w:pPr>
        <w:pStyle w:val="106"/>
        <w:numPr>
          <w:ilvl w:val="0"/>
          <w:numId w:val="0"/>
        </w:numPr>
        <w:spacing w:after="120"/>
      </w:pPr>
    </w:p>
    <w:p w14:paraId="3180FD23">
      <w:pPr>
        <w:pStyle w:val="106"/>
        <w:numPr>
          <w:ilvl w:val="0"/>
          <w:numId w:val="0"/>
        </w:numPr>
        <w:spacing w:after="120"/>
      </w:pPr>
    </w:p>
    <w:p w14:paraId="4BA683E4">
      <w:pPr>
        <w:pStyle w:val="106"/>
        <w:numPr>
          <w:ilvl w:val="0"/>
          <w:numId w:val="0"/>
        </w:numPr>
        <w:spacing w:after="120"/>
      </w:pPr>
    </w:p>
    <w:p w14:paraId="744535D0">
      <w:pPr>
        <w:pStyle w:val="106"/>
        <w:numPr>
          <w:ilvl w:val="0"/>
          <w:numId w:val="0"/>
        </w:numPr>
        <w:spacing w:after="120"/>
      </w:pPr>
    </w:p>
    <w:p w14:paraId="4B0B9B10">
      <w:pPr>
        <w:pStyle w:val="106"/>
        <w:numPr>
          <w:ilvl w:val="0"/>
          <w:numId w:val="0"/>
        </w:numPr>
        <w:spacing w:after="120"/>
      </w:pPr>
    </w:p>
    <w:p w14:paraId="2A73955B">
      <w:pPr>
        <w:pStyle w:val="106"/>
        <w:numPr>
          <w:ilvl w:val="0"/>
          <w:numId w:val="0"/>
        </w:numPr>
        <w:spacing w:after="120"/>
      </w:pPr>
    </w:p>
    <w:p w14:paraId="5F20EABC">
      <w:pPr>
        <w:pStyle w:val="106"/>
        <w:numPr>
          <w:ilvl w:val="0"/>
          <w:numId w:val="0"/>
        </w:numPr>
        <w:spacing w:after="120"/>
      </w:pPr>
    </w:p>
    <w:p w14:paraId="3A3BB1CE">
      <w:pPr>
        <w:pStyle w:val="106"/>
        <w:numPr>
          <w:ilvl w:val="0"/>
          <w:numId w:val="0"/>
        </w:numPr>
        <w:spacing w:after="120"/>
      </w:pPr>
    </w:p>
    <w:p w14:paraId="16228FAA">
      <w:pPr>
        <w:pStyle w:val="106"/>
        <w:numPr>
          <w:ilvl w:val="0"/>
          <w:numId w:val="0"/>
        </w:numPr>
        <w:spacing w:after="120"/>
        <w:jc w:val="center"/>
        <w:outlineLvl w:val="1"/>
        <w:rPr>
          <w:rFonts w:ascii="仿宋" w:hAnsi="仿宋" w:eastAsia="仿宋" w:cs="仿宋"/>
          <w:b/>
          <w:bCs/>
          <w:sz w:val="32"/>
          <w:szCs w:val="32"/>
        </w:rPr>
      </w:pPr>
      <w:r>
        <w:rPr>
          <w:rFonts w:hint="eastAsia" w:ascii="仿宋" w:hAnsi="仿宋" w:eastAsia="仿宋" w:cs="仿宋"/>
          <w:b/>
          <w:bCs/>
          <w:sz w:val="32"/>
          <w:szCs w:val="32"/>
        </w:rPr>
        <w:t>附件10 设计部分合同专章</w:t>
      </w:r>
      <w:bookmarkEnd w:id="967"/>
      <w:bookmarkEnd w:id="968"/>
      <w:bookmarkEnd w:id="969"/>
      <w:bookmarkEnd w:id="970"/>
      <w:bookmarkEnd w:id="971"/>
      <w:bookmarkEnd w:id="972"/>
      <w:bookmarkEnd w:id="973"/>
      <w:bookmarkEnd w:id="974"/>
      <w:bookmarkEnd w:id="975"/>
      <w:bookmarkEnd w:id="976"/>
    </w:p>
    <w:p w14:paraId="148CA8DB">
      <w:pPr>
        <w:spacing w:before="120" w:beforeLines="50" w:after="120"/>
        <w:ind w:firstLine="600"/>
        <w:rPr>
          <w:rFonts w:ascii="仿宋" w:hAnsi="仿宋" w:eastAsia="仿宋" w:cs="仿宋"/>
          <w:sz w:val="30"/>
          <w:szCs w:val="30"/>
        </w:rPr>
      </w:pPr>
      <w:r>
        <w:rPr>
          <w:rFonts w:hint="eastAsia" w:ascii="仿宋" w:hAnsi="仿宋" w:eastAsia="仿宋" w:cs="仿宋"/>
          <w:sz w:val="30"/>
          <w:szCs w:val="30"/>
        </w:rPr>
        <w:t>承包人联合体成员方包含设计人时，设计人应遵守本合同协议书、通用合同条款、总承包管理与施工部分专用合同条款、设计部分专用合同条款及合同附件有关设计规定。承包人联合体牵头人自行完成设计任务，或将部分设</w:t>
      </w:r>
      <w:bookmarkStart w:id="977" w:name="_Toc28042661"/>
      <w:bookmarkStart w:id="978" w:name="_Toc36146454"/>
      <w:r>
        <w:rPr>
          <w:rFonts w:hint="eastAsia" w:ascii="仿宋" w:hAnsi="仿宋" w:eastAsia="仿宋" w:cs="仿宋"/>
          <w:sz w:val="30"/>
          <w:szCs w:val="30"/>
        </w:rPr>
        <w:t>计任务对外分包时，承包人</w:t>
      </w:r>
      <w:bookmarkEnd w:id="977"/>
      <w:bookmarkEnd w:id="978"/>
      <w:r>
        <w:rPr>
          <w:rFonts w:hint="eastAsia" w:ascii="仿宋" w:hAnsi="仿宋" w:eastAsia="仿宋" w:cs="仿宋"/>
          <w:sz w:val="30"/>
          <w:szCs w:val="30"/>
        </w:rPr>
        <w:t xml:space="preserve">联合体牵头人设计组或分包人履行 “设计人”相关义务，遵守 “设计人”相关规定。 </w:t>
      </w:r>
    </w:p>
    <w:p w14:paraId="30F3A818">
      <w:pPr>
        <w:pStyle w:val="4"/>
        <w:spacing w:before="120" w:beforeLines="50" w:after="120"/>
        <w:ind w:firstLine="602"/>
        <w:rPr>
          <w:rFonts w:ascii="仿宋" w:hAnsi="仿宋" w:eastAsia="仿宋" w:cs="仿宋"/>
          <w:sz w:val="30"/>
          <w:szCs w:val="30"/>
        </w:rPr>
      </w:pPr>
      <w:bookmarkStart w:id="979" w:name="_Toc28974"/>
      <w:bookmarkStart w:id="980" w:name="_Toc2837"/>
      <w:bookmarkStart w:id="981" w:name="_Toc12581"/>
      <w:r>
        <w:rPr>
          <w:rFonts w:hint="eastAsia" w:ascii="仿宋" w:hAnsi="仿宋" w:eastAsia="仿宋" w:cs="仿宋"/>
          <w:sz w:val="30"/>
          <w:szCs w:val="30"/>
        </w:rPr>
        <w:t>1. 发包人与设计人主要权利与义务</w:t>
      </w:r>
      <w:bookmarkEnd w:id="979"/>
      <w:bookmarkEnd w:id="980"/>
      <w:bookmarkEnd w:id="981"/>
    </w:p>
    <w:p w14:paraId="425161DA">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1.1发包人主要权利与义务 </w:t>
      </w:r>
    </w:p>
    <w:p w14:paraId="678488A8">
      <w:pPr>
        <w:spacing w:after="120"/>
        <w:ind w:firstLine="600"/>
        <w:rPr>
          <w:rFonts w:ascii="仿宋" w:hAnsi="仿宋" w:eastAsia="仿宋" w:cs="仿宋"/>
          <w:sz w:val="30"/>
          <w:szCs w:val="30"/>
        </w:rPr>
      </w:pPr>
      <w:r>
        <w:rPr>
          <w:rFonts w:hint="eastAsia" w:ascii="仿宋" w:hAnsi="仿宋" w:eastAsia="仿宋" w:cs="仿宋"/>
          <w:sz w:val="30"/>
          <w:szCs w:val="30"/>
        </w:rPr>
        <w:t xml:space="preserve">1.1.1对工程设计过程的决策、控制、实施等环节实行全面管理，协调和监督。 </w:t>
      </w:r>
    </w:p>
    <w:p w14:paraId="05C3B5AD">
      <w:pPr>
        <w:spacing w:after="120"/>
        <w:ind w:firstLine="600"/>
        <w:rPr>
          <w:rFonts w:ascii="仿宋" w:hAnsi="仿宋" w:eastAsia="仿宋" w:cs="仿宋"/>
          <w:sz w:val="30"/>
          <w:szCs w:val="30"/>
        </w:rPr>
      </w:pPr>
      <w:r>
        <w:rPr>
          <w:rFonts w:hint="eastAsia" w:ascii="仿宋" w:hAnsi="仿宋" w:eastAsia="仿宋" w:cs="仿宋"/>
          <w:sz w:val="30"/>
          <w:szCs w:val="30"/>
        </w:rPr>
        <w:t>1.1.2检查设计人（设计组）的组成人员到位情况、人员稳定情况，如出现设计组人</w:t>
      </w:r>
      <w:bookmarkStart w:id="982" w:name="_Toc36146455"/>
      <w:bookmarkStart w:id="983" w:name="_Toc28042662"/>
      <w:r>
        <w:rPr>
          <w:rFonts w:hint="eastAsia" w:ascii="仿宋" w:hAnsi="仿宋" w:eastAsia="仿宋" w:cs="仿宋"/>
          <w:sz w:val="30"/>
          <w:szCs w:val="30"/>
        </w:rPr>
        <w:t>力、能力不能满足设计工作要求，可要</w:t>
      </w:r>
      <w:bookmarkEnd w:id="982"/>
      <w:bookmarkEnd w:id="983"/>
      <w:r>
        <w:rPr>
          <w:rFonts w:hint="eastAsia" w:ascii="仿宋" w:hAnsi="仿宋" w:eastAsia="仿宋" w:cs="仿宋"/>
          <w:sz w:val="30"/>
          <w:szCs w:val="30"/>
        </w:rPr>
        <w:t>求</w:t>
      </w:r>
      <w:bookmarkStart w:id="984" w:name="_Toc28042663"/>
      <w:bookmarkStart w:id="985" w:name="_Toc36146456"/>
      <w:r>
        <w:rPr>
          <w:rFonts w:hint="eastAsia" w:ascii="仿宋" w:hAnsi="仿宋" w:eastAsia="仿宋" w:cs="仿宋"/>
          <w:sz w:val="30"/>
          <w:szCs w:val="30"/>
        </w:rPr>
        <w:t>设计人增加或替换相应的技术</w:t>
      </w:r>
      <w:bookmarkEnd w:id="984"/>
      <w:bookmarkEnd w:id="985"/>
      <w:r>
        <w:rPr>
          <w:rFonts w:hint="eastAsia" w:ascii="仿宋" w:hAnsi="仿宋" w:eastAsia="仿宋" w:cs="仿宋"/>
          <w:sz w:val="30"/>
          <w:szCs w:val="30"/>
        </w:rPr>
        <w:t>人员，设计人不得拒绝。</w:t>
      </w:r>
    </w:p>
    <w:p w14:paraId="71AD12D8">
      <w:pPr>
        <w:spacing w:after="120"/>
        <w:ind w:firstLine="600"/>
        <w:rPr>
          <w:rFonts w:ascii="仿宋" w:hAnsi="仿宋" w:eastAsia="仿宋" w:cs="仿宋"/>
          <w:sz w:val="30"/>
          <w:szCs w:val="30"/>
        </w:rPr>
      </w:pPr>
      <w:r>
        <w:rPr>
          <w:rFonts w:hint="eastAsia" w:ascii="仿宋" w:hAnsi="仿宋" w:eastAsia="仿宋" w:cs="仿宋"/>
          <w:sz w:val="30"/>
          <w:szCs w:val="30"/>
        </w:rPr>
        <w:t>1.1.3检查设计人限额设计执行情况，审批设计变更。</w:t>
      </w:r>
    </w:p>
    <w:p w14:paraId="07F38D9A">
      <w:pPr>
        <w:spacing w:after="120"/>
        <w:ind w:firstLine="600"/>
        <w:rPr>
          <w:rFonts w:ascii="仿宋" w:hAnsi="仿宋" w:eastAsia="仿宋" w:cs="仿宋"/>
          <w:sz w:val="30"/>
          <w:szCs w:val="30"/>
        </w:rPr>
      </w:pPr>
      <w:r>
        <w:rPr>
          <w:rFonts w:hint="eastAsia" w:ascii="仿宋" w:hAnsi="仿宋" w:eastAsia="仿宋" w:cs="仿宋"/>
          <w:sz w:val="30"/>
          <w:szCs w:val="30"/>
        </w:rPr>
        <w:t>1.1.4负责组织审查和确认各设计阶段的设计成果，根据设计人的申请，组织重大技术问题审查工作。</w:t>
      </w:r>
    </w:p>
    <w:p w14:paraId="198629D4">
      <w:pPr>
        <w:spacing w:after="120"/>
        <w:ind w:firstLine="600"/>
        <w:rPr>
          <w:rFonts w:ascii="仿宋" w:hAnsi="仿宋" w:eastAsia="仿宋" w:cs="仿宋"/>
          <w:sz w:val="30"/>
          <w:szCs w:val="30"/>
        </w:rPr>
      </w:pPr>
      <w:r>
        <w:rPr>
          <w:rFonts w:hint="eastAsia" w:ascii="仿宋" w:hAnsi="仿宋" w:eastAsia="仿宋" w:cs="仿宋"/>
          <w:sz w:val="30"/>
          <w:szCs w:val="30"/>
        </w:rPr>
        <w:t>1.1.5按照有关规定，组织完成设计文件审查工作。</w:t>
      </w:r>
    </w:p>
    <w:p w14:paraId="0147DBAD">
      <w:pPr>
        <w:spacing w:after="120"/>
        <w:ind w:firstLine="600"/>
        <w:rPr>
          <w:rFonts w:ascii="仿宋" w:hAnsi="仿宋" w:eastAsia="仿宋" w:cs="仿宋"/>
          <w:sz w:val="30"/>
          <w:szCs w:val="30"/>
        </w:rPr>
      </w:pPr>
      <w:r>
        <w:rPr>
          <w:rFonts w:hint="eastAsia" w:ascii="仿宋" w:hAnsi="仿宋" w:eastAsia="仿宋" w:cs="仿宋"/>
          <w:sz w:val="30"/>
          <w:szCs w:val="30"/>
        </w:rPr>
        <w:t>1.1.6设计人各阶段的设计文件，对新工艺、新技术、新材料、新设备的运用，应报发包人确认，必要时组织有关专家论证。</w:t>
      </w:r>
    </w:p>
    <w:p w14:paraId="572C8C52">
      <w:pPr>
        <w:spacing w:after="120"/>
        <w:ind w:firstLine="600"/>
        <w:rPr>
          <w:rFonts w:ascii="仿宋" w:hAnsi="仿宋" w:eastAsia="仿宋" w:cs="仿宋"/>
          <w:sz w:val="30"/>
          <w:szCs w:val="30"/>
        </w:rPr>
      </w:pPr>
      <w:r>
        <w:rPr>
          <w:rFonts w:hint="eastAsia" w:ascii="仿宋" w:hAnsi="仿宋" w:eastAsia="仿宋" w:cs="仿宋"/>
          <w:sz w:val="30"/>
          <w:szCs w:val="30"/>
        </w:rPr>
        <w:t>1.1.7发包人可委托有关设计咨询机构或组织由有关专家和技术人员组成的审图小组，对设计人完成的各阶段设计文件进行审查，设计人应积极配合。</w:t>
      </w:r>
    </w:p>
    <w:p w14:paraId="0C0FFCE8">
      <w:pPr>
        <w:spacing w:after="120"/>
        <w:ind w:firstLine="600"/>
        <w:rPr>
          <w:rFonts w:ascii="仿宋" w:hAnsi="仿宋" w:eastAsia="仿宋" w:cs="仿宋"/>
          <w:sz w:val="30"/>
          <w:szCs w:val="30"/>
        </w:rPr>
      </w:pPr>
      <w:r>
        <w:rPr>
          <w:rFonts w:hint="eastAsia" w:ascii="仿宋" w:hAnsi="仿宋" w:eastAsia="仿宋" w:cs="仿宋"/>
          <w:sz w:val="30"/>
          <w:szCs w:val="30"/>
        </w:rPr>
        <w:t>1.1.8设计人应积极配合发包人委托的审图单位进行设计文件审查工作，提供审图所需的资料。</w:t>
      </w:r>
    </w:p>
    <w:p w14:paraId="7B11595F">
      <w:pPr>
        <w:spacing w:after="120"/>
        <w:ind w:firstLine="600"/>
        <w:rPr>
          <w:rFonts w:ascii="仿宋" w:hAnsi="仿宋" w:eastAsia="仿宋" w:cs="仿宋"/>
          <w:sz w:val="30"/>
          <w:szCs w:val="30"/>
        </w:rPr>
      </w:pPr>
      <w:r>
        <w:rPr>
          <w:rFonts w:hint="eastAsia" w:ascii="仿宋" w:hAnsi="仿宋" w:eastAsia="仿宋" w:cs="仿宋"/>
          <w:sz w:val="30"/>
          <w:szCs w:val="30"/>
        </w:rPr>
        <w:t>1.1.9发包人保留对本合同工程的设计标准、设计内容进行调整的权利，设计人不得拒绝或另行收费，招标文件及本合同另有规定的除外。</w:t>
      </w:r>
    </w:p>
    <w:p w14:paraId="034A0FED">
      <w:pPr>
        <w:spacing w:after="120"/>
        <w:ind w:firstLine="600"/>
        <w:rPr>
          <w:rFonts w:ascii="仿宋" w:hAnsi="仿宋" w:eastAsia="仿宋" w:cs="仿宋"/>
          <w:sz w:val="30"/>
          <w:szCs w:val="30"/>
        </w:rPr>
      </w:pPr>
      <w:r>
        <w:rPr>
          <w:rFonts w:hint="eastAsia" w:ascii="仿宋" w:hAnsi="仿宋" w:eastAsia="仿宋" w:cs="仿宋"/>
          <w:sz w:val="30"/>
          <w:szCs w:val="30"/>
        </w:rPr>
        <w:t>1.1.10发包人有权对项目的全过程进行审计或审计调查，并提出审计意见和建议；乙方应根据意见和建议作出相应的调整。</w:t>
      </w:r>
    </w:p>
    <w:p w14:paraId="5754E043">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1.2 设计人主要权利与义务 </w:t>
      </w:r>
    </w:p>
    <w:p w14:paraId="3A2B182A">
      <w:pPr>
        <w:spacing w:after="120"/>
        <w:ind w:firstLine="600"/>
        <w:rPr>
          <w:rFonts w:ascii="仿宋" w:hAnsi="仿宋" w:eastAsia="仿宋" w:cs="仿宋"/>
          <w:sz w:val="30"/>
          <w:szCs w:val="30"/>
        </w:rPr>
      </w:pPr>
      <w:r>
        <w:rPr>
          <w:rFonts w:hint="eastAsia" w:ascii="仿宋" w:hAnsi="仿宋" w:eastAsia="仿宋" w:cs="仿宋"/>
          <w:sz w:val="30"/>
          <w:szCs w:val="30"/>
        </w:rPr>
        <w:t>1.2.1设计人应按月提交《项目设计管理报告》，报告应对工程设计的综合进度、投资、存在问题及需发包人协调解决的问题等进行全面阐述，具体格式和内容双方协商。《项目设计管理报告》需经设计人签字、</w:t>
      </w:r>
      <w:bookmarkStart w:id="986" w:name="_Toc36146457"/>
      <w:bookmarkStart w:id="987" w:name="_Toc28042664"/>
      <w:r>
        <w:rPr>
          <w:rFonts w:hint="eastAsia" w:ascii="仿宋" w:hAnsi="仿宋" w:eastAsia="仿宋" w:cs="仿宋"/>
          <w:sz w:val="30"/>
          <w:szCs w:val="30"/>
        </w:rPr>
        <w:t>盖章确认后一式六份报送发包人</w:t>
      </w:r>
      <w:bookmarkEnd w:id="986"/>
      <w:bookmarkEnd w:id="987"/>
      <w:r>
        <w:rPr>
          <w:rFonts w:hint="eastAsia" w:ascii="仿宋" w:hAnsi="仿宋" w:eastAsia="仿宋" w:cs="仿宋"/>
          <w:sz w:val="30"/>
          <w:szCs w:val="30"/>
        </w:rPr>
        <w:t xml:space="preserve">。 </w:t>
      </w:r>
    </w:p>
    <w:p w14:paraId="0782E6D0">
      <w:pPr>
        <w:spacing w:after="120"/>
        <w:ind w:firstLine="600"/>
        <w:rPr>
          <w:rFonts w:ascii="仿宋" w:hAnsi="仿宋" w:eastAsia="仿宋" w:cs="仿宋"/>
          <w:sz w:val="30"/>
          <w:szCs w:val="30"/>
        </w:rPr>
      </w:pPr>
      <w:r>
        <w:rPr>
          <w:rFonts w:hint="eastAsia" w:ascii="仿宋" w:hAnsi="仿宋" w:eastAsia="仿宋" w:cs="仿宋"/>
          <w:sz w:val="30"/>
          <w:szCs w:val="30"/>
        </w:rPr>
        <w:t>1.2.2设计人应根据合同规定的工期要求，严格按照进度计划和出图计划开展和组织设计工作，保证各阶段设计工作如期完成。</w:t>
      </w:r>
    </w:p>
    <w:p w14:paraId="0EC0A2B1">
      <w:pPr>
        <w:spacing w:after="120"/>
        <w:ind w:firstLine="600"/>
        <w:rPr>
          <w:rFonts w:ascii="仿宋" w:hAnsi="仿宋" w:eastAsia="仿宋" w:cs="仿宋"/>
          <w:sz w:val="30"/>
          <w:szCs w:val="30"/>
        </w:rPr>
      </w:pPr>
      <w:r>
        <w:rPr>
          <w:rFonts w:hint="eastAsia" w:ascii="仿宋" w:hAnsi="仿宋" w:eastAsia="仿宋" w:cs="仿宋"/>
          <w:sz w:val="30"/>
          <w:szCs w:val="30"/>
        </w:rPr>
        <w:t>1.2.3设计人应积极配合发包人另行委托的相关单位进行定期检查，如会议、巡检、技术论证、设计文件审查等，并履行设计总承包管理与协调服务，统一负责对专业设计分包人进行指导、管理和监督。设计人与专业设计分包人签订分包合同时，应该明确分包价款支付方式并严格执行。如果基于生效的判决、裁定或者行政命令，致使发包人需向设计分包人支付分包价款，发包人有权将此款项从应付设计人设计费中予以扣除。</w:t>
      </w:r>
    </w:p>
    <w:p w14:paraId="62913E4B">
      <w:pPr>
        <w:spacing w:after="120"/>
        <w:ind w:firstLine="600"/>
        <w:rPr>
          <w:rFonts w:ascii="仿宋" w:hAnsi="仿宋" w:eastAsia="仿宋" w:cs="仿宋"/>
          <w:sz w:val="30"/>
          <w:szCs w:val="30"/>
        </w:rPr>
      </w:pPr>
      <w:r>
        <w:rPr>
          <w:rFonts w:hint="eastAsia" w:ascii="仿宋" w:hAnsi="仿宋" w:eastAsia="仿宋" w:cs="仿宋"/>
          <w:sz w:val="30"/>
          <w:szCs w:val="30"/>
        </w:rPr>
        <w:t>1.2.4 按照发包人建立的会议制度，设计人相关人员应参加设计例会、工程例会、技术研讨会、协调会、设计文件审查会等。</w:t>
      </w:r>
    </w:p>
    <w:p w14:paraId="44925935">
      <w:pPr>
        <w:spacing w:after="120"/>
        <w:ind w:firstLine="600"/>
        <w:rPr>
          <w:rFonts w:ascii="仿宋" w:hAnsi="仿宋" w:eastAsia="仿宋" w:cs="仿宋"/>
          <w:sz w:val="30"/>
          <w:szCs w:val="30"/>
        </w:rPr>
      </w:pPr>
      <w:r>
        <w:rPr>
          <w:rFonts w:hint="eastAsia" w:ascii="仿宋" w:hAnsi="仿宋" w:eastAsia="仿宋" w:cs="仿宋"/>
          <w:sz w:val="30"/>
          <w:szCs w:val="30"/>
        </w:rPr>
        <w:t>1.2.5设计人应积极配合发包人对设计工作的全面检查，包括投资额、设计进度、设计深度与质量、人员到位和投入力量等，对存在的问题，应及时进行整改。</w:t>
      </w:r>
    </w:p>
    <w:p w14:paraId="538C66E9">
      <w:pPr>
        <w:spacing w:after="120"/>
        <w:ind w:firstLine="600"/>
        <w:rPr>
          <w:rFonts w:ascii="仿宋" w:hAnsi="仿宋" w:eastAsia="仿宋" w:cs="仿宋"/>
          <w:sz w:val="30"/>
          <w:szCs w:val="30"/>
        </w:rPr>
      </w:pPr>
      <w:r>
        <w:rPr>
          <w:rFonts w:hint="eastAsia" w:ascii="仿宋" w:hAnsi="仿宋" w:eastAsia="仿宋" w:cs="仿宋"/>
          <w:sz w:val="30"/>
          <w:szCs w:val="30"/>
        </w:rPr>
        <w:t>1.2.6设计过程中，设计人应及时向发包人提交各种方案、建议、以及拟采用的新技术、新工艺、新材料、新设备的有关技术文件，以便发包人对此进行审查，确保各种方案的可行性。</w:t>
      </w:r>
    </w:p>
    <w:p w14:paraId="63EF5D67">
      <w:pPr>
        <w:spacing w:after="120"/>
        <w:ind w:firstLine="600"/>
        <w:rPr>
          <w:rFonts w:ascii="仿宋" w:hAnsi="仿宋" w:eastAsia="仿宋" w:cs="仿宋"/>
          <w:sz w:val="30"/>
          <w:szCs w:val="30"/>
        </w:rPr>
      </w:pPr>
      <w:r>
        <w:rPr>
          <w:rFonts w:hint="eastAsia" w:ascii="仿宋" w:hAnsi="仿宋" w:eastAsia="仿宋" w:cs="仿宋"/>
          <w:sz w:val="30"/>
          <w:szCs w:val="30"/>
        </w:rPr>
        <w:t>1.2.7在保证设计质量的前提下，设计人应按设计限额进行设计，控制设计变更成本。</w:t>
      </w:r>
    </w:p>
    <w:p w14:paraId="20561C99">
      <w:pPr>
        <w:spacing w:after="120"/>
        <w:ind w:firstLine="600"/>
        <w:rPr>
          <w:rFonts w:ascii="仿宋" w:hAnsi="仿宋" w:eastAsia="仿宋" w:cs="仿宋"/>
          <w:sz w:val="30"/>
          <w:szCs w:val="30"/>
        </w:rPr>
      </w:pPr>
      <w:r>
        <w:rPr>
          <w:rFonts w:hint="eastAsia" w:ascii="仿宋" w:hAnsi="仿宋" w:eastAsia="仿宋" w:cs="仿宋"/>
          <w:sz w:val="30"/>
          <w:szCs w:val="30"/>
        </w:rPr>
        <w:t>1.2.8设计人应遵循适用、经济、美观、安全的原则开展设计，在投资限额目标的基础上结合工程设计内容进一步分解投资，明确投资控制主要指标，在编制</w:t>
      </w:r>
      <w:r>
        <w:rPr>
          <w:rFonts w:hint="eastAsia" w:ascii="仿宋_GB2312" w:eastAsia="仿宋_GB2312"/>
          <w:sz w:val="30"/>
          <w:szCs w:val="30"/>
          <w:u w:val="single"/>
        </w:rPr>
        <w:t>施工图预算</w:t>
      </w:r>
      <w:r>
        <w:rPr>
          <w:rFonts w:hint="eastAsia" w:ascii="仿宋" w:hAnsi="仿宋" w:eastAsia="仿宋" w:cs="仿宋"/>
          <w:sz w:val="30"/>
          <w:szCs w:val="30"/>
        </w:rPr>
        <w:t>时逐步细化落实。</w:t>
      </w:r>
    </w:p>
    <w:p w14:paraId="23E687D7">
      <w:pPr>
        <w:spacing w:after="120"/>
        <w:ind w:firstLine="600"/>
        <w:rPr>
          <w:rFonts w:ascii="仿宋" w:hAnsi="仿宋" w:eastAsia="仿宋" w:cs="仿宋"/>
          <w:sz w:val="30"/>
          <w:szCs w:val="30"/>
        </w:rPr>
      </w:pPr>
      <w:r>
        <w:rPr>
          <w:rFonts w:hint="eastAsia" w:ascii="仿宋" w:hAnsi="仿宋" w:eastAsia="仿宋" w:cs="仿宋"/>
          <w:sz w:val="30"/>
          <w:szCs w:val="30"/>
        </w:rPr>
        <w:t>1.2.9 设计人在工程建设过程中需免费为发包人提供一名专业技术人员（设计单位需安排至少一名设计工程师）接受发包人安排及管理。</w:t>
      </w:r>
    </w:p>
    <w:p w14:paraId="6D380C7D">
      <w:pPr>
        <w:spacing w:after="120"/>
        <w:ind w:firstLine="600"/>
        <w:rPr>
          <w:rFonts w:ascii="仿宋" w:hAnsi="仿宋" w:eastAsia="仿宋" w:cs="仿宋"/>
          <w:sz w:val="30"/>
          <w:szCs w:val="30"/>
        </w:rPr>
      </w:pPr>
      <w:r>
        <w:rPr>
          <w:rFonts w:hint="eastAsia" w:ascii="仿宋" w:hAnsi="仿宋" w:eastAsia="仿宋" w:cs="仿宋"/>
          <w:sz w:val="30"/>
          <w:szCs w:val="30"/>
        </w:rPr>
        <w:t>1.2.10  设计人应接受承包人联合体牵头人管理、协调工作，执行项目经理指令。</w:t>
      </w:r>
    </w:p>
    <w:p w14:paraId="41DDE4C7">
      <w:pPr>
        <w:spacing w:after="120"/>
        <w:ind w:firstLine="600"/>
        <w:rPr>
          <w:rFonts w:ascii="仿宋" w:hAnsi="仿宋" w:eastAsia="仿宋" w:cs="仿宋"/>
          <w:sz w:val="30"/>
          <w:szCs w:val="30"/>
        </w:rPr>
      </w:pPr>
      <w:r>
        <w:rPr>
          <w:rFonts w:hint="eastAsia" w:ascii="仿宋" w:hAnsi="仿宋" w:eastAsia="仿宋" w:cs="仿宋"/>
          <w:sz w:val="30"/>
          <w:szCs w:val="30"/>
        </w:rPr>
        <w:t>1.2.11  设计人应接受发包人授权的监理人（全过程咨询单位）监督、管理、协调工作，执行总监理工程师指令。</w:t>
      </w:r>
    </w:p>
    <w:p w14:paraId="335F5930">
      <w:pPr>
        <w:spacing w:after="120"/>
        <w:ind w:firstLine="602"/>
        <w:rPr>
          <w:rFonts w:ascii="仿宋" w:hAnsi="仿宋" w:eastAsia="仿宋" w:cs="仿宋"/>
          <w:b/>
          <w:sz w:val="30"/>
          <w:szCs w:val="30"/>
        </w:rPr>
      </w:pPr>
      <w:r>
        <w:rPr>
          <w:rFonts w:hint="eastAsia" w:ascii="仿宋" w:hAnsi="仿宋" w:eastAsia="仿宋" w:cs="仿宋"/>
          <w:b/>
          <w:sz w:val="30"/>
          <w:szCs w:val="30"/>
        </w:rPr>
        <w:t xml:space="preserve">1.2.10设计分包 </w:t>
      </w:r>
    </w:p>
    <w:p w14:paraId="6A655A84">
      <w:pPr>
        <w:spacing w:after="120"/>
        <w:ind w:firstLine="600"/>
        <w:rPr>
          <w:rFonts w:ascii="仿宋" w:hAnsi="仿宋" w:eastAsia="仿宋" w:cs="仿宋"/>
          <w:sz w:val="30"/>
          <w:szCs w:val="30"/>
        </w:rPr>
      </w:pPr>
      <w:r>
        <w:rPr>
          <w:rFonts w:hint="eastAsia" w:ascii="仿宋" w:hAnsi="仿宋" w:eastAsia="仿宋" w:cs="仿宋"/>
          <w:sz w:val="30"/>
          <w:szCs w:val="30"/>
        </w:rPr>
        <w:t>（1）本合同工程的主要工作内容及关键性工作必须由设计人自行完成，不得分包。本项目中（包括但不限于红线范围内）设计人应保证按规划及建筑功能要求、配套设施要求完成本工程批复设计概算包含的全部项目的专业专项设计（如供水、排水、供电）。设计人所承接的专项设计内容，由于设计人自身的资质及所属设计人员的限制，设计人可进行分包，分包方由设计人推荐，发包人对被推荐机构的资质等进行审核，如发包人认为设计人推荐的机构不符合发包人的要求的，设计人必须重新推荐直至符合发包人要求。本项目设计由发包人总包予设计人，因设计人无专业设计资质所产生的分包设计费用由设计人负责。专项分包施工图设计文件中，需设计人校核确认的部分由设计人及专项分包方人员进行会签并加盖经授权的图纸审核专用章或公章。</w:t>
      </w:r>
    </w:p>
    <w:p w14:paraId="1F77E812">
      <w:pPr>
        <w:spacing w:after="120"/>
        <w:ind w:firstLine="600"/>
        <w:rPr>
          <w:rFonts w:ascii="仿宋" w:hAnsi="仿宋" w:eastAsia="仿宋" w:cs="仿宋"/>
          <w:sz w:val="30"/>
          <w:szCs w:val="30"/>
        </w:rPr>
      </w:pPr>
      <w:r>
        <w:rPr>
          <w:rFonts w:hint="eastAsia" w:ascii="仿宋" w:hAnsi="仿宋" w:eastAsia="仿宋" w:cs="仿宋"/>
          <w:sz w:val="30"/>
          <w:szCs w:val="30"/>
        </w:rPr>
        <w:t>（2） 设计人必须在提交设计计划书时将拟分包的项目及拟定的专业分包单位报送发包人批准。设计人选择的专项设计分包单位必须符合国内的相关行业资质标准，经发包人确认后，由设计人与专项设计分包方签订分包合同，分包合同签订后7个工作日内，将签订的分包合同正本一份提交发包人备案。</w:t>
      </w:r>
    </w:p>
    <w:p w14:paraId="42FF3FA3">
      <w:pPr>
        <w:spacing w:after="120"/>
        <w:ind w:firstLine="600"/>
        <w:rPr>
          <w:rFonts w:ascii="仿宋" w:hAnsi="仿宋" w:eastAsia="仿宋" w:cs="仿宋"/>
          <w:sz w:val="30"/>
          <w:szCs w:val="30"/>
        </w:rPr>
      </w:pPr>
      <w:r>
        <w:rPr>
          <w:rFonts w:hint="eastAsia" w:ascii="仿宋" w:hAnsi="仿宋" w:eastAsia="仿宋" w:cs="仿宋"/>
          <w:sz w:val="30"/>
          <w:szCs w:val="30"/>
        </w:rPr>
        <w:t>（3） 设计人应严格按照本合同约定及项目建设管理需要做好分包管理工作，禁止转包或违法分包，禁止转让、出借企业资质证书或者以其他方式允许他人以本企业名义承揽设计业务。</w:t>
      </w:r>
    </w:p>
    <w:p w14:paraId="349DF390">
      <w:pPr>
        <w:spacing w:after="120"/>
        <w:ind w:firstLine="600"/>
        <w:rPr>
          <w:rFonts w:ascii="仿宋" w:hAnsi="仿宋" w:eastAsia="仿宋" w:cs="仿宋"/>
          <w:sz w:val="30"/>
          <w:szCs w:val="30"/>
        </w:rPr>
      </w:pPr>
      <w:r>
        <w:rPr>
          <w:rFonts w:hint="eastAsia" w:ascii="仿宋" w:hAnsi="仿宋" w:eastAsia="仿宋" w:cs="仿宋"/>
          <w:sz w:val="30"/>
          <w:szCs w:val="30"/>
        </w:rPr>
        <w:t>①设计人不得将其承包的全部设计项目转包给他人，或者将其承包的全部设计项目肢解后以分包的名义分别转包给他人；设计项目分包后，未在设计现场设立项目管理机构和派驻相应人员，且未对该设计活动进行组织管理的，视同转包行为。</w:t>
      </w:r>
    </w:p>
    <w:p w14:paraId="62591D8C">
      <w:pPr>
        <w:spacing w:after="120"/>
        <w:ind w:firstLine="600"/>
        <w:rPr>
          <w:rFonts w:ascii="仿宋" w:hAnsi="仿宋" w:eastAsia="仿宋" w:cs="仿宋"/>
          <w:sz w:val="30"/>
          <w:szCs w:val="30"/>
        </w:rPr>
      </w:pPr>
      <w:r>
        <w:rPr>
          <w:rFonts w:hint="eastAsia" w:ascii="仿宋" w:hAnsi="仿宋" w:eastAsia="仿宋" w:cs="仿宋"/>
          <w:sz w:val="30"/>
          <w:szCs w:val="30"/>
        </w:rPr>
        <w:t>② 下列行为，属于违法分包：</w:t>
      </w:r>
    </w:p>
    <w:p w14:paraId="1FFCC3D3">
      <w:pPr>
        <w:spacing w:after="120"/>
        <w:ind w:firstLine="600"/>
        <w:rPr>
          <w:rFonts w:ascii="仿宋" w:hAnsi="仿宋" w:eastAsia="仿宋" w:cs="仿宋"/>
          <w:sz w:val="30"/>
          <w:szCs w:val="30"/>
        </w:rPr>
      </w:pPr>
      <w:r>
        <w:rPr>
          <w:rFonts w:hint="eastAsia" w:ascii="仿宋" w:hAnsi="仿宋" w:eastAsia="仿宋" w:cs="仿宋"/>
          <w:sz w:val="30"/>
          <w:szCs w:val="30"/>
        </w:rPr>
        <w:t>A. 设计人将设计项目分包给不具备相应资质条件的分包人的；</w:t>
      </w:r>
    </w:p>
    <w:p w14:paraId="2A78254B">
      <w:pPr>
        <w:spacing w:after="120"/>
        <w:ind w:firstLine="600"/>
        <w:rPr>
          <w:rFonts w:ascii="仿宋" w:hAnsi="仿宋" w:eastAsia="仿宋" w:cs="仿宋"/>
          <w:sz w:val="30"/>
          <w:szCs w:val="30"/>
        </w:rPr>
      </w:pPr>
      <w:r>
        <w:rPr>
          <w:rFonts w:hint="eastAsia" w:ascii="仿宋" w:hAnsi="仿宋" w:eastAsia="仿宋" w:cs="仿宋"/>
          <w:sz w:val="30"/>
          <w:szCs w:val="30"/>
        </w:rPr>
        <w:t>B. 本合同中未有约定，又未经发包人认可，设计人将承包的部分设计项目分包给他人的；</w:t>
      </w:r>
    </w:p>
    <w:p w14:paraId="309E74CF">
      <w:pPr>
        <w:spacing w:after="120"/>
        <w:ind w:firstLine="600"/>
        <w:rPr>
          <w:rFonts w:ascii="仿宋" w:hAnsi="仿宋" w:eastAsia="仿宋" w:cs="仿宋"/>
          <w:sz w:val="30"/>
          <w:szCs w:val="30"/>
        </w:rPr>
      </w:pPr>
      <w:r>
        <w:rPr>
          <w:rFonts w:hint="eastAsia" w:ascii="仿宋" w:hAnsi="仿宋" w:eastAsia="仿宋" w:cs="仿宋"/>
          <w:sz w:val="30"/>
          <w:szCs w:val="30"/>
        </w:rPr>
        <w:t>C. 设计人虽然没有将其承包的设计项目进行分包，但在设计现场所设项目管理机构的设计负责人、各专业设计负责人、设计驻场总负责人和驻场设计代表不是设计人本单位人员的，视同允许他人以本企业名义承揽设计业务。</w:t>
      </w:r>
    </w:p>
    <w:p w14:paraId="0F90C8B8">
      <w:pPr>
        <w:spacing w:after="120"/>
        <w:ind w:firstLine="600"/>
        <w:rPr>
          <w:rFonts w:ascii="仿宋" w:hAnsi="仿宋" w:eastAsia="仿宋" w:cs="仿宋"/>
          <w:sz w:val="30"/>
          <w:szCs w:val="30"/>
        </w:rPr>
      </w:pPr>
      <w:r>
        <w:rPr>
          <w:rFonts w:hint="eastAsia" w:ascii="仿宋" w:hAnsi="仿宋" w:eastAsia="仿宋" w:cs="仿宋"/>
          <w:sz w:val="30"/>
          <w:szCs w:val="30"/>
        </w:rPr>
        <w:t>（4）分包单位必须自行完成所承包的设计，严禁再分包，并承担下列责任（包括但不限于）：</w:t>
      </w:r>
    </w:p>
    <w:p w14:paraId="14EE892C">
      <w:pPr>
        <w:spacing w:after="120"/>
        <w:ind w:firstLine="600"/>
        <w:rPr>
          <w:rFonts w:ascii="仿宋" w:hAnsi="仿宋" w:eastAsia="仿宋" w:cs="仿宋"/>
          <w:sz w:val="30"/>
          <w:szCs w:val="30"/>
        </w:rPr>
      </w:pPr>
      <w:r>
        <w:rPr>
          <w:rFonts w:hint="eastAsia" w:ascii="仿宋" w:hAnsi="仿宋" w:eastAsia="仿宋" w:cs="仿宋"/>
          <w:sz w:val="30"/>
          <w:szCs w:val="30"/>
        </w:rPr>
        <w:t>① 接受发包人及设计人的管理，无条件执行发包人及设计人的指令。当发包人的指令与设计人的指令不一致时，以发包人的指令为准；其他指令之间发生冲突时，应立即提请发包人协调处理。</w:t>
      </w:r>
    </w:p>
    <w:p w14:paraId="75EAFDB0">
      <w:pPr>
        <w:spacing w:after="120"/>
        <w:ind w:firstLine="600"/>
        <w:rPr>
          <w:rFonts w:ascii="仿宋" w:hAnsi="仿宋" w:eastAsia="仿宋" w:cs="仿宋"/>
          <w:sz w:val="30"/>
          <w:szCs w:val="30"/>
        </w:rPr>
      </w:pPr>
      <w:r>
        <w:rPr>
          <w:rFonts w:hint="eastAsia" w:ascii="仿宋" w:hAnsi="仿宋" w:eastAsia="仿宋" w:cs="仿宋"/>
          <w:sz w:val="30"/>
          <w:szCs w:val="30"/>
        </w:rPr>
        <w:t>② 按本合同及分包合同约定按时、按质、按量完成分包的设计任务并提交设计成果文件，对分包设计的进度、质量、安全、工程投资控制等负责。</w:t>
      </w:r>
    </w:p>
    <w:p w14:paraId="5EB608CC">
      <w:pPr>
        <w:spacing w:after="120"/>
        <w:ind w:firstLine="600"/>
        <w:rPr>
          <w:rFonts w:ascii="仿宋" w:hAnsi="仿宋" w:eastAsia="仿宋" w:cs="仿宋"/>
          <w:sz w:val="30"/>
          <w:szCs w:val="30"/>
        </w:rPr>
      </w:pPr>
      <w:r>
        <w:rPr>
          <w:rFonts w:hint="eastAsia" w:ascii="仿宋" w:hAnsi="仿宋" w:eastAsia="仿宋" w:cs="仿宋"/>
          <w:sz w:val="30"/>
          <w:szCs w:val="30"/>
        </w:rPr>
        <w:t>③ 本合同及分包合同中与分包设计项目有关的其他工作内容。</w:t>
      </w:r>
    </w:p>
    <w:p w14:paraId="05EC58DA">
      <w:pPr>
        <w:spacing w:after="120"/>
        <w:ind w:firstLine="600"/>
        <w:rPr>
          <w:rFonts w:ascii="仿宋" w:hAnsi="仿宋" w:eastAsia="仿宋" w:cs="仿宋"/>
          <w:sz w:val="30"/>
          <w:szCs w:val="30"/>
        </w:rPr>
      </w:pPr>
      <w:r>
        <w:rPr>
          <w:rFonts w:hint="eastAsia" w:ascii="仿宋" w:hAnsi="仿宋" w:eastAsia="仿宋" w:cs="仿宋"/>
          <w:sz w:val="30"/>
          <w:szCs w:val="30"/>
        </w:rPr>
        <w:t>（5）设计人的项目管理部是设计人的分包项目管理机构，应当具有与所承包设计的规模、技术复杂程度相适应的技术、经济管理人员；其中，设计负责人必须是本单位的人员。</w:t>
      </w:r>
    </w:p>
    <w:p w14:paraId="640FC46B">
      <w:pPr>
        <w:spacing w:after="120"/>
        <w:ind w:firstLine="600"/>
        <w:rPr>
          <w:rFonts w:ascii="仿宋" w:hAnsi="仿宋" w:eastAsia="仿宋" w:cs="仿宋"/>
          <w:sz w:val="30"/>
          <w:szCs w:val="30"/>
        </w:rPr>
      </w:pPr>
      <w:r>
        <w:rPr>
          <w:rFonts w:hint="eastAsia" w:ascii="仿宋" w:hAnsi="仿宋" w:eastAsia="仿宋" w:cs="仿宋"/>
          <w:sz w:val="30"/>
          <w:szCs w:val="30"/>
        </w:rPr>
        <w:t>设计人应按照本合同的有关约定，在发包人批准分包后5天内将分包单位设计技术管理人员名单及设备仪器投入计划报送发包人且负责落实到位，并接受施工图审查单位和发包人代表的查验。</w:t>
      </w:r>
    </w:p>
    <w:p w14:paraId="6EB4EB53">
      <w:pPr>
        <w:spacing w:after="120"/>
        <w:ind w:firstLine="600"/>
        <w:rPr>
          <w:rFonts w:ascii="仿宋" w:hAnsi="仿宋" w:eastAsia="仿宋" w:cs="仿宋"/>
          <w:sz w:val="30"/>
          <w:szCs w:val="30"/>
        </w:rPr>
      </w:pPr>
      <w:r>
        <w:rPr>
          <w:rFonts w:hint="eastAsia" w:ascii="仿宋" w:hAnsi="仿宋" w:eastAsia="仿宋" w:cs="仿宋"/>
          <w:sz w:val="30"/>
          <w:szCs w:val="30"/>
        </w:rPr>
        <w:t>设计人应严格按照本合同约定及发包人的要求加强对分包单位履行义务的管理，保证分包单位全面正确履行合同。分包单位的任何违约行为或疏忽导致工程损害或给发包人造成其他损失，由设计人承担连带责任。</w:t>
      </w:r>
    </w:p>
    <w:p w14:paraId="4BDC3A78">
      <w:pPr>
        <w:spacing w:after="120"/>
        <w:ind w:firstLine="600"/>
        <w:rPr>
          <w:rFonts w:ascii="仿宋" w:hAnsi="仿宋" w:eastAsia="仿宋" w:cs="仿宋"/>
          <w:sz w:val="30"/>
          <w:szCs w:val="30"/>
        </w:rPr>
      </w:pPr>
      <w:r>
        <w:rPr>
          <w:rFonts w:hint="eastAsia" w:ascii="仿宋" w:hAnsi="仿宋" w:eastAsia="仿宋" w:cs="仿宋"/>
          <w:sz w:val="30"/>
          <w:szCs w:val="30"/>
        </w:rPr>
        <w:t>（6）专业设计分包单位的管理</w:t>
      </w:r>
    </w:p>
    <w:p w14:paraId="72F54588">
      <w:pPr>
        <w:spacing w:after="120"/>
        <w:ind w:firstLine="600"/>
        <w:rPr>
          <w:rFonts w:ascii="仿宋" w:hAnsi="仿宋" w:eastAsia="仿宋" w:cs="仿宋"/>
          <w:sz w:val="30"/>
          <w:szCs w:val="30"/>
        </w:rPr>
      </w:pPr>
      <w:r>
        <w:rPr>
          <w:rFonts w:hint="eastAsia" w:ascii="仿宋" w:hAnsi="仿宋" w:eastAsia="仿宋" w:cs="仿宋"/>
          <w:sz w:val="30"/>
          <w:szCs w:val="30"/>
        </w:rPr>
        <w:t>在设计人分包的专项设计阶段，实行专项设计分包方自身管理、设计人总协调管理、发包人管理的分级管理模式。在此管理阶段，设计分包的专项分包方为主设计方，承担主要的设计责任，设计人为协作设计方，承担连带责任，设计人就该部分对总体方案设计思想及技术路线贯彻与总体设计的协调负责出具施工图的审核意见，并报发包人备案，承担相应责任。</w:t>
      </w:r>
    </w:p>
    <w:p w14:paraId="61C5FC83">
      <w:pPr>
        <w:spacing w:after="120"/>
        <w:ind w:firstLine="600"/>
        <w:rPr>
          <w:rFonts w:ascii="仿宋" w:hAnsi="仿宋" w:eastAsia="仿宋" w:cs="仿宋"/>
          <w:sz w:val="30"/>
          <w:szCs w:val="30"/>
        </w:rPr>
      </w:pPr>
      <w:r>
        <w:rPr>
          <w:rFonts w:hint="eastAsia" w:ascii="仿宋" w:hAnsi="仿宋" w:eastAsia="仿宋" w:cs="仿宋"/>
          <w:sz w:val="30"/>
          <w:szCs w:val="30"/>
        </w:rPr>
        <w:t>在发包人另行发包的专项设计阶段，实行发包人另行发包的专项设计单位自身管理、设计人总协调管理、发包人管理的分级管理模式。在此管理阶段，发包人另行发包专项设计单位为主设计方，承担主要的设计责任；设计人为协作设计方，承担次要的设计责任。设计人就该部分对总体方案设计思想及技术路线贯彻与总体设计的协调负责出具设计审核意见，并报发包人备案，承担相应责任。</w:t>
      </w:r>
    </w:p>
    <w:p w14:paraId="5FE595E7">
      <w:pPr>
        <w:spacing w:after="120"/>
        <w:ind w:firstLine="600"/>
        <w:rPr>
          <w:rFonts w:ascii="仿宋" w:hAnsi="仿宋" w:eastAsia="仿宋" w:cs="仿宋"/>
          <w:sz w:val="30"/>
          <w:szCs w:val="30"/>
        </w:rPr>
      </w:pPr>
      <w:r>
        <w:rPr>
          <w:rFonts w:hint="eastAsia" w:ascii="仿宋" w:hAnsi="仿宋" w:eastAsia="仿宋" w:cs="仿宋"/>
          <w:sz w:val="30"/>
          <w:szCs w:val="30"/>
        </w:rPr>
        <w:t>设计人负责其设计总承包范围内的各项专业设计的相关专业和接口、界面的协调工作。</w:t>
      </w:r>
    </w:p>
    <w:p w14:paraId="5B3CD208">
      <w:pPr>
        <w:spacing w:after="120"/>
        <w:ind w:firstLine="600"/>
        <w:rPr>
          <w:rFonts w:ascii="仿宋" w:hAnsi="仿宋" w:eastAsia="仿宋" w:cs="仿宋"/>
          <w:sz w:val="30"/>
          <w:szCs w:val="30"/>
        </w:rPr>
      </w:pPr>
      <w:r>
        <w:rPr>
          <w:rFonts w:hint="eastAsia" w:ascii="仿宋" w:hAnsi="仿宋" w:eastAsia="仿宋" w:cs="仿宋"/>
          <w:sz w:val="30"/>
          <w:szCs w:val="30"/>
        </w:rPr>
        <w:t>（7）专业设计分包单位与施工图审查单位的关系</w:t>
      </w:r>
    </w:p>
    <w:p w14:paraId="5E445FB5">
      <w:pPr>
        <w:spacing w:after="120"/>
        <w:ind w:firstLine="600"/>
        <w:rPr>
          <w:rFonts w:ascii="仿宋" w:hAnsi="仿宋" w:eastAsia="仿宋" w:cs="仿宋"/>
          <w:sz w:val="30"/>
          <w:szCs w:val="30"/>
        </w:rPr>
      </w:pPr>
      <w:r>
        <w:rPr>
          <w:rFonts w:hint="eastAsia" w:ascii="仿宋" w:hAnsi="仿宋" w:eastAsia="仿宋" w:cs="仿宋"/>
          <w:sz w:val="30"/>
          <w:szCs w:val="30"/>
        </w:rPr>
        <w:t>无论是设计人分包的专业设计分包单位还是发包人另外发包的专业设计承包单位，都要接受施工图审查单位对其成果文件的审查。</w:t>
      </w:r>
    </w:p>
    <w:p w14:paraId="20299326">
      <w:pPr>
        <w:spacing w:after="120"/>
        <w:ind w:firstLine="600"/>
        <w:rPr>
          <w:rFonts w:ascii="仿宋" w:hAnsi="仿宋" w:eastAsia="仿宋" w:cs="仿宋"/>
          <w:sz w:val="30"/>
          <w:szCs w:val="30"/>
        </w:rPr>
      </w:pPr>
      <w:r>
        <w:rPr>
          <w:rFonts w:hint="eastAsia" w:ascii="仿宋" w:hAnsi="仿宋" w:eastAsia="仿宋" w:cs="仿宋"/>
          <w:sz w:val="30"/>
          <w:szCs w:val="30"/>
        </w:rPr>
        <w:t>（8）各专业设计单位的权利和义务详见各专项设计的分包合同。</w:t>
      </w:r>
    </w:p>
    <w:p w14:paraId="27FAD05C">
      <w:pPr>
        <w:spacing w:after="120"/>
        <w:ind w:firstLine="600"/>
        <w:rPr>
          <w:rFonts w:ascii="仿宋" w:hAnsi="仿宋" w:eastAsia="仿宋" w:cs="仿宋"/>
          <w:sz w:val="30"/>
          <w:szCs w:val="30"/>
        </w:rPr>
      </w:pPr>
      <w:r>
        <w:rPr>
          <w:rFonts w:hint="eastAsia" w:ascii="仿宋" w:hAnsi="仿宋" w:eastAsia="仿宋" w:cs="仿宋"/>
          <w:sz w:val="30"/>
          <w:szCs w:val="30"/>
        </w:rPr>
        <w:t>（9） 分包设计项目的价款由设计人与发包人结算。设计人应按本合同及分包合同的有关约定及时申请、审核支付各种设计款项。</w:t>
      </w:r>
    </w:p>
    <w:p w14:paraId="780E3AAE">
      <w:pPr>
        <w:spacing w:after="120"/>
        <w:ind w:firstLine="600"/>
        <w:rPr>
          <w:rFonts w:ascii="仿宋" w:hAnsi="仿宋" w:eastAsia="仿宋" w:cs="仿宋"/>
          <w:sz w:val="30"/>
          <w:szCs w:val="30"/>
        </w:rPr>
      </w:pPr>
      <w:r>
        <w:rPr>
          <w:rFonts w:hint="eastAsia" w:ascii="仿宋" w:hAnsi="仿宋" w:eastAsia="仿宋" w:cs="仿宋"/>
          <w:sz w:val="30"/>
          <w:szCs w:val="30"/>
        </w:rPr>
        <w:t>（10）设计人对设计现场安全负责，并对专业设计单位的安全生产进行管理，发现事故隐患，应当及时作出处理。</w:t>
      </w:r>
    </w:p>
    <w:p w14:paraId="6195260E">
      <w:pPr>
        <w:spacing w:after="120"/>
        <w:ind w:firstLine="600"/>
        <w:rPr>
          <w:rFonts w:ascii="仿宋" w:hAnsi="仿宋" w:eastAsia="仿宋" w:cs="仿宋"/>
          <w:sz w:val="30"/>
          <w:szCs w:val="30"/>
        </w:rPr>
      </w:pPr>
      <w:r>
        <w:rPr>
          <w:rFonts w:hint="eastAsia" w:ascii="仿宋" w:hAnsi="仿宋" w:eastAsia="仿宋" w:cs="仿宋"/>
          <w:sz w:val="30"/>
          <w:szCs w:val="30"/>
        </w:rPr>
        <w:t>专项设计单位就其所在的设计现场安全向设计人负责，服从设计人对设计现场的安全管理。</w:t>
      </w:r>
    </w:p>
    <w:p w14:paraId="5B4C44EC">
      <w:pPr>
        <w:spacing w:after="120"/>
        <w:ind w:firstLine="600"/>
        <w:rPr>
          <w:rFonts w:ascii="仿宋" w:hAnsi="仿宋" w:eastAsia="仿宋" w:cs="仿宋"/>
          <w:sz w:val="30"/>
          <w:szCs w:val="30"/>
        </w:rPr>
      </w:pPr>
      <w:r>
        <w:rPr>
          <w:rFonts w:hint="eastAsia" w:ascii="仿宋" w:hAnsi="仿宋" w:eastAsia="仿宋" w:cs="仿宋"/>
          <w:sz w:val="30"/>
          <w:szCs w:val="30"/>
        </w:rPr>
        <w:t>（11） 设计人应按照合同约定协调所有专项设计单位的工作，确保由不同专业单位所完成的设计之间的配合和接口顺利、有效和可靠。设计人应负责保证本合同工程设计的完整性和整体性。总体设计管理、协调及配合费用已经含于合同总价内。</w:t>
      </w:r>
    </w:p>
    <w:p w14:paraId="0BEBE3D1">
      <w:pPr>
        <w:pStyle w:val="4"/>
        <w:spacing w:before="120" w:beforeLines="50" w:after="120"/>
        <w:ind w:firstLine="602"/>
        <w:rPr>
          <w:rFonts w:ascii="仿宋" w:hAnsi="仿宋" w:eastAsia="仿宋" w:cs="仿宋"/>
          <w:sz w:val="30"/>
          <w:szCs w:val="30"/>
        </w:rPr>
      </w:pPr>
      <w:bookmarkStart w:id="988" w:name="_Toc32535"/>
      <w:bookmarkStart w:id="989" w:name="_Toc1716"/>
      <w:bookmarkStart w:id="990" w:name="_Toc16622"/>
      <w:r>
        <w:rPr>
          <w:rFonts w:hint="eastAsia" w:ascii="仿宋" w:hAnsi="仿宋" w:eastAsia="仿宋" w:cs="仿宋"/>
          <w:sz w:val="30"/>
          <w:szCs w:val="30"/>
        </w:rPr>
        <w:t>2. 设计要求</w:t>
      </w:r>
      <w:bookmarkEnd w:id="988"/>
      <w:bookmarkEnd w:id="989"/>
      <w:bookmarkEnd w:id="990"/>
    </w:p>
    <w:p w14:paraId="28F2DEFD">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2.1设计要求 </w:t>
      </w:r>
    </w:p>
    <w:p w14:paraId="32F8F6C4">
      <w:pPr>
        <w:spacing w:after="120"/>
        <w:ind w:firstLine="600"/>
        <w:jc w:val="left"/>
        <w:rPr>
          <w:rFonts w:ascii="仿宋" w:hAnsi="仿宋" w:eastAsia="仿宋" w:cs="仿宋"/>
          <w:b/>
          <w:sz w:val="30"/>
          <w:szCs w:val="30"/>
        </w:rPr>
      </w:pPr>
      <w:r>
        <w:rPr>
          <w:rFonts w:hint="eastAsia" w:ascii="仿宋" w:hAnsi="仿宋" w:eastAsia="仿宋" w:cs="仿宋"/>
          <w:sz w:val="30"/>
          <w:szCs w:val="30"/>
        </w:rPr>
        <w:t>符合《建设工程质量管理条例》、《建设工程勘察设计管理条例》、《建筑工程设计文件编制深度规定（2016年版）》等国家及地方有关工程设计管理法规和规章，达到行业相关规范技术标准等要求。</w:t>
      </w:r>
    </w:p>
    <w:p w14:paraId="092B323C">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2</w:t>
      </w:r>
      <w:bookmarkStart w:id="991" w:name="_Toc36146458"/>
      <w:bookmarkStart w:id="992" w:name="_Toc28042665"/>
      <w:r>
        <w:rPr>
          <w:rFonts w:hint="eastAsia" w:ascii="仿宋" w:hAnsi="仿宋" w:eastAsia="仿宋" w:cs="仿宋"/>
          <w:sz w:val="30"/>
          <w:szCs w:val="30"/>
        </w:rPr>
        <w:t>.2工程绿色建</w:t>
      </w:r>
      <w:bookmarkEnd w:id="991"/>
      <w:bookmarkEnd w:id="992"/>
      <w:r>
        <w:rPr>
          <w:rFonts w:hint="eastAsia" w:ascii="仿宋" w:hAnsi="仿宋" w:eastAsia="仿宋" w:cs="仿宋"/>
          <w:sz w:val="30"/>
          <w:szCs w:val="30"/>
        </w:rPr>
        <w:t>筑要</w:t>
      </w:r>
      <w:bookmarkStart w:id="993" w:name="_Toc28042666"/>
      <w:bookmarkStart w:id="994" w:name="_Toc36146459"/>
      <w:bookmarkStart w:id="995" w:name="_Toc25588957"/>
      <w:r>
        <w:rPr>
          <w:rFonts w:hint="eastAsia" w:ascii="仿宋" w:hAnsi="仿宋" w:eastAsia="仿宋" w:cs="仿宋"/>
          <w:sz w:val="30"/>
          <w:szCs w:val="30"/>
        </w:rPr>
        <w:t>求</w:t>
      </w:r>
    </w:p>
    <w:p w14:paraId="566F745F">
      <w:pPr>
        <w:spacing w:after="120"/>
        <w:ind w:firstLine="600"/>
        <w:jc w:val="left"/>
        <w:rPr>
          <w:rFonts w:ascii="仿宋" w:hAnsi="仿宋" w:eastAsia="仿宋" w:cs="仿宋"/>
          <w:sz w:val="30"/>
          <w:szCs w:val="30"/>
          <w:shd w:val="clear" w:color="auto" w:fill="FFFFFF"/>
        </w:rPr>
      </w:pPr>
      <w:r>
        <w:rPr>
          <w:rFonts w:hint="eastAsia" w:ascii="仿宋" w:hAnsi="仿宋" w:eastAsia="仿宋" w:cs="仿宋"/>
          <w:sz w:val="30"/>
          <w:szCs w:val="30"/>
        </w:rPr>
        <w:t>按照绿色建</w:t>
      </w:r>
      <w:bookmarkEnd w:id="993"/>
      <w:bookmarkEnd w:id="994"/>
      <w:r>
        <w:rPr>
          <w:rFonts w:hint="eastAsia" w:ascii="仿宋" w:hAnsi="仿宋" w:eastAsia="仿宋" w:cs="仿宋"/>
          <w:sz w:val="30"/>
          <w:szCs w:val="30"/>
        </w:rPr>
        <w:t>筑   星级标准建设，</w:t>
      </w:r>
      <w:r>
        <w:rPr>
          <w:rFonts w:hint="eastAsia" w:ascii="仿宋" w:hAnsi="仿宋" w:eastAsia="仿宋" w:cs="仿宋"/>
          <w:sz w:val="30"/>
          <w:szCs w:val="30"/>
          <w:shd w:val="clear" w:color="auto" w:fill="FFFFFF"/>
        </w:rPr>
        <w:t>设计单位应当按照绿色建筑强制性标准和</w:t>
      </w:r>
      <w:r>
        <w:rPr>
          <w:rFonts w:hint="eastAsia" w:ascii="仿宋" w:hAnsi="仿宋" w:eastAsia="仿宋" w:cs="仿宋"/>
          <w:sz w:val="30"/>
          <w:szCs w:val="30"/>
        </w:rPr>
        <w:t>发包人</w:t>
      </w:r>
      <w:r>
        <w:rPr>
          <w:rFonts w:hint="eastAsia" w:ascii="仿宋" w:hAnsi="仿宋" w:eastAsia="仿宋" w:cs="仿宋"/>
          <w:sz w:val="30"/>
          <w:szCs w:val="30"/>
          <w:shd w:val="clear" w:color="auto" w:fill="FFFFFF"/>
        </w:rPr>
        <w:t>的要求进行设计，明确建筑材料、建筑构配件、设施设备的技术指标要求和采取的绿色建筑技术措施等内容，且符合节能审查意见，不符合绿色建</w:t>
      </w:r>
      <w:bookmarkStart w:id="996" w:name="_Toc28042667"/>
      <w:bookmarkStart w:id="997" w:name="_Toc36146460"/>
      <w:r>
        <w:rPr>
          <w:rFonts w:hint="eastAsia" w:ascii="仿宋" w:hAnsi="仿宋" w:eastAsia="仿宋" w:cs="仿宋"/>
          <w:sz w:val="30"/>
          <w:szCs w:val="30"/>
          <w:shd w:val="clear" w:color="auto" w:fill="FFFFFF"/>
        </w:rPr>
        <w:t>筑强制性标准或者未落实</w:t>
      </w:r>
      <w:bookmarkEnd w:id="996"/>
      <w:bookmarkEnd w:id="997"/>
      <w:r>
        <w:rPr>
          <w:rFonts w:hint="eastAsia" w:ascii="仿宋" w:hAnsi="仿宋" w:eastAsia="仿宋" w:cs="仿宋"/>
          <w:sz w:val="30"/>
          <w:szCs w:val="30"/>
          <w:shd w:val="clear" w:color="auto" w:fill="FFFFFF"/>
        </w:rPr>
        <w:t>节能审查意见的，不得出具施工图设计文件。</w:t>
      </w:r>
    </w:p>
    <w:p w14:paraId="7B43861D">
      <w:pPr>
        <w:pStyle w:val="4"/>
        <w:spacing w:before="120" w:beforeLines="50" w:after="120"/>
        <w:ind w:firstLine="602"/>
        <w:rPr>
          <w:rFonts w:ascii="仿宋" w:hAnsi="仿宋" w:eastAsia="仿宋" w:cs="仿宋"/>
          <w:sz w:val="30"/>
          <w:szCs w:val="30"/>
        </w:rPr>
      </w:pPr>
      <w:bookmarkStart w:id="998" w:name="_Toc17313"/>
      <w:bookmarkStart w:id="999" w:name="_Toc18852"/>
      <w:bookmarkStart w:id="1000" w:name="_Toc3171"/>
      <w:r>
        <w:rPr>
          <w:rFonts w:hint="eastAsia" w:ascii="仿宋" w:hAnsi="仿宋" w:eastAsia="仿宋" w:cs="仿宋"/>
          <w:sz w:val="30"/>
          <w:szCs w:val="30"/>
        </w:rPr>
        <w:t>3.设计人工作</w:t>
      </w:r>
      <w:bookmarkEnd w:id="998"/>
      <w:bookmarkEnd w:id="999"/>
      <w:bookmarkEnd w:id="1000"/>
    </w:p>
    <w:p w14:paraId="3826448A">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3.1设计范围 </w:t>
      </w:r>
    </w:p>
    <w:p w14:paraId="2F05C2BD">
      <w:pPr>
        <w:spacing w:after="120"/>
        <w:ind w:firstLine="600"/>
        <w:rPr>
          <w:rFonts w:ascii="仿宋" w:hAnsi="仿宋" w:eastAsia="仿宋" w:cs="仿宋"/>
          <w:sz w:val="30"/>
          <w:szCs w:val="30"/>
        </w:rPr>
      </w:pPr>
      <w:r>
        <w:rPr>
          <w:rFonts w:hint="eastAsia" w:ascii="仿宋" w:hAnsi="仿宋" w:eastAsia="仿宋" w:cs="仿宋"/>
          <w:sz w:val="30"/>
          <w:szCs w:val="30"/>
        </w:rPr>
        <w:t>3.1.1设计范围及内容（包括但不限于）：</w:t>
      </w:r>
    </w:p>
    <w:p w14:paraId="18228264">
      <w:pPr>
        <w:spacing w:after="120"/>
        <w:ind w:firstLine="600"/>
        <w:rPr>
          <w:rFonts w:ascii="仿宋" w:hAnsi="仿宋" w:eastAsia="仿宋" w:cs="仿宋"/>
          <w:sz w:val="30"/>
          <w:szCs w:val="30"/>
        </w:rPr>
      </w:pPr>
      <w:r>
        <w:rPr>
          <w:rFonts w:hint="eastAsia" w:ascii="仿宋" w:hAnsi="仿宋" w:eastAsia="仿宋" w:cs="仿宋"/>
          <w:sz w:val="30"/>
          <w:szCs w:val="30"/>
        </w:rPr>
        <w:t>负责项目的施</w:t>
      </w:r>
      <w:bookmarkStart w:id="1001" w:name="_Toc28042668"/>
      <w:bookmarkStart w:id="1002" w:name="_Toc36146461"/>
      <w:r>
        <w:rPr>
          <w:rFonts w:hint="eastAsia" w:ascii="仿宋" w:hAnsi="仿宋" w:eastAsia="仿宋" w:cs="仿宋"/>
          <w:sz w:val="30"/>
          <w:szCs w:val="30"/>
        </w:rPr>
        <w:t>工图设计（含深化设计）、</w:t>
      </w:r>
      <w:bookmarkEnd w:id="995"/>
      <w:r>
        <w:rPr>
          <w:rFonts w:hint="eastAsia" w:ascii="仿宋" w:hAnsi="仿宋" w:eastAsia="仿宋" w:cs="仿宋"/>
          <w:sz w:val="30"/>
          <w:szCs w:val="30"/>
        </w:rPr>
        <w:t>建筑</w:t>
      </w:r>
      <w:bookmarkEnd w:id="1001"/>
      <w:bookmarkEnd w:id="1002"/>
      <w:r>
        <w:rPr>
          <w:rFonts w:hint="eastAsia" w:ascii="仿宋" w:hAnsi="仿宋" w:eastAsia="仿宋" w:cs="仿宋"/>
          <w:sz w:val="30"/>
          <w:szCs w:val="30"/>
        </w:rPr>
        <w:t>节能</w:t>
      </w:r>
      <w:bookmarkStart w:id="1003" w:name="_Toc36146462"/>
      <w:bookmarkStart w:id="1004" w:name="_Toc28042669"/>
      <w:r>
        <w:rPr>
          <w:rFonts w:hint="eastAsia" w:ascii="仿宋" w:hAnsi="仿宋" w:eastAsia="仿宋" w:cs="仿宋"/>
          <w:sz w:val="30"/>
          <w:szCs w:val="30"/>
        </w:rPr>
        <w:t>新技术的应用及</w:t>
      </w:r>
      <w:bookmarkEnd w:id="1003"/>
      <w:bookmarkEnd w:id="1004"/>
      <w:r>
        <w:rPr>
          <w:rFonts w:hint="eastAsia" w:ascii="仿宋" w:hAnsi="仿宋" w:eastAsia="仿宋" w:cs="仿宋"/>
          <w:sz w:val="30"/>
          <w:szCs w:val="30"/>
        </w:rPr>
        <w:t>设计、深化设计、全过程的技术把关及跟踪服务、施工过程中的方案优化及设计变更、编制竣工图。各专业工程和分项工程招标文件中的技术要求和技术参数指标，满足需要。</w:t>
      </w:r>
    </w:p>
    <w:p w14:paraId="1392F7C1">
      <w:pPr>
        <w:spacing w:after="120"/>
        <w:ind w:firstLine="600"/>
        <w:rPr>
          <w:rFonts w:ascii="仿宋" w:hAnsi="仿宋" w:eastAsia="仿宋" w:cs="仿宋"/>
          <w:sz w:val="30"/>
          <w:szCs w:val="30"/>
        </w:rPr>
      </w:pPr>
      <w:r>
        <w:rPr>
          <w:rFonts w:hint="eastAsia" w:ascii="仿宋" w:hAnsi="仿宋" w:eastAsia="仿宋" w:cs="仿宋"/>
          <w:sz w:val="30"/>
          <w:szCs w:val="30"/>
        </w:rPr>
        <w:t>3.1.2主要的设计工作内容：</w:t>
      </w:r>
    </w:p>
    <w:p w14:paraId="66C50A15">
      <w:pPr>
        <w:spacing w:after="120"/>
        <w:ind w:firstLine="600"/>
        <w:rPr>
          <w:rFonts w:ascii="仿宋" w:hAnsi="仿宋" w:eastAsia="仿宋" w:cs="仿宋"/>
          <w:sz w:val="30"/>
          <w:szCs w:val="30"/>
        </w:rPr>
      </w:pPr>
      <w:r>
        <w:rPr>
          <w:rFonts w:hint="eastAsia" w:ascii="仿宋" w:hAnsi="仿宋" w:eastAsia="仿宋" w:cs="仿宋"/>
          <w:sz w:val="30"/>
          <w:szCs w:val="30"/>
        </w:rPr>
        <w:t>负责规划用地红线范围内所有建筑、结构、给排水、电气、智能化、通风、空调、消防、人防、室内装修、幕墙、卫生、环保、建筑节能和绿色建筑、小区市政、临水临电、外水、外电、燃气、道路（含规划道路及小区道路）、景观、标识设计及泛光照明等专业设计；</w:t>
      </w:r>
    </w:p>
    <w:p w14:paraId="283580AE">
      <w:pPr>
        <w:spacing w:after="120"/>
        <w:ind w:firstLine="600"/>
        <w:rPr>
          <w:rFonts w:ascii="仿宋" w:hAnsi="仿宋" w:eastAsia="仿宋" w:cs="仿宋"/>
          <w:sz w:val="30"/>
          <w:szCs w:val="30"/>
        </w:rPr>
      </w:pPr>
      <w:r>
        <w:rPr>
          <w:rFonts w:hint="eastAsia" w:ascii="仿宋" w:hAnsi="仿宋" w:eastAsia="仿宋" w:cs="仿宋"/>
          <w:sz w:val="30"/>
          <w:szCs w:val="30"/>
        </w:rPr>
        <w:t>全过程设计服务及协调工作。负责根据建设要求组织各项专家评审,并承担相应的专家评审费用，办理规划报建（如需）、各专业报建及设计审查、概算审批（如需），办理建设工程规划许可证，施工图审查等报批报建工作；</w:t>
      </w:r>
    </w:p>
    <w:p w14:paraId="3842506C">
      <w:pPr>
        <w:spacing w:after="120"/>
        <w:ind w:firstLine="600"/>
        <w:rPr>
          <w:rFonts w:ascii="仿宋" w:hAnsi="仿宋" w:eastAsia="仿宋" w:cs="仿宋"/>
          <w:sz w:val="30"/>
          <w:szCs w:val="30"/>
        </w:rPr>
      </w:pPr>
      <w:r>
        <w:rPr>
          <w:rFonts w:hint="eastAsia" w:ascii="仿宋" w:hAnsi="仿宋" w:eastAsia="仿宋" w:cs="仿宋"/>
          <w:sz w:val="30"/>
          <w:szCs w:val="30"/>
        </w:rPr>
        <w:t>按用户需求提交项目设计模型、演示动画、特殊规格展示图纸等；</w:t>
      </w:r>
    </w:p>
    <w:p w14:paraId="3EFF7FDA">
      <w:pPr>
        <w:spacing w:after="120"/>
        <w:ind w:firstLine="600"/>
        <w:rPr>
          <w:rFonts w:ascii="仿宋" w:hAnsi="仿宋" w:eastAsia="仿宋" w:cs="仿宋"/>
          <w:sz w:val="30"/>
          <w:szCs w:val="30"/>
        </w:rPr>
      </w:pPr>
      <w:r>
        <w:rPr>
          <w:rFonts w:hint="eastAsia" w:ascii="仿宋" w:hAnsi="仿宋" w:eastAsia="仿宋" w:cs="仿宋"/>
          <w:sz w:val="30"/>
          <w:szCs w:val="30"/>
        </w:rPr>
        <w:t>负责本项目BIM模型深化设计和应用,执行《广东省代建项目管理局 BIM 建模标准与实施标准》。</w:t>
      </w:r>
    </w:p>
    <w:p w14:paraId="1A25B049">
      <w:pPr>
        <w:spacing w:after="120"/>
        <w:ind w:firstLine="600"/>
        <w:rPr>
          <w:rFonts w:ascii="仿宋" w:hAnsi="仿宋" w:eastAsia="仿宋" w:cs="仿宋"/>
          <w:sz w:val="30"/>
          <w:szCs w:val="30"/>
        </w:rPr>
      </w:pPr>
      <w:r>
        <w:rPr>
          <w:rFonts w:hint="eastAsia" w:ascii="仿宋" w:hAnsi="仿宋" w:eastAsia="仿宋" w:cs="仿宋"/>
          <w:sz w:val="30"/>
          <w:szCs w:val="30"/>
        </w:rPr>
        <w:t>分包要求：本项目中（包括但不限于红线范围内）应保证按规划及建筑功能要求、配套设施要求完成本工程中包含的全部项目的专业专项设计（如供水、排水、供电）；限于专业资质问题不能进行的专项设计，报招标人同意后进行分包，专项分包设计费由设计人承担。专项分包施工图设计文件中，需设计人校核确认的部分由设计人及专项分包方人员进行会签并盖经授权的图纸审核专用章或公章；</w:t>
      </w:r>
    </w:p>
    <w:p w14:paraId="47197FC5">
      <w:pPr>
        <w:spacing w:after="120"/>
        <w:ind w:firstLine="600"/>
        <w:rPr>
          <w:rFonts w:ascii="仿宋" w:hAnsi="仿宋" w:eastAsia="仿宋" w:cs="仿宋"/>
          <w:sz w:val="30"/>
          <w:szCs w:val="30"/>
        </w:rPr>
      </w:pPr>
      <w:r>
        <w:rPr>
          <w:rFonts w:hint="eastAsia" w:ascii="仿宋" w:hAnsi="仿宋" w:eastAsia="仿宋" w:cs="仿宋"/>
          <w:sz w:val="30"/>
          <w:szCs w:val="30"/>
        </w:rPr>
        <w:t>专项深化设计及必要的专项研究，如钢结构、精装修、机电施工、弱电施工、园林绿化、展览项目等的深化设计；</w:t>
      </w:r>
    </w:p>
    <w:p w14:paraId="64EE7CBD">
      <w:pPr>
        <w:spacing w:after="120"/>
        <w:ind w:firstLine="600"/>
        <w:rPr>
          <w:rFonts w:ascii="仿宋" w:hAnsi="仿宋" w:eastAsia="仿宋" w:cs="仿宋"/>
          <w:sz w:val="30"/>
          <w:szCs w:val="30"/>
        </w:rPr>
      </w:pPr>
      <w:r>
        <w:rPr>
          <w:rFonts w:hint="eastAsia" w:ascii="仿宋" w:hAnsi="仿宋" w:eastAsia="仿宋" w:cs="仿宋"/>
          <w:sz w:val="30"/>
          <w:szCs w:val="30"/>
        </w:rPr>
        <w:t>重要提示和风险提示：</w:t>
      </w:r>
    </w:p>
    <w:p w14:paraId="0ADD9EE3">
      <w:pPr>
        <w:spacing w:after="120"/>
        <w:ind w:firstLine="600"/>
        <w:rPr>
          <w:rFonts w:ascii="仿宋" w:hAnsi="仿宋" w:eastAsia="仿宋" w:cs="仿宋"/>
          <w:sz w:val="30"/>
          <w:szCs w:val="30"/>
        </w:rPr>
      </w:pPr>
      <w:r>
        <w:rPr>
          <w:rFonts w:hint="eastAsia" w:ascii="仿宋" w:hAnsi="仿宋" w:eastAsia="仿宋" w:cs="仿宋"/>
          <w:sz w:val="30"/>
          <w:szCs w:val="30"/>
        </w:rPr>
        <w:t>①承包人应按发包人批复的限额设计指标实行各单位工程、专业工程设计工作，其设计成果文件满足各使用方需求、功能定位，符合设计标准，确保美学价值最大化，且总投资在确定的限额设计指标总额内；</w:t>
      </w:r>
    </w:p>
    <w:p w14:paraId="23B2168C">
      <w:pPr>
        <w:spacing w:after="120"/>
        <w:ind w:firstLine="600"/>
        <w:rPr>
          <w:rFonts w:ascii="仿宋" w:hAnsi="仿宋" w:eastAsia="仿宋" w:cs="仿宋"/>
          <w:sz w:val="30"/>
          <w:szCs w:val="30"/>
        </w:rPr>
      </w:pPr>
      <w:r>
        <w:rPr>
          <w:rFonts w:hint="eastAsia" w:ascii="仿宋" w:hAnsi="仿宋" w:eastAsia="仿宋" w:cs="仿宋"/>
          <w:sz w:val="30"/>
          <w:szCs w:val="30"/>
        </w:rPr>
        <w:t>②项目设计要求：利用BIM技术的三维实体模型，对外立图、室内装饰装修、主要功能区与核心区域施工图，进行实景效果模拟，确保实际完工后效果与方案设计要求的一致性 ；BIM成果文件满足工程运营及维护要求。</w:t>
      </w:r>
    </w:p>
    <w:p w14:paraId="7662248D">
      <w:pPr>
        <w:spacing w:after="120"/>
        <w:ind w:firstLine="600"/>
        <w:rPr>
          <w:rFonts w:ascii="仿宋" w:hAnsi="仿宋" w:eastAsia="仿宋" w:cs="仿宋"/>
          <w:sz w:val="30"/>
          <w:szCs w:val="30"/>
        </w:rPr>
      </w:pPr>
      <w:r>
        <w:rPr>
          <w:rFonts w:hint="eastAsia" w:ascii="仿宋" w:hAnsi="仿宋" w:eastAsia="仿宋" w:cs="仿宋"/>
          <w:sz w:val="30"/>
          <w:szCs w:val="30"/>
        </w:rPr>
        <w:fldChar w:fldCharType="begin"/>
      </w:r>
      <w:r>
        <w:rPr>
          <w:rFonts w:hint="eastAsia" w:ascii="仿宋" w:hAnsi="仿宋" w:eastAsia="仿宋" w:cs="仿宋"/>
          <w:sz w:val="30"/>
          <w:szCs w:val="30"/>
        </w:rPr>
        <w:instrText xml:space="preserve"> = 3 \* GB3 \* MERGEFORMAT </w:instrText>
      </w:r>
      <w:r>
        <w:rPr>
          <w:rFonts w:hint="eastAsia" w:ascii="仿宋" w:hAnsi="仿宋" w:eastAsia="仿宋" w:cs="仿宋"/>
          <w:sz w:val="30"/>
          <w:szCs w:val="30"/>
        </w:rPr>
        <w:fldChar w:fldCharType="separate"/>
      </w:r>
      <w:r>
        <w:rPr>
          <w:rFonts w:hint="eastAsia" w:ascii="仿宋" w:hAnsi="仿宋" w:eastAsia="仿宋" w:cs="仿宋"/>
          <w:sz w:val="30"/>
          <w:szCs w:val="30"/>
        </w:rPr>
        <w:t>③</w:t>
      </w:r>
      <w:r>
        <w:rPr>
          <w:rFonts w:hint="eastAsia" w:ascii="仿宋" w:hAnsi="仿宋" w:eastAsia="仿宋" w:cs="仿宋"/>
          <w:sz w:val="30"/>
          <w:szCs w:val="30"/>
        </w:rPr>
        <w:fldChar w:fldCharType="end"/>
      </w:r>
      <w:r>
        <w:rPr>
          <w:rFonts w:hint="eastAsia" w:ascii="仿宋" w:hAnsi="仿宋" w:eastAsia="仿宋" w:cs="仿宋"/>
          <w:sz w:val="30"/>
          <w:szCs w:val="30"/>
        </w:rPr>
        <w:t>项目设计要求：需提供整体装修效果、外立面、主要功能区、核心区域需提交设计效果图；</w:t>
      </w:r>
    </w:p>
    <w:p w14:paraId="383ED276">
      <w:pPr>
        <w:spacing w:after="120"/>
        <w:ind w:firstLine="600"/>
        <w:rPr>
          <w:rFonts w:ascii="仿宋" w:hAnsi="仿宋" w:eastAsia="仿宋" w:cs="仿宋"/>
          <w:sz w:val="30"/>
          <w:szCs w:val="30"/>
        </w:rPr>
      </w:pPr>
      <w:r>
        <w:rPr>
          <w:rFonts w:hint="eastAsia" w:ascii="仿宋" w:hAnsi="仿宋" w:eastAsia="仿宋" w:cs="仿宋"/>
          <w:sz w:val="30"/>
          <w:szCs w:val="30"/>
        </w:rPr>
        <w:t>④施工图审查按广东省或项目所在地市现行管理制度执行。</w:t>
      </w:r>
    </w:p>
    <w:p w14:paraId="43ACB4C9">
      <w:pPr>
        <w:spacing w:after="120"/>
        <w:ind w:firstLine="600"/>
        <w:rPr>
          <w:rFonts w:ascii="仿宋" w:hAnsi="仿宋" w:eastAsia="仿宋" w:cs="仿宋"/>
          <w:bCs/>
          <w:sz w:val="30"/>
          <w:szCs w:val="30"/>
        </w:rPr>
      </w:pPr>
      <w:r>
        <w:rPr>
          <w:rFonts w:hint="eastAsia" w:ascii="仿宋" w:hAnsi="仿宋" w:eastAsia="仿宋" w:cs="仿宋"/>
          <w:sz w:val="30"/>
          <w:szCs w:val="30"/>
        </w:rPr>
        <w:t>3.1.3设计成果文件要求：按合同要求，</w:t>
      </w:r>
      <w:r>
        <w:rPr>
          <w:rFonts w:hint="eastAsia" w:ascii="仿宋" w:hAnsi="仿宋" w:eastAsia="仿宋" w:cs="仿宋"/>
          <w:bCs/>
          <w:sz w:val="30"/>
          <w:szCs w:val="30"/>
        </w:rPr>
        <w:t>包括但不限于以下项目</w:t>
      </w:r>
    </w:p>
    <w:tbl>
      <w:tblPr>
        <w:tblStyle w:val="55"/>
        <w:tblW w:w="88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733"/>
        <w:gridCol w:w="733"/>
        <w:gridCol w:w="733"/>
        <w:gridCol w:w="834"/>
        <w:gridCol w:w="630"/>
        <w:gridCol w:w="3704"/>
      </w:tblGrid>
      <w:tr w14:paraId="0A23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4" w:hRule="atLeast"/>
          <w:tblHeader/>
          <w:jc w:val="center"/>
        </w:trPr>
        <w:tc>
          <w:tcPr>
            <w:tcW w:w="1529" w:type="dxa"/>
            <w:vAlign w:val="center"/>
          </w:tcPr>
          <w:p w14:paraId="1911F095">
            <w:pPr>
              <w:spacing w:after="120" w:line="240" w:lineRule="auto"/>
              <w:ind w:firstLine="0" w:firstLineChars="0"/>
              <w:jc w:val="center"/>
              <w:rPr>
                <w:rFonts w:ascii="仿宋" w:hAnsi="仿宋" w:eastAsia="仿宋" w:cs="仿宋"/>
                <w:bCs/>
                <w:snapToGrid w:val="0"/>
                <w:sz w:val="30"/>
                <w:szCs w:val="30"/>
              </w:rPr>
            </w:pPr>
            <w:r>
              <w:rPr>
                <w:rFonts w:hint="eastAsia" w:ascii="仿宋" w:hAnsi="仿宋" w:eastAsia="仿宋" w:cs="仿宋"/>
                <w:bCs/>
                <w:snapToGrid w:val="0"/>
                <w:sz w:val="30"/>
                <w:szCs w:val="30"/>
              </w:rPr>
              <w:t>项目名称</w:t>
            </w:r>
          </w:p>
        </w:tc>
        <w:tc>
          <w:tcPr>
            <w:tcW w:w="733" w:type="dxa"/>
            <w:vAlign w:val="center"/>
          </w:tcPr>
          <w:p w14:paraId="16E69A60">
            <w:pPr>
              <w:spacing w:after="120" w:line="240" w:lineRule="auto"/>
              <w:ind w:firstLine="0" w:firstLineChars="0"/>
              <w:jc w:val="left"/>
              <w:rPr>
                <w:rFonts w:ascii="仿宋" w:hAnsi="仿宋" w:eastAsia="仿宋" w:cs="仿宋"/>
                <w:sz w:val="30"/>
                <w:szCs w:val="30"/>
              </w:rPr>
            </w:pPr>
            <w:r>
              <w:rPr>
                <w:rFonts w:hint="eastAsia" w:ascii="仿宋" w:hAnsi="仿宋" w:eastAsia="仿宋" w:cs="仿宋"/>
                <w:sz w:val="30"/>
                <w:szCs w:val="30"/>
              </w:rPr>
              <w:t>方案设计</w:t>
            </w:r>
          </w:p>
        </w:tc>
        <w:tc>
          <w:tcPr>
            <w:tcW w:w="733" w:type="dxa"/>
            <w:vAlign w:val="center"/>
          </w:tcPr>
          <w:p w14:paraId="74CE7FCF">
            <w:pPr>
              <w:spacing w:after="120" w:line="240" w:lineRule="auto"/>
              <w:ind w:firstLine="0" w:firstLineChars="0"/>
              <w:jc w:val="left"/>
              <w:rPr>
                <w:rFonts w:ascii="仿宋" w:hAnsi="仿宋" w:eastAsia="仿宋" w:cs="仿宋"/>
                <w:sz w:val="30"/>
                <w:szCs w:val="30"/>
              </w:rPr>
            </w:pPr>
            <w:r>
              <w:rPr>
                <w:rFonts w:hint="eastAsia" w:ascii="仿宋" w:hAnsi="仿宋" w:eastAsia="仿宋" w:cs="仿宋"/>
                <w:sz w:val="30"/>
                <w:szCs w:val="30"/>
              </w:rPr>
              <w:t>初步设计</w:t>
            </w:r>
          </w:p>
        </w:tc>
        <w:tc>
          <w:tcPr>
            <w:tcW w:w="733" w:type="dxa"/>
            <w:vAlign w:val="center"/>
          </w:tcPr>
          <w:p w14:paraId="4419D4A8">
            <w:pPr>
              <w:spacing w:after="120" w:line="240" w:lineRule="auto"/>
              <w:ind w:firstLine="0" w:firstLineChars="0"/>
              <w:jc w:val="left"/>
              <w:rPr>
                <w:rFonts w:ascii="仿宋" w:hAnsi="仿宋" w:eastAsia="仿宋" w:cs="仿宋"/>
                <w:sz w:val="30"/>
                <w:szCs w:val="30"/>
              </w:rPr>
            </w:pPr>
            <w:r>
              <w:rPr>
                <w:rFonts w:hint="eastAsia" w:ascii="仿宋" w:hAnsi="仿宋" w:eastAsia="仿宋" w:cs="仿宋"/>
                <w:sz w:val="30"/>
                <w:szCs w:val="30"/>
              </w:rPr>
              <w:t>施工图设计</w:t>
            </w:r>
          </w:p>
        </w:tc>
        <w:tc>
          <w:tcPr>
            <w:tcW w:w="834" w:type="dxa"/>
            <w:vAlign w:val="center"/>
          </w:tcPr>
          <w:p w14:paraId="682245CF">
            <w:pPr>
              <w:spacing w:after="120" w:line="240" w:lineRule="auto"/>
              <w:ind w:firstLine="0" w:firstLineChars="0"/>
              <w:rPr>
                <w:rFonts w:ascii="仿宋" w:hAnsi="仿宋" w:eastAsia="仿宋" w:cs="仿宋"/>
                <w:sz w:val="30"/>
                <w:szCs w:val="30"/>
              </w:rPr>
            </w:pPr>
            <w:r>
              <w:rPr>
                <w:rFonts w:hint="eastAsia" w:ascii="仿宋" w:hAnsi="仿宋" w:eastAsia="仿宋" w:cs="仿宋"/>
                <w:sz w:val="30"/>
                <w:szCs w:val="30"/>
              </w:rPr>
              <w:t>设计承包管理</w:t>
            </w:r>
          </w:p>
        </w:tc>
        <w:tc>
          <w:tcPr>
            <w:tcW w:w="630" w:type="dxa"/>
            <w:vAlign w:val="center"/>
          </w:tcPr>
          <w:p w14:paraId="1F5686F6">
            <w:pPr>
              <w:spacing w:after="120" w:line="240" w:lineRule="auto"/>
              <w:ind w:firstLine="0" w:firstLineChars="0"/>
              <w:rPr>
                <w:rFonts w:ascii="仿宋" w:hAnsi="仿宋" w:eastAsia="仿宋" w:cs="仿宋"/>
                <w:bCs/>
                <w:snapToGrid w:val="0"/>
                <w:sz w:val="30"/>
                <w:szCs w:val="30"/>
              </w:rPr>
            </w:pPr>
            <w:r>
              <w:rPr>
                <w:rFonts w:hint="eastAsia" w:ascii="仿宋" w:hAnsi="仿宋" w:eastAsia="仿宋" w:cs="仿宋"/>
                <w:bCs/>
                <w:snapToGrid w:val="0"/>
                <w:sz w:val="30"/>
                <w:szCs w:val="30"/>
              </w:rPr>
              <w:t>编制竣工图</w:t>
            </w:r>
          </w:p>
        </w:tc>
        <w:tc>
          <w:tcPr>
            <w:tcW w:w="3704" w:type="dxa"/>
            <w:vAlign w:val="center"/>
          </w:tcPr>
          <w:p w14:paraId="0E288ABF">
            <w:pPr>
              <w:spacing w:after="120" w:line="240" w:lineRule="auto"/>
              <w:ind w:firstLine="0" w:firstLineChars="0"/>
              <w:jc w:val="center"/>
              <w:rPr>
                <w:rFonts w:ascii="仿宋" w:hAnsi="仿宋" w:eastAsia="仿宋" w:cs="仿宋"/>
                <w:bCs/>
                <w:snapToGrid w:val="0"/>
                <w:sz w:val="30"/>
                <w:szCs w:val="30"/>
              </w:rPr>
            </w:pPr>
            <w:r>
              <w:rPr>
                <w:rFonts w:hint="eastAsia" w:ascii="仿宋" w:hAnsi="仿宋" w:eastAsia="仿宋" w:cs="仿宋"/>
                <w:bCs/>
                <w:snapToGrid w:val="0"/>
                <w:sz w:val="30"/>
                <w:szCs w:val="30"/>
              </w:rPr>
              <w:t>备注</w:t>
            </w:r>
          </w:p>
        </w:tc>
      </w:tr>
      <w:tr w14:paraId="1C13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 w:hRule="atLeast"/>
          <w:jc w:val="center"/>
        </w:trPr>
        <w:tc>
          <w:tcPr>
            <w:tcW w:w="1529" w:type="dxa"/>
            <w:vAlign w:val="center"/>
          </w:tcPr>
          <w:p w14:paraId="58AC7E78">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总平面设计</w:t>
            </w:r>
          </w:p>
        </w:tc>
        <w:tc>
          <w:tcPr>
            <w:tcW w:w="733" w:type="dxa"/>
            <w:vAlign w:val="center"/>
          </w:tcPr>
          <w:p w14:paraId="0270D1DF">
            <w:pPr>
              <w:spacing w:after="120" w:line="240" w:lineRule="auto"/>
              <w:ind w:firstLine="0" w:firstLineChars="0"/>
              <w:rPr>
                <w:rFonts w:ascii="仿宋" w:hAnsi="仿宋" w:eastAsia="仿宋" w:cs="仿宋"/>
                <w:snapToGrid w:val="0"/>
                <w:sz w:val="30"/>
                <w:szCs w:val="30"/>
              </w:rPr>
            </w:pPr>
          </w:p>
        </w:tc>
        <w:tc>
          <w:tcPr>
            <w:tcW w:w="733" w:type="dxa"/>
            <w:vAlign w:val="center"/>
          </w:tcPr>
          <w:p w14:paraId="744631EF">
            <w:pPr>
              <w:spacing w:after="120" w:line="240" w:lineRule="auto"/>
              <w:ind w:firstLine="0" w:firstLineChars="0"/>
              <w:rPr>
                <w:rFonts w:ascii="仿宋" w:hAnsi="仿宋" w:eastAsia="仿宋" w:cs="仿宋"/>
                <w:snapToGrid w:val="0"/>
                <w:sz w:val="30"/>
                <w:szCs w:val="30"/>
              </w:rPr>
            </w:pPr>
          </w:p>
        </w:tc>
        <w:tc>
          <w:tcPr>
            <w:tcW w:w="733" w:type="dxa"/>
            <w:vAlign w:val="center"/>
          </w:tcPr>
          <w:p w14:paraId="7A828FB4">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3421A21D">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14C80ADE">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10CEA839">
            <w:pPr>
              <w:spacing w:after="120" w:line="240" w:lineRule="auto"/>
              <w:ind w:firstLine="0" w:firstLineChars="0"/>
              <w:jc w:val="left"/>
              <w:rPr>
                <w:rFonts w:ascii="仿宋" w:hAnsi="仿宋" w:eastAsia="仿宋" w:cs="仿宋"/>
                <w:bCs/>
                <w:snapToGrid w:val="0"/>
                <w:sz w:val="30"/>
                <w:szCs w:val="30"/>
              </w:rPr>
            </w:pPr>
          </w:p>
        </w:tc>
      </w:tr>
      <w:tr w14:paraId="4D21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29" w:type="dxa"/>
            <w:vAlign w:val="center"/>
          </w:tcPr>
          <w:p w14:paraId="6558DE24">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建筑设计</w:t>
            </w:r>
          </w:p>
        </w:tc>
        <w:tc>
          <w:tcPr>
            <w:tcW w:w="733" w:type="dxa"/>
            <w:vAlign w:val="center"/>
          </w:tcPr>
          <w:p w14:paraId="05695B16">
            <w:pPr>
              <w:spacing w:after="120" w:line="240" w:lineRule="auto"/>
              <w:ind w:firstLine="0" w:firstLineChars="0"/>
              <w:rPr>
                <w:rFonts w:ascii="仿宋" w:hAnsi="仿宋" w:eastAsia="仿宋" w:cs="仿宋"/>
                <w:snapToGrid w:val="0"/>
                <w:sz w:val="30"/>
                <w:szCs w:val="30"/>
              </w:rPr>
            </w:pPr>
          </w:p>
        </w:tc>
        <w:tc>
          <w:tcPr>
            <w:tcW w:w="733" w:type="dxa"/>
            <w:vAlign w:val="center"/>
          </w:tcPr>
          <w:p w14:paraId="41F0BC68">
            <w:pPr>
              <w:spacing w:after="120" w:line="240" w:lineRule="auto"/>
              <w:ind w:firstLine="0" w:firstLineChars="0"/>
              <w:rPr>
                <w:rFonts w:ascii="仿宋" w:hAnsi="仿宋" w:eastAsia="仿宋" w:cs="仿宋"/>
                <w:snapToGrid w:val="0"/>
                <w:sz w:val="30"/>
                <w:szCs w:val="30"/>
              </w:rPr>
            </w:pPr>
          </w:p>
        </w:tc>
        <w:tc>
          <w:tcPr>
            <w:tcW w:w="733" w:type="dxa"/>
            <w:vAlign w:val="center"/>
          </w:tcPr>
          <w:p w14:paraId="79105B87">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7C8B44D8">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110D8DE9">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2845012F">
            <w:pPr>
              <w:spacing w:after="120" w:line="240" w:lineRule="auto"/>
              <w:ind w:firstLine="0" w:firstLineChars="0"/>
              <w:jc w:val="left"/>
              <w:rPr>
                <w:rFonts w:ascii="仿宋" w:hAnsi="仿宋" w:eastAsia="仿宋" w:cs="仿宋"/>
                <w:snapToGrid w:val="0"/>
                <w:sz w:val="30"/>
                <w:szCs w:val="30"/>
              </w:rPr>
            </w:pPr>
          </w:p>
        </w:tc>
      </w:tr>
      <w:tr w14:paraId="4350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48967DB1">
            <w:pPr>
              <w:spacing w:after="120" w:line="240" w:lineRule="auto"/>
              <w:ind w:firstLine="0" w:firstLineChars="0"/>
              <w:jc w:val="center"/>
              <w:rPr>
                <w:rFonts w:ascii="仿宋" w:hAnsi="仿宋" w:eastAsia="仿宋" w:cs="仿宋"/>
                <w:bCs/>
                <w:snapToGrid w:val="0"/>
                <w:sz w:val="30"/>
                <w:szCs w:val="30"/>
              </w:rPr>
            </w:pPr>
            <w:r>
              <w:rPr>
                <w:rFonts w:hint="eastAsia" w:ascii="仿宋" w:hAnsi="仿宋" w:eastAsia="仿宋" w:cs="仿宋"/>
                <w:snapToGrid w:val="0"/>
                <w:sz w:val="30"/>
                <w:szCs w:val="30"/>
              </w:rPr>
              <w:t>结构设计</w:t>
            </w:r>
          </w:p>
        </w:tc>
        <w:tc>
          <w:tcPr>
            <w:tcW w:w="733" w:type="dxa"/>
            <w:vAlign w:val="center"/>
          </w:tcPr>
          <w:p w14:paraId="1EEB3C40">
            <w:pPr>
              <w:spacing w:after="120" w:line="240" w:lineRule="auto"/>
              <w:ind w:firstLine="0" w:firstLineChars="0"/>
              <w:rPr>
                <w:rFonts w:ascii="仿宋" w:hAnsi="仿宋" w:eastAsia="仿宋" w:cs="仿宋"/>
                <w:snapToGrid w:val="0"/>
                <w:sz w:val="30"/>
                <w:szCs w:val="30"/>
              </w:rPr>
            </w:pPr>
          </w:p>
        </w:tc>
        <w:tc>
          <w:tcPr>
            <w:tcW w:w="733" w:type="dxa"/>
            <w:vAlign w:val="center"/>
          </w:tcPr>
          <w:p w14:paraId="14A0B7E5">
            <w:pPr>
              <w:spacing w:after="120" w:line="240" w:lineRule="auto"/>
              <w:ind w:firstLine="0" w:firstLineChars="0"/>
              <w:rPr>
                <w:rFonts w:ascii="仿宋" w:hAnsi="仿宋" w:eastAsia="仿宋" w:cs="仿宋"/>
                <w:snapToGrid w:val="0"/>
                <w:sz w:val="30"/>
                <w:szCs w:val="30"/>
              </w:rPr>
            </w:pPr>
          </w:p>
        </w:tc>
        <w:tc>
          <w:tcPr>
            <w:tcW w:w="733" w:type="dxa"/>
            <w:vAlign w:val="center"/>
          </w:tcPr>
          <w:p w14:paraId="038D476C">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7A399891">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588DE3E2">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7C89E862">
            <w:pPr>
              <w:spacing w:after="120" w:line="240" w:lineRule="auto"/>
              <w:ind w:firstLine="0" w:firstLineChars="0"/>
              <w:jc w:val="left"/>
              <w:rPr>
                <w:rFonts w:ascii="仿宋" w:hAnsi="仿宋" w:eastAsia="仿宋" w:cs="仿宋"/>
                <w:snapToGrid w:val="0"/>
                <w:sz w:val="30"/>
                <w:szCs w:val="30"/>
              </w:rPr>
            </w:pPr>
          </w:p>
        </w:tc>
      </w:tr>
      <w:tr w14:paraId="6763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1" w:hRule="atLeast"/>
          <w:jc w:val="center"/>
        </w:trPr>
        <w:tc>
          <w:tcPr>
            <w:tcW w:w="1529" w:type="dxa"/>
            <w:vAlign w:val="center"/>
          </w:tcPr>
          <w:p w14:paraId="3454105E">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室内外装修设计</w:t>
            </w:r>
          </w:p>
        </w:tc>
        <w:tc>
          <w:tcPr>
            <w:tcW w:w="733" w:type="dxa"/>
            <w:vAlign w:val="center"/>
          </w:tcPr>
          <w:p w14:paraId="71ECA73C">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733" w:type="dxa"/>
            <w:vAlign w:val="center"/>
          </w:tcPr>
          <w:p w14:paraId="2FC863D4">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733" w:type="dxa"/>
            <w:vAlign w:val="center"/>
          </w:tcPr>
          <w:p w14:paraId="21684658">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7D1FEAE1">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6A541B87">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0B556ABC">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达到最终交付使用的全部室内装修设计。包括但不限于以下内容：</w:t>
            </w:r>
          </w:p>
          <w:p w14:paraId="1627F110">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室内重点部位，硬装达到施工图深度，软装达到明确选型和采购</w:t>
            </w:r>
          </w:p>
          <w:p w14:paraId="0BD1592F">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1、室内平面布置方案设计（△）</w:t>
            </w:r>
          </w:p>
          <w:p w14:paraId="47572E88">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2、重点部位效果图</w:t>
            </w:r>
          </w:p>
          <w:p w14:paraId="52D64052">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3、装饰方案扩初图，水电暖通系统、装饰材料（△）</w:t>
            </w:r>
          </w:p>
          <w:p w14:paraId="45428B63">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4、室内装饰硬装、给排水系统、强弱电系统、空调系统、智能化系统</w:t>
            </w:r>
          </w:p>
          <w:p w14:paraId="5187786B">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5、室内软装</w:t>
            </w:r>
          </w:p>
        </w:tc>
      </w:tr>
      <w:tr w14:paraId="0D19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374CB620">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结构设计</w:t>
            </w:r>
          </w:p>
        </w:tc>
        <w:tc>
          <w:tcPr>
            <w:tcW w:w="733" w:type="dxa"/>
            <w:vAlign w:val="center"/>
          </w:tcPr>
          <w:p w14:paraId="7B99DE30">
            <w:pPr>
              <w:spacing w:after="120" w:line="240" w:lineRule="auto"/>
              <w:ind w:firstLine="0" w:firstLineChars="0"/>
              <w:rPr>
                <w:rFonts w:ascii="仿宋" w:hAnsi="仿宋" w:eastAsia="仿宋" w:cs="仿宋"/>
                <w:snapToGrid w:val="0"/>
                <w:sz w:val="30"/>
                <w:szCs w:val="30"/>
              </w:rPr>
            </w:pPr>
          </w:p>
        </w:tc>
        <w:tc>
          <w:tcPr>
            <w:tcW w:w="733" w:type="dxa"/>
            <w:vAlign w:val="center"/>
          </w:tcPr>
          <w:p w14:paraId="5BB4011A">
            <w:pPr>
              <w:spacing w:after="120" w:line="240" w:lineRule="auto"/>
              <w:ind w:firstLine="0" w:firstLineChars="0"/>
              <w:rPr>
                <w:rFonts w:ascii="仿宋" w:hAnsi="仿宋" w:eastAsia="仿宋" w:cs="仿宋"/>
                <w:snapToGrid w:val="0"/>
                <w:sz w:val="30"/>
                <w:szCs w:val="30"/>
              </w:rPr>
            </w:pPr>
          </w:p>
        </w:tc>
        <w:tc>
          <w:tcPr>
            <w:tcW w:w="733" w:type="dxa"/>
            <w:vAlign w:val="center"/>
          </w:tcPr>
          <w:p w14:paraId="69A04745">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3690009A">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5AB8294E">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1A1F729F">
            <w:pPr>
              <w:spacing w:after="120" w:line="240" w:lineRule="auto"/>
              <w:ind w:firstLine="0" w:firstLineChars="0"/>
              <w:jc w:val="left"/>
              <w:rPr>
                <w:rFonts w:ascii="仿宋" w:hAnsi="仿宋" w:eastAsia="仿宋" w:cs="仿宋"/>
                <w:snapToGrid w:val="0"/>
                <w:sz w:val="30"/>
                <w:szCs w:val="30"/>
              </w:rPr>
            </w:pPr>
          </w:p>
        </w:tc>
      </w:tr>
      <w:tr w14:paraId="3398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546EF8D1">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人防工程设计</w:t>
            </w:r>
          </w:p>
        </w:tc>
        <w:tc>
          <w:tcPr>
            <w:tcW w:w="733" w:type="dxa"/>
            <w:vAlign w:val="center"/>
          </w:tcPr>
          <w:p w14:paraId="4B4DD37F">
            <w:pPr>
              <w:spacing w:after="120" w:line="240" w:lineRule="auto"/>
              <w:ind w:firstLine="0" w:firstLineChars="0"/>
              <w:rPr>
                <w:rFonts w:ascii="仿宋" w:hAnsi="仿宋" w:eastAsia="仿宋" w:cs="仿宋"/>
                <w:snapToGrid w:val="0"/>
                <w:sz w:val="30"/>
                <w:szCs w:val="30"/>
              </w:rPr>
            </w:pPr>
          </w:p>
        </w:tc>
        <w:tc>
          <w:tcPr>
            <w:tcW w:w="733" w:type="dxa"/>
            <w:vAlign w:val="center"/>
          </w:tcPr>
          <w:p w14:paraId="6A45FFC1">
            <w:pPr>
              <w:spacing w:after="120" w:line="240" w:lineRule="auto"/>
              <w:ind w:firstLine="0" w:firstLineChars="0"/>
              <w:rPr>
                <w:rFonts w:ascii="仿宋" w:hAnsi="仿宋" w:eastAsia="仿宋" w:cs="仿宋"/>
                <w:snapToGrid w:val="0"/>
                <w:sz w:val="30"/>
                <w:szCs w:val="30"/>
              </w:rPr>
            </w:pPr>
          </w:p>
        </w:tc>
        <w:tc>
          <w:tcPr>
            <w:tcW w:w="733" w:type="dxa"/>
            <w:vAlign w:val="center"/>
          </w:tcPr>
          <w:p w14:paraId="33BEB8E2">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2AFBB710">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603CE5BC">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2EC7A234">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如设计人无人防工程相应的设计资质，则由设计人将地下人防工程委托具备相应资质的单位进行设计。</w:t>
            </w:r>
          </w:p>
        </w:tc>
      </w:tr>
      <w:tr w14:paraId="1159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jc w:val="center"/>
        </w:trPr>
        <w:tc>
          <w:tcPr>
            <w:tcW w:w="1529" w:type="dxa"/>
            <w:vAlign w:val="center"/>
          </w:tcPr>
          <w:p w14:paraId="2895FB60">
            <w:pPr>
              <w:spacing w:after="120" w:line="240" w:lineRule="auto"/>
              <w:ind w:firstLine="0" w:firstLineChars="0"/>
              <w:jc w:val="center"/>
              <w:rPr>
                <w:rFonts w:ascii="仿宋" w:hAnsi="仿宋" w:eastAsia="仿宋" w:cs="仿宋"/>
                <w:bCs/>
                <w:snapToGrid w:val="0"/>
                <w:sz w:val="30"/>
                <w:szCs w:val="30"/>
              </w:rPr>
            </w:pPr>
            <w:r>
              <w:rPr>
                <w:rFonts w:hint="eastAsia" w:ascii="仿宋" w:hAnsi="仿宋" w:eastAsia="仿宋" w:cs="仿宋"/>
                <w:snapToGrid w:val="0"/>
                <w:sz w:val="30"/>
                <w:szCs w:val="30"/>
              </w:rPr>
              <w:t>建筑电气设计</w:t>
            </w:r>
          </w:p>
        </w:tc>
        <w:tc>
          <w:tcPr>
            <w:tcW w:w="733" w:type="dxa"/>
            <w:vAlign w:val="center"/>
          </w:tcPr>
          <w:p w14:paraId="1F52287C">
            <w:pPr>
              <w:spacing w:after="120" w:line="240" w:lineRule="auto"/>
              <w:ind w:firstLine="0" w:firstLineChars="0"/>
              <w:rPr>
                <w:rFonts w:ascii="仿宋" w:hAnsi="仿宋" w:eastAsia="仿宋" w:cs="仿宋"/>
                <w:snapToGrid w:val="0"/>
                <w:sz w:val="30"/>
                <w:szCs w:val="30"/>
              </w:rPr>
            </w:pPr>
          </w:p>
        </w:tc>
        <w:tc>
          <w:tcPr>
            <w:tcW w:w="733" w:type="dxa"/>
            <w:vAlign w:val="center"/>
          </w:tcPr>
          <w:p w14:paraId="40CE3A3E">
            <w:pPr>
              <w:spacing w:after="120" w:line="240" w:lineRule="auto"/>
              <w:ind w:firstLine="0" w:firstLineChars="0"/>
              <w:rPr>
                <w:rFonts w:ascii="仿宋" w:hAnsi="仿宋" w:eastAsia="仿宋" w:cs="仿宋"/>
                <w:snapToGrid w:val="0"/>
                <w:sz w:val="30"/>
                <w:szCs w:val="30"/>
              </w:rPr>
            </w:pPr>
          </w:p>
        </w:tc>
        <w:tc>
          <w:tcPr>
            <w:tcW w:w="733" w:type="dxa"/>
            <w:vAlign w:val="center"/>
          </w:tcPr>
          <w:p w14:paraId="36447B6F">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3A7FD230">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7358AF24">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7E1DD9F5">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除本项目用地红线内供电设计外，还包括用地红线外变配电站至本项目公共开关房的永久用电施工图设计，若设计单位无相应设计资质，报经甲方同意可分包给具备相应设计资质的单位设计</w:t>
            </w:r>
          </w:p>
        </w:tc>
      </w:tr>
      <w:tr w14:paraId="088D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1529" w:type="dxa"/>
            <w:vAlign w:val="center"/>
          </w:tcPr>
          <w:p w14:paraId="564F0D21">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建筑智能系统工程设计</w:t>
            </w:r>
          </w:p>
        </w:tc>
        <w:tc>
          <w:tcPr>
            <w:tcW w:w="733" w:type="dxa"/>
            <w:vAlign w:val="center"/>
          </w:tcPr>
          <w:p w14:paraId="30DF6DF4">
            <w:pPr>
              <w:spacing w:after="120" w:line="240" w:lineRule="auto"/>
              <w:ind w:firstLine="0" w:firstLineChars="0"/>
              <w:rPr>
                <w:rFonts w:ascii="仿宋" w:hAnsi="仿宋" w:eastAsia="仿宋" w:cs="仿宋"/>
                <w:snapToGrid w:val="0"/>
                <w:sz w:val="30"/>
                <w:szCs w:val="30"/>
              </w:rPr>
            </w:pPr>
          </w:p>
        </w:tc>
        <w:tc>
          <w:tcPr>
            <w:tcW w:w="733" w:type="dxa"/>
            <w:vAlign w:val="center"/>
          </w:tcPr>
          <w:p w14:paraId="486246A8">
            <w:pPr>
              <w:spacing w:after="120" w:line="240" w:lineRule="auto"/>
              <w:ind w:firstLine="0" w:firstLineChars="0"/>
              <w:rPr>
                <w:rFonts w:ascii="仿宋" w:hAnsi="仿宋" w:eastAsia="仿宋" w:cs="仿宋"/>
                <w:snapToGrid w:val="0"/>
                <w:sz w:val="30"/>
                <w:szCs w:val="30"/>
              </w:rPr>
            </w:pPr>
          </w:p>
        </w:tc>
        <w:tc>
          <w:tcPr>
            <w:tcW w:w="733" w:type="dxa"/>
            <w:vAlign w:val="center"/>
          </w:tcPr>
          <w:p w14:paraId="4E64F896">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09BFD64F">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76F98EF1">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2465D3AB">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包括但不限于以下内容：</w:t>
            </w:r>
          </w:p>
          <w:p w14:paraId="4D1C2A59">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1、综合布线系统工程，2、通讯系统工程；3、机房工程4、计算机网络系统工程，5、火灾报警工程6、广播系统工程，7、安全防范系统（SAS）工程，8、车库管理系统工程，9、有线电视，10、公共信息，11、会议系统，12、综合能源监测13、建筑设备监控14、智能化集成”等14项内容</w:t>
            </w:r>
          </w:p>
        </w:tc>
      </w:tr>
      <w:tr w14:paraId="1554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1529" w:type="dxa"/>
            <w:vAlign w:val="center"/>
          </w:tcPr>
          <w:p w14:paraId="0039C048">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给排水及消防设计</w:t>
            </w:r>
          </w:p>
        </w:tc>
        <w:tc>
          <w:tcPr>
            <w:tcW w:w="733" w:type="dxa"/>
            <w:vAlign w:val="center"/>
          </w:tcPr>
          <w:p w14:paraId="4A872405">
            <w:pPr>
              <w:spacing w:after="120" w:line="240" w:lineRule="auto"/>
              <w:ind w:firstLine="0" w:firstLineChars="0"/>
              <w:rPr>
                <w:rFonts w:ascii="仿宋" w:hAnsi="仿宋" w:eastAsia="仿宋" w:cs="仿宋"/>
                <w:snapToGrid w:val="0"/>
                <w:sz w:val="30"/>
                <w:szCs w:val="30"/>
              </w:rPr>
            </w:pPr>
          </w:p>
        </w:tc>
        <w:tc>
          <w:tcPr>
            <w:tcW w:w="733" w:type="dxa"/>
            <w:vAlign w:val="center"/>
          </w:tcPr>
          <w:p w14:paraId="41E18EA1">
            <w:pPr>
              <w:spacing w:after="120" w:line="240" w:lineRule="auto"/>
              <w:ind w:firstLine="0" w:firstLineChars="0"/>
              <w:rPr>
                <w:rFonts w:ascii="仿宋" w:hAnsi="仿宋" w:eastAsia="仿宋" w:cs="仿宋"/>
                <w:snapToGrid w:val="0"/>
                <w:sz w:val="30"/>
                <w:szCs w:val="30"/>
              </w:rPr>
            </w:pPr>
          </w:p>
        </w:tc>
        <w:tc>
          <w:tcPr>
            <w:tcW w:w="733" w:type="dxa"/>
            <w:vAlign w:val="center"/>
          </w:tcPr>
          <w:p w14:paraId="22803F8E">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25A29719">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7D1BA1D6">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0A7D0E0B">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（1）除本项目用地红线内供水设计外，还包括用地红线外市政给水干管至本项目供水总表的永久用水施工图设计，若设计单位无相应设计资质，报经甲方同意可分包给具备相应设计资质的单位设计。</w:t>
            </w:r>
          </w:p>
          <w:p w14:paraId="0D71C932">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 xml:space="preserve">   （2）除本项目用地红线内雨污排水设计外，还包括用地红线内最后一个雨污排水井至水务部门规定的接入用地红线外市政排水井的设计。</w:t>
            </w:r>
          </w:p>
        </w:tc>
      </w:tr>
      <w:tr w14:paraId="4CCD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529" w:type="dxa"/>
            <w:vAlign w:val="center"/>
          </w:tcPr>
          <w:p w14:paraId="209BD284">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采暖通风与空气调节设计</w:t>
            </w:r>
          </w:p>
        </w:tc>
        <w:tc>
          <w:tcPr>
            <w:tcW w:w="733" w:type="dxa"/>
            <w:vAlign w:val="center"/>
          </w:tcPr>
          <w:p w14:paraId="09B47100">
            <w:pPr>
              <w:spacing w:after="120" w:line="240" w:lineRule="auto"/>
              <w:ind w:firstLine="0" w:firstLineChars="0"/>
              <w:rPr>
                <w:rFonts w:ascii="仿宋" w:hAnsi="仿宋" w:eastAsia="仿宋" w:cs="仿宋"/>
                <w:snapToGrid w:val="0"/>
                <w:sz w:val="30"/>
                <w:szCs w:val="30"/>
              </w:rPr>
            </w:pPr>
          </w:p>
        </w:tc>
        <w:tc>
          <w:tcPr>
            <w:tcW w:w="733" w:type="dxa"/>
            <w:vAlign w:val="center"/>
          </w:tcPr>
          <w:p w14:paraId="52D53C57">
            <w:pPr>
              <w:spacing w:after="120" w:line="240" w:lineRule="auto"/>
              <w:ind w:firstLine="0" w:firstLineChars="0"/>
              <w:rPr>
                <w:rFonts w:ascii="仿宋" w:hAnsi="仿宋" w:eastAsia="仿宋" w:cs="仿宋"/>
                <w:snapToGrid w:val="0"/>
                <w:sz w:val="30"/>
                <w:szCs w:val="30"/>
              </w:rPr>
            </w:pPr>
          </w:p>
        </w:tc>
        <w:tc>
          <w:tcPr>
            <w:tcW w:w="733" w:type="dxa"/>
            <w:vAlign w:val="center"/>
          </w:tcPr>
          <w:p w14:paraId="51C05708">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7D3730C0">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7349F072">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2825401F">
            <w:pPr>
              <w:spacing w:after="120" w:line="240" w:lineRule="auto"/>
              <w:ind w:firstLine="0" w:firstLineChars="0"/>
              <w:jc w:val="left"/>
              <w:rPr>
                <w:rFonts w:ascii="仿宋" w:hAnsi="仿宋" w:eastAsia="仿宋" w:cs="仿宋"/>
                <w:snapToGrid w:val="0"/>
                <w:sz w:val="30"/>
                <w:szCs w:val="30"/>
              </w:rPr>
            </w:pPr>
          </w:p>
        </w:tc>
      </w:tr>
      <w:tr w14:paraId="0A5D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vAlign w:val="center"/>
          </w:tcPr>
          <w:p w14:paraId="4DD9258A">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通信系统设计</w:t>
            </w:r>
          </w:p>
        </w:tc>
        <w:tc>
          <w:tcPr>
            <w:tcW w:w="733" w:type="dxa"/>
            <w:vAlign w:val="center"/>
          </w:tcPr>
          <w:p w14:paraId="2980E2EC">
            <w:pPr>
              <w:spacing w:after="120" w:line="240" w:lineRule="auto"/>
              <w:ind w:firstLine="0" w:firstLineChars="0"/>
              <w:rPr>
                <w:rFonts w:ascii="仿宋" w:hAnsi="仿宋" w:eastAsia="仿宋" w:cs="仿宋"/>
                <w:snapToGrid w:val="0"/>
                <w:sz w:val="30"/>
                <w:szCs w:val="30"/>
              </w:rPr>
            </w:pPr>
          </w:p>
        </w:tc>
        <w:tc>
          <w:tcPr>
            <w:tcW w:w="733" w:type="dxa"/>
            <w:vAlign w:val="center"/>
          </w:tcPr>
          <w:p w14:paraId="11CD0905">
            <w:pPr>
              <w:spacing w:after="120" w:line="240" w:lineRule="auto"/>
              <w:ind w:firstLine="0" w:firstLineChars="0"/>
              <w:rPr>
                <w:rFonts w:ascii="仿宋" w:hAnsi="仿宋" w:eastAsia="仿宋" w:cs="仿宋"/>
                <w:snapToGrid w:val="0"/>
                <w:sz w:val="30"/>
                <w:szCs w:val="30"/>
              </w:rPr>
            </w:pPr>
          </w:p>
        </w:tc>
        <w:tc>
          <w:tcPr>
            <w:tcW w:w="733" w:type="dxa"/>
            <w:vAlign w:val="center"/>
          </w:tcPr>
          <w:p w14:paraId="2686C1DE">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0FA64F5C">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776F1B39">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3B951AAA">
            <w:pPr>
              <w:spacing w:after="120" w:line="240" w:lineRule="auto"/>
              <w:ind w:firstLine="0" w:firstLineChars="0"/>
              <w:jc w:val="left"/>
              <w:rPr>
                <w:rFonts w:ascii="仿宋" w:hAnsi="仿宋" w:eastAsia="仿宋" w:cs="仿宋"/>
                <w:snapToGrid w:val="0"/>
                <w:sz w:val="30"/>
                <w:szCs w:val="30"/>
              </w:rPr>
            </w:pPr>
          </w:p>
        </w:tc>
      </w:tr>
      <w:tr w14:paraId="464A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14:paraId="06D1FC71">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绿色建筑（二星标准）设计</w:t>
            </w:r>
          </w:p>
        </w:tc>
        <w:tc>
          <w:tcPr>
            <w:tcW w:w="733" w:type="dxa"/>
            <w:vAlign w:val="center"/>
          </w:tcPr>
          <w:p w14:paraId="797C705A">
            <w:pPr>
              <w:spacing w:after="120" w:line="240" w:lineRule="auto"/>
              <w:ind w:firstLine="0" w:firstLineChars="0"/>
              <w:rPr>
                <w:rFonts w:ascii="仿宋" w:hAnsi="仿宋" w:eastAsia="仿宋" w:cs="仿宋"/>
                <w:snapToGrid w:val="0"/>
                <w:sz w:val="30"/>
                <w:szCs w:val="30"/>
              </w:rPr>
            </w:pPr>
          </w:p>
        </w:tc>
        <w:tc>
          <w:tcPr>
            <w:tcW w:w="733" w:type="dxa"/>
            <w:vAlign w:val="center"/>
          </w:tcPr>
          <w:p w14:paraId="58ACA6B9">
            <w:pPr>
              <w:spacing w:after="120" w:line="240" w:lineRule="auto"/>
              <w:ind w:firstLine="0" w:firstLineChars="0"/>
              <w:rPr>
                <w:rFonts w:ascii="仿宋" w:hAnsi="仿宋" w:eastAsia="仿宋" w:cs="仿宋"/>
                <w:snapToGrid w:val="0"/>
                <w:sz w:val="30"/>
                <w:szCs w:val="30"/>
              </w:rPr>
            </w:pPr>
          </w:p>
        </w:tc>
        <w:tc>
          <w:tcPr>
            <w:tcW w:w="733" w:type="dxa"/>
            <w:vAlign w:val="center"/>
          </w:tcPr>
          <w:p w14:paraId="4B01B76B">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5CFF7B72">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78BA3C6D">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2C6D8FA8">
            <w:pPr>
              <w:spacing w:after="120" w:line="240" w:lineRule="auto"/>
              <w:ind w:firstLine="0" w:firstLineChars="0"/>
              <w:jc w:val="left"/>
              <w:rPr>
                <w:rFonts w:ascii="仿宋" w:hAnsi="仿宋" w:eastAsia="仿宋" w:cs="仿宋"/>
                <w:snapToGrid w:val="0"/>
                <w:sz w:val="30"/>
                <w:szCs w:val="30"/>
              </w:rPr>
            </w:pPr>
          </w:p>
        </w:tc>
      </w:tr>
      <w:tr w14:paraId="38FC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14:paraId="1606025C">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z w:val="30"/>
                <w:szCs w:val="30"/>
              </w:rPr>
              <w:t>环保与节能设计</w:t>
            </w:r>
          </w:p>
        </w:tc>
        <w:tc>
          <w:tcPr>
            <w:tcW w:w="733" w:type="dxa"/>
            <w:vAlign w:val="center"/>
          </w:tcPr>
          <w:p w14:paraId="4CB0DB0E">
            <w:pPr>
              <w:spacing w:after="120" w:line="240" w:lineRule="auto"/>
              <w:ind w:firstLine="0" w:firstLineChars="0"/>
              <w:rPr>
                <w:rFonts w:ascii="仿宋" w:hAnsi="仿宋" w:eastAsia="仿宋" w:cs="仿宋"/>
                <w:snapToGrid w:val="0"/>
                <w:sz w:val="30"/>
                <w:szCs w:val="30"/>
              </w:rPr>
            </w:pPr>
          </w:p>
        </w:tc>
        <w:tc>
          <w:tcPr>
            <w:tcW w:w="733" w:type="dxa"/>
            <w:vAlign w:val="center"/>
          </w:tcPr>
          <w:p w14:paraId="649DC73D">
            <w:pPr>
              <w:spacing w:after="120" w:line="240" w:lineRule="auto"/>
              <w:ind w:firstLine="0" w:firstLineChars="0"/>
              <w:rPr>
                <w:rFonts w:ascii="仿宋" w:hAnsi="仿宋" w:eastAsia="仿宋" w:cs="仿宋"/>
                <w:snapToGrid w:val="0"/>
                <w:sz w:val="30"/>
                <w:szCs w:val="30"/>
              </w:rPr>
            </w:pPr>
          </w:p>
        </w:tc>
        <w:tc>
          <w:tcPr>
            <w:tcW w:w="733" w:type="dxa"/>
            <w:vAlign w:val="center"/>
          </w:tcPr>
          <w:p w14:paraId="2460E6E5">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4A309FCC">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38DF1EAD">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5DBBBCDD">
            <w:pPr>
              <w:spacing w:after="120" w:line="240" w:lineRule="auto"/>
              <w:ind w:firstLine="0" w:firstLineChars="0"/>
              <w:jc w:val="left"/>
              <w:rPr>
                <w:rFonts w:ascii="仿宋" w:hAnsi="仿宋" w:eastAsia="仿宋" w:cs="仿宋"/>
                <w:snapToGrid w:val="0"/>
                <w:sz w:val="30"/>
                <w:szCs w:val="30"/>
              </w:rPr>
            </w:pPr>
          </w:p>
        </w:tc>
      </w:tr>
      <w:tr w14:paraId="7365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14:paraId="09D36F3C">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设备选型意见</w:t>
            </w:r>
          </w:p>
        </w:tc>
        <w:tc>
          <w:tcPr>
            <w:tcW w:w="733" w:type="dxa"/>
            <w:vAlign w:val="center"/>
          </w:tcPr>
          <w:p w14:paraId="162F15DA">
            <w:pPr>
              <w:spacing w:after="120" w:line="240" w:lineRule="auto"/>
              <w:ind w:firstLine="0" w:firstLineChars="0"/>
              <w:rPr>
                <w:rFonts w:ascii="仿宋" w:hAnsi="仿宋" w:eastAsia="仿宋" w:cs="仿宋"/>
                <w:snapToGrid w:val="0"/>
                <w:sz w:val="30"/>
                <w:szCs w:val="30"/>
              </w:rPr>
            </w:pPr>
          </w:p>
        </w:tc>
        <w:tc>
          <w:tcPr>
            <w:tcW w:w="733" w:type="dxa"/>
            <w:vAlign w:val="center"/>
          </w:tcPr>
          <w:p w14:paraId="09E94BA2">
            <w:pPr>
              <w:spacing w:after="120" w:line="240" w:lineRule="auto"/>
              <w:ind w:firstLine="0" w:firstLineChars="0"/>
              <w:rPr>
                <w:rFonts w:ascii="仿宋" w:hAnsi="仿宋" w:eastAsia="仿宋" w:cs="仿宋"/>
                <w:snapToGrid w:val="0"/>
                <w:sz w:val="30"/>
                <w:szCs w:val="30"/>
              </w:rPr>
            </w:pPr>
          </w:p>
        </w:tc>
        <w:tc>
          <w:tcPr>
            <w:tcW w:w="733" w:type="dxa"/>
            <w:vAlign w:val="center"/>
          </w:tcPr>
          <w:p w14:paraId="7537CF21">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013A3475">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5430AF89">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1C140E13">
            <w:pPr>
              <w:spacing w:after="120" w:line="240" w:lineRule="auto"/>
              <w:ind w:firstLine="0" w:firstLineChars="0"/>
              <w:jc w:val="left"/>
              <w:rPr>
                <w:rFonts w:ascii="仿宋" w:hAnsi="仿宋" w:eastAsia="仿宋" w:cs="仿宋"/>
                <w:snapToGrid w:val="0"/>
                <w:sz w:val="30"/>
                <w:szCs w:val="30"/>
              </w:rPr>
            </w:pPr>
          </w:p>
        </w:tc>
      </w:tr>
      <w:tr w14:paraId="225B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529" w:type="dxa"/>
            <w:vAlign w:val="center"/>
          </w:tcPr>
          <w:p w14:paraId="6F3F5038">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项目用地范围内基础配套设施工程设计</w:t>
            </w:r>
          </w:p>
        </w:tc>
        <w:tc>
          <w:tcPr>
            <w:tcW w:w="733" w:type="dxa"/>
            <w:vAlign w:val="center"/>
          </w:tcPr>
          <w:p w14:paraId="2158C9F8">
            <w:pPr>
              <w:spacing w:after="120" w:line="240" w:lineRule="auto"/>
              <w:ind w:firstLine="0" w:firstLineChars="0"/>
              <w:rPr>
                <w:rFonts w:ascii="仿宋" w:hAnsi="仿宋" w:eastAsia="仿宋" w:cs="仿宋"/>
                <w:snapToGrid w:val="0"/>
                <w:sz w:val="30"/>
                <w:szCs w:val="30"/>
              </w:rPr>
            </w:pPr>
          </w:p>
        </w:tc>
        <w:tc>
          <w:tcPr>
            <w:tcW w:w="733" w:type="dxa"/>
            <w:vAlign w:val="center"/>
          </w:tcPr>
          <w:p w14:paraId="75B254E3">
            <w:pPr>
              <w:spacing w:after="120" w:line="240" w:lineRule="auto"/>
              <w:ind w:firstLine="0" w:firstLineChars="0"/>
              <w:rPr>
                <w:rFonts w:ascii="仿宋" w:hAnsi="仿宋" w:eastAsia="仿宋" w:cs="仿宋"/>
                <w:snapToGrid w:val="0"/>
                <w:sz w:val="30"/>
                <w:szCs w:val="30"/>
              </w:rPr>
            </w:pPr>
          </w:p>
        </w:tc>
        <w:tc>
          <w:tcPr>
            <w:tcW w:w="733" w:type="dxa"/>
            <w:vAlign w:val="center"/>
          </w:tcPr>
          <w:p w14:paraId="6FA67AAC">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1CB49DA0">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56EAD16C">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00B5D176">
            <w:pPr>
              <w:spacing w:after="120" w:line="240" w:lineRule="auto"/>
              <w:ind w:firstLine="0" w:firstLineChars="0"/>
              <w:jc w:val="left"/>
              <w:rPr>
                <w:rFonts w:ascii="仿宋" w:hAnsi="仿宋" w:eastAsia="仿宋" w:cs="仿宋"/>
                <w:snapToGrid w:val="0"/>
                <w:sz w:val="30"/>
                <w:szCs w:val="30"/>
              </w:rPr>
            </w:pPr>
          </w:p>
        </w:tc>
      </w:tr>
      <w:tr w14:paraId="3097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14:paraId="111880C7">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室内外管线综合平衡设计</w:t>
            </w:r>
          </w:p>
        </w:tc>
        <w:tc>
          <w:tcPr>
            <w:tcW w:w="733" w:type="dxa"/>
            <w:vAlign w:val="center"/>
          </w:tcPr>
          <w:p w14:paraId="59970E9A">
            <w:pPr>
              <w:spacing w:after="120" w:line="240" w:lineRule="auto"/>
              <w:ind w:firstLine="0" w:firstLineChars="0"/>
              <w:rPr>
                <w:rFonts w:ascii="仿宋" w:hAnsi="仿宋" w:eastAsia="仿宋" w:cs="仿宋"/>
                <w:snapToGrid w:val="0"/>
                <w:sz w:val="30"/>
                <w:szCs w:val="30"/>
              </w:rPr>
            </w:pPr>
          </w:p>
        </w:tc>
        <w:tc>
          <w:tcPr>
            <w:tcW w:w="733" w:type="dxa"/>
            <w:vAlign w:val="center"/>
          </w:tcPr>
          <w:p w14:paraId="3238383F">
            <w:pPr>
              <w:spacing w:after="120" w:line="240" w:lineRule="auto"/>
              <w:ind w:firstLine="0" w:firstLineChars="0"/>
              <w:rPr>
                <w:rFonts w:ascii="仿宋" w:hAnsi="仿宋" w:eastAsia="仿宋" w:cs="仿宋"/>
                <w:snapToGrid w:val="0"/>
                <w:sz w:val="30"/>
                <w:szCs w:val="30"/>
              </w:rPr>
            </w:pPr>
          </w:p>
        </w:tc>
        <w:tc>
          <w:tcPr>
            <w:tcW w:w="733" w:type="dxa"/>
            <w:vAlign w:val="center"/>
          </w:tcPr>
          <w:p w14:paraId="43613B9C">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6D6094DA">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59699EFC">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6277F265">
            <w:pPr>
              <w:spacing w:after="120" w:line="240" w:lineRule="auto"/>
              <w:ind w:firstLine="0" w:firstLineChars="0"/>
              <w:jc w:val="left"/>
              <w:rPr>
                <w:rFonts w:ascii="仿宋" w:hAnsi="仿宋" w:eastAsia="仿宋" w:cs="仿宋"/>
                <w:snapToGrid w:val="0"/>
                <w:sz w:val="30"/>
                <w:szCs w:val="30"/>
              </w:rPr>
            </w:pPr>
          </w:p>
        </w:tc>
      </w:tr>
      <w:tr w14:paraId="2C47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14:paraId="12054A03">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室内外体育设施设计</w:t>
            </w:r>
          </w:p>
        </w:tc>
        <w:tc>
          <w:tcPr>
            <w:tcW w:w="733" w:type="dxa"/>
            <w:vAlign w:val="center"/>
          </w:tcPr>
          <w:p w14:paraId="7A2BFF31">
            <w:pPr>
              <w:spacing w:after="120" w:line="240" w:lineRule="auto"/>
              <w:ind w:firstLine="0" w:firstLineChars="0"/>
              <w:rPr>
                <w:rFonts w:ascii="仿宋" w:hAnsi="仿宋" w:eastAsia="仿宋" w:cs="仿宋"/>
                <w:snapToGrid w:val="0"/>
                <w:sz w:val="30"/>
                <w:szCs w:val="30"/>
              </w:rPr>
            </w:pPr>
          </w:p>
        </w:tc>
        <w:tc>
          <w:tcPr>
            <w:tcW w:w="733" w:type="dxa"/>
            <w:vAlign w:val="center"/>
          </w:tcPr>
          <w:p w14:paraId="623BF0FA">
            <w:pPr>
              <w:spacing w:after="120" w:line="240" w:lineRule="auto"/>
              <w:ind w:firstLine="0" w:firstLineChars="0"/>
              <w:rPr>
                <w:rFonts w:ascii="仿宋" w:hAnsi="仿宋" w:eastAsia="仿宋" w:cs="仿宋"/>
                <w:snapToGrid w:val="0"/>
                <w:sz w:val="30"/>
                <w:szCs w:val="30"/>
              </w:rPr>
            </w:pPr>
          </w:p>
        </w:tc>
        <w:tc>
          <w:tcPr>
            <w:tcW w:w="733" w:type="dxa"/>
            <w:vAlign w:val="center"/>
          </w:tcPr>
          <w:p w14:paraId="5EBF2DCA">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2797AD00">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16198E35">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3BE59472">
            <w:pPr>
              <w:spacing w:after="120" w:line="240" w:lineRule="auto"/>
              <w:ind w:firstLine="0" w:firstLineChars="0"/>
              <w:jc w:val="left"/>
              <w:rPr>
                <w:rFonts w:ascii="仿宋" w:hAnsi="仿宋" w:eastAsia="仿宋" w:cs="仿宋"/>
                <w:snapToGrid w:val="0"/>
                <w:sz w:val="30"/>
                <w:szCs w:val="30"/>
              </w:rPr>
            </w:pPr>
          </w:p>
        </w:tc>
      </w:tr>
      <w:tr w14:paraId="3AFA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14:paraId="300A8DB1">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室外市政、园林工程设计</w:t>
            </w:r>
          </w:p>
        </w:tc>
        <w:tc>
          <w:tcPr>
            <w:tcW w:w="733" w:type="dxa"/>
            <w:vAlign w:val="center"/>
          </w:tcPr>
          <w:p w14:paraId="69E629DC">
            <w:pPr>
              <w:spacing w:after="120" w:line="240" w:lineRule="auto"/>
              <w:ind w:firstLine="0" w:firstLineChars="0"/>
              <w:rPr>
                <w:rFonts w:ascii="仿宋" w:hAnsi="仿宋" w:eastAsia="仿宋" w:cs="仿宋"/>
                <w:snapToGrid w:val="0"/>
                <w:sz w:val="30"/>
                <w:szCs w:val="30"/>
              </w:rPr>
            </w:pPr>
          </w:p>
        </w:tc>
        <w:tc>
          <w:tcPr>
            <w:tcW w:w="733" w:type="dxa"/>
            <w:vAlign w:val="center"/>
          </w:tcPr>
          <w:p w14:paraId="30E8CD9F">
            <w:pPr>
              <w:spacing w:after="120" w:line="240" w:lineRule="auto"/>
              <w:ind w:firstLine="0" w:firstLineChars="0"/>
              <w:rPr>
                <w:rFonts w:ascii="仿宋" w:hAnsi="仿宋" w:eastAsia="仿宋" w:cs="仿宋"/>
                <w:snapToGrid w:val="0"/>
                <w:sz w:val="30"/>
                <w:szCs w:val="30"/>
              </w:rPr>
            </w:pPr>
          </w:p>
        </w:tc>
        <w:tc>
          <w:tcPr>
            <w:tcW w:w="733" w:type="dxa"/>
            <w:vAlign w:val="center"/>
          </w:tcPr>
          <w:p w14:paraId="2B390D39">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17C3CC6B">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02C8E549">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21542490">
            <w:pPr>
              <w:spacing w:after="120" w:line="240" w:lineRule="auto"/>
              <w:ind w:firstLine="0" w:firstLineChars="0"/>
              <w:jc w:val="left"/>
              <w:rPr>
                <w:rFonts w:ascii="仿宋" w:hAnsi="仿宋" w:eastAsia="仿宋" w:cs="仿宋"/>
                <w:snapToGrid w:val="0"/>
                <w:sz w:val="30"/>
                <w:szCs w:val="30"/>
              </w:rPr>
            </w:pPr>
          </w:p>
        </w:tc>
      </w:tr>
      <w:tr w14:paraId="7BA7B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14:paraId="6C4416EB">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室内外标识系统设计</w:t>
            </w:r>
          </w:p>
        </w:tc>
        <w:tc>
          <w:tcPr>
            <w:tcW w:w="733" w:type="dxa"/>
            <w:vAlign w:val="center"/>
          </w:tcPr>
          <w:p w14:paraId="7A773838">
            <w:pPr>
              <w:spacing w:after="120" w:line="240" w:lineRule="auto"/>
              <w:ind w:firstLine="0" w:firstLineChars="0"/>
              <w:rPr>
                <w:rFonts w:ascii="仿宋" w:hAnsi="仿宋" w:eastAsia="仿宋" w:cs="仿宋"/>
                <w:snapToGrid w:val="0"/>
                <w:sz w:val="30"/>
                <w:szCs w:val="30"/>
              </w:rPr>
            </w:pPr>
          </w:p>
        </w:tc>
        <w:tc>
          <w:tcPr>
            <w:tcW w:w="733" w:type="dxa"/>
            <w:vAlign w:val="center"/>
          </w:tcPr>
          <w:p w14:paraId="55F28101">
            <w:pPr>
              <w:spacing w:after="120" w:line="240" w:lineRule="auto"/>
              <w:ind w:firstLine="0" w:firstLineChars="0"/>
              <w:rPr>
                <w:rFonts w:ascii="仿宋" w:hAnsi="仿宋" w:eastAsia="仿宋" w:cs="仿宋"/>
                <w:snapToGrid w:val="0"/>
                <w:sz w:val="30"/>
                <w:szCs w:val="30"/>
              </w:rPr>
            </w:pPr>
          </w:p>
        </w:tc>
        <w:tc>
          <w:tcPr>
            <w:tcW w:w="733" w:type="dxa"/>
            <w:vAlign w:val="center"/>
          </w:tcPr>
          <w:p w14:paraId="5E9268D2">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7ECD7C92">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69B837E4">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38BE0EF0">
            <w:pPr>
              <w:spacing w:after="120" w:line="240" w:lineRule="auto"/>
              <w:ind w:firstLine="0" w:firstLineChars="0"/>
              <w:jc w:val="left"/>
              <w:rPr>
                <w:rFonts w:ascii="仿宋" w:hAnsi="仿宋" w:eastAsia="仿宋" w:cs="仿宋"/>
                <w:snapToGrid w:val="0"/>
                <w:sz w:val="30"/>
                <w:szCs w:val="30"/>
              </w:rPr>
            </w:pPr>
          </w:p>
        </w:tc>
      </w:tr>
      <w:tr w14:paraId="76E3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529" w:type="dxa"/>
            <w:vAlign w:val="center"/>
          </w:tcPr>
          <w:p w14:paraId="39AB5CDE">
            <w:pPr>
              <w:spacing w:after="120" w:line="240" w:lineRule="auto"/>
              <w:ind w:firstLine="0" w:firstLineChars="0"/>
              <w:jc w:val="center"/>
              <w:rPr>
                <w:rFonts w:ascii="仿宋" w:hAnsi="仿宋" w:eastAsia="仿宋" w:cs="仿宋"/>
                <w:snapToGrid w:val="0"/>
                <w:sz w:val="30"/>
                <w:szCs w:val="30"/>
              </w:rPr>
            </w:pPr>
            <w:r>
              <w:rPr>
                <w:rFonts w:hint="eastAsia" w:ascii="仿宋" w:hAnsi="仿宋" w:eastAsia="仿宋" w:cs="仿宋"/>
                <w:snapToGrid w:val="0"/>
                <w:sz w:val="30"/>
                <w:szCs w:val="30"/>
              </w:rPr>
              <w:t>其他配套专业</w:t>
            </w:r>
            <w:r>
              <w:rPr>
                <w:rFonts w:hint="eastAsia" w:ascii="仿宋" w:hAnsi="仿宋" w:eastAsia="仿宋" w:cs="仿宋"/>
                <w:sz w:val="30"/>
                <w:szCs w:val="30"/>
              </w:rPr>
              <w:t>工程设计</w:t>
            </w:r>
          </w:p>
        </w:tc>
        <w:tc>
          <w:tcPr>
            <w:tcW w:w="733" w:type="dxa"/>
            <w:vAlign w:val="center"/>
          </w:tcPr>
          <w:p w14:paraId="1F50749E">
            <w:pPr>
              <w:spacing w:after="120" w:line="240" w:lineRule="auto"/>
              <w:ind w:firstLine="0" w:firstLineChars="0"/>
              <w:rPr>
                <w:rFonts w:ascii="仿宋" w:hAnsi="仿宋" w:eastAsia="仿宋" w:cs="仿宋"/>
                <w:snapToGrid w:val="0"/>
                <w:sz w:val="30"/>
                <w:szCs w:val="30"/>
              </w:rPr>
            </w:pPr>
          </w:p>
        </w:tc>
        <w:tc>
          <w:tcPr>
            <w:tcW w:w="733" w:type="dxa"/>
            <w:vAlign w:val="center"/>
          </w:tcPr>
          <w:p w14:paraId="1DADB359">
            <w:pPr>
              <w:spacing w:after="120" w:line="240" w:lineRule="auto"/>
              <w:ind w:firstLine="0" w:firstLineChars="0"/>
              <w:rPr>
                <w:rFonts w:ascii="仿宋" w:hAnsi="仿宋" w:eastAsia="仿宋" w:cs="仿宋"/>
                <w:snapToGrid w:val="0"/>
                <w:sz w:val="30"/>
                <w:szCs w:val="30"/>
              </w:rPr>
            </w:pPr>
          </w:p>
        </w:tc>
        <w:tc>
          <w:tcPr>
            <w:tcW w:w="733" w:type="dxa"/>
            <w:vAlign w:val="center"/>
          </w:tcPr>
          <w:p w14:paraId="48B552AB">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034764CF">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5EBB8FFB">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7BEF66FB">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z w:val="30"/>
                <w:szCs w:val="30"/>
              </w:rPr>
              <w:t>油烟处理工程、太阳能热水系统、雨水收集系统、发电机组、燃气工程</w:t>
            </w:r>
          </w:p>
        </w:tc>
      </w:tr>
      <w:tr w14:paraId="2DB8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529" w:type="dxa"/>
            <w:vAlign w:val="center"/>
          </w:tcPr>
          <w:p w14:paraId="700DEA2C">
            <w:pPr>
              <w:spacing w:after="120" w:line="240" w:lineRule="auto"/>
              <w:ind w:firstLine="0" w:firstLineChars="0"/>
              <w:jc w:val="center"/>
              <w:rPr>
                <w:rFonts w:ascii="仿宋" w:hAnsi="仿宋" w:eastAsia="仿宋" w:cs="仿宋"/>
                <w:bCs/>
                <w:snapToGrid w:val="0"/>
                <w:sz w:val="30"/>
                <w:szCs w:val="30"/>
              </w:rPr>
            </w:pPr>
            <w:r>
              <w:rPr>
                <w:rFonts w:hint="eastAsia" w:ascii="仿宋" w:hAnsi="仿宋" w:eastAsia="仿宋" w:cs="仿宋"/>
                <w:bCs/>
                <w:snapToGrid w:val="0"/>
                <w:sz w:val="30"/>
                <w:szCs w:val="30"/>
              </w:rPr>
              <w:t>红线范围外保证建筑物正常使用的必要的其他专业工程设计</w:t>
            </w:r>
          </w:p>
        </w:tc>
        <w:tc>
          <w:tcPr>
            <w:tcW w:w="733" w:type="dxa"/>
            <w:vAlign w:val="center"/>
          </w:tcPr>
          <w:p w14:paraId="127BFB04">
            <w:pPr>
              <w:spacing w:after="120" w:line="240" w:lineRule="auto"/>
              <w:ind w:firstLine="0" w:firstLineChars="0"/>
              <w:rPr>
                <w:rFonts w:ascii="仿宋" w:hAnsi="仿宋" w:eastAsia="仿宋" w:cs="仿宋"/>
                <w:snapToGrid w:val="0"/>
                <w:sz w:val="30"/>
                <w:szCs w:val="30"/>
              </w:rPr>
            </w:pPr>
          </w:p>
        </w:tc>
        <w:tc>
          <w:tcPr>
            <w:tcW w:w="733" w:type="dxa"/>
            <w:vAlign w:val="center"/>
          </w:tcPr>
          <w:p w14:paraId="0E758ECA">
            <w:pPr>
              <w:spacing w:after="120" w:line="240" w:lineRule="auto"/>
              <w:ind w:firstLine="0" w:firstLineChars="0"/>
              <w:rPr>
                <w:rFonts w:ascii="仿宋" w:hAnsi="仿宋" w:eastAsia="仿宋" w:cs="仿宋"/>
                <w:snapToGrid w:val="0"/>
                <w:sz w:val="30"/>
                <w:szCs w:val="30"/>
              </w:rPr>
            </w:pPr>
          </w:p>
        </w:tc>
        <w:tc>
          <w:tcPr>
            <w:tcW w:w="733" w:type="dxa"/>
            <w:vAlign w:val="center"/>
          </w:tcPr>
          <w:p w14:paraId="677CF56A">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1A128916">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6C4BAB94">
            <w:pPr>
              <w:spacing w:after="120" w:line="240" w:lineRule="auto"/>
              <w:ind w:firstLine="0" w:firstLineChars="0"/>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7CC7BF74">
            <w:pPr>
              <w:spacing w:after="120" w:line="240" w:lineRule="auto"/>
              <w:ind w:firstLine="0" w:firstLineChars="0"/>
              <w:jc w:val="left"/>
              <w:rPr>
                <w:rFonts w:ascii="仿宋" w:hAnsi="仿宋" w:eastAsia="仿宋" w:cs="仿宋"/>
                <w:bCs/>
                <w:snapToGrid w:val="0"/>
                <w:sz w:val="30"/>
                <w:szCs w:val="30"/>
              </w:rPr>
            </w:pPr>
            <w:r>
              <w:rPr>
                <w:rFonts w:hint="eastAsia" w:ascii="仿宋" w:hAnsi="仿宋" w:eastAsia="仿宋" w:cs="仿宋"/>
                <w:bCs/>
                <w:snapToGrid w:val="0"/>
                <w:sz w:val="30"/>
                <w:szCs w:val="30"/>
              </w:rPr>
              <w:t>外接供水排水管、高低压配电等</w:t>
            </w:r>
          </w:p>
        </w:tc>
      </w:tr>
      <w:tr w14:paraId="140ED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529" w:type="dxa"/>
            <w:vAlign w:val="center"/>
          </w:tcPr>
          <w:p w14:paraId="35FA4FC1">
            <w:pPr>
              <w:spacing w:after="120" w:line="240" w:lineRule="auto"/>
              <w:ind w:firstLine="0" w:firstLineChars="0"/>
              <w:jc w:val="center"/>
              <w:rPr>
                <w:rFonts w:ascii="仿宋" w:hAnsi="仿宋" w:eastAsia="仿宋" w:cs="仿宋"/>
                <w:bCs/>
                <w:snapToGrid w:val="0"/>
                <w:sz w:val="30"/>
                <w:szCs w:val="30"/>
              </w:rPr>
            </w:pPr>
            <w:r>
              <w:rPr>
                <w:rFonts w:hint="eastAsia" w:ascii="仿宋" w:hAnsi="仿宋" w:eastAsia="仿宋" w:cs="仿宋"/>
                <w:bCs/>
                <w:snapToGrid w:val="0"/>
                <w:sz w:val="30"/>
                <w:szCs w:val="30"/>
              </w:rPr>
              <w:t>其它</w:t>
            </w:r>
          </w:p>
        </w:tc>
        <w:tc>
          <w:tcPr>
            <w:tcW w:w="733" w:type="dxa"/>
            <w:vAlign w:val="center"/>
          </w:tcPr>
          <w:p w14:paraId="54CC9022">
            <w:pPr>
              <w:spacing w:after="120" w:line="240" w:lineRule="auto"/>
              <w:ind w:firstLine="0" w:firstLineChars="0"/>
              <w:jc w:val="left"/>
              <w:rPr>
                <w:rFonts w:ascii="仿宋" w:hAnsi="仿宋" w:eastAsia="仿宋" w:cs="仿宋"/>
                <w:snapToGrid w:val="0"/>
                <w:sz w:val="30"/>
                <w:szCs w:val="30"/>
              </w:rPr>
            </w:pPr>
          </w:p>
        </w:tc>
        <w:tc>
          <w:tcPr>
            <w:tcW w:w="733" w:type="dxa"/>
            <w:vAlign w:val="center"/>
          </w:tcPr>
          <w:p w14:paraId="613C5431">
            <w:pPr>
              <w:spacing w:after="120" w:line="240" w:lineRule="auto"/>
              <w:ind w:firstLine="0" w:firstLineChars="0"/>
              <w:jc w:val="left"/>
              <w:rPr>
                <w:rFonts w:ascii="仿宋" w:hAnsi="仿宋" w:eastAsia="仿宋" w:cs="仿宋"/>
                <w:snapToGrid w:val="0"/>
                <w:sz w:val="30"/>
                <w:szCs w:val="30"/>
              </w:rPr>
            </w:pPr>
          </w:p>
        </w:tc>
        <w:tc>
          <w:tcPr>
            <w:tcW w:w="733" w:type="dxa"/>
            <w:vAlign w:val="center"/>
          </w:tcPr>
          <w:p w14:paraId="6C6489F9">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w:t>
            </w:r>
          </w:p>
        </w:tc>
        <w:tc>
          <w:tcPr>
            <w:tcW w:w="834" w:type="dxa"/>
            <w:vAlign w:val="center"/>
          </w:tcPr>
          <w:p w14:paraId="53882034">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w:t>
            </w:r>
          </w:p>
        </w:tc>
        <w:tc>
          <w:tcPr>
            <w:tcW w:w="630" w:type="dxa"/>
            <w:vAlign w:val="center"/>
          </w:tcPr>
          <w:p w14:paraId="764C1948">
            <w:pPr>
              <w:spacing w:after="120" w:line="240" w:lineRule="auto"/>
              <w:ind w:firstLine="0" w:firstLineChars="0"/>
              <w:jc w:val="left"/>
              <w:rPr>
                <w:rFonts w:ascii="仿宋" w:hAnsi="仿宋" w:eastAsia="仿宋" w:cs="仿宋"/>
                <w:snapToGrid w:val="0"/>
                <w:sz w:val="30"/>
                <w:szCs w:val="30"/>
              </w:rPr>
            </w:pPr>
            <w:r>
              <w:rPr>
                <w:rFonts w:hint="eastAsia" w:ascii="仿宋" w:hAnsi="仿宋" w:eastAsia="仿宋" w:cs="仿宋"/>
                <w:snapToGrid w:val="0"/>
                <w:sz w:val="30"/>
                <w:szCs w:val="30"/>
              </w:rPr>
              <w:t>√</w:t>
            </w:r>
          </w:p>
        </w:tc>
        <w:tc>
          <w:tcPr>
            <w:tcW w:w="3704" w:type="dxa"/>
            <w:vAlign w:val="center"/>
          </w:tcPr>
          <w:p w14:paraId="58BB71BA">
            <w:pPr>
              <w:spacing w:after="120" w:line="240" w:lineRule="auto"/>
              <w:ind w:firstLine="0" w:firstLineChars="0"/>
              <w:jc w:val="left"/>
              <w:rPr>
                <w:rFonts w:ascii="仿宋" w:hAnsi="仿宋" w:eastAsia="仿宋" w:cs="仿宋"/>
                <w:bCs/>
                <w:snapToGrid w:val="0"/>
                <w:sz w:val="30"/>
                <w:szCs w:val="30"/>
              </w:rPr>
            </w:pPr>
          </w:p>
        </w:tc>
      </w:tr>
    </w:tbl>
    <w:p w14:paraId="635228C5">
      <w:pPr>
        <w:spacing w:after="120"/>
        <w:ind w:firstLine="600"/>
        <w:rPr>
          <w:rFonts w:ascii="仿宋" w:hAnsi="仿宋" w:eastAsia="仿宋" w:cs="仿宋"/>
          <w:sz w:val="30"/>
          <w:szCs w:val="30"/>
        </w:rPr>
      </w:pPr>
      <w:r>
        <w:rPr>
          <w:rFonts w:hint="eastAsia" w:ascii="仿宋" w:hAnsi="仿宋" w:eastAsia="仿宋" w:cs="仿宋"/>
          <w:sz w:val="30"/>
          <w:szCs w:val="30"/>
        </w:rPr>
        <w:t>注:（1）以上所有专业设计均应满足国家和各行业规范，地方法规、各行政主管部门的要求和意见。必要时，根据发包人或主管部门要求，各阶段图纸应送相关主管部门审核并取得盖章确认。</w:t>
      </w:r>
    </w:p>
    <w:p w14:paraId="124E4C72">
      <w:pPr>
        <w:spacing w:after="120"/>
        <w:ind w:firstLine="600"/>
        <w:rPr>
          <w:rFonts w:ascii="仿宋" w:hAnsi="仿宋" w:eastAsia="仿宋" w:cs="仿宋"/>
          <w:sz w:val="30"/>
          <w:szCs w:val="30"/>
        </w:rPr>
      </w:pPr>
      <w:r>
        <w:rPr>
          <w:rFonts w:hint="eastAsia" w:ascii="仿宋" w:hAnsi="仿宋" w:eastAsia="仿宋" w:cs="仿宋"/>
          <w:sz w:val="30"/>
          <w:szCs w:val="30"/>
        </w:rPr>
        <w:t>（2）上述合同范围内工作所需费用均包括在工程设计费中，不再单独收费。</w:t>
      </w:r>
    </w:p>
    <w:p w14:paraId="18FDC0FA">
      <w:pPr>
        <w:spacing w:after="120"/>
        <w:ind w:firstLine="600"/>
        <w:rPr>
          <w:rFonts w:ascii="仿宋" w:hAnsi="仿宋" w:eastAsia="仿宋" w:cs="仿宋"/>
          <w:sz w:val="30"/>
          <w:szCs w:val="30"/>
        </w:rPr>
      </w:pPr>
      <w:r>
        <w:rPr>
          <w:rFonts w:hint="eastAsia" w:ascii="仿宋" w:hAnsi="仿宋" w:eastAsia="仿宋" w:cs="仿宋"/>
          <w:sz w:val="30"/>
          <w:szCs w:val="30"/>
        </w:rPr>
        <w:t>（3）本项目为配合完成合同范围内工作（工程设计等）所需辅助测量等辅助性工作费用，已包含在设计费中，不单独计费。</w:t>
      </w:r>
    </w:p>
    <w:p w14:paraId="734172D4">
      <w:pPr>
        <w:spacing w:after="120"/>
        <w:ind w:firstLine="600"/>
        <w:rPr>
          <w:rFonts w:ascii="仿宋" w:hAnsi="仿宋" w:eastAsia="仿宋" w:cs="仿宋"/>
          <w:sz w:val="30"/>
          <w:szCs w:val="30"/>
        </w:rPr>
      </w:pPr>
      <w:r>
        <w:rPr>
          <w:rFonts w:hint="eastAsia" w:ascii="仿宋" w:hAnsi="仿宋" w:eastAsia="仿宋" w:cs="仿宋"/>
          <w:sz w:val="30"/>
          <w:szCs w:val="30"/>
        </w:rPr>
        <w:t>3.2限额设计</w:t>
      </w:r>
    </w:p>
    <w:p w14:paraId="03C1C705">
      <w:pPr>
        <w:spacing w:after="120"/>
        <w:ind w:firstLine="600"/>
        <w:rPr>
          <w:rFonts w:ascii="仿宋" w:hAnsi="仿宋" w:eastAsia="仿宋" w:cs="仿宋"/>
          <w:sz w:val="30"/>
          <w:szCs w:val="30"/>
        </w:rPr>
      </w:pPr>
      <w:r>
        <w:rPr>
          <w:rFonts w:hint="eastAsia" w:ascii="仿宋" w:hAnsi="仿宋" w:eastAsia="仿宋" w:cs="仿宋"/>
          <w:sz w:val="30"/>
          <w:szCs w:val="30"/>
        </w:rPr>
        <w:t>承包人提交施工图设计应以批复概算为依据进行限额设计管理，包括但不仅限于各单位工程、专业工程或分项工程限额指标表（包括技术经济指标、造价指标），原则上与批准的概算对应（如概算未批复，以批准的投资估算对应），各专业限额进行调剂后，总投资不超过经批准的投资估算，经发包人审核后开展限额设计；须确保经审定的</w:t>
      </w:r>
      <w:r>
        <w:rPr>
          <w:rFonts w:hint="eastAsia" w:ascii="仿宋_GB2312" w:eastAsia="仿宋_GB2312"/>
          <w:sz w:val="30"/>
          <w:szCs w:val="30"/>
          <w:u w:val="single"/>
        </w:rPr>
        <w:t>施工图预算</w:t>
      </w:r>
      <w:r>
        <w:rPr>
          <w:rFonts w:hint="eastAsia" w:ascii="仿宋" w:hAnsi="仿宋" w:eastAsia="仿宋" w:cs="仿宋"/>
          <w:sz w:val="30"/>
          <w:szCs w:val="30"/>
        </w:rPr>
        <w:t>（总承包合同范围内项目）不超过审定概算中相同范围的建安工程费。</w:t>
      </w:r>
    </w:p>
    <w:p w14:paraId="6C6AE55E">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3.3设计总承包管理及配合协调服务工作</w:t>
      </w:r>
    </w:p>
    <w:p w14:paraId="1359E0F9">
      <w:pPr>
        <w:spacing w:after="120"/>
        <w:ind w:firstLine="600"/>
        <w:jc w:val="left"/>
        <w:rPr>
          <w:rFonts w:ascii="仿宋" w:hAnsi="仿宋" w:eastAsia="仿宋" w:cs="仿宋"/>
          <w:sz w:val="30"/>
          <w:szCs w:val="30"/>
        </w:rPr>
      </w:pPr>
      <w:r>
        <w:rPr>
          <w:rFonts w:hint="eastAsia" w:ascii="仿宋" w:hAnsi="仿宋" w:eastAsia="仿宋" w:cs="仿宋"/>
          <w:sz w:val="30"/>
          <w:szCs w:val="30"/>
        </w:rPr>
        <w:t>设计人应按合同约定及项目建设管理需要做好下列设计总承包管理及配合协调服务工作（包括但不限于）：</w:t>
      </w:r>
    </w:p>
    <w:p w14:paraId="0FF3FACC">
      <w:pPr>
        <w:spacing w:after="120"/>
        <w:ind w:firstLine="600"/>
        <w:jc w:val="left"/>
        <w:rPr>
          <w:rFonts w:ascii="仿宋" w:hAnsi="仿宋" w:eastAsia="仿宋" w:cs="仿宋"/>
          <w:sz w:val="30"/>
          <w:szCs w:val="30"/>
        </w:rPr>
      </w:pPr>
      <w:r>
        <w:rPr>
          <w:rFonts w:hint="eastAsia" w:ascii="仿宋" w:hAnsi="仿宋" w:eastAsia="仿宋" w:cs="仿宋"/>
          <w:sz w:val="30"/>
          <w:szCs w:val="30"/>
        </w:rPr>
        <w:t>（1）对其总承包管理范围内的专业设计单位在设计的进度、质量、安全、工程投资控制和设计配</w:t>
      </w:r>
      <w:bookmarkStart w:id="1005" w:name="_Toc36146463"/>
      <w:bookmarkStart w:id="1006" w:name="_Toc28042670"/>
      <w:r>
        <w:rPr>
          <w:rFonts w:hint="eastAsia" w:ascii="仿宋" w:hAnsi="仿宋" w:eastAsia="仿宋" w:cs="仿宋"/>
          <w:sz w:val="30"/>
          <w:szCs w:val="30"/>
        </w:rPr>
        <w:t>合协调、接口衔接等方面进行管理，确保各</w:t>
      </w:r>
      <w:bookmarkEnd w:id="1005"/>
      <w:bookmarkEnd w:id="1006"/>
      <w:r>
        <w:rPr>
          <w:rFonts w:hint="eastAsia" w:ascii="仿宋" w:hAnsi="仿宋" w:eastAsia="仿宋" w:cs="仿宋"/>
          <w:sz w:val="30"/>
          <w:szCs w:val="30"/>
        </w:rPr>
        <w:t>设计单位之间的设计界面和工作内容清晰，不出现设计重复或交叉的现象，并保证本合同工程各专业接口及与周边工程接口（包括与市政工程接口）的良好衔接。</w:t>
      </w:r>
    </w:p>
    <w:p w14:paraId="612EFED5">
      <w:pPr>
        <w:spacing w:after="120"/>
        <w:ind w:firstLine="600"/>
        <w:jc w:val="left"/>
        <w:rPr>
          <w:rFonts w:ascii="仿宋" w:hAnsi="仿宋" w:eastAsia="仿宋" w:cs="仿宋"/>
          <w:sz w:val="30"/>
          <w:szCs w:val="30"/>
        </w:rPr>
      </w:pPr>
      <w:r>
        <w:rPr>
          <w:rFonts w:hint="eastAsia" w:ascii="仿宋" w:hAnsi="仿宋" w:eastAsia="仿宋" w:cs="仿宋"/>
          <w:sz w:val="30"/>
          <w:szCs w:val="30"/>
        </w:rPr>
        <w:t>（2）设计人应在实施本合同工程施工图设计、设计现场服务各阶段向发包人提供技术咨询与管理咨询，配合解决施工过程中有关工程设计问题，并协助发包人的工程实施、设备与材料的采购招标工作、隐蔽工程的验收、设备与材料的看样定板、技术验收及工程验收等活动。</w:t>
      </w:r>
    </w:p>
    <w:p w14:paraId="22E9D60B">
      <w:pPr>
        <w:spacing w:after="120"/>
        <w:ind w:firstLine="600"/>
        <w:jc w:val="left"/>
        <w:rPr>
          <w:rFonts w:ascii="仿宋" w:hAnsi="仿宋" w:eastAsia="仿宋" w:cs="仿宋"/>
          <w:sz w:val="30"/>
          <w:szCs w:val="30"/>
        </w:rPr>
      </w:pPr>
      <w:r>
        <w:rPr>
          <w:rFonts w:hint="eastAsia" w:ascii="仿宋" w:hAnsi="仿宋" w:eastAsia="仿宋" w:cs="仿宋"/>
          <w:sz w:val="30"/>
          <w:szCs w:val="30"/>
        </w:rPr>
        <w:t>（3）对于在设计人提交的设计成果文件的基础上由发包人另行发包的设计单位进行的施工图设计等工作，设计人除须对于其提交给发包人的设计成果文件的完整性、有效性进行预审把关外，还须积极配合相关的设计工作，提供相关的设计成果文件（包括但不限于报告、数据、图表、设计图纸、设计说明、相关的计算原理和方法等），不得以专利和知识产权为借口拒绝配合。</w:t>
      </w:r>
    </w:p>
    <w:p w14:paraId="729EC229">
      <w:pPr>
        <w:spacing w:after="120"/>
        <w:ind w:firstLine="600"/>
        <w:jc w:val="left"/>
        <w:rPr>
          <w:rFonts w:ascii="仿宋" w:hAnsi="仿宋" w:eastAsia="仿宋" w:cs="仿宋"/>
          <w:sz w:val="30"/>
          <w:szCs w:val="30"/>
        </w:rPr>
      </w:pPr>
      <w:r>
        <w:rPr>
          <w:rFonts w:hint="eastAsia" w:ascii="仿宋" w:hAnsi="仿宋" w:eastAsia="仿宋" w:cs="仿宋"/>
          <w:sz w:val="30"/>
          <w:szCs w:val="30"/>
        </w:rPr>
        <w:t>（4）设计人应积极主动进行与项目有关的内、外协调工作，积极配合与国土规划、建设、市政、交通、水利、电力等部门和单位的协调，并负责向有关部门办理设计文件报建和审批工作，保证设计文件通过主管部门的审查。</w:t>
      </w:r>
    </w:p>
    <w:p w14:paraId="3EC6D850">
      <w:pPr>
        <w:spacing w:after="120"/>
        <w:ind w:firstLine="600"/>
        <w:jc w:val="left"/>
        <w:rPr>
          <w:rFonts w:ascii="仿宋" w:hAnsi="仿宋" w:eastAsia="仿宋" w:cs="仿宋"/>
          <w:sz w:val="30"/>
          <w:szCs w:val="30"/>
        </w:rPr>
      </w:pPr>
      <w:r>
        <w:rPr>
          <w:rFonts w:hint="eastAsia" w:ascii="仿宋" w:hAnsi="仿宋" w:eastAsia="仿宋" w:cs="仿宋"/>
          <w:sz w:val="30"/>
          <w:szCs w:val="30"/>
        </w:rPr>
        <w:t>（5）设计人应编制设计总进度计划，年度（季度）计划，并负责审核专业设计单位的实施性计划、月度（旬度）计划，定期对专业设计单位进行月度（旬度）计划检查，并将相关的计划及其执行情况报发包人。</w:t>
      </w:r>
    </w:p>
    <w:p w14:paraId="085C5C85">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3.4设计服务</w:t>
      </w:r>
    </w:p>
    <w:p w14:paraId="0EBEBEAC">
      <w:pPr>
        <w:spacing w:after="120"/>
        <w:ind w:firstLine="600"/>
        <w:rPr>
          <w:rFonts w:ascii="仿宋" w:hAnsi="仿宋" w:eastAsia="仿宋" w:cs="仿宋"/>
          <w:sz w:val="30"/>
          <w:szCs w:val="30"/>
        </w:rPr>
      </w:pPr>
      <w:r>
        <w:rPr>
          <w:rFonts w:hint="eastAsia" w:ascii="仿宋" w:hAnsi="仿宋" w:eastAsia="仿宋" w:cs="仿宋"/>
          <w:sz w:val="30"/>
          <w:szCs w:val="30"/>
        </w:rPr>
        <w:t>设计人的服务应符合国际通用的ISO—9001质量管理体系对于工程设计所规定的标准及质量要求。设计人应及时地提供服务，满足发包人在时间上的要求。</w:t>
      </w:r>
    </w:p>
    <w:p w14:paraId="4F52495C">
      <w:pPr>
        <w:spacing w:after="120"/>
        <w:ind w:firstLine="600"/>
        <w:rPr>
          <w:rFonts w:ascii="仿宋" w:hAnsi="仿宋" w:eastAsia="仿宋" w:cs="仿宋"/>
          <w:sz w:val="30"/>
          <w:szCs w:val="30"/>
        </w:rPr>
      </w:pPr>
      <w:r>
        <w:rPr>
          <w:rFonts w:hint="eastAsia" w:ascii="仿宋" w:hAnsi="仿宋" w:eastAsia="仿宋" w:cs="仿宋"/>
          <w:sz w:val="30"/>
          <w:szCs w:val="30"/>
        </w:rPr>
        <w:t>驻场设计:设计阶段根据工程建设的需要及发包人的要求，相关专业人</w:t>
      </w:r>
      <w:bookmarkStart w:id="1007" w:name="_Toc36146464"/>
      <w:bookmarkStart w:id="1008" w:name="_Toc28042671"/>
      <w:bookmarkStart w:id="1009" w:name="_Toc25588958"/>
      <w:r>
        <w:rPr>
          <w:rFonts w:hint="eastAsia" w:ascii="仿宋" w:hAnsi="仿宋" w:eastAsia="仿宋" w:cs="仿宋"/>
          <w:sz w:val="30"/>
          <w:szCs w:val="30"/>
        </w:rPr>
        <w:t>员应驻发包人指</w:t>
      </w:r>
      <w:bookmarkEnd w:id="1007"/>
      <w:bookmarkEnd w:id="1008"/>
      <w:bookmarkEnd w:id="1009"/>
      <w:r>
        <w:rPr>
          <w:rFonts w:hint="eastAsia" w:ascii="仿宋" w:hAnsi="仿宋" w:eastAsia="仿宋" w:cs="仿宋"/>
          <w:sz w:val="30"/>
          <w:szCs w:val="30"/>
        </w:rPr>
        <w:t>定场所开展设计，相关费用包含在设计费中。</w:t>
      </w:r>
    </w:p>
    <w:p w14:paraId="5451F019">
      <w:pPr>
        <w:spacing w:after="120"/>
        <w:ind w:firstLine="600"/>
        <w:rPr>
          <w:rFonts w:ascii="仿宋" w:hAnsi="仿宋" w:eastAsia="仿宋" w:cs="仿宋"/>
          <w:sz w:val="30"/>
          <w:szCs w:val="30"/>
        </w:rPr>
      </w:pPr>
      <w:r>
        <w:rPr>
          <w:rFonts w:hint="eastAsia" w:ascii="仿宋" w:hAnsi="仿宋" w:eastAsia="仿宋" w:cs="仿宋"/>
          <w:sz w:val="30"/>
          <w:szCs w:val="30"/>
        </w:rPr>
        <w:t>（1）为便于发包人与设计人及时沟通及协调，以保证设计人的设计成果文件能更好地体现发包人的建设意图，设计人应根据发包人的要求，在指定的地点投入本合同约定的专业人员、设备及设施，实施本合同工程的设计工作。</w:t>
      </w:r>
    </w:p>
    <w:p w14:paraId="5E17EEF9">
      <w:pPr>
        <w:spacing w:after="120"/>
        <w:ind w:firstLine="600"/>
        <w:rPr>
          <w:rFonts w:ascii="仿宋" w:hAnsi="仿宋" w:eastAsia="仿宋" w:cs="仿宋"/>
          <w:sz w:val="30"/>
          <w:szCs w:val="30"/>
        </w:rPr>
      </w:pPr>
      <w:r>
        <w:rPr>
          <w:rFonts w:hint="eastAsia" w:ascii="仿宋" w:hAnsi="仿宋" w:eastAsia="仿宋" w:cs="仿宋"/>
          <w:sz w:val="30"/>
          <w:szCs w:val="30"/>
        </w:rPr>
        <w:t>（2）设计人驻场设计人员应满足招标文件及合同条款的相关要求，并全部统一纳入发包人的统一管理。</w:t>
      </w:r>
    </w:p>
    <w:p w14:paraId="214CDDB2">
      <w:pPr>
        <w:spacing w:after="120"/>
        <w:ind w:firstLine="600"/>
        <w:rPr>
          <w:rFonts w:ascii="仿宋" w:hAnsi="仿宋" w:eastAsia="仿宋" w:cs="仿宋"/>
          <w:sz w:val="30"/>
          <w:szCs w:val="30"/>
        </w:rPr>
      </w:pPr>
      <w:r>
        <w:rPr>
          <w:rFonts w:hint="eastAsia" w:ascii="仿宋" w:hAnsi="仿宋" w:eastAsia="仿宋" w:cs="仿宋"/>
          <w:sz w:val="30"/>
          <w:szCs w:val="30"/>
        </w:rPr>
        <w:t>（3）设计人驻场设计人员的名单须在进场前提交发包人审核，设计人驻场设计组的人员数量、专业水平、专业配套以及设备设施须满足设计质量与进度的需要。发包人有权根据实际情况在设计实施的过程中对设计人的驻场人员进行适当调整。</w:t>
      </w:r>
    </w:p>
    <w:p w14:paraId="335495CA">
      <w:pPr>
        <w:spacing w:after="120"/>
        <w:ind w:firstLine="600"/>
        <w:rPr>
          <w:rFonts w:ascii="仿宋" w:hAnsi="仿宋" w:eastAsia="仿宋" w:cs="仿宋"/>
          <w:sz w:val="30"/>
          <w:szCs w:val="30"/>
        </w:rPr>
      </w:pPr>
      <w:r>
        <w:rPr>
          <w:rFonts w:hint="eastAsia" w:ascii="仿宋" w:hAnsi="仿宋" w:eastAsia="仿宋" w:cs="仿宋"/>
          <w:sz w:val="30"/>
          <w:szCs w:val="30"/>
        </w:rPr>
        <w:t>（4）设计人应保证驻场人员的稳定性，原则在驻场期间上不得更换，确须更换的应向发包人提出书面报告且征得同意后方可更换。</w:t>
      </w:r>
    </w:p>
    <w:p w14:paraId="35F8A5EF">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3.5报审报建配合服务</w:t>
      </w:r>
    </w:p>
    <w:p w14:paraId="13A81D83">
      <w:pPr>
        <w:spacing w:after="120"/>
        <w:ind w:firstLine="600"/>
        <w:rPr>
          <w:rFonts w:ascii="仿宋" w:hAnsi="仿宋" w:eastAsia="仿宋" w:cs="仿宋"/>
          <w:sz w:val="30"/>
          <w:szCs w:val="30"/>
        </w:rPr>
      </w:pPr>
      <w:r>
        <w:rPr>
          <w:rFonts w:hint="eastAsia" w:ascii="仿宋" w:hAnsi="仿宋" w:eastAsia="仿宋" w:cs="仿宋"/>
          <w:sz w:val="30"/>
          <w:szCs w:val="30"/>
        </w:rPr>
        <w:t>（1） 设计人应在设计过程各阶段按照本项目报审报建的要求，提交所有必需的文件、图纸及其相应的电子文件（刻制成光盘），并配合报审报建过程中必要的技术协调、送审技术性文件等工作，直至完成所有审批手续。</w:t>
      </w:r>
    </w:p>
    <w:p w14:paraId="0C110F52">
      <w:pPr>
        <w:spacing w:after="120"/>
        <w:ind w:firstLine="600"/>
        <w:rPr>
          <w:rFonts w:ascii="仿宋" w:hAnsi="仿宋" w:eastAsia="仿宋" w:cs="仿宋"/>
          <w:sz w:val="30"/>
          <w:szCs w:val="30"/>
        </w:rPr>
      </w:pPr>
      <w:bookmarkStart w:id="1010" w:name="_Toc36146465"/>
      <w:bookmarkStart w:id="1011" w:name="_Toc25588959"/>
      <w:bookmarkStart w:id="1012" w:name="_Toc28042672"/>
      <w:r>
        <w:rPr>
          <w:rFonts w:hint="eastAsia" w:ascii="仿宋" w:hAnsi="仿宋" w:eastAsia="仿宋" w:cs="仿宋"/>
          <w:sz w:val="30"/>
          <w:szCs w:val="30"/>
        </w:rPr>
        <w:t>（2）对设计人提交报审</w:t>
      </w:r>
      <w:bookmarkEnd w:id="1010"/>
      <w:bookmarkEnd w:id="1011"/>
      <w:bookmarkEnd w:id="1012"/>
      <w:r>
        <w:rPr>
          <w:rFonts w:hint="eastAsia" w:ascii="仿宋" w:hAnsi="仿宋" w:eastAsia="仿宋" w:cs="仿宋"/>
          <w:sz w:val="30"/>
          <w:szCs w:val="30"/>
        </w:rPr>
        <w:t>报建资料的要求：提交的文件、图纸及其相应的电子文件按照相关报审报建职能部门或主管部门的提交要求和份数要求。</w:t>
      </w:r>
    </w:p>
    <w:p w14:paraId="4FB2377B">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3.6施工阶段的现场服务</w:t>
      </w:r>
    </w:p>
    <w:p w14:paraId="79D7DE87">
      <w:pPr>
        <w:spacing w:after="120"/>
        <w:ind w:firstLine="600"/>
        <w:rPr>
          <w:rFonts w:ascii="仿宋" w:hAnsi="仿宋" w:eastAsia="仿宋" w:cs="仿宋"/>
          <w:sz w:val="30"/>
          <w:szCs w:val="30"/>
        </w:rPr>
      </w:pPr>
      <w:r>
        <w:rPr>
          <w:rFonts w:hint="eastAsia" w:ascii="仿宋" w:hAnsi="仿宋" w:eastAsia="仿宋" w:cs="仿宋"/>
          <w:sz w:val="30"/>
          <w:szCs w:val="30"/>
        </w:rPr>
        <w:t>设计人承诺将根据本合同工程建设进展情况和发包人的要求提供现场服务，及时派出各专业工程师解决工程中涉及到的设计问题。主要工作包括但不限于：</w:t>
      </w:r>
    </w:p>
    <w:p w14:paraId="778BA1A0">
      <w:pPr>
        <w:spacing w:after="120"/>
        <w:ind w:firstLine="600"/>
        <w:rPr>
          <w:rFonts w:ascii="仿宋" w:hAnsi="仿宋" w:eastAsia="仿宋" w:cs="仿宋"/>
          <w:sz w:val="30"/>
          <w:szCs w:val="30"/>
        </w:rPr>
      </w:pPr>
      <w:r>
        <w:rPr>
          <w:rFonts w:hint="eastAsia" w:ascii="仿宋" w:hAnsi="仿宋" w:eastAsia="仿宋" w:cs="仿宋"/>
          <w:sz w:val="30"/>
          <w:szCs w:val="30"/>
        </w:rPr>
        <w:t>（1）参与设计技术协调会，做好设计交底工作。</w:t>
      </w:r>
    </w:p>
    <w:p w14:paraId="34CCB8F5">
      <w:pPr>
        <w:spacing w:after="120"/>
        <w:ind w:firstLine="600"/>
        <w:rPr>
          <w:rFonts w:ascii="仿宋" w:hAnsi="仿宋" w:eastAsia="仿宋" w:cs="仿宋"/>
          <w:sz w:val="30"/>
          <w:szCs w:val="30"/>
        </w:rPr>
      </w:pPr>
      <w:r>
        <w:rPr>
          <w:rFonts w:hint="eastAsia" w:ascii="仿宋" w:hAnsi="仿宋" w:eastAsia="仿宋" w:cs="仿宋"/>
          <w:sz w:val="30"/>
          <w:szCs w:val="30"/>
        </w:rPr>
        <w:t>（2）各施工</w:t>
      </w:r>
      <w:bookmarkStart w:id="1013" w:name="_Toc36146466"/>
      <w:bookmarkStart w:id="1014" w:name="_Toc25588960"/>
      <w:bookmarkStart w:id="1015" w:name="_Toc28042673"/>
      <w:r>
        <w:rPr>
          <w:rFonts w:hint="eastAsia" w:ascii="仿宋" w:hAnsi="仿宋" w:eastAsia="仿宋" w:cs="仿宋"/>
          <w:sz w:val="30"/>
          <w:szCs w:val="30"/>
        </w:rPr>
        <w:t>阶段开始前，按设计人的设</w:t>
      </w:r>
      <w:bookmarkEnd w:id="1013"/>
      <w:bookmarkEnd w:id="1014"/>
      <w:bookmarkEnd w:id="1015"/>
      <w:r>
        <w:rPr>
          <w:rFonts w:hint="eastAsia" w:ascii="仿宋" w:hAnsi="仿宋" w:eastAsia="仿宋" w:cs="仿宋"/>
          <w:sz w:val="30"/>
          <w:szCs w:val="30"/>
        </w:rPr>
        <w:t>计分工，参与图纸会审，解答有关设计问题，并按规定及时出具相应的修改图纸、补充图纸及技术文件。</w:t>
      </w:r>
    </w:p>
    <w:p w14:paraId="636AC67E">
      <w:pPr>
        <w:spacing w:after="120"/>
        <w:ind w:firstLine="600"/>
        <w:rPr>
          <w:rFonts w:ascii="仿宋" w:hAnsi="仿宋" w:eastAsia="仿宋" w:cs="仿宋"/>
          <w:sz w:val="30"/>
          <w:szCs w:val="30"/>
        </w:rPr>
      </w:pPr>
      <w:r>
        <w:rPr>
          <w:rFonts w:hint="eastAsia" w:ascii="仿宋" w:hAnsi="仿宋" w:eastAsia="仿宋" w:cs="仿宋"/>
          <w:sz w:val="30"/>
          <w:szCs w:val="30"/>
        </w:rPr>
        <w:t>（3）设计人派出的本合同工程工地的设计人员，应做好本合同工程全部项目的设计管理服务工作，配合发包人进行现场巡查，直至工程竣工验收合格时止。当建设过程中对设计文件有疑问时，设计人在接到通知后，应及时派出专业工程师解决。属于一般设计问题，若无特殊情况，应在1天内解决；属于重大设计问题，可在5天内书面提出解决意见；对设计图纸与现场不符之处，应及时提出解决办法。</w:t>
      </w:r>
    </w:p>
    <w:p w14:paraId="46E73052">
      <w:pPr>
        <w:spacing w:after="120"/>
        <w:ind w:firstLine="600"/>
        <w:rPr>
          <w:rFonts w:ascii="仿宋" w:hAnsi="仿宋" w:eastAsia="仿宋" w:cs="仿宋"/>
          <w:sz w:val="30"/>
          <w:szCs w:val="30"/>
        </w:rPr>
      </w:pPr>
      <w:r>
        <w:rPr>
          <w:rFonts w:hint="eastAsia" w:ascii="仿宋" w:hAnsi="仿宋" w:eastAsia="仿宋" w:cs="仿宋"/>
          <w:sz w:val="30"/>
          <w:szCs w:val="30"/>
        </w:rPr>
        <w:t>（5）设计人应指导施工单位按照设计文件施工；参加工程地基基础、主体结构（含主要隐蔽工程）和竣工质量验收；及时派出能独立解决现场问题的技术人员进行现场服务，处理现场问题；参加工程质量事故调查并提出技术处理方案。</w:t>
      </w:r>
    </w:p>
    <w:p w14:paraId="59942F45">
      <w:pPr>
        <w:spacing w:after="120"/>
        <w:ind w:firstLine="600"/>
        <w:rPr>
          <w:rFonts w:ascii="仿宋" w:hAnsi="仿宋" w:eastAsia="仿宋" w:cs="仿宋"/>
          <w:sz w:val="30"/>
          <w:szCs w:val="30"/>
        </w:rPr>
      </w:pPr>
      <w:r>
        <w:rPr>
          <w:rFonts w:hint="eastAsia" w:ascii="仿宋" w:hAnsi="仿宋" w:eastAsia="仿宋" w:cs="仿宋"/>
          <w:sz w:val="30"/>
          <w:szCs w:val="30"/>
        </w:rPr>
        <w:t>（6）设计人应在设备、材料采购订货前对有关性能、参数、规格及主要设备数量进行确认；按发包人要求对己订购的主要设备、材料的进行到货验收。</w:t>
      </w:r>
    </w:p>
    <w:p w14:paraId="2EE0B94B">
      <w:pPr>
        <w:spacing w:after="120"/>
        <w:ind w:firstLine="600"/>
        <w:rPr>
          <w:rFonts w:ascii="仿宋" w:hAnsi="仿宋" w:eastAsia="仿宋" w:cs="仿宋"/>
          <w:sz w:val="30"/>
          <w:szCs w:val="30"/>
        </w:rPr>
      </w:pPr>
      <w:r>
        <w:rPr>
          <w:rFonts w:hint="eastAsia" w:ascii="仿宋" w:hAnsi="仿宋" w:eastAsia="仿宋" w:cs="仿宋"/>
          <w:sz w:val="30"/>
          <w:szCs w:val="30"/>
        </w:rPr>
        <w:t>（7）设计人应协助制订设备系统的调试计划和参与设备试车调试。</w:t>
      </w:r>
    </w:p>
    <w:p w14:paraId="5D6D33E3">
      <w:pPr>
        <w:spacing w:after="120"/>
        <w:ind w:firstLine="600"/>
        <w:rPr>
          <w:rFonts w:ascii="仿宋" w:hAnsi="仿宋" w:eastAsia="仿宋" w:cs="仿宋"/>
          <w:sz w:val="30"/>
          <w:szCs w:val="30"/>
        </w:rPr>
      </w:pPr>
      <w:r>
        <w:rPr>
          <w:rFonts w:hint="eastAsia" w:ascii="仿宋" w:hAnsi="仿宋" w:eastAsia="仿宋" w:cs="仿宋"/>
          <w:sz w:val="30"/>
          <w:szCs w:val="30"/>
        </w:rPr>
        <w:t>（8）设计人应参与工程的报建与竣工验收，参与编写工程总结。</w:t>
      </w:r>
    </w:p>
    <w:p w14:paraId="59B69638">
      <w:pPr>
        <w:spacing w:after="120"/>
        <w:ind w:firstLine="600"/>
        <w:rPr>
          <w:rFonts w:ascii="仿宋" w:hAnsi="仿宋" w:eastAsia="仿宋" w:cs="仿宋"/>
          <w:sz w:val="30"/>
          <w:szCs w:val="30"/>
        </w:rPr>
      </w:pPr>
      <w:r>
        <w:rPr>
          <w:rFonts w:hint="eastAsia" w:ascii="仿宋" w:hAnsi="仿宋" w:eastAsia="仿宋" w:cs="仿宋"/>
          <w:sz w:val="30"/>
          <w:szCs w:val="30"/>
        </w:rPr>
        <w:t>（9）设计人项目总负责人应参加发包人召开的协调会、调度会。</w:t>
      </w:r>
    </w:p>
    <w:p w14:paraId="4157A6C4">
      <w:pPr>
        <w:spacing w:after="120"/>
        <w:ind w:firstLine="600"/>
        <w:rPr>
          <w:rFonts w:ascii="仿宋" w:hAnsi="仿宋" w:eastAsia="仿宋" w:cs="仿宋"/>
          <w:sz w:val="30"/>
          <w:szCs w:val="30"/>
        </w:rPr>
      </w:pPr>
      <w:r>
        <w:rPr>
          <w:rFonts w:hint="eastAsia" w:ascii="仿宋" w:hAnsi="仿宋" w:eastAsia="仿宋" w:cs="仿宋"/>
          <w:sz w:val="30"/>
          <w:szCs w:val="30"/>
        </w:rPr>
        <w:t>根据工程进展情况和需要，对一些特殊工程，设计人应向发包人提供施工组织设计的书面建议，配合编写工程施工技术标准（施工作业指导书），对设计各部分所应满足的规范、标准进行总说明，对各条文进行摘录汇编；对超规范（标准）之处，应初拟技术标准，供专家论证后执行。</w:t>
      </w:r>
    </w:p>
    <w:p w14:paraId="0BCC893F">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3.7工程结算配合服务 </w:t>
      </w:r>
    </w:p>
    <w:p w14:paraId="42A6FAA6">
      <w:pPr>
        <w:spacing w:after="120"/>
        <w:ind w:firstLine="600"/>
        <w:rPr>
          <w:rFonts w:ascii="仿宋" w:hAnsi="仿宋" w:eastAsia="仿宋" w:cs="仿宋"/>
          <w:sz w:val="30"/>
          <w:szCs w:val="30"/>
        </w:rPr>
      </w:pPr>
      <w:r>
        <w:rPr>
          <w:rFonts w:hint="eastAsia" w:ascii="仿宋" w:hAnsi="仿宋" w:eastAsia="仿宋" w:cs="仿宋"/>
          <w:sz w:val="30"/>
          <w:szCs w:val="30"/>
        </w:rPr>
        <w:t>（1）设计人应根据发包人指令提交本合同工程的结算配合服务工作计划，根据经批准的工作计划积极参与并配合发包人或发包人委托的第三方组织的本合同工程设计人设计范围内的工程结算工作，及时提交设计变更确认资</w:t>
      </w:r>
      <w:bookmarkStart w:id="1016" w:name="_Toc28042674"/>
      <w:bookmarkStart w:id="1017" w:name="_Toc25588961"/>
      <w:bookmarkStart w:id="1018" w:name="_Toc36146467"/>
      <w:r>
        <w:rPr>
          <w:rFonts w:hint="eastAsia" w:ascii="仿宋" w:hAnsi="仿宋" w:eastAsia="仿宋" w:cs="仿宋"/>
          <w:sz w:val="30"/>
          <w:szCs w:val="30"/>
        </w:rPr>
        <w:t>料并确保其有效性、准确</w:t>
      </w:r>
      <w:bookmarkEnd w:id="1016"/>
      <w:bookmarkEnd w:id="1017"/>
      <w:bookmarkEnd w:id="1018"/>
      <w:r>
        <w:rPr>
          <w:rFonts w:hint="eastAsia" w:ascii="仿宋" w:hAnsi="仿宋" w:eastAsia="仿宋" w:cs="仿宋"/>
          <w:sz w:val="30"/>
          <w:szCs w:val="30"/>
        </w:rPr>
        <w:t>性和及时性，以保证工程结算工作的顺利推进。</w:t>
      </w:r>
    </w:p>
    <w:p w14:paraId="2A20D89B">
      <w:pPr>
        <w:spacing w:after="120"/>
        <w:ind w:firstLine="600"/>
        <w:rPr>
          <w:rFonts w:ascii="仿宋" w:hAnsi="仿宋" w:eastAsia="仿宋" w:cs="仿宋"/>
          <w:sz w:val="30"/>
          <w:szCs w:val="30"/>
        </w:rPr>
      </w:pPr>
      <w:r>
        <w:rPr>
          <w:rFonts w:hint="eastAsia" w:ascii="仿宋" w:hAnsi="仿宋" w:eastAsia="仿宋" w:cs="仿宋"/>
          <w:sz w:val="30"/>
          <w:szCs w:val="30"/>
        </w:rPr>
        <w:t>（2）设计人应根据发包人的要求提供结算工作所涉及的设计变更的相关设计文件（如设计变更预估算书等）。</w:t>
      </w:r>
    </w:p>
    <w:p w14:paraId="28C53E97">
      <w:pPr>
        <w:spacing w:after="120"/>
        <w:ind w:firstLine="600"/>
        <w:rPr>
          <w:rFonts w:ascii="仿宋" w:hAnsi="仿宋" w:eastAsia="仿宋" w:cs="仿宋"/>
          <w:sz w:val="30"/>
          <w:szCs w:val="30"/>
        </w:rPr>
      </w:pPr>
      <w:r>
        <w:rPr>
          <w:rFonts w:hint="eastAsia" w:ascii="仿宋" w:hAnsi="仿宋" w:eastAsia="仿宋" w:cs="仿宋"/>
          <w:sz w:val="30"/>
          <w:szCs w:val="30"/>
        </w:rPr>
        <w:t>（3）设计人负责设计范围内的竣工图的编制工作。</w:t>
      </w:r>
    </w:p>
    <w:p w14:paraId="67DBFE79">
      <w:pPr>
        <w:spacing w:after="120"/>
        <w:ind w:firstLine="600"/>
        <w:rPr>
          <w:rFonts w:ascii="仿宋" w:hAnsi="仿宋" w:eastAsia="仿宋" w:cs="仿宋"/>
          <w:sz w:val="30"/>
          <w:szCs w:val="30"/>
        </w:rPr>
      </w:pPr>
      <w:r>
        <w:rPr>
          <w:rFonts w:hint="eastAsia" w:ascii="仿宋" w:hAnsi="仿宋" w:eastAsia="仿宋" w:cs="仿宋"/>
          <w:sz w:val="30"/>
          <w:szCs w:val="30"/>
        </w:rPr>
        <w:t>（4）设计人应根据发包人要求在工程结算过程中提供相关的技术支持。</w:t>
      </w:r>
    </w:p>
    <w:p w14:paraId="60F5EE3D">
      <w:pPr>
        <w:spacing w:after="120"/>
        <w:ind w:firstLine="600"/>
        <w:rPr>
          <w:rFonts w:ascii="仿宋" w:hAnsi="仿宋" w:eastAsia="仿宋" w:cs="仿宋"/>
          <w:sz w:val="30"/>
          <w:szCs w:val="30"/>
        </w:rPr>
      </w:pPr>
      <w:r>
        <w:rPr>
          <w:rFonts w:hint="eastAsia" w:ascii="仿宋" w:hAnsi="仿宋" w:eastAsia="仿宋" w:cs="仿宋"/>
          <w:sz w:val="30"/>
          <w:szCs w:val="30"/>
        </w:rPr>
        <w:t>（5）本合同设计范围内存在发包人另行发包的专项工程设计服务内容的，设计人负责整理汇总其合同设计范围内所有设计单位的结算工作。</w:t>
      </w:r>
    </w:p>
    <w:p w14:paraId="6DEE5691">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3.8保修阶段的服务  </w:t>
      </w:r>
    </w:p>
    <w:p w14:paraId="18DB02DE">
      <w:pPr>
        <w:spacing w:after="120"/>
        <w:ind w:firstLine="600"/>
        <w:rPr>
          <w:rFonts w:ascii="仿宋" w:hAnsi="仿宋" w:eastAsia="仿宋" w:cs="仿宋"/>
          <w:bCs/>
          <w:sz w:val="30"/>
          <w:szCs w:val="30"/>
        </w:rPr>
      </w:pPr>
      <w:r>
        <w:rPr>
          <w:rFonts w:hint="eastAsia" w:ascii="仿宋" w:hAnsi="仿宋" w:eastAsia="仿宋" w:cs="仿宋"/>
          <w:bCs/>
          <w:sz w:val="30"/>
          <w:szCs w:val="30"/>
        </w:rPr>
        <w:t>设计人应根据发包人或本合同工程使用单位的要求积极配合并参与工程的保修工作，提供相应的技术支持，对期间发生的工程问题提交书面的技术建议及相关的工程设计资料。</w:t>
      </w:r>
    </w:p>
    <w:p w14:paraId="7CC1F987">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3.9专家咨询服务（含专家评审服务） </w:t>
      </w:r>
    </w:p>
    <w:p w14:paraId="645BF57B">
      <w:pPr>
        <w:spacing w:after="120"/>
        <w:ind w:firstLine="600"/>
        <w:rPr>
          <w:rFonts w:ascii="仿宋" w:hAnsi="仿宋" w:eastAsia="仿宋" w:cs="仿宋"/>
          <w:bCs/>
          <w:sz w:val="30"/>
          <w:szCs w:val="30"/>
        </w:rPr>
      </w:pPr>
      <w:bookmarkStart w:id="1019" w:name="_Toc28042675"/>
      <w:bookmarkStart w:id="1020" w:name="_Toc36146468"/>
      <w:bookmarkStart w:id="1021" w:name="_Toc25588962"/>
      <w:r>
        <w:rPr>
          <w:rFonts w:hint="eastAsia" w:ascii="仿宋" w:hAnsi="仿宋" w:eastAsia="仿宋" w:cs="仿宋"/>
          <w:bCs/>
          <w:sz w:val="30"/>
          <w:szCs w:val="30"/>
        </w:rPr>
        <w:t>在各项设计中涉及有关</w:t>
      </w:r>
      <w:bookmarkEnd w:id="1019"/>
      <w:bookmarkEnd w:id="1020"/>
      <w:bookmarkEnd w:id="1021"/>
      <w:r>
        <w:rPr>
          <w:rFonts w:hint="eastAsia" w:ascii="仿宋" w:hAnsi="仿宋" w:eastAsia="仿宋" w:cs="仿宋"/>
          <w:bCs/>
          <w:sz w:val="30"/>
          <w:szCs w:val="30"/>
        </w:rPr>
        <w:t>专业专家评审等有关费用已经含于工程设计费中，由设计人支付，发包人不再另行增加相关费用。</w:t>
      </w:r>
    </w:p>
    <w:p w14:paraId="39C9E0DC">
      <w:pPr>
        <w:pStyle w:val="4"/>
        <w:spacing w:before="120" w:beforeLines="50" w:after="120"/>
        <w:ind w:firstLine="602"/>
        <w:rPr>
          <w:rFonts w:ascii="仿宋" w:hAnsi="仿宋" w:eastAsia="仿宋" w:cs="仿宋"/>
          <w:sz w:val="30"/>
          <w:szCs w:val="30"/>
        </w:rPr>
      </w:pPr>
      <w:bookmarkStart w:id="1022" w:name="_Toc11872"/>
      <w:bookmarkStart w:id="1023" w:name="_Toc18299"/>
      <w:bookmarkStart w:id="1024" w:name="_Toc22178"/>
      <w:r>
        <w:rPr>
          <w:rFonts w:hint="eastAsia" w:ascii="仿宋" w:hAnsi="仿宋" w:eastAsia="仿宋" w:cs="仿宋"/>
          <w:sz w:val="30"/>
          <w:szCs w:val="30"/>
        </w:rPr>
        <w:t>4.设计人员</w:t>
      </w:r>
      <w:bookmarkEnd w:id="1022"/>
      <w:bookmarkEnd w:id="1023"/>
      <w:bookmarkEnd w:id="1024"/>
    </w:p>
    <w:p w14:paraId="4DB7A7CE">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4.1设计人员名单及要求</w:t>
      </w:r>
    </w:p>
    <w:p w14:paraId="325A5F33">
      <w:pPr>
        <w:spacing w:after="120"/>
        <w:ind w:firstLine="600"/>
        <w:rPr>
          <w:rFonts w:ascii="仿宋" w:hAnsi="仿宋" w:eastAsia="仿宋" w:cs="仿宋"/>
          <w:sz w:val="30"/>
          <w:szCs w:val="30"/>
        </w:rPr>
      </w:pPr>
      <w:r>
        <w:rPr>
          <w:rFonts w:hint="eastAsia" w:ascii="仿宋" w:hAnsi="仿宋" w:eastAsia="仿宋" w:cs="仿宋"/>
          <w:sz w:val="30"/>
          <w:szCs w:val="30"/>
        </w:rPr>
        <w:t>4.1.1为确保本合同工程的设</w:t>
      </w:r>
      <w:bookmarkStart w:id="1025" w:name="_Toc36146469"/>
      <w:bookmarkStart w:id="1026" w:name="_Toc25588963"/>
      <w:bookmarkStart w:id="1027" w:name="_Toc28042676"/>
      <w:r>
        <w:rPr>
          <w:rFonts w:hint="eastAsia" w:ascii="仿宋" w:hAnsi="仿宋" w:eastAsia="仿宋" w:cs="仿宋"/>
          <w:sz w:val="30"/>
          <w:szCs w:val="30"/>
        </w:rPr>
        <w:t>计质量，在明确分工各负其责的基础上，</w:t>
      </w:r>
      <w:bookmarkEnd w:id="1025"/>
      <w:bookmarkEnd w:id="1026"/>
      <w:bookmarkEnd w:id="1027"/>
      <w:r>
        <w:rPr>
          <w:rFonts w:hint="eastAsia" w:ascii="仿宋" w:hAnsi="仿宋" w:eastAsia="仿宋" w:cs="仿宋"/>
          <w:sz w:val="30"/>
          <w:szCs w:val="30"/>
        </w:rPr>
        <w:t>设计人（包括设计人分包单位）在本合同履行期内为本合同工程派出的设计负责人、设计驻场总负责人、各专业设计负责人、各</w:t>
      </w:r>
      <w:bookmarkStart w:id="1028" w:name="_Toc36146470"/>
      <w:bookmarkStart w:id="1029" w:name="_Toc28042677"/>
      <w:bookmarkStart w:id="1030" w:name="_Toc25588964"/>
      <w:r>
        <w:rPr>
          <w:rFonts w:hint="eastAsia" w:ascii="仿宋" w:hAnsi="仿宋" w:eastAsia="仿宋" w:cs="仿宋"/>
          <w:sz w:val="30"/>
          <w:szCs w:val="30"/>
        </w:rPr>
        <w:t>专业设计驻场</w:t>
      </w:r>
      <w:bookmarkEnd w:id="1028"/>
      <w:bookmarkEnd w:id="1029"/>
      <w:bookmarkEnd w:id="1030"/>
      <w:r>
        <w:rPr>
          <w:rFonts w:hint="eastAsia" w:ascii="仿宋" w:hAnsi="仿宋" w:eastAsia="仿宋" w:cs="仿宋"/>
          <w:sz w:val="30"/>
          <w:szCs w:val="30"/>
        </w:rPr>
        <w:t>代表的</w:t>
      </w:r>
      <w:bookmarkStart w:id="1031" w:name="_Toc36146471"/>
      <w:bookmarkStart w:id="1032" w:name="_Toc28042678"/>
      <w:r>
        <w:rPr>
          <w:rFonts w:hint="eastAsia" w:ascii="仿宋" w:hAnsi="仿宋" w:eastAsia="仿宋" w:cs="仿宋"/>
          <w:sz w:val="30"/>
          <w:szCs w:val="30"/>
        </w:rPr>
        <w:t>资历、资格须满足招标文件</w:t>
      </w:r>
      <w:bookmarkEnd w:id="1031"/>
      <w:bookmarkEnd w:id="1032"/>
      <w:r>
        <w:rPr>
          <w:rFonts w:hint="eastAsia" w:ascii="仿宋" w:hAnsi="仿宋" w:eastAsia="仿宋" w:cs="仿宋"/>
          <w:sz w:val="30"/>
          <w:szCs w:val="30"/>
        </w:rPr>
        <w:t>及合同约定,具体详见下表。 在本合同履行期间，非经过发包人同意，不得更换或再参与本合同项目以外的其他工作。</w:t>
      </w:r>
    </w:p>
    <w:p w14:paraId="70C67245">
      <w:pPr>
        <w:spacing w:after="120" w:line="400" w:lineRule="exact"/>
        <w:ind w:firstLine="600"/>
        <w:jc w:val="center"/>
        <w:rPr>
          <w:rFonts w:ascii="仿宋" w:hAnsi="仿宋" w:eastAsia="仿宋" w:cs="仿宋"/>
          <w:sz w:val="30"/>
          <w:szCs w:val="30"/>
        </w:rPr>
      </w:pPr>
      <w:r>
        <w:rPr>
          <w:rFonts w:hint="eastAsia" w:ascii="仿宋" w:hAnsi="仿宋" w:eastAsia="仿宋" w:cs="仿宋"/>
          <w:sz w:val="30"/>
          <w:szCs w:val="30"/>
        </w:rPr>
        <w:t>投入设计人员名单</w:t>
      </w:r>
    </w:p>
    <w:tbl>
      <w:tblPr>
        <w:tblStyle w:val="55"/>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93"/>
        <w:gridCol w:w="2409"/>
        <w:gridCol w:w="1134"/>
        <w:gridCol w:w="1702"/>
        <w:gridCol w:w="2195"/>
      </w:tblGrid>
      <w:tr w14:paraId="408B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675" w:type="dxa"/>
            <w:tcBorders>
              <w:top w:val="single" w:color="auto" w:sz="4" w:space="0"/>
              <w:left w:val="single" w:color="auto" w:sz="4" w:space="0"/>
              <w:bottom w:val="single" w:color="auto" w:sz="4" w:space="0"/>
              <w:right w:val="single" w:color="auto" w:sz="4" w:space="0"/>
            </w:tcBorders>
            <w:vAlign w:val="center"/>
          </w:tcPr>
          <w:p w14:paraId="6F0081A5">
            <w:pPr>
              <w:spacing w:after="120" w:line="400" w:lineRule="exact"/>
              <w:ind w:firstLine="0" w:firstLineChars="0"/>
              <w:jc w:val="center"/>
              <w:rPr>
                <w:rFonts w:ascii="仿宋" w:hAnsi="仿宋" w:eastAsia="仿宋" w:cs="仿宋"/>
                <w:sz w:val="30"/>
                <w:szCs w:val="30"/>
              </w:rPr>
            </w:pPr>
            <w:r>
              <w:rPr>
                <w:rFonts w:hint="eastAsia" w:ascii="仿宋" w:hAnsi="仿宋" w:eastAsia="仿宋" w:cs="仿宋"/>
                <w:sz w:val="30"/>
                <w:szCs w:val="30"/>
              </w:rPr>
              <w:t>序号</w:t>
            </w:r>
          </w:p>
        </w:tc>
        <w:tc>
          <w:tcPr>
            <w:tcW w:w="993" w:type="dxa"/>
            <w:tcBorders>
              <w:top w:val="single" w:color="auto" w:sz="4" w:space="0"/>
              <w:left w:val="single" w:color="auto" w:sz="4" w:space="0"/>
              <w:bottom w:val="single" w:color="auto" w:sz="4" w:space="0"/>
              <w:right w:val="single" w:color="auto" w:sz="4" w:space="0"/>
            </w:tcBorders>
            <w:vAlign w:val="center"/>
          </w:tcPr>
          <w:p w14:paraId="2E43DA4A">
            <w:pPr>
              <w:spacing w:after="120" w:line="400" w:lineRule="exact"/>
              <w:ind w:firstLine="0" w:firstLineChars="0"/>
              <w:jc w:val="center"/>
              <w:rPr>
                <w:rFonts w:ascii="仿宋" w:hAnsi="仿宋" w:eastAsia="仿宋" w:cs="仿宋"/>
                <w:sz w:val="30"/>
                <w:szCs w:val="30"/>
              </w:rPr>
            </w:pPr>
            <w:r>
              <w:rPr>
                <w:rFonts w:hint="eastAsia" w:ascii="仿宋" w:hAnsi="仿宋" w:eastAsia="仿宋" w:cs="仿宋"/>
                <w:sz w:val="30"/>
                <w:szCs w:val="30"/>
              </w:rPr>
              <w:t>姓名</w:t>
            </w:r>
          </w:p>
        </w:tc>
        <w:tc>
          <w:tcPr>
            <w:tcW w:w="2409" w:type="dxa"/>
            <w:tcBorders>
              <w:top w:val="single" w:color="auto" w:sz="4" w:space="0"/>
              <w:left w:val="single" w:color="auto" w:sz="4" w:space="0"/>
              <w:bottom w:val="single" w:color="auto" w:sz="4" w:space="0"/>
              <w:right w:val="single" w:color="auto" w:sz="4" w:space="0"/>
            </w:tcBorders>
            <w:vAlign w:val="center"/>
          </w:tcPr>
          <w:p w14:paraId="055E4746">
            <w:pPr>
              <w:spacing w:after="120" w:line="400" w:lineRule="exact"/>
              <w:ind w:firstLine="0" w:firstLineChars="0"/>
              <w:jc w:val="center"/>
              <w:rPr>
                <w:rFonts w:ascii="仿宋" w:hAnsi="仿宋" w:eastAsia="仿宋" w:cs="仿宋"/>
                <w:sz w:val="30"/>
                <w:szCs w:val="30"/>
              </w:rPr>
            </w:pPr>
            <w:r>
              <w:rPr>
                <w:rFonts w:hint="eastAsia" w:ascii="仿宋" w:hAnsi="仿宋" w:eastAsia="仿宋" w:cs="仿宋"/>
                <w:sz w:val="30"/>
                <w:szCs w:val="30"/>
              </w:rPr>
              <w:t>专业分工</w:t>
            </w:r>
          </w:p>
        </w:tc>
        <w:tc>
          <w:tcPr>
            <w:tcW w:w="1134" w:type="dxa"/>
            <w:tcBorders>
              <w:top w:val="single" w:color="auto" w:sz="4" w:space="0"/>
              <w:left w:val="single" w:color="auto" w:sz="4" w:space="0"/>
              <w:bottom w:val="single" w:color="auto" w:sz="4" w:space="0"/>
              <w:right w:val="single" w:color="auto" w:sz="4" w:space="0"/>
            </w:tcBorders>
            <w:vAlign w:val="center"/>
          </w:tcPr>
          <w:p w14:paraId="250E3454">
            <w:pPr>
              <w:spacing w:after="120" w:line="400" w:lineRule="exact"/>
              <w:ind w:firstLine="0" w:firstLineChars="0"/>
              <w:jc w:val="center"/>
              <w:rPr>
                <w:rFonts w:ascii="仿宋" w:hAnsi="仿宋" w:eastAsia="仿宋" w:cs="仿宋"/>
                <w:sz w:val="30"/>
                <w:szCs w:val="30"/>
              </w:rPr>
            </w:pPr>
            <w:r>
              <w:rPr>
                <w:rFonts w:hint="eastAsia" w:ascii="仿宋" w:hAnsi="仿宋" w:eastAsia="仿宋" w:cs="仿宋"/>
                <w:sz w:val="30"/>
                <w:szCs w:val="30"/>
              </w:rPr>
              <w:t>工龄（年）</w:t>
            </w:r>
          </w:p>
        </w:tc>
        <w:tc>
          <w:tcPr>
            <w:tcW w:w="1702" w:type="dxa"/>
            <w:tcBorders>
              <w:top w:val="single" w:color="auto" w:sz="4" w:space="0"/>
              <w:left w:val="single" w:color="auto" w:sz="4" w:space="0"/>
              <w:bottom w:val="single" w:color="auto" w:sz="4" w:space="0"/>
              <w:right w:val="single" w:color="auto" w:sz="4" w:space="0"/>
            </w:tcBorders>
            <w:vAlign w:val="center"/>
          </w:tcPr>
          <w:p w14:paraId="30B7EB17">
            <w:pPr>
              <w:spacing w:after="120" w:line="400" w:lineRule="exact"/>
              <w:ind w:firstLine="0" w:firstLineChars="0"/>
              <w:jc w:val="center"/>
              <w:rPr>
                <w:rFonts w:ascii="仿宋" w:hAnsi="仿宋" w:eastAsia="仿宋" w:cs="仿宋"/>
                <w:sz w:val="30"/>
                <w:szCs w:val="30"/>
              </w:rPr>
            </w:pPr>
            <w:r>
              <w:rPr>
                <w:rFonts w:hint="eastAsia" w:ascii="仿宋" w:hAnsi="仿宋" w:eastAsia="仿宋" w:cs="仿宋"/>
                <w:sz w:val="30"/>
                <w:szCs w:val="30"/>
              </w:rPr>
              <w:t>专业资格（职称）</w:t>
            </w:r>
          </w:p>
        </w:tc>
        <w:tc>
          <w:tcPr>
            <w:tcW w:w="2195" w:type="dxa"/>
            <w:tcBorders>
              <w:top w:val="single" w:color="auto" w:sz="4" w:space="0"/>
              <w:left w:val="single" w:color="auto" w:sz="4" w:space="0"/>
              <w:bottom w:val="single" w:color="auto" w:sz="4" w:space="0"/>
              <w:right w:val="single" w:color="auto" w:sz="4" w:space="0"/>
            </w:tcBorders>
            <w:vAlign w:val="center"/>
          </w:tcPr>
          <w:p w14:paraId="0B6F483F">
            <w:pPr>
              <w:spacing w:after="120" w:line="400" w:lineRule="exact"/>
              <w:ind w:firstLine="0" w:firstLineChars="0"/>
              <w:jc w:val="center"/>
              <w:rPr>
                <w:rFonts w:ascii="仿宋" w:hAnsi="仿宋" w:eastAsia="仿宋" w:cs="仿宋"/>
                <w:sz w:val="30"/>
                <w:szCs w:val="30"/>
              </w:rPr>
            </w:pPr>
            <w:r>
              <w:rPr>
                <w:rFonts w:hint="eastAsia" w:ascii="仿宋" w:hAnsi="仿宋" w:eastAsia="仿宋" w:cs="仿宋"/>
                <w:sz w:val="30"/>
                <w:szCs w:val="30"/>
              </w:rPr>
              <w:t>最低资格要求</w:t>
            </w:r>
          </w:p>
        </w:tc>
      </w:tr>
      <w:tr w14:paraId="79DD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450AA4CA">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0794DCA1">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173B56A6">
            <w:pPr>
              <w:spacing w:after="120" w:line="400" w:lineRule="exact"/>
              <w:ind w:firstLine="0" w:firstLineChars="0"/>
              <w:rPr>
                <w:rFonts w:ascii="仿宋" w:hAnsi="仿宋" w:eastAsia="仿宋" w:cs="仿宋"/>
                <w:sz w:val="30"/>
                <w:szCs w:val="30"/>
              </w:rPr>
            </w:pPr>
            <w:r>
              <w:rPr>
                <w:rFonts w:hint="eastAsia" w:ascii="仿宋" w:hAnsi="仿宋" w:eastAsia="仿宋" w:cs="仿宋"/>
                <w:sz w:val="30"/>
                <w:szCs w:val="30"/>
              </w:rPr>
              <w:t>设计负责人</w:t>
            </w:r>
          </w:p>
        </w:tc>
        <w:tc>
          <w:tcPr>
            <w:tcW w:w="1134" w:type="dxa"/>
            <w:tcBorders>
              <w:top w:val="single" w:color="auto" w:sz="4" w:space="0"/>
              <w:left w:val="single" w:color="auto" w:sz="4" w:space="0"/>
              <w:bottom w:val="single" w:color="auto" w:sz="4" w:space="0"/>
              <w:right w:val="single" w:color="auto" w:sz="4" w:space="0"/>
            </w:tcBorders>
            <w:vAlign w:val="center"/>
          </w:tcPr>
          <w:p w14:paraId="79E22BF0">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19C08CA8">
            <w:pPr>
              <w:spacing w:after="120" w:line="400" w:lineRule="exact"/>
              <w:ind w:firstLine="0" w:firstLineChars="0"/>
              <w:jc w:val="center"/>
              <w:rPr>
                <w:rFonts w:ascii="仿宋" w:hAnsi="仿宋" w:eastAsia="仿宋" w:cs="仿宋"/>
                <w:sz w:val="30"/>
                <w:szCs w:val="30"/>
              </w:rPr>
            </w:pPr>
          </w:p>
        </w:tc>
        <w:tc>
          <w:tcPr>
            <w:tcW w:w="2195" w:type="dxa"/>
            <w:vMerge w:val="restart"/>
            <w:tcBorders>
              <w:top w:val="single" w:color="auto" w:sz="4" w:space="0"/>
              <w:left w:val="single" w:color="auto" w:sz="4" w:space="0"/>
              <w:right w:val="single" w:color="auto" w:sz="4" w:space="0"/>
            </w:tcBorders>
            <w:vAlign w:val="center"/>
          </w:tcPr>
          <w:p w14:paraId="4C20FBD9">
            <w:pPr>
              <w:spacing w:after="120" w:line="400" w:lineRule="exact"/>
              <w:ind w:firstLine="0" w:firstLineChars="0"/>
              <w:rPr>
                <w:rFonts w:ascii="仿宋" w:hAnsi="仿宋" w:eastAsia="仿宋" w:cs="仿宋"/>
                <w:sz w:val="30"/>
                <w:szCs w:val="30"/>
              </w:rPr>
            </w:pPr>
            <w:r>
              <w:rPr>
                <w:rFonts w:hint="eastAsia" w:ascii="仿宋" w:hAnsi="仿宋" w:eastAsia="仿宋" w:cs="仿宋"/>
                <w:sz w:val="30"/>
                <w:szCs w:val="30"/>
              </w:rPr>
              <w:t>详见发包人要求</w:t>
            </w:r>
          </w:p>
        </w:tc>
      </w:tr>
      <w:tr w14:paraId="47CE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6B35D682">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5A106EB9">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05F94D7F">
            <w:pPr>
              <w:spacing w:after="120" w:line="400" w:lineRule="exact"/>
              <w:ind w:firstLine="0" w:firstLineChars="0"/>
              <w:rPr>
                <w:rFonts w:ascii="仿宋" w:hAnsi="仿宋" w:eastAsia="仿宋" w:cs="仿宋"/>
                <w:sz w:val="30"/>
                <w:szCs w:val="30"/>
              </w:rPr>
            </w:pPr>
            <w:r>
              <w:rPr>
                <w:rFonts w:hint="eastAsia" w:ascii="仿宋" w:hAnsi="仿宋" w:eastAsia="仿宋" w:cs="仿宋"/>
                <w:sz w:val="30"/>
                <w:szCs w:val="30"/>
              </w:rPr>
              <w:t>建筑专业负责人</w:t>
            </w:r>
          </w:p>
        </w:tc>
        <w:tc>
          <w:tcPr>
            <w:tcW w:w="1134" w:type="dxa"/>
            <w:tcBorders>
              <w:top w:val="single" w:color="auto" w:sz="4" w:space="0"/>
              <w:left w:val="single" w:color="auto" w:sz="4" w:space="0"/>
              <w:bottom w:val="single" w:color="auto" w:sz="4" w:space="0"/>
              <w:right w:val="single" w:color="auto" w:sz="4" w:space="0"/>
            </w:tcBorders>
            <w:vAlign w:val="center"/>
          </w:tcPr>
          <w:p w14:paraId="1E5958FD">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0CBE63EE">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3D438223">
            <w:pPr>
              <w:spacing w:after="120" w:line="400" w:lineRule="exact"/>
              <w:ind w:firstLine="0" w:firstLineChars="0"/>
              <w:jc w:val="center"/>
              <w:rPr>
                <w:rFonts w:ascii="仿宋" w:hAnsi="仿宋" w:eastAsia="仿宋" w:cs="仿宋"/>
                <w:sz w:val="30"/>
                <w:szCs w:val="30"/>
              </w:rPr>
            </w:pPr>
          </w:p>
        </w:tc>
      </w:tr>
      <w:tr w14:paraId="2A0AA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1534DD20">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198F36CA">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1DC1F5E5">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结构专业负责人</w:t>
            </w:r>
          </w:p>
        </w:tc>
        <w:tc>
          <w:tcPr>
            <w:tcW w:w="1134" w:type="dxa"/>
            <w:tcBorders>
              <w:top w:val="single" w:color="auto" w:sz="4" w:space="0"/>
              <w:left w:val="single" w:color="auto" w:sz="4" w:space="0"/>
              <w:bottom w:val="single" w:color="auto" w:sz="4" w:space="0"/>
              <w:right w:val="single" w:color="auto" w:sz="4" w:space="0"/>
            </w:tcBorders>
            <w:vAlign w:val="center"/>
          </w:tcPr>
          <w:p w14:paraId="43752DC2">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5A0D926D">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20594A46">
            <w:pPr>
              <w:spacing w:after="120" w:line="400" w:lineRule="exact"/>
              <w:ind w:firstLine="0" w:firstLineChars="0"/>
              <w:jc w:val="center"/>
              <w:rPr>
                <w:rFonts w:ascii="仿宋" w:hAnsi="仿宋" w:eastAsia="仿宋" w:cs="仿宋"/>
                <w:sz w:val="30"/>
                <w:szCs w:val="30"/>
              </w:rPr>
            </w:pPr>
          </w:p>
        </w:tc>
      </w:tr>
      <w:tr w14:paraId="3E75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1482FB53">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51822ED0">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67FB483C">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给排水专业负责人</w:t>
            </w:r>
          </w:p>
        </w:tc>
        <w:tc>
          <w:tcPr>
            <w:tcW w:w="1134" w:type="dxa"/>
            <w:tcBorders>
              <w:top w:val="single" w:color="auto" w:sz="4" w:space="0"/>
              <w:left w:val="single" w:color="auto" w:sz="4" w:space="0"/>
              <w:bottom w:val="single" w:color="auto" w:sz="4" w:space="0"/>
              <w:right w:val="single" w:color="auto" w:sz="4" w:space="0"/>
            </w:tcBorders>
            <w:vAlign w:val="center"/>
          </w:tcPr>
          <w:p w14:paraId="106C5F3D">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73A78205">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507A1D46">
            <w:pPr>
              <w:spacing w:after="120" w:line="400" w:lineRule="exact"/>
              <w:ind w:firstLine="0" w:firstLineChars="0"/>
              <w:jc w:val="center"/>
              <w:rPr>
                <w:rFonts w:ascii="仿宋" w:hAnsi="仿宋" w:eastAsia="仿宋" w:cs="仿宋"/>
                <w:sz w:val="30"/>
                <w:szCs w:val="30"/>
              </w:rPr>
            </w:pPr>
          </w:p>
        </w:tc>
      </w:tr>
      <w:tr w14:paraId="2341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536ACA19">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213F222F">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0AEB2310">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电气专业负责人</w:t>
            </w:r>
          </w:p>
        </w:tc>
        <w:tc>
          <w:tcPr>
            <w:tcW w:w="1134" w:type="dxa"/>
            <w:tcBorders>
              <w:top w:val="single" w:color="auto" w:sz="4" w:space="0"/>
              <w:left w:val="single" w:color="auto" w:sz="4" w:space="0"/>
              <w:bottom w:val="single" w:color="auto" w:sz="4" w:space="0"/>
              <w:right w:val="single" w:color="auto" w:sz="4" w:space="0"/>
            </w:tcBorders>
            <w:vAlign w:val="center"/>
          </w:tcPr>
          <w:p w14:paraId="6C346B4E">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0AF6665A">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57E430B6">
            <w:pPr>
              <w:spacing w:after="120" w:line="400" w:lineRule="exact"/>
              <w:ind w:firstLine="0" w:firstLineChars="0"/>
              <w:jc w:val="center"/>
              <w:rPr>
                <w:rFonts w:ascii="仿宋" w:hAnsi="仿宋" w:eastAsia="仿宋" w:cs="仿宋"/>
                <w:sz w:val="30"/>
                <w:szCs w:val="30"/>
              </w:rPr>
            </w:pPr>
          </w:p>
        </w:tc>
      </w:tr>
      <w:tr w14:paraId="744F6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6EE117D4">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206D920C">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38DBB1CB">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暖通空调专业负责人</w:t>
            </w:r>
          </w:p>
        </w:tc>
        <w:tc>
          <w:tcPr>
            <w:tcW w:w="1134" w:type="dxa"/>
            <w:tcBorders>
              <w:top w:val="single" w:color="auto" w:sz="4" w:space="0"/>
              <w:left w:val="single" w:color="auto" w:sz="4" w:space="0"/>
              <w:bottom w:val="single" w:color="auto" w:sz="4" w:space="0"/>
              <w:right w:val="single" w:color="auto" w:sz="4" w:space="0"/>
            </w:tcBorders>
            <w:vAlign w:val="center"/>
          </w:tcPr>
          <w:p w14:paraId="6678BF1A">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24D97916">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7FF49456">
            <w:pPr>
              <w:spacing w:after="120" w:line="400" w:lineRule="exact"/>
              <w:ind w:firstLine="0" w:firstLineChars="0"/>
              <w:jc w:val="center"/>
              <w:rPr>
                <w:rFonts w:ascii="仿宋" w:hAnsi="仿宋" w:eastAsia="仿宋" w:cs="仿宋"/>
                <w:sz w:val="30"/>
                <w:szCs w:val="30"/>
              </w:rPr>
            </w:pPr>
          </w:p>
        </w:tc>
      </w:tr>
      <w:tr w14:paraId="57B1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2220E59E">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1A931347">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7635607E">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概预算专业负责人</w:t>
            </w:r>
          </w:p>
        </w:tc>
        <w:tc>
          <w:tcPr>
            <w:tcW w:w="1134" w:type="dxa"/>
            <w:tcBorders>
              <w:top w:val="single" w:color="auto" w:sz="4" w:space="0"/>
              <w:left w:val="single" w:color="auto" w:sz="4" w:space="0"/>
              <w:bottom w:val="single" w:color="auto" w:sz="4" w:space="0"/>
              <w:right w:val="single" w:color="auto" w:sz="4" w:space="0"/>
            </w:tcBorders>
            <w:vAlign w:val="center"/>
          </w:tcPr>
          <w:p w14:paraId="3EBBA0A9">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77F1CCCB">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2A6DB4E3">
            <w:pPr>
              <w:spacing w:after="120" w:line="400" w:lineRule="exact"/>
              <w:ind w:firstLine="0" w:firstLineChars="0"/>
              <w:jc w:val="center"/>
              <w:rPr>
                <w:rFonts w:ascii="仿宋" w:hAnsi="仿宋" w:eastAsia="仿宋" w:cs="仿宋"/>
                <w:sz w:val="30"/>
                <w:szCs w:val="30"/>
              </w:rPr>
            </w:pPr>
          </w:p>
        </w:tc>
      </w:tr>
      <w:tr w14:paraId="14EE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7135373D">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28D5C620">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2CA7A237">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建筑专业驻场代表</w:t>
            </w:r>
          </w:p>
        </w:tc>
        <w:tc>
          <w:tcPr>
            <w:tcW w:w="1134" w:type="dxa"/>
            <w:tcBorders>
              <w:top w:val="single" w:color="auto" w:sz="4" w:space="0"/>
              <w:left w:val="single" w:color="auto" w:sz="4" w:space="0"/>
              <w:bottom w:val="single" w:color="auto" w:sz="4" w:space="0"/>
              <w:right w:val="single" w:color="auto" w:sz="4" w:space="0"/>
            </w:tcBorders>
            <w:vAlign w:val="center"/>
          </w:tcPr>
          <w:p w14:paraId="11A85A2A">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32B5B389">
            <w:pPr>
              <w:spacing w:after="120" w:line="400" w:lineRule="exact"/>
              <w:ind w:firstLine="0" w:firstLineChars="0"/>
              <w:jc w:val="center"/>
              <w:rPr>
                <w:rFonts w:ascii="仿宋" w:hAnsi="仿宋" w:eastAsia="仿宋" w:cs="仿宋"/>
                <w:sz w:val="30"/>
                <w:szCs w:val="30"/>
              </w:rPr>
            </w:pPr>
          </w:p>
        </w:tc>
        <w:tc>
          <w:tcPr>
            <w:tcW w:w="2195" w:type="dxa"/>
            <w:vMerge w:val="restart"/>
            <w:tcBorders>
              <w:left w:val="single" w:color="auto" w:sz="4" w:space="0"/>
              <w:right w:val="single" w:color="auto" w:sz="4" w:space="0"/>
            </w:tcBorders>
            <w:vAlign w:val="center"/>
          </w:tcPr>
          <w:p w14:paraId="7E883C39">
            <w:pPr>
              <w:spacing w:after="120" w:line="400" w:lineRule="exact"/>
              <w:ind w:firstLine="0" w:firstLineChars="0"/>
              <w:rPr>
                <w:rFonts w:ascii="仿宋" w:hAnsi="仿宋" w:eastAsia="仿宋" w:cs="仿宋"/>
                <w:strike/>
                <w:sz w:val="30"/>
                <w:szCs w:val="30"/>
              </w:rPr>
            </w:pPr>
          </w:p>
        </w:tc>
      </w:tr>
      <w:tr w14:paraId="331E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242FBB1E">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3D1118D2">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3CBE4195">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结构专业驻场代表</w:t>
            </w:r>
          </w:p>
        </w:tc>
        <w:tc>
          <w:tcPr>
            <w:tcW w:w="1134" w:type="dxa"/>
            <w:tcBorders>
              <w:top w:val="single" w:color="auto" w:sz="4" w:space="0"/>
              <w:left w:val="single" w:color="auto" w:sz="4" w:space="0"/>
              <w:bottom w:val="single" w:color="auto" w:sz="4" w:space="0"/>
              <w:right w:val="single" w:color="auto" w:sz="4" w:space="0"/>
            </w:tcBorders>
            <w:vAlign w:val="center"/>
          </w:tcPr>
          <w:p w14:paraId="5868495D">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4DFDF79F">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65B0CD74">
            <w:pPr>
              <w:spacing w:after="120" w:line="400" w:lineRule="exact"/>
              <w:ind w:firstLine="0" w:firstLineChars="0"/>
              <w:jc w:val="center"/>
              <w:rPr>
                <w:rFonts w:ascii="仿宋" w:hAnsi="仿宋" w:eastAsia="仿宋" w:cs="仿宋"/>
                <w:sz w:val="30"/>
                <w:szCs w:val="30"/>
              </w:rPr>
            </w:pPr>
          </w:p>
        </w:tc>
      </w:tr>
      <w:tr w14:paraId="65CB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64185563">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6CB95A5E">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52DAE471">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给排水专业驻场代表</w:t>
            </w:r>
          </w:p>
        </w:tc>
        <w:tc>
          <w:tcPr>
            <w:tcW w:w="1134" w:type="dxa"/>
            <w:tcBorders>
              <w:top w:val="single" w:color="auto" w:sz="4" w:space="0"/>
              <w:left w:val="single" w:color="auto" w:sz="4" w:space="0"/>
              <w:bottom w:val="single" w:color="auto" w:sz="4" w:space="0"/>
              <w:right w:val="single" w:color="auto" w:sz="4" w:space="0"/>
            </w:tcBorders>
            <w:vAlign w:val="center"/>
          </w:tcPr>
          <w:p w14:paraId="4B3C1D5E">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7AC7E4AA">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0B8683D0">
            <w:pPr>
              <w:spacing w:after="120" w:line="400" w:lineRule="exact"/>
              <w:ind w:firstLine="0" w:firstLineChars="0"/>
              <w:jc w:val="center"/>
              <w:rPr>
                <w:rFonts w:ascii="仿宋" w:hAnsi="仿宋" w:eastAsia="仿宋" w:cs="仿宋"/>
                <w:sz w:val="30"/>
                <w:szCs w:val="30"/>
              </w:rPr>
            </w:pPr>
          </w:p>
        </w:tc>
      </w:tr>
      <w:tr w14:paraId="4F81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0D7E99B1">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2364A4A0">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5AB64EC4">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电气专业驻场代表</w:t>
            </w:r>
          </w:p>
        </w:tc>
        <w:tc>
          <w:tcPr>
            <w:tcW w:w="1134" w:type="dxa"/>
            <w:tcBorders>
              <w:top w:val="single" w:color="auto" w:sz="4" w:space="0"/>
              <w:left w:val="single" w:color="auto" w:sz="4" w:space="0"/>
              <w:bottom w:val="single" w:color="auto" w:sz="4" w:space="0"/>
              <w:right w:val="single" w:color="auto" w:sz="4" w:space="0"/>
            </w:tcBorders>
            <w:vAlign w:val="center"/>
          </w:tcPr>
          <w:p w14:paraId="2C5ED651">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73A6F6A2">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306287A9">
            <w:pPr>
              <w:spacing w:after="120" w:line="400" w:lineRule="exact"/>
              <w:ind w:firstLine="0" w:firstLineChars="0"/>
              <w:jc w:val="center"/>
              <w:rPr>
                <w:rFonts w:ascii="仿宋" w:hAnsi="仿宋" w:eastAsia="仿宋" w:cs="仿宋"/>
                <w:sz w:val="30"/>
                <w:szCs w:val="30"/>
              </w:rPr>
            </w:pPr>
          </w:p>
        </w:tc>
      </w:tr>
      <w:tr w14:paraId="56CE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4D5047CC">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2158B676">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2A38924E">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暖通空调专业驻场代表</w:t>
            </w:r>
          </w:p>
        </w:tc>
        <w:tc>
          <w:tcPr>
            <w:tcW w:w="1134" w:type="dxa"/>
            <w:tcBorders>
              <w:top w:val="single" w:color="auto" w:sz="4" w:space="0"/>
              <w:left w:val="single" w:color="auto" w:sz="4" w:space="0"/>
              <w:bottom w:val="single" w:color="auto" w:sz="4" w:space="0"/>
              <w:right w:val="single" w:color="auto" w:sz="4" w:space="0"/>
            </w:tcBorders>
            <w:vAlign w:val="center"/>
          </w:tcPr>
          <w:p w14:paraId="3D2ED7EB">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63F7C4EA">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right w:val="single" w:color="auto" w:sz="4" w:space="0"/>
            </w:tcBorders>
            <w:vAlign w:val="center"/>
          </w:tcPr>
          <w:p w14:paraId="346291B0">
            <w:pPr>
              <w:spacing w:after="120" w:line="400" w:lineRule="exact"/>
              <w:ind w:firstLine="0" w:firstLineChars="0"/>
              <w:jc w:val="center"/>
              <w:rPr>
                <w:rFonts w:ascii="仿宋" w:hAnsi="仿宋" w:eastAsia="仿宋" w:cs="仿宋"/>
                <w:sz w:val="30"/>
                <w:szCs w:val="30"/>
              </w:rPr>
            </w:pPr>
          </w:p>
        </w:tc>
      </w:tr>
      <w:tr w14:paraId="7CB7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75" w:type="dxa"/>
            <w:tcBorders>
              <w:top w:val="single" w:color="auto" w:sz="4" w:space="0"/>
              <w:left w:val="single" w:color="auto" w:sz="4" w:space="0"/>
              <w:bottom w:val="single" w:color="auto" w:sz="4" w:space="0"/>
              <w:right w:val="single" w:color="auto" w:sz="4" w:space="0"/>
            </w:tcBorders>
            <w:vAlign w:val="center"/>
          </w:tcPr>
          <w:p w14:paraId="3DECC647">
            <w:pPr>
              <w:spacing w:after="120" w:line="400" w:lineRule="exact"/>
              <w:ind w:firstLine="0" w:firstLineChars="0"/>
              <w:jc w:val="center"/>
              <w:rPr>
                <w:rFonts w:ascii="仿宋" w:hAnsi="仿宋" w:eastAsia="仿宋" w:cs="仿宋"/>
                <w:sz w:val="30"/>
                <w:szCs w:val="30"/>
              </w:rPr>
            </w:pPr>
          </w:p>
        </w:tc>
        <w:tc>
          <w:tcPr>
            <w:tcW w:w="993" w:type="dxa"/>
            <w:tcBorders>
              <w:top w:val="single" w:color="auto" w:sz="4" w:space="0"/>
              <w:left w:val="single" w:color="auto" w:sz="4" w:space="0"/>
              <w:bottom w:val="single" w:color="auto" w:sz="4" w:space="0"/>
              <w:right w:val="single" w:color="auto" w:sz="4" w:space="0"/>
            </w:tcBorders>
            <w:vAlign w:val="center"/>
          </w:tcPr>
          <w:p w14:paraId="42D7968F">
            <w:pPr>
              <w:spacing w:after="120" w:line="400" w:lineRule="exact"/>
              <w:ind w:firstLine="0" w:firstLineChars="0"/>
              <w:jc w:val="center"/>
              <w:rPr>
                <w:rFonts w:ascii="仿宋" w:hAnsi="仿宋" w:eastAsia="仿宋" w:cs="仿宋"/>
                <w:sz w:val="30"/>
                <w:szCs w:val="30"/>
              </w:rPr>
            </w:pPr>
          </w:p>
        </w:tc>
        <w:tc>
          <w:tcPr>
            <w:tcW w:w="2409" w:type="dxa"/>
            <w:tcBorders>
              <w:top w:val="single" w:color="auto" w:sz="4" w:space="0"/>
              <w:left w:val="single" w:color="auto" w:sz="4" w:space="0"/>
              <w:bottom w:val="single" w:color="auto" w:sz="4" w:space="0"/>
              <w:right w:val="single" w:color="auto" w:sz="4" w:space="0"/>
            </w:tcBorders>
            <w:vAlign w:val="center"/>
          </w:tcPr>
          <w:p w14:paraId="52E80D6E">
            <w:pPr>
              <w:spacing w:after="120" w:line="400" w:lineRule="exact"/>
              <w:ind w:firstLine="0" w:firstLineChars="0"/>
              <w:jc w:val="left"/>
              <w:rPr>
                <w:rFonts w:ascii="仿宋" w:hAnsi="仿宋" w:eastAsia="仿宋" w:cs="仿宋"/>
                <w:sz w:val="30"/>
                <w:szCs w:val="30"/>
              </w:rPr>
            </w:pPr>
            <w:r>
              <w:rPr>
                <w:rFonts w:hint="eastAsia" w:ascii="仿宋" w:hAnsi="仿宋" w:eastAsia="仿宋" w:cs="仿宋"/>
                <w:sz w:val="30"/>
                <w:szCs w:val="30"/>
              </w:rPr>
              <w:t>概预算专业驻场代表</w:t>
            </w:r>
          </w:p>
        </w:tc>
        <w:tc>
          <w:tcPr>
            <w:tcW w:w="1134" w:type="dxa"/>
            <w:tcBorders>
              <w:top w:val="single" w:color="auto" w:sz="4" w:space="0"/>
              <w:left w:val="single" w:color="auto" w:sz="4" w:space="0"/>
              <w:bottom w:val="single" w:color="auto" w:sz="4" w:space="0"/>
              <w:right w:val="single" w:color="auto" w:sz="4" w:space="0"/>
            </w:tcBorders>
            <w:vAlign w:val="center"/>
          </w:tcPr>
          <w:p w14:paraId="118BF40C">
            <w:pPr>
              <w:spacing w:after="120" w:line="400" w:lineRule="exact"/>
              <w:ind w:firstLine="0" w:firstLineChars="0"/>
              <w:jc w:val="center"/>
              <w:rPr>
                <w:rFonts w:ascii="仿宋" w:hAnsi="仿宋" w:eastAsia="仿宋" w:cs="仿宋"/>
                <w:sz w:val="30"/>
                <w:szCs w:val="30"/>
              </w:rPr>
            </w:pPr>
          </w:p>
        </w:tc>
        <w:tc>
          <w:tcPr>
            <w:tcW w:w="1702" w:type="dxa"/>
            <w:tcBorders>
              <w:top w:val="single" w:color="auto" w:sz="4" w:space="0"/>
              <w:left w:val="single" w:color="auto" w:sz="4" w:space="0"/>
              <w:bottom w:val="single" w:color="auto" w:sz="4" w:space="0"/>
              <w:right w:val="single" w:color="auto" w:sz="4" w:space="0"/>
            </w:tcBorders>
            <w:vAlign w:val="center"/>
          </w:tcPr>
          <w:p w14:paraId="7BC77D81">
            <w:pPr>
              <w:spacing w:after="120" w:line="400" w:lineRule="exact"/>
              <w:ind w:firstLine="0" w:firstLineChars="0"/>
              <w:jc w:val="center"/>
              <w:rPr>
                <w:rFonts w:ascii="仿宋" w:hAnsi="仿宋" w:eastAsia="仿宋" w:cs="仿宋"/>
                <w:sz w:val="30"/>
                <w:szCs w:val="30"/>
              </w:rPr>
            </w:pPr>
          </w:p>
        </w:tc>
        <w:tc>
          <w:tcPr>
            <w:tcW w:w="2195" w:type="dxa"/>
            <w:vMerge w:val="continue"/>
            <w:tcBorders>
              <w:left w:val="single" w:color="auto" w:sz="4" w:space="0"/>
              <w:bottom w:val="single" w:color="auto" w:sz="4" w:space="0"/>
              <w:right w:val="single" w:color="auto" w:sz="4" w:space="0"/>
            </w:tcBorders>
            <w:vAlign w:val="center"/>
          </w:tcPr>
          <w:p w14:paraId="04025406">
            <w:pPr>
              <w:spacing w:after="120" w:line="400" w:lineRule="exact"/>
              <w:ind w:firstLine="0" w:firstLineChars="0"/>
              <w:jc w:val="center"/>
              <w:rPr>
                <w:rFonts w:ascii="仿宋" w:hAnsi="仿宋" w:eastAsia="仿宋" w:cs="仿宋"/>
                <w:sz w:val="30"/>
                <w:szCs w:val="30"/>
              </w:rPr>
            </w:pPr>
          </w:p>
        </w:tc>
      </w:tr>
    </w:tbl>
    <w:p w14:paraId="6A454A3E">
      <w:pPr>
        <w:spacing w:after="120"/>
        <w:ind w:firstLine="600"/>
        <w:rPr>
          <w:rFonts w:ascii="仿宋" w:hAnsi="仿宋" w:eastAsia="仿宋" w:cs="仿宋"/>
          <w:sz w:val="30"/>
          <w:szCs w:val="30"/>
        </w:rPr>
      </w:pPr>
      <w:r>
        <w:rPr>
          <w:rFonts w:hint="eastAsia" w:ascii="仿宋" w:hAnsi="仿宋" w:eastAsia="仿宋" w:cs="仿宋"/>
          <w:sz w:val="30"/>
          <w:szCs w:val="30"/>
        </w:rPr>
        <w:t>4.1.2 设计人应根据设计任务建立项目组，从组织上保证投入的人力、物力能满足设计开展的需要，保证不同设计时段设计工作的连续性和外部条件接口衔接的连贯性。</w:t>
      </w:r>
    </w:p>
    <w:p w14:paraId="49B9D055">
      <w:pPr>
        <w:spacing w:after="120"/>
        <w:ind w:firstLine="600"/>
        <w:rPr>
          <w:rFonts w:ascii="仿宋" w:hAnsi="仿宋" w:eastAsia="仿宋" w:cs="仿宋"/>
          <w:sz w:val="30"/>
          <w:szCs w:val="30"/>
        </w:rPr>
      </w:pPr>
      <w:r>
        <w:rPr>
          <w:rFonts w:hint="eastAsia" w:ascii="仿宋" w:hAnsi="仿宋" w:eastAsia="仿宋" w:cs="仿宋"/>
          <w:sz w:val="30"/>
          <w:szCs w:val="30"/>
        </w:rPr>
        <w:t>4.1.3 设计人如为境外机构，必须自行配备专业翻译一名。</w:t>
      </w:r>
    </w:p>
    <w:p w14:paraId="22FF5019">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4.2 设计人员更换 </w:t>
      </w:r>
    </w:p>
    <w:p w14:paraId="34DA5646">
      <w:pPr>
        <w:spacing w:after="120"/>
        <w:ind w:firstLine="600"/>
        <w:rPr>
          <w:rFonts w:ascii="仿宋" w:hAnsi="仿宋" w:eastAsia="仿宋" w:cs="仿宋"/>
          <w:sz w:val="30"/>
          <w:szCs w:val="30"/>
        </w:rPr>
      </w:pPr>
      <w:r>
        <w:rPr>
          <w:rFonts w:hint="eastAsia" w:ascii="仿宋" w:hAnsi="仿宋" w:eastAsia="仿宋" w:cs="仿宋"/>
          <w:sz w:val="30"/>
          <w:szCs w:val="30"/>
        </w:rPr>
        <w:t>4.2.1发包人认为设计负责人、设计驻场总负责人、各专业设计负责人、各专业设计驻场代表不称职时，有权向设计人发出书面更换人员通知，设计人应当在收到发包人的书面通知后5天内更换，更换人员的职务、资历、</w:t>
      </w:r>
      <w:bookmarkStart w:id="1033" w:name="_Toc28042679"/>
      <w:bookmarkStart w:id="1034" w:name="_Toc36146472"/>
      <w:r>
        <w:rPr>
          <w:rFonts w:hint="eastAsia" w:ascii="仿宋" w:hAnsi="仿宋" w:eastAsia="仿宋" w:cs="仿宋"/>
          <w:sz w:val="30"/>
          <w:szCs w:val="30"/>
        </w:rPr>
        <w:t>资格不得低于本合同相</w:t>
      </w:r>
      <w:bookmarkEnd w:id="1033"/>
      <w:bookmarkEnd w:id="1034"/>
      <w:r>
        <w:rPr>
          <w:rFonts w:hint="eastAsia" w:ascii="仿宋" w:hAnsi="仿宋" w:eastAsia="仿宋" w:cs="仿宋"/>
          <w:sz w:val="30"/>
          <w:szCs w:val="30"/>
        </w:rPr>
        <w:t>应条款的要求，且更换人员须先经过发包人确认。若设计人对发包人要求更换人员有异议时，可申请复议一次，若经复议后发包人仍然要求更换，则设计人应无条件进行更换，否则视设计人该人员从发包人发出更换通知的时间开始擅自离岗。</w:t>
      </w:r>
    </w:p>
    <w:p w14:paraId="255628FA">
      <w:pPr>
        <w:spacing w:after="120"/>
        <w:ind w:firstLine="600"/>
        <w:rPr>
          <w:rFonts w:ascii="仿宋" w:hAnsi="仿宋" w:eastAsia="仿宋" w:cs="仿宋"/>
          <w:sz w:val="30"/>
          <w:szCs w:val="30"/>
        </w:rPr>
      </w:pPr>
      <w:r>
        <w:rPr>
          <w:rFonts w:hint="eastAsia" w:ascii="仿宋" w:hAnsi="仿宋" w:eastAsia="仿宋" w:cs="仿宋"/>
          <w:sz w:val="30"/>
          <w:szCs w:val="30"/>
        </w:rPr>
        <w:t>4.2.2当发包人认为设计人及其分包单位的设计人员、驻场人员及管理服务人员的数量、专业水平、专业配套等达不到设计所需时，发包人有权要求设计人更换及补充相关人员，直至满足设计工作要求为止，否则发包人有权扣减设计费直至解除合同等。</w:t>
      </w:r>
    </w:p>
    <w:p w14:paraId="4794A37E">
      <w:pPr>
        <w:pStyle w:val="4"/>
        <w:spacing w:before="120" w:beforeLines="50" w:after="120"/>
        <w:ind w:firstLine="602"/>
        <w:rPr>
          <w:rFonts w:ascii="仿宋" w:hAnsi="仿宋" w:eastAsia="仿宋" w:cs="仿宋"/>
          <w:sz w:val="30"/>
          <w:szCs w:val="30"/>
        </w:rPr>
      </w:pPr>
      <w:bookmarkStart w:id="1035" w:name="_Toc1403"/>
      <w:bookmarkStart w:id="1036" w:name="_Toc22324"/>
      <w:bookmarkStart w:id="1037" w:name="_Toc31618"/>
      <w:r>
        <w:rPr>
          <w:rFonts w:hint="eastAsia" w:ascii="仿宋" w:hAnsi="仿宋" w:eastAsia="仿宋" w:cs="仿宋"/>
          <w:sz w:val="30"/>
          <w:szCs w:val="30"/>
        </w:rPr>
        <w:t>5.设计成果文件</w:t>
      </w:r>
      <w:bookmarkEnd w:id="1035"/>
      <w:bookmarkEnd w:id="1036"/>
      <w:bookmarkEnd w:id="1037"/>
    </w:p>
    <w:p w14:paraId="5C6E04EA">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5.1交付设计成果文件份数及时间 </w:t>
      </w:r>
    </w:p>
    <w:p w14:paraId="7D773DE3">
      <w:pPr>
        <w:spacing w:after="120"/>
        <w:ind w:firstLine="600"/>
        <w:jc w:val="left"/>
        <w:rPr>
          <w:rFonts w:ascii="仿宋" w:hAnsi="仿宋" w:eastAsia="仿宋" w:cs="仿宋"/>
          <w:sz w:val="30"/>
          <w:szCs w:val="30"/>
        </w:rPr>
      </w:pPr>
      <w:r>
        <w:rPr>
          <w:rFonts w:hint="eastAsia" w:ascii="仿宋" w:hAnsi="仿宋" w:eastAsia="仿宋" w:cs="仿宋"/>
          <w:sz w:val="30"/>
          <w:szCs w:val="30"/>
        </w:rPr>
        <w:t>各专业施工图纸设计周期不超过30天。本合同签订后14天内，设计人应申报各专业项目设计成果文件提交计划（即出图计划），经发包人审定后，按发包人审定的出图计划提交设计成果</w:t>
      </w:r>
      <w:bookmarkStart w:id="1038" w:name="_Toc36146473"/>
      <w:bookmarkStart w:id="1039" w:name="_Toc28042680"/>
      <w:r>
        <w:rPr>
          <w:rFonts w:hint="eastAsia" w:ascii="仿宋" w:hAnsi="仿宋" w:eastAsia="仿宋" w:cs="仿宋"/>
          <w:sz w:val="30"/>
          <w:szCs w:val="30"/>
        </w:rPr>
        <w:t>文件（含电子文件</w:t>
      </w:r>
      <w:bookmarkEnd w:id="1038"/>
      <w:bookmarkEnd w:id="1039"/>
      <w:r>
        <w:rPr>
          <w:rFonts w:hint="eastAsia" w:ascii="仿宋" w:hAnsi="仿宋" w:eastAsia="仿宋" w:cs="仿宋"/>
          <w:sz w:val="30"/>
          <w:szCs w:val="30"/>
        </w:rPr>
        <w:t>）</w:t>
      </w:r>
      <w:bookmarkStart w:id="1040" w:name="_Toc28042681"/>
      <w:bookmarkStart w:id="1041" w:name="_Toc36146474"/>
      <w:r>
        <w:rPr>
          <w:rFonts w:hint="eastAsia" w:ascii="仿宋" w:hAnsi="仿宋" w:eastAsia="仿宋" w:cs="仿宋"/>
          <w:sz w:val="30"/>
          <w:szCs w:val="30"/>
        </w:rPr>
        <w:t>。</w:t>
      </w:r>
    </w:p>
    <w:p w14:paraId="7704E566">
      <w:pPr>
        <w:pStyle w:val="26"/>
        <w:spacing w:after="120"/>
        <w:ind w:firstLine="600"/>
        <w:jc w:val="center"/>
        <w:rPr>
          <w:rFonts w:ascii="仿宋" w:hAnsi="仿宋" w:eastAsia="仿宋" w:cs="仿宋"/>
          <w:sz w:val="30"/>
          <w:szCs w:val="30"/>
        </w:rPr>
      </w:pPr>
      <w:r>
        <w:rPr>
          <w:rFonts w:hint="eastAsia" w:ascii="仿宋" w:hAnsi="仿宋" w:eastAsia="仿宋" w:cs="仿宋"/>
          <w:sz w:val="30"/>
          <w:szCs w:val="30"/>
        </w:rPr>
        <w:t>施工图纸设计阶段成果文件清单</w:t>
      </w:r>
    </w:p>
    <w:tbl>
      <w:tblPr>
        <w:tblStyle w:val="55"/>
        <w:tblW w:w="8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3467"/>
        <w:gridCol w:w="1267"/>
        <w:gridCol w:w="3343"/>
      </w:tblGrid>
      <w:tr w14:paraId="5A96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803" w:type="dxa"/>
            <w:vAlign w:val="center"/>
          </w:tcPr>
          <w:p w14:paraId="2EAF4899">
            <w:pPr>
              <w:wordWrap/>
              <w:spacing w:after="120"/>
              <w:ind w:firstLine="0" w:firstLineChars="0"/>
              <w:jc w:val="center"/>
              <w:rPr>
                <w:rFonts w:ascii="仿宋" w:hAnsi="仿宋" w:eastAsia="仿宋" w:cs="仿宋"/>
                <w:b/>
                <w:sz w:val="30"/>
                <w:szCs w:val="30"/>
              </w:rPr>
            </w:pPr>
            <w:r>
              <w:rPr>
                <w:rFonts w:hint="eastAsia" w:ascii="仿宋" w:hAnsi="仿宋" w:eastAsia="仿宋" w:cs="仿宋"/>
                <w:b/>
                <w:sz w:val="30"/>
                <w:szCs w:val="30"/>
              </w:rPr>
              <w:t>序号</w:t>
            </w:r>
          </w:p>
        </w:tc>
        <w:tc>
          <w:tcPr>
            <w:tcW w:w="3467" w:type="dxa"/>
            <w:vAlign w:val="center"/>
          </w:tcPr>
          <w:p w14:paraId="288127E2">
            <w:pPr>
              <w:wordWrap/>
              <w:spacing w:after="120"/>
              <w:ind w:firstLine="0" w:firstLineChars="0"/>
              <w:jc w:val="center"/>
              <w:rPr>
                <w:rFonts w:ascii="仿宋" w:hAnsi="仿宋" w:eastAsia="仿宋" w:cs="仿宋"/>
                <w:b/>
                <w:sz w:val="30"/>
                <w:szCs w:val="30"/>
              </w:rPr>
            </w:pPr>
            <w:r>
              <w:rPr>
                <w:rFonts w:hint="eastAsia" w:ascii="仿宋" w:hAnsi="仿宋" w:eastAsia="仿宋" w:cs="仿宋"/>
                <w:b/>
                <w:sz w:val="30"/>
                <w:szCs w:val="30"/>
              </w:rPr>
              <w:t>设计文件名称</w:t>
            </w:r>
          </w:p>
        </w:tc>
        <w:tc>
          <w:tcPr>
            <w:tcW w:w="1267" w:type="dxa"/>
            <w:vAlign w:val="center"/>
          </w:tcPr>
          <w:p w14:paraId="3739D009">
            <w:pPr>
              <w:wordWrap/>
              <w:spacing w:after="120"/>
              <w:ind w:firstLine="0" w:firstLineChars="0"/>
              <w:jc w:val="center"/>
              <w:rPr>
                <w:rFonts w:ascii="仿宋" w:hAnsi="仿宋" w:eastAsia="仿宋" w:cs="仿宋"/>
                <w:b/>
                <w:sz w:val="30"/>
                <w:szCs w:val="30"/>
              </w:rPr>
            </w:pPr>
            <w:r>
              <w:rPr>
                <w:rFonts w:hint="eastAsia" w:ascii="仿宋" w:hAnsi="仿宋" w:eastAsia="仿宋" w:cs="仿宋"/>
                <w:b/>
                <w:sz w:val="30"/>
                <w:szCs w:val="30"/>
              </w:rPr>
              <w:t>数量</w:t>
            </w:r>
          </w:p>
        </w:tc>
        <w:tc>
          <w:tcPr>
            <w:tcW w:w="3343" w:type="dxa"/>
            <w:vAlign w:val="center"/>
          </w:tcPr>
          <w:p w14:paraId="311BDB8D">
            <w:pPr>
              <w:wordWrap/>
              <w:spacing w:after="120"/>
              <w:ind w:firstLine="0" w:firstLineChars="0"/>
              <w:jc w:val="center"/>
              <w:rPr>
                <w:rFonts w:ascii="仿宋" w:hAnsi="仿宋" w:eastAsia="仿宋" w:cs="仿宋"/>
                <w:b/>
                <w:sz w:val="30"/>
                <w:szCs w:val="30"/>
              </w:rPr>
            </w:pPr>
            <w:r>
              <w:rPr>
                <w:rFonts w:hint="eastAsia" w:ascii="仿宋" w:hAnsi="仿宋" w:eastAsia="仿宋" w:cs="仿宋"/>
                <w:b/>
                <w:sz w:val="30"/>
                <w:szCs w:val="30"/>
              </w:rPr>
              <w:t>备注</w:t>
            </w:r>
          </w:p>
        </w:tc>
      </w:tr>
      <w:tr w14:paraId="4F86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14:paraId="590CD6D3">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1</w:t>
            </w:r>
          </w:p>
        </w:tc>
        <w:tc>
          <w:tcPr>
            <w:tcW w:w="3467" w:type="dxa"/>
            <w:vAlign w:val="center"/>
          </w:tcPr>
          <w:p w14:paraId="5C37EB8C">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室内装修方案设计成果文件（重点部位效果图）</w:t>
            </w:r>
          </w:p>
        </w:tc>
        <w:tc>
          <w:tcPr>
            <w:tcW w:w="1267" w:type="dxa"/>
            <w:vAlign w:val="center"/>
          </w:tcPr>
          <w:p w14:paraId="1CF760C5">
            <w:pPr>
              <w:wordWrap/>
              <w:spacing w:after="120" w:line="400" w:lineRule="exact"/>
              <w:ind w:firstLine="0" w:firstLineChars="0"/>
              <w:jc w:val="center"/>
              <w:rPr>
                <w:rFonts w:ascii="仿宋" w:hAnsi="仿宋" w:eastAsia="仿宋" w:cs="仿宋"/>
                <w:sz w:val="30"/>
                <w:szCs w:val="30"/>
              </w:rPr>
            </w:pPr>
            <w:r>
              <w:rPr>
                <w:rFonts w:hint="eastAsia" w:ascii="仿宋" w:hAnsi="仿宋" w:eastAsia="仿宋" w:cs="仿宋"/>
                <w:sz w:val="30"/>
                <w:szCs w:val="30"/>
              </w:rPr>
              <w:t>8份</w:t>
            </w:r>
          </w:p>
        </w:tc>
        <w:tc>
          <w:tcPr>
            <w:tcW w:w="3343" w:type="dxa"/>
            <w:vAlign w:val="center"/>
          </w:tcPr>
          <w:p w14:paraId="7E6B00C1">
            <w:pPr>
              <w:wordWrap/>
              <w:spacing w:after="120" w:line="240" w:lineRule="auto"/>
              <w:ind w:firstLine="0" w:firstLineChars="0"/>
              <w:jc w:val="left"/>
              <w:rPr>
                <w:rFonts w:ascii="仿宋" w:hAnsi="仿宋" w:eastAsia="仿宋" w:cs="仿宋"/>
                <w:sz w:val="30"/>
                <w:szCs w:val="30"/>
              </w:rPr>
            </w:pPr>
            <w:r>
              <w:rPr>
                <w:rFonts w:hint="eastAsia" w:ascii="仿宋" w:hAnsi="仿宋" w:eastAsia="仿宋" w:cs="仿宋"/>
                <w:sz w:val="30"/>
                <w:szCs w:val="30"/>
              </w:rPr>
              <w:t>按发包人要求</w:t>
            </w:r>
          </w:p>
        </w:tc>
      </w:tr>
      <w:tr w14:paraId="2672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14:paraId="0537741F">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2</w:t>
            </w:r>
          </w:p>
        </w:tc>
        <w:tc>
          <w:tcPr>
            <w:tcW w:w="3467" w:type="dxa"/>
            <w:vAlign w:val="center"/>
          </w:tcPr>
          <w:p w14:paraId="4A6ED082">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 xml:space="preserve">施工图纸 </w:t>
            </w:r>
          </w:p>
        </w:tc>
        <w:tc>
          <w:tcPr>
            <w:tcW w:w="1267" w:type="dxa"/>
            <w:vAlign w:val="center"/>
          </w:tcPr>
          <w:p w14:paraId="6CD71A78">
            <w:pPr>
              <w:wordWrap/>
              <w:spacing w:after="120" w:line="400" w:lineRule="exact"/>
              <w:ind w:firstLine="0" w:firstLineChars="0"/>
              <w:jc w:val="center"/>
              <w:rPr>
                <w:rFonts w:ascii="仿宋" w:hAnsi="仿宋" w:eastAsia="仿宋" w:cs="仿宋"/>
                <w:sz w:val="30"/>
                <w:szCs w:val="30"/>
              </w:rPr>
            </w:pPr>
            <w:r>
              <w:rPr>
                <w:rFonts w:hint="eastAsia" w:ascii="仿宋" w:hAnsi="仿宋" w:eastAsia="仿宋" w:cs="仿宋"/>
                <w:bCs/>
                <w:sz w:val="30"/>
                <w:szCs w:val="30"/>
              </w:rPr>
              <w:t>18</w:t>
            </w:r>
            <w:r>
              <w:rPr>
                <w:rFonts w:hint="eastAsia" w:ascii="仿宋" w:hAnsi="仿宋" w:eastAsia="仿宋" w:cs="仿宋"/>
                <w:sz w:val="30"/>
                <w:szCs w:val="30"/>
              </w:rPr>
              <w:t>份</w:t>
            </w:r>
          </w:p>
        </w:tc>
        <w:tc>
          <w:tcPr>
            <w:tcW w:w="3343" w:type="dxa"/>
            <w:vAlign w:val="center"/>
          </w:tcPr>
          <w:p w14:paraId="63C8EDF9">
            <w:pPr>
              <w:wordWrap/>
              <w:spacing w:after="120" w:line="240" w:lineRule="auto"/>
              <w:ind w:firstLine="0" w:firstLineChars="0"/>
              <w:jc w:val="left"/>
              <w:rPr>
                <w:rFonts w:ascii="仿宋" w:hAnsi="仿宋" w:eastAsia="仿宋" w:cs="仿宋"/>
                <w:sz w:val="30"/>
                <w:szCs w:val="30"/>
              </w:rPr>
            </w:pPr>
            <w:r>
              <w:rPr>
                <w:rFonts w:hint="eastAsia" w:ascii="仿宋" w:hAnsi="仿宋" w:eastAsia="仿宋" w:cs="仿宋"/>
                <w:sz w:val="30"/>
                <w:szCs w:val="30"/>
              </w:rPr>
              <w:t>达到施工图设计深度要求</w:t>
            </w:r>
          </w:p>
        </w:tc>
      </w:tr>
      <w:tr w14:paraId="1540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14:paraId="29F007DB">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3</w:t>
            </w:r>
          </w:p>
        </w:tc>
        <w:tc>
          <w:tcPr>
            <w:tcW w:w="3467" w:type="dxa"/>
            <w:vAlign w:val="center"/>
          </w:tcPr>
          <w:p w14:paraId="24BA2289">
            <w:pPr>
              <w:wordWrap/>
              <w:spacing w:after="120"/>
              <w:ind w:firstLine="0" w:firstLineChars="0"/>
              <w:jc w:val="left"/>
              <w:rPr>
                <w:rFonts w:ascii="仿宋" w:hAnsi="仿宋" w:eastAsia="仿宋" w:cs="仿宋"/>
                <w:sz w:val="30"/>
                <w:szCs w:val="30"/>
              </w:rPr>
            </w:pPr>
            <w:r>
              <w:rPr>
                <w:rFonts w:hint="eastAsia" w:ascii="仿宋_GB2312" w:eastAsia="仿宋_GB2312"/>
                <w:sz w:val="30"/>
                <w:szCs w:val="30"/>
                <w:u w:val="single"/>
              </w:rPr>
              <w:t>施工图预算文件</w:t>
            </w:r>
          </w:p>
        </w:tc>
        <w:tc>
          <w:tcPr>
            <w:tcW w:w="1267" w:type="dxa"/>
            <w:vAlign w:val="center"/>
          </w:tcPr>
          <w:p w14:paraId="58AD928B">
            <w:pPr>
              <w:wordWrap/>
              <w:spacing w:after="120" w:line="400" w:lineRule="exact"/>
              <w:ind w:firstLine="0" w:firstLineChars="0"/>
              <w:jc w:val="center"/>
              <w:rPr>
                <w:rFonts w:ascii="仿宋" w:hAnsi="仿宋" w:eastAsia="仿宋" w:cs="仿宋"/>
                <w:sz w:val="30"/>
                <w:szCs w:val="30"/>
              </w:rPr>
            </w:pPr>
            <w:r>
              <w:rPr>
                <w:rFonts w:hint="eastAsia" w:ascii="仿宋" w:hAnsi="仿宋" w:eastAsia="仿宋" w:cs="仿宋"/>
                <w:bCs/>
                <w:sz w:val="30"/>
                <w:szCs w:val="30"/>
              </w:rPr>
              <w:t>8</w:t>
            </w:r>
            <w:r>
              <w:rPr>
                <w:rFonts w:hint="eastAsia" w:ascii="仿宋" w:hAnsi="仿宋" w:eastAsia="仿宋" w:cs="仿宋"/>
                <w:sz w:val="30"/>
                <w:szCs w:val="30"/>
              </w:rPr>
              <w:t>份</w:t>
            </w:r>
          </w:p>
        </w:tc>
        <w:tc>
          <w:tcPr>
            <w:tcW w:w="3343" w:type="dxa"/>
            <w:vAlign w:val="center"/>
          </w:tcPr>
          <w:p w14:paraId="50A04459">
            <w:pPr>
              <w:wordWrap/>
              <w:spacing w:after="120"/>
              <w:ind w:firstLine="0" w:firstLineChars="0"/>
              <w:jc w:val="left"/>
              <w:rPr>
                <w:rFonts w:ascii="仿宋" w:hAnsi="仿宋" w:eastAsia="仿宋" w:cs="仿宋"/>
                <w:sz w:val="30"/>
                <w:szCs w:val="30"/>
              </w:rPr>
            </w:pPr>
          </w:p>
        </w:tc>
      </w:tr>
      <w:tr w14:paraId="3056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14:paraId="60849A5A">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4</w:t>
            </w:r>
          </w:p>
        </w:tc>
        <w:tc>
          <w:tcPr>
            <w:tcW w:w="3467" w:type="dxa"/>
            <w:vAlign w:val="center"/>
          </w:tcPr>
          <w:p w14:paraId="2FA00BDE">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各专业技术需求书</w:t>
            </w:r>
          </w:p>
        </w:tc>
        <w:tc>
          <w:tcPr>
            <w:tcW w:w="1267" w:type="dxa"/>
            <w:vAlign w:val="center"/>
          </w:tcPr>
          <w:p w14:paraId="3726F114">
            <w:pPr>
              <w:wordWrap/>
              <w:spacing w:after="120" w:line="400" w:lineRule="exact"/>
              <w:ind w:firstLine="0" w:firstLineChars="0"/>
              <w:jc w:val="center"/>
              <w:rPr>
                <w:rFonts w:ascii="仿宋" w:hAnsi="仿宋" w:eastAsia="仿宋" w:cs="仿宋"/>
                <w:sz w:val="30"/>
                <w:szCs w:val="30"/>
              </w:rPr>
            </w:pPr>
            <w:r>
              <w:rPr>
                <w:rFonts w:hint="eastAsia" w:ascii="仿宋" w:hAnsi="仿宋" w:eastAsia="仿宋" w:cs="仿宋"/>
                <w:bCs/>
                <w:sz w:val="30"/>
                <w:szCs w:val="30"/>
              </w:rPr>
              <w:t>8</w:t>
            </w:r>
            <w:r>
              <w:rPr>
                <w:rFonts w:hint="eastAsia" w:ascii="仿宋" w:hAnsi="仿宋" w:eastAsia="仿宋" w:cs="仿宋"/>
                <w:sz w:val="30"/>
                <w:szCs w:val="30"/>
              </w:rPr>
              <w:t>份</w:t>
            </w:r>
          </w:p>
        </w:tc>
        <w:tc>
          <w:tcPr>
            <w:tcW w:w="3343" w:type="dxa"/>
            <w:vAlign w:val="center"/>
          </w:tcPr>
          <w:p w14:paraId="2194DD7A">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包括但不限于供电、给水、排水、智能化、通风空调、装饰装修等主要设备材料</w:t>
            </w:r>
          </w:p>
        </w:tc>
      </w:tr>
      <w:tr w14:paraId="1020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14:paraId="3C78FEA4">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5</w:t>
            </w:r>
          </w:p>
        </w:tc>
        <w:tc>
          <w:tcPr>
            <w:tcW w:w="3467" w:type="dxa"/>
            <w:vAlign w:val="center"/>
          </w:tcPr>
          <w:p w14:paraId="08CD20D1">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主要装饰装修机电设备材料的采购建议书</w:t>
            </w:r>
          </w:p>
        </w:tc>
        <w:tc>
          <w:tcPr>
            <w:tcW w:w="1267" w:type="dxa"/>
            <w:vAlign w:val="center"/>
          </w:tcPr>
          <w:p w14:paraId="332CDAED">
            <w:pPr>
              <w:wordWrap/>
              <w:spacing w:after="120" w:line="400" w:lineRule="exact"/>
              <w:ind w:firstLine="0" w:firstLineChars="0"/>
              <w:jc w:val="center"/>
              <w:rPr>
                <w:rFonts w:ascii="仿宋" w:hAnsi="仿宋" w:eastAsia="仿宋" w:cs="仿宋"/>
                <w:sz w:val="30"/>
                <w:szCs w:val="30"/>
              </w:rPr>
            </w:pPr>
            <w:r>
              <w:rPr>
                <w:rFonts w:hint="eastAsia" w:ascii="仿宋" w:hAnsi="仿宋" w:eastAsia="仿宋" w:cs="仿宋"/>
                <w:bCs/>
                <w:sz w:val="30"/>
                <w:szCs w:val="30"/>
              </w:rPr>
              <w:t>8</w:t>
            </w:r>
            <w:r>
              <w:rPr>
                <w:rFonts w:hint="eastAsia" w:ascii="仿宋" w:hAnsi="仿宋" w:eastAsia="仿宋" w:cs="仿宋"/>
                <w:sz w:val="30"/>
                <w:szCs w:val="30"/>
              </w:rPr>
              <w:t>份</w:t>
            </w:r>
          </w:p>
        </w:tc>
        <w:tc>
          <w:tcPr>
            <w:tcW w:w="3343" w:type="dxa"/>
            <w:vAlign w:val="center"/>
          </w:tcPr>
          <w:p w14:paraId="31B3D634">
            <w:pPr>
              <w:wordWrap/>
              <w:spacing w:after="120"/>
              <w:ind w:firstLine="0" w:firstLineChars="0"/>
              <w:jc w:val="left"/>
              <w:rPr>
                <w:rFonts w:ascii="仿宋" w:hAnsi="仿宋" w:eastAsia="仿宋" w:cs="仿宋"/>
                <w:sz w:val="30"/>
                <w:szCs w:val="30"/>
              </w:rPr>
            </w:pPr>
          </w:p>
        </w:tc>
      </w:tr>
      <w:tr w14:paraId="338D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14:paraId="73881906">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6</w:t>
            </w:r>
          </w:p>
        </w:tc>
        <w:tc>
          <w:tcPr>
            <w:tcW w:w="3467" w:type="dxa"/>
            <w:vAlign w:val="center"/>
          </w:tcPr>
          <w:p w14:paraId="18A1989F">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设计变更文件</w:t>
            </w:r>
          </w:p>
        </w:tc>
        <w:tc>
          <w:tcPr>
            <w:tcW w:w="1267" w:type="dxa"/>
            <w:vAlign w:val="center"/>
          </w:tcPr>
          <w:p w14:paraId="3F0D3F5A">
            <w:pPr>
              <w:wordWrap/>
              <w:spacing w:after="120" w:line="400" w:lineRule="exact"/>
              <w:ind w:firstLine="0" w:firstLineChars="0"/>
              <w:jc w:val="center"/>
              <w:rPr>
                <w:rFonts w:ascii="仿宋" w:hAnsi="仿宋" w:eastAsia="仿宋" w:cs="仿宋"/>
                <w:sz w:val="30"/>
                <w:szCs w:val="30"/>
              </w:rPr>
            </w:pPr>
            <w:r>
              <w:rPr>
                <w:rFonts w:hint="eastAsia" w:ascii="仿宋" w:hAnsi="仿宋" w:eastAsia="仿宋" w:cs="仿宋"/>
                <w:bCs/>
                <w:sz w:val="30"/>
                <w:szCs w:val="30"/>
              </w:rPr>
              <w:t>8</w:t>
            </w:r>
            <w:r>
              <w:rPr>
                <w:rFonts w:hint="eastAsia" w:ascii="仿宋" w:hAnsi="仿宋" w:eastAsia="仿宋" w:cs="仿宋"/>
                <w:sz w:val="30"/>
                <w:szCs w:val="30"/>
              </w:rPr>
              <w:t>份</w:t>
            </w:r>
          </w:p>
        </w:tc>
        <w:tc>
          <w:tcPr>
            <w:tcW w:w="3343" w:type="dxa"/>
            <w:vAlign w:val="center"/>
          </w:tcPr>
          <w:p w14:paraId="27D1C060">
            <w:pPr>
              <w:wordWrap/>
              <w:spacing w:after="120"/>
              <w:ind w:firstLine="0" w:firstLineChars="0"/>
              <w:jc w:val="left"/>
              <w:rPr>
                <w:rFonts w:ascii="仿宋" w:hAnsi="仿宋" w:eastAsia="仿宋" w:cs="仿宋"/>
                <w:sz w:val="30"/>
                <w:szCs w:val="30"/>
              </w:rPr>
            </w:pPr>
          </w:p>
        </w:tc>
      </w:tr>
      <w:tr w14:paraId="54DB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14:paraId="3351898F">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7</w:t>
            </w:r>
          </w:p>
        </w:tc>
        <w:tc>
          <w:tcPr>
            <w:tcW w:w="3467" w:type="dxa"/>
            <w:vAlign w:val="center"/>
          </w:tcPr>
          <w:p w14:paraId="20E1EFDC">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竣工图纸</w:t>
            </w:r>
          </w:p>
        </w:tc>
        <w:tc>
          <w:tcPr>
            <w:tcW w:w="1267" w:type="dxa"/>
            <w:vAlign w:val="center"/>
          </w:tcPr>
          <w:p w14:paraId="38B01EC5">
            <w:pPr>
              <w:wordWrap/>
              <w:spacing w:after="120" w:line="400" w:lineRule="exact"/>
              <w:ind w:firstLine="0" w:firstLineChars="0"/>
              <w:jc w:val="center"/>
              <w:rPr>
                <w:rFonts w:ascii="仿宋" w:hAnsi="仿宋" w:eastAsia="仿宋" w:cs="仿宋"/>
                <w:sz w:val="30"/>
                <w:szCs w:val="30"/>
              </w:rPr>
            </w:pPr>
            <w:r>
              <w:rPr>
                <w:rFonts w:hint="eastAsia" w:ascii="仿宋" w:hAnsi="仿宋" w:eastAsia="仿宋" w:cs="仿宋"/>
                <w:bCs/>
                <w:sz w:val="30"/>
                <w:szCs w:val="30"/>
              </w:rPr>
              <w:t>8</w:t>
            </w:r>
            <w:r>
              <w:rPr>
                <w:rFonts w:hint="eastAsia" w:ascii="仿宋" w:hAnsi="仿宋" w:eastAsia="仿宋" w:cs="仿宋"/>
                <w:sz w:val="30"/>
                <w:szCs w:val="30"/>
              </w:rPr>
              <w:t>份</w:t>
            </w:r>
          </w:p>
        </w:tc>
        <w:tc>
          <w:tcPr>
            <w:tcW w:w="3343" w:type="dxa"/>
            <w:vAlign w:val="center"/>
          </w:tcPr>
          <w:p w14:paraId="7AC63539">
            <w:pPr>
              <w:wordWrap/>
              <w:spacing w:after="120"/>
              <w:ind w:firstLine="0" w:firstLineChars="0"/>
              <w:jc w:val="left"/>
              <w:rPr>
                <w:rFonts w:ascii="仿宋" w:hAnsi="仿宋" w:eastAsia="仿宋" w:cs="仿宋"/>
                <w:sz w:val="30"/>
                <w:szCs w:val="30"/>
              </w:rPr>
            </w:pPr>
          </w:p>
        </w:tc>
      </w:tr>
      <w:tr w14:paraId="2CA5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Align w:val="center"/>
          </w:tcPr>
          <w:p w14:paraId="21166109">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8</w:t>
            </w:r>
          </w:p>
        </w:tc>
        <w:tc>
          <w:tcPr>
            <w:tcW w:w="3467" w:type="dxa"/>
            <w:vAlign w:val="center"/>
          </w:tcPr>
          <w:p w14:paraId="14B50AA0">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施工图纸复查意见</w:t>
            </w:r>
          </w:p>
        </w:tc>
        <w:tc>
          <w:tcPr>
            <w:tcW w:w="1267" w:type="dxa"/>
            <w:vAlign w:val="center"/>
          </w:tcPr>
          <w:p w14:paraId="508D462A">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8份</w:t>
            </w:r>
          </w:p>
        </w:tc>
        <w:tc>
          <w:tcPr>
            <w:tcW w:w="3343" w:type="dxa"/>
            <w:vAlign w:val="center"/>
          </w:tcPr>
          <w:p w14:paraId="10C88366">
            <w:pPr>
              <w:wordWrap/>
              <w:spacing w:after="120"/>
              <w:ind w:firstLine="0" w:firstLineChars="0"/>
              <w:jc w:val="center"/>
              <w:rPr>
                <w:rFonts w:ascii="仿宋" w:hAnsi="仿宋" w:eastAsia="仿宋" w:cs="仿宋"/>
                <w:sz w:val="30"/>
                <w:szCs w:val="30"/>
              </w:rPr>
            </w:pPr>
          </w:p>
        </w:tc>
      </w:tr>
    </w:tbl>
    <w:p w14:paraId="7D9B2386">
      <w:pPr>
        <w:pStyle w:val="26"/>
        <w:spacing w:after="120"/>
        <w:ind w:firstLine="600"/>
        <w:jc w:val="center"/>
        <w:rPr>
          <w:rFonts w:ascii="仿宋" w:hAnsi="仿宋" w:eastAsia="仿宋" w:cs="仿宋"/>
          <w:sz w:val="30"/>
          <w:szCs w:val="30"/>
        </w:rPr>
      </w:pPr>
    </w:p>
    <w:bookmarkEnd w:id="1040"/>
    <w:bookmarkEnd w:id="1041"/>
    <w:p w14:paraId="11E8053E">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5.2设计审查 </w:t>
      </w:r>
    </w:p>
    <w:p w14:paraId="30662763">
      <w:pPr>
        <w:spacing w:after="120"/>
        <w:ind w:firstLine="600"/>
        <w:rPr>
          <w:rFonts w:ascii="仿宋" w:hAnsi="仿宋" w:eastAsia="仿宋" w:cs="仿宋"/>
          <w:sz w:val="30"/>
          <w:szCs w:val="30"/>
        </w:rPr>
      </w:pPr>
      <w:r>
        <w:rPr>
          <w:rFonts w:hint="eastAsia" w:ascii="仿宋" w:hAnsi="仿宋" w:eastAsia="仿宋" w:cs="仿宋"/>
          <w:sz w:val="30"/>
          <w:szCs w:val="30"/>
        </w:rPr>
        <w:t>设计人的设计文件应报发包人审查同意。除合同另有约定外，自发包人收到设计人的设计文件之日起，发包人对设计人的设计文件审查期不超过</w:t>
      </w:r>
      <w:r>
        <w:rPr>
          <w:rFonts w:hint="eastAsia" w:ascii="仿宋" w:hAnsi="仿宋" w:eastAsia="仿宋" w:cs="仿宋"/>
          <w:sz w:val="30"/>
          <w:szCs w:val="30"/>
          <w:u w:val="single"/>
        </w:rPr>
        <w:t>30</w:t>
      </w:r>
      <w:r>
        <w:rPr>
          <w:rFonts w:hint="eastAsia" w:ascii="仿宋" w:hAnsi="仿宋" w:eastAsia="仿宋" w:cs="仿宋"/>
          <w:sz w:val="30"/>
          <w:szCs w:val="30"/>
        </w:rPr>
        <w:t>天。设计人的设计文件对于合同约定有偏离的，应当专项说明。设计人需要修改已提</w:t>
      </w:r>
      <w:bookmarkStart w:id="1042" w:name="_Toc448696395"/>
      <w:bookmarkStart w:id="1043" w:name="_Toc28042682"/>
      <w:bookmarkStart w:id="1044" w:name="_Toc447810626"/>
      <w:bookmarkStart w:id="1045" w:name="_Toc36146475"/>
      <w:bookmarkStart w:id="1046" w:name="_Toc447810077"/>
      <w:bookmarkStart w:id="1047" w:name="_Toc447809337"/>
      <w:bookmarkStart w:id="1048" w:name="_Toc6544"/>
      <w:bookmarkStart w:id="1049" w:name="_Toc447810356"/>
      <w:bookmarkStart w:id="1050" w:name="_Toc27169"/>
      <w:bookmarkStart w:id="1051" w:name="_Toc25588839"/>
      <w:r>
        <w:rPr>
          <w:rFonts w:hint="eastAsia" w:ascii="仿宋" w:hAnsi="仿宋" w:eastAsia="仿宋" w:cs="仿宋"/>
          <w:sz w:val="30"/>
          <w:szCs w:val="30"/>
        </w:rPr>
        <w:t>交的设计人文件</w:t>
      </w:r>
      <w:bookmarkEnd w:id="1042"/>
      <w:bookmarkEnd w:id="1043"/>
      <w:bookmarkEnd w:id="1044"/>
      <w:bookmarkEnd w:id="1045"/>
      <w:bookmarkEnd w:id="1046"/>
      <w:bookmarkEnd w:id="1047"/>
      <w:bookmarkEnd w:id="1048"/>
      <w:bookmarkEnd w:id="1049"/>
      <w:bookmarkEnd w:id="1050"/>
      <w:bookmarkEnd w:id="1051"/>
      <w:r>
        <w:rPr>
          <w:rFonts w:hint="eastAsia" w:ascii="仿宋" w:hAnsi="仿宋" w:eastAsia="仿宋" w:cs="仿宋"/>
          <w:sz w:val="30"/>
          <w:szCs w:val="30"/>
        </w:rPr>
        <w:t>的，应立即通知发包人，并向发包人提交修改后的设计文件，审查期重新起算。</w:t>
      </w:r>
    </w:p>
    <w:p w14:paraId="6FBE7047">
      <w:pPr>
        <w:spacing w:after="120"/>
        <w:ind w:firstLine="600"/>
        <w:jc w:val="left"/>
        <w:rPr>
          <w:rFonts w:ascii="仿宋" w:hAnsi="仿宋" w:eastAsia="仿宋" w:cs="仿宋"/>
          <w:sz w:val="30"/>
          <w:szCs w:val="30"/>
        </w:rPr>
      </w:pPr>
      <w:r>
        <w:rPr>
          <w:rFonts w:hint="eastAsia" w:ascii="仿宋" w:hAnsi="仿宋" w:eastAsia="仿宋" w:cs="仿宋"/>
          <w:sz w:val="30"/>
          <w:szCs w:val="30"/>
        </w:rPr>
        <w:t>发包人不同意设计文件的，应书面通知设计人，并说明不符合合同要求的具体内容。设计人应根据发包人的书面通知及说明，对设计人文件进行修改后重新报送发包人审查，审查期重新起算。</w:t>
      </w:r>
    </w:p>
    <w:p w14:paraId="39515F20">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5.3设计成果文编制质量：</w:t>
      </w:r>
    </w:p>
    <w:p w14:paraId="235B44E5">
      <w:pPr>
        <w:spacing w:after="120"/>
        <w:ind w:firstLine="810" w:firstLineChars="270"/>
        <w:rPr>
          <w:rFonts w:ascii="仿宋" w:hAnsi="仿宋" w:eastAsia="仿宋" w:cs="仿宋"/>
          <w:sz w:val="30"/>
          <w:szCs w:val="30"/>
        </w:rPr>
      </w:pPr>
      <w:r>
        <w:rPr>
          <w:rFonts w:hint="eastAsia" w:ascii="仿宋" w:hAnsi="仿宋" w:eastAsia="仿宋" w:cs="仿宋"/>
          <w:sz w:val="30"/>
          <w:szCs w:val="30"/>
        </w:rPr>
        <w:t>①工程总承包方编制的各阶段</w:t>
      </w:r>
      <w:r>
        <w:rPr>
          <w:rFonts w:hint="eastAsia" w:ascii="仿宋_GB2312" w:eastAsia="仿宋_GB2312"/>
          <w:sz w:val="30"/>
          <w:szCs w:val="30"/>
          <w:u w:val="single"/>
        </w:rPr>
        <w:t>施工图预算文件</w:t>
      </w:r>
      <w:r>
        <w:rPr>
          <w:rFonts w:hint="eastAsia" w:ascii="仿宋" w:hAnsi="仿宋" w:eastAsia="仿宋" w:cs="仿宋"/>
          <w:sz w:val="30"/>
          <w:szCs w:val="30"/>
        </w:rPr>
        <w:t>未按合同约定的时间提交，每延迟一天，罚款2万元；</w:t>
      </w:r>
    </w:p>
    <w:p w14:paraId="4DB503BF">
      <w:pPr>
        <w:spacing w:after="120"/>
        <w:ind w:firstLine="810" w:firstLineChars="270"/>
        <w:rPr>
          <w:rFonts w:ascii="仿宋" w:hAnsi="仿宋" w:eastAsia="仿宋" w:cs="仿宋"/>
          <w:sz w:val="30"/>
          <w:szCs w:val="30"/>
        </w:rPr>
      </w:pPr>
      <w:r>
        <w:rPr>
          <w:rFonts w:hint="eastAsia" w:ascii="仿宋" w:hAnsi="仿宋" w:eastAsia="仿宋" w:cs="仿宋"/>
          <w:sz w:val="30"/>
          <w:szCs w:val="30"/>
        </w:rPr>
        <w:t>②各阶段送审</w:t>
      </w:r>
      <w:r>
        <w:rPr>
          <w:rFonts w:hint="eastAsia" w:ascii="仿宋_GB2312" w:eastAsia="仿宋_GB2312"/>
          <w:sz w:val="30"/>
          <w:szCs w:val="30"/>
          <w:u w:val="single"/>
        </w:rPr>
        <w:t>施工图预算</w:t>
      </w:r>
      <w:r>
        <w:rPr>
          <w:rFonts w:hint="eastAsia" w:ascii="仿宋" w:hAnsi="仿宋" w:eastAsia="仿宋" w:cs="仿宋"/>
          <w:sz w:val="30"/>
          <w:szCs w:val="30"/>
        </w:rPr>
        <w:t>经发包方指定的咨询机构或政府财评单位审核后，综合误差率超过±5%-10%，罚款20万元，综合误差率超过±10%，罚款50万元；</w:t>
      </w:r>
    </w:p>
    <w:p w14:paraId="4CBB7D23">
      <w:pPr>
        <w:spacing w:after="120"/>
        <w:ind w:firstLine="810" w:firstLineChars="270"/>
        <w:rPr>
          <w:rFonts w:ascii="仿宋" w:hAnsi="仿宋" w:eastAsia="仿宋" w:cs="仿宋"/>
          <w:sz w:val="30"/>
          <w:szCs w:val="30"/>
        </w:rPr>
      </w:pPr>
      <w:r>
        <w:rPr>
          <w:rFonts w:hint="eastAsia" w:ascii="仿宋" w:hAnsi="仿宋" w:eastAsia="仿宋" w:cs="仿宋"/>
          <w:sz w:val="30"/>
          <w:szCs w:val="30"/>
        </w:rPr>
        <w:t>③各阶段送审</w:t>
      </w:r>
      <w:r>
        <w:rPr>
          <w:rFonts w:hint="eastAsia" w:ascii="仿宋_GB2312" w:eastAsia="仿宋_GB2312"/>
          <w:sz w:val="30"/>
          <w:szCs w:val="30"/>
          <w:u w:val="single"/>
        </w:rPr>
        <w:t>施工图预算</w:t>
      </w:r>
      <w:r>
        <w:rPr>
          <w:rFonts w:hint="eastAsia" w:ascii="仿宋" w:hAnsi="仿宋" w:eastAsia="仿宋" w:cs="仿宋"/>
          <w:sz w:val="30"/>
          <w:szCs w:val="30"/>
        </w:rPr>
        <w:t>中价格清单漏项、错项，每条清单项目造价5万元以上的，按该清单项目审核金额的10%处以罚款；</w:t>
      </w:r>
    </w:p>
    <w:p w14:paraId="5F00A051">
      <w:pPr>
        <w:spacing w:after="120"/>
        <w:ind w:firstLine="810" w:firstLineChars="270"/>
        <w:rPr>
          <w:rFonts w:ascii="仿宋" w:hAnsi="仿宋" w:eastAsia="仿宋" w:cs="仿宋"/>
          <w:sz w:val="30"/>
          <w:szCs w:val="30"/>
        </w:rPr>
      </w:pPr>
      <w:r>
        <w:rPr>
          <w:rFonts w:hint="eastAsia" w:ascii="仿宋" w:hAnsi="仿宋" w:eastAsia="仿宋" w:cs="仿宋"/>
          <w:sz w:val="30"/>
          <w:szCs w:val="30"/>
        </w:rPr>
        <w:t>④按施工图出图计划，各阶段送审预算累计超过30天未能按合同约定要求提交，发包人将委托第三方造价咨询机构代其编制预算，其预算编制费由承包人支付；编制费用参照广东省物价局粤价函[2011]742的规定计取。</w:t>
      </w:r>
    </w:p>
    <w:p w14:paraId="281B842D">
      <w:pPr>
        <w:spacing w:after="120"/>
        <w:ind w:firstLine="810" w:firstLineChars="270"/>
        <w:rPr>
          <w:rFonts w:ascii="仿宋" w:hAnsi="仿宋" w:eastAsia="仿宋" w:cs="仿宋"/>
          <w:sz w:val="30"/>
          <w:szCs w:val="30"/>
        </w:rPr>
      </w:pPr>
      <w:r>
        <w:rPr>
          <w:rFonts w:hint="eastAsia" w:ascii="仿宋" w:hAnsi="仿宋" w:eastAsia="仿宋" w:cs="仿宋"/>
          <w:sz w:val="30"/>
          <w:szCs w:val="30"/>
        </w:rPr>
        <w:t>⑤经发包人指定的工程咨询机构对第三方造价咨询单位编制的</w:t>
      </w:r>
      <w:r>
        <w:rPr>
          <w:rFonts w:hint="eastAsia" w:ascii="仿宋_GB2312" w:eastAsia="仿宋_GB2312"/>
          <w:sz w:val="30"/>
          <w:szCs w:val="30"/>
          <w:u w:val="single"/>
        </w:rPr>
        <w:t>施工图预算</w:t>
      </w:r>
      <w:r>
        <w:rPr>
          <w:rFonts w:hint="eastAsia" w:ascii="仿宋" w:hAnsi="仿宋" w:eastAsia="仿宋" w:cs="仿宋"/>
          <w:sz w:val="30"/>
          <w:szCs w:val="30"/>
        </w:rPr>
        <w:t>结果进行审核，经编审双方、发包人共同确定审核结果；承包人应在10个工作日内确定（盖章、签名），并作签订补充协议、确定合同价格的依据。若超过10个工作日不确定，又未举证该审核结果存在重大遗漏与失误，则按国家相关确定，视同确认。</w:t>
      </w:r>
    </w:p>
    <w:p w14:paraId="01870A0C">
      <w:pPr>
        <w:spacing w:after="120"/>
        <w:ind w:firstLine="810" w:firstLineChars="270"/>
        <w:rPr>
          <w:rFonts w:ascii="仿宋" w:hAnsi="仿宋" w:eastAsia="仿宋" w:cs="仿宋"/>
          <w:sz w:val="30"/>
          <w:szCs w:val="30"/>
        </w:rPr>
      </w:pPr>
      <w:r>
        <w:rPr>
          <w:rFonts w:hint="eastAsia" w:ascii="仿宋" w:hAnsi="仿宋" w:eastAsia="仿宋" w:cs="仿宋"/>
          <w:sz w:val="30"/>
          <w:szCs w:val="30"/>
        </w:rPr>
        <w:t>以上罚款均在当期应支付进度款扣除，并在最终结算价款支付时按审核后的工程造价剔除罚款金额。</w:t>
      </w:r>
    </w:p>
    <w:p w14:paraId="482C9E93">
      <w:pPr>
        <w:pStyle w:val="4"/>
        <w:spacing w:before="120" w:beforeLines="50" w:after="120"/>
        <w:ind w:firstLine="602"/>
        <w:rPr>
          <w:rFonts w:ascii="仿宋" w:hAnsi="仿宋" w:eastAsia="仿宋" w:cs="仿宋"/>
          <w:sz w:val="30"/>
          <w:szCs w:val="30"/>
        </w:rPr>
      </w:pPr>
      <w:bookmarkStart w:id="1052" w:name="_Toc2221"/>
      <w:bookmarkStart w:id="1053" w:name="_Toc26269"/>
      <w:bookmarkStart w:id="1054" w:name="_Toc9213"/>
      <w:r>
        <w:rPr>
          <w:rFonts w:hint="eastAsia" w:ascii="仿宋" w:hAnsi="仿宋" w:eastAsia="仿宋" w:cs="仿宋"/>
          <w:sz w:val="30"/>
          <w:szCs w:val="30"/>
        </w:rPr>
        <w:t>6.设计费用</w:t>
      </w:r>
      <w:bookmarkEnd w:id="1052"/>
      <w:bookmarkEnd w:id="1053"/>
      <w:bookmarkEnd w:id="1054"/>
    </w:p>
    <w:p w14:paraId="7ED63389">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6.1设计费支付条件和支付时间 </w:t>
      </w:r>
    </w:p>
    <w:p w14:paraId="6C2A2AF4">
      <w:pPr>
        <w:spacing w:after="120"/>
        <w:ind w:firstLine="606" w:firstLineChars="202"/>
        <w:rPr>
          <w:rFonts w:ascii="仿宋" w:hAnsi="仿宋" w:eastAsia="仿宋" w:cs="仿宋"/>
          <w:sz w:val="30"/>
          <w:szCs w:val="30"/>
        </w:rPr>
      </w:pPr>
      <w:r>
        <w:rPr>
          <w:rFonts w:hint="eastAsia" w:ascii="仿宋" w:hAnsi="仿宋" w:eastAsia="仿宋" w:cs="仿宋"/>
          <w:sz w:val="30"/>
          <w:szCs w:val="30"/>
        </w:rPr>
        <w:t>设计费合同额为元（不含</w:t>
      </w:r>
      <w:r>
        <w:rPr>
          <w:rFonts w:ascii="仿宋" w:hAnsi="仿宋" w:eastAsia="仿宋" w:cs="仿宋"/>
          <w:sz w:val="30"/>
          <w:szCs w:val="30"/>
        </w:rPr>
        <w:t>BIM技术应用费</w:t>
      </w:r>
      <w:r>
        <w:rPr>
          <w:rFonts w:hint="eastAsia" w:ascii="仿宋" w:hAnsi="仿宋" w:eastAsia="仿宋" w:cs="仿宋"/>
          <w:sz w:val="30"/>
          <w:szCs w:val="30"/>
        </w:rPr>
        <w:t>）。</w:t>
      </w:r>
    </w:p>
    <w:p w14:paraId="66327D71">
      <w:pPr>
        <w:numPr>
          <w:ilvl w:val="0"/>
          <w:numId w:val="32"/>
        </w:numPr>
        <w:spacing w:after="120"/>
        <w:ind w:firstLine="606" w:firstLineChars="202"/>
        <w:rPr>
          <w:rFonts w:ascii="仿宋" w:hAnsi="仿宋" w:eastAsia="仿宋" w:cs="仿宋"/>
          <w:sz w:val="30"/>
          <w:szCs w:val="30"/>
        </w:rPr>
      </w:pPr>
      <w:r>
        <w:rPr>
          <w:rFonts w:hint="eastAsia" w:ascii="仿宋" w:hAnsi="仿宋" w:eastAsia="仿宋" w:cs="仿宋"/>
          <w:sz w:val="30"/>
          <w:szCs w:val="30"/>
        </w:rPr>
        <w:t>基本设计费支付约定：</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4108"/>
        <w:gridCol w:w="2145"/>
        <w:gridCol w:w="1433"/>
      </w:tblGrid>
      <w:tr w14:paraId="2F0B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730F389C">
            <w:pPr>
              <w:spacing w:after="120"/>
              <w:ind w:firstLine="0" w:firstLineChars="0"/>
              <w:rPr>
                <w:rFonts w:ascii="仿宋_GB2312" w:eastAsia="仿宋_GB2312"/>
                <w:sz w:val="28"/>
                <w:szCs w:val="28"/>
              </w:rPr>
            </w:pPr>
            <w:r>
              <w:rPr>
                <w:rFonts w:hint="eastAsia" w:ascii="仿宋_GB2312" w:eastAsia="仿宋_GB2312"/>
                <w:sz w:val="28"/>
                <w:szCs w:val="28"/>
              </w:rPr>
              <w:t>支付节点</w:t>
            </w:r>
          </w:p>
        </w:tc>
        <w:tc>
          <w:tcPr>
            <w:tcW w:w="4108" w:type="dxa"/>
            <w:vAlign w:val="center"/>
          </w:tcPr>
          <w:p w14:paraId="0E7A0003">
            <w:pPr>
              <w:spacing w:after="120"/>
              <w:ind w:firstLine="560"/>
              <w:jc w:val="center"/>
              <w:rPr>
                <w:rFonts w:ascii="仿宋_GB2312" w:eastAsia="仿宋_GB2312"/>
                <w:sz w:val="28"/>
                <w:szCs w:val="28"/>
              </w:rPr>
            </w:pPr>
            <w:r>
              <w:rPr>
                <w:rFonts w:hint="eastAsia" w:ascii="仿宋_GB2312" w:eastAsia="仿宋_GB2312"/>
                <w:sz w:val="28"/>
                <w:szCs w:val="28"/>
              </w:rPr>
              <w:t>支付条件</w:t>
            </w:r>
          </w:p>
        </w:tc>
        <w:tc>
          <w:tcPr>
            <w:tcW w:w="2145" w:type="dxa"/>
            <w:vAlign w:val="center"/>
          </w:tcPr>
          <w:p w14:paraId="05CEAF0F">
            <w:pPr>
              <w:spacing w:after="120"/>
              <w:ind w:firstLine="560"/>
              <w:jc w:val="center"/>
              <w:rPr>
                <w:rFonts w:ascii="仿宋_GB2312" w:eastAsia="仿宋_GB2312"/>
                <w:sz w:val="28"/>
                <w:szCs w:val="28"/>
              </w:rPr>
            </w:pPr>
            <w:r>
              <w:rPr>
                <w:rFonts w:hint="eastAsia" w:ascii="仿宋_GB2312" w:eastAsia="仿宋_GB2312"/>
                <w:sz w:val="28"/>
                <w:szCs w:val="28"/>
              </w:rPr>
              <w:t>支付金额</w:t>
            </w:r>
          </w:p>
        </w:tc>
        <w:tc>
          <w:tcPr>
            <w:tcW w:w="1433" w:type="dxa"/>
            <w:vAlign w:val="center"/>
          </w:tcPr>
          <w:p w14:paraId="4667A2A7">
            <w:pPr>
              <w:spacing w:after="120"/>
              <w:ind w:firstLine="0" w:firstLineChars="0"/>
              <w:rPr>
                <w:rFonts w:ascii="仿宋_GB2312" w:eastAsia="仿宋_GB2312"/>
                <w:sz w:val="28"/>
                <w:szCs w:val="28"/>
              </w:rPr>
            </w:pPr>
            <w:r>
              <w:rPr>
                <w:rFonts w:hint="eastAsia" w:ascii="仿宋_GB2312" w:eastAsia="仿宋_GB2312"/>
                <w:sz w:val="28"/>
                <w:szCs w:val="28"/>
              </w:rPr>
              <w:t>考评标准</w:t>
            </w:r>
          </w:p>
        </w:tc>
      </w:tr>
      <w:tr w14:paraId="3834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672DFE12">
            <w:pPr>
              <w:spacing w:after="120"/>
              <w:ind w:firstLine="560"/>
              <w:jc w:val="center"/>
              <w:rPr>
                <w:rFonts w:ascii="仿宋_GB2312" w:eastAsia="仿宋_GB2312"/>
                <w:sz w:val="28"/>
                <w:szCs w:val="28"/>
              </w:rPr>
            </w:pPr>
            <w:r>
              <w:rPr>
                <w:rFonts w:ascii="仿宋_GB2312" w:eastAsia="仿宋_GB2312"/>
                <w:sz w:val="28"/>
                <w:szCs w:val="28"/>
              </w:rPr>
              <w:t>1</w:t>
            </w:r>
          </w:p>
        </w:tc>
        <w:tc>
          <w:tcPr>
            <w:tcW w:w="4108" w:type="dxa"/>
            <w:vAlign w:val="center"/>
          </w:tcPr>
          <w:p w14:paraId="02743594">
            <w:pPr>
              <w:spacing w:after="120"/>
              <w:ind w:firstLine="560"/>
              <w:jc w:val="center"/>
              <w:rPr>
                <w:rFonts w:ascii="仿宋_GB2312" w:eastAsia="仿宋_GB2312"/>
                <w:sz w:val="28"/>
                <w:szCs w:val="28"/>
              </w:rPr>
            </w:pPr>
            <w:r>
              <w:rPr>
                <w:rFonts w:hint="eastAsia" w:ascii="仿宋_GB2312" w:eastAsia="仿宋_GB2312"/>
                <w:sz w:val="28"/>
                <w:szCs w:val="28"/>
              </w:rPr>
              <w:t>签订合同并提交履约保函</w:t>
            </w:r>
          </w:p>
        </w:tc>
        <w:tc>
          <w:tcPr>
            <w:tcW w:w="2145" w:type="dxa"/>
            <w:vAlign w:val="center"/>
          </w:tcPr>
          <w:p w14:paraId="1683504F">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10%</w:t>
            </w:r>
          </w:p>
        </w:tc>
        <w:tc>
          <w:tcPr>
            <w:tcW w:w="1433" w:type="dxa"/>
            <w:vAlign w:val="center"/>
          </w:tcPr>
          <w:p w14:paraId="5FEC3FC7">
            <w:pPr>
              <w:spacing w:after="120"/>
              <w:ind w:firstLine="0" w:firstLineChars="0"/>
              <w:rPr>
                <w:rFonts w:ascii="仿宋_GB2312" w:eastAsia="仿宋_GB2312"/>
                <w:sz w:val="28"/>
                <w:szCs w:val="28"/>
              </w:rPr>
            </w:pPr>
            <w:r>
              <w:rPr>
                <w:rFonts w:ascii="仿宋_GB2312" w:eastAsia="仿宋_GB2312"/>
                <w:sz w:val="28"/>
                <w:szCs w:val="28"/>
              </w:rPr>
              <w:t>/</w:t>
            </w:r>
          </w:p>
        </w:tc>
      </w:tr>
      <w:tr w14:paraId="0F04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22F3DC81">
            <w:pPr>
              <w:spacing w:after="120"/>
              <w:ind w:firstLine="560"/>
              <w:jc w:val="center"/>
              <w:rPr>
                <w:rFonts w:ascii="仿宋_GB2312" w:eastAsia="仿宋_GB2312"/>
                <w:sz w:val="28"/>
                <w:szCs w:val="28"/>
              </w:rPr>
            </w:pPr>
            <w:r>
              <w:rPr>
                <w:rFonts w:ascii="仿宋_GB2312" w:eastAsia="仿宋_GB2312"/>
                <w:sz w:val="28"/>
                <w:szCs w:val="28"/>
              </w:rPr>
              <w:t>2</w:t>
            </w:r>
          </w:p>
        </w:tc>
        <w:tc>
          <w:tcPr>
            <w:tcW w:w="4108" w:type="dxa"/>
            <w:vAlign w:val="center"/>
          </w:tcPr>
          <w:p w14:paraId="63C5682A">
            <w:pPr>
              <w:spacing w:after="120"/>
              <w:ind w:firstLine="560"/>
              <w:jc w:val="center"/>
              <w:rPr>
                <w:rFonts w:ascii="仿宋_GB2312" w:eastAsia="仿宋_GB2312"/>
                <w:sz w:val="28"/>
                <w:szCs w:val="28"/>
              </w:rPr>
            </w:pPr>
            <w:r>
              <w:rPr>
                <w:rFonts w:hint="eastAsia" w:ascii="仿宋_GB2312" w:eastAsia="仿宋_GB2312"/>
                <w:sz w:val="28"/>
                <w:szCs w:val="28"/>
              </w:rPr>
              <w:t>取得施工图审查合格报告</w:t>
            </w:r>
          </w:p>
        </w:tc>
        <w:tc>
          <w:tcPr>
            <w:tcW w:w="2145" w:type="dxa"/>
            <w:vAlign w:val="center"/>
          </w:tcPr>
          <w:p w14:paraId="2467F1E9">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35%×A</w:t>
            </w:r>
          </w:p>
        </w:tc>
        <w:tc>
          <w:tcPr>
            <w:tcW w:w="1433" w:type="dxa"/>
            <w:vAlign w:val="center"/>
          </w:tcPr>
          <w:p w14:paraId="6375A644">
            <w:pPr>
              <w:spacing w:after="120"/>
              <w:ind w:firstLine="0" w:firstLineChars="0"/>
              <w:rPr>
                <w:rFonts w:ascii="仿宋_GB2312" w:eastAsia="仿宋_GB2312"/>
                <w:sz w:val="28"/>
                <w:szCs w:val="28"/>
              </w:rPr>
            </w:pPr>
            <w:r>
              <w:rPr>
                <w:rFonts w:hint="eastAsia" w:ascii="仿宋_GB2312" w:eastAsia="仿宋_GB2312"/>
                <w:sz w:val="28"/>
                <w:szCs w:val="28"/>
              </w:rPr>
              <w:t>按履约评价实施细则附件三</w:t>
            </w:r>
          </w:p>
        </w:tc>
      </w:tr>
      <w:tr w14:paraId="6B57F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39CEB8A2">
            <w:pPr>
              <w:spacing w:after="120"/>
              <w:ind w:firstLine="560"/>
              <w:jc w:val="center"/>
              <w:rPr>
                <w:rFonts w:ascii="仿宋_GB2312" w:eastAsia="仿宋_GB2312"/>
                <w:sz w:val="28"/>
                <w:szCs w:val="28"/>
              </w:rPr>
            </w:pPr>
            <w:r>
              <w:rPr>
                <w:rFonts w:ascii="仿宋_GB2312" w:eastAsia="仿宋_GB2312"/>
                <w:sz w:val="28"/>
                <w:szCs w:val="28"/>
              </w:rPr>
              <w:t>3</w:t>
            </w:r>
          </w:p>
        </w:tc>
        <w:tc>
          <w:tcPr>
            <w:tcW w:w="4108" w:type="dxa"/>
            <w:vAlign w:val="center"/>
          </w:tcPr>
          <w:p w14:paraId="0E261E07">
            <w:pPr>
              <w:spacing w:after="120"/>
              <w:ind w:firstLine="560"/>
              <w:jc w:val="center"/>
              <w:rPr>
                <w:rFonts w:ascii="仿宋_GB2312" w:eastAsia="仿宋_GB2312"/>
                <w:sz w:val="28"/>
                <w:szCs w:val="28"/>
              </w:rPr>
            </w:pPr>
            <w:r>
              <w:rPr>
                <w:rFonts w:hint="eastAsia" w:ascii="仿宋_GB2312" w:eastAsia="仿宋_GB2312"/>
                <w:sz w:val="28"/>
                <w:szCs w:val="28"/>
              </w:rPr>
              <w:t>其它专业施工图及各专业深化施工图完成施工图审查，且完成施工图预算审定</w:t>
            </w:r>
          </w:p>
        </w:tc>
        <w:tc>
          <w:tcPr>
            <w:tcW w:w="2145" w:type="dxa"/>
            <w:vAlign w:val="center"/>
          </w:tcPr>
          <w:p w14:paraId="5231B4F1">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30%×A+F</w:t>
            </w:r>
          </w:p>
        </w:tc>
        <w:tc>
          <w:tcPr>
            <w:tcW w:w="1433" w:type="dxa"/>
            <w:vAlign w:val="center"/>
          </w:tcPr>
          <w:p w14:paraId="1CDE77D6">
            <w:pPr>
              <w:spacing w:after="120"/>
              <w:ind w:firstLine="0" w:firstLineChars="0"/>
              <w:rPr>
                <w:rFonts w:ascii="仿宋_GB2312" w:eastAsia="仿宋_GB2312"/>
                <w:sz w:val="28"/>
                <w:szCs w:val="28"/>
              </w:rPr>
            </w:pPr>
            <w:r>
              <w:rPr>
                <w:rFonts w:hint="eastAsia" w:ascii="仿宋_GB2312" w:eastAsia="仿宋_GB2312"/>
                <w:sz w:val="28"/>
                <w:szCs w:val="28"/>
              </w:rPr>
              <w:t>按履约评价实施细则附件三</w:t>
            </w:r>
          </w:p>
        </w:tc>
      </w:tr>
      <w:tr w14:paraId="2E75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4F3F5517">
            <w:pPr>
              <w:spacing w:after="120"/>
              <w:ind w:firstLine="560"/>
              <w:jc w:val="center"/>
              <w:rPr>
                <w:rFonts w:ascii="仿宋_GB2312" w:eastAsia="仿宋_GB2312"/>
                <w:sz w:val="28"/>
                <w:szCs w:val="28"/>
              </w:rPr>
            </w:pPr>
            <w:r>
              <w:rPr>
                <w:rFonts w:ascii="仿宋_GB2312" w:eastAsia="仿宋_GB2312"/>
                <w:sz w:val="28"/>
                <w:szCs w:val="28"/>
              </w:rPr>
              <w:t>4</w:t>
            </w:r>
          </w:p>
        </w:tc>
        <w:tc>
          <w:tcPr>
            <w:tcW w:w="4108" w:type="dxa"/>
            <w:vAlign w:val="center"/>
          </w:tcPr>
          <w:p w14:paraId="6A46DE52">
            <w:pPr>
              <w:spacing w:after="120"/>
              <w:ind w:firstLine="560"/>
              <w:jc w:val="center"/>
              <w:rPr>
                <w:rFonts w:ascii="仿宋_GB2312" w:eastAsia="仿宋_GB2312"/>
                <w:sz w:val="28"/>
                <w:szCs w:val="28"/>
              </w:rPr>
            </w:pPr>
            <w:r>
              <w:rPr>
                <w:rFonts w:hint="eastAsia" w:ascii="仿宋_GB2312" w:eastAsia="仿宋_GB2312"/>
                <w:sz w:val="28"/>
                <w:szCs w:val="28"/>
              </w:rPr>
              <w:t>向城建档案管理部门移交全套工程资料并取得相关证明，并完成所有设计变更审批手续</w:t>
            </w:r>
          </w:p>
        </w:tc>
        <w:tc>
          <w:tcPr>
            <w:tcW w:w="2145" w:type="dxa"/>
            <w:vAlign w:val="center"/>
          </w:tcPr>
          <w:p w14:paraId="3AC2B59F">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10%×B</w:t>
            </w:r>
          </w:p>
        </w:tc>
        <w:tc>
          <w:tcPr>
            <w:tcW w:w="1433" w:type="dxa"/>
            <w:vAlign w:val="center"/>
          </w:tcPr>
          <w:p w14:paraId="0D826552">
            <w:pPr>
              <w:spacing w:after="120"/>
              <w:ind w:firstLine="0" w:firstLineChars="0"/>
              <w:rPr>
                <w:rFonts w:ascii="仿宋_GB2312" w:eastAsia="仿宋_GB2312"/>
                <w:sz w:val="28"/>
                <w:szCs w:val="28"/>
              </w:rPr>
            </w:pPr>
            <w:r>
              <w:rPr>
                <w:rFonts w:hint="eastAsia" w:ascii="仿宋_GB2312" w:eastAsia="仿宋_GB2312"/>
                <w:sz w:val="28"/>
                <w:szCs w:val="28"/>
              </w:rPr>
              <w:t>按履约评价实施细则附件四</w:t>
            </w:r>
          </w:p>
        </w:tc>
      </w:tr>
      <w:tr w14:paraId="2C08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4E82405E">
            <w:pPr>
              <w:spacing w:after="120"/>
              <w:ind w:firstLine="560"/>
              <w:jc w:val="center"/>
              <w:rPr>
                <w:rFonts w:ascii="仿宋_GB2312" w:eastAsia="仿宋_GB2312"/>
                <w:sz w:val="28"/>
                <w:szCs w:val="28"/>
              </w:rPr>
            </w:pPr>
            <w:r>
              <w:rPr>
                <w:rFonts w:ascii="仿宋_GB2312" w:eastAsia="仿宋_GB2312"/>
                <w:sz w:val="28"/>
                <w:szCs w:val="28"/>
              </w:rPr>
              <w:t>5</w:t>
            </w:r>
          </w:p>
        </w:tc>
        <w:tc>
          <w:tcPr>
            <w:tcW w:w="4108" w:type="dxa"/>
            <w:vAlign w:val="center"/>
          </w:tcPr>
          <w:p w14:paraId="55F7C09B">
            <w:pPr>
              <w:spacing w:after="120"/>
              <w:ind w:firstLine="560"/>
              <w:jc w:val="center"/>
              <w:rPr>
                <w:rFonts w:ascii="仿宋_GB2312" w:eastAsia="仿宋_GB2312"/>
                <w:sz w:val="28"/>
                <w:szCs w:val="28"/>
              </w:rPr>
            </w:pPr>
            <w:r>
              <w:rPr>
                <w:rFonts w:hint="eastAsia" w:ascii="仿宋_GB2312" w:eastAsia="仿宋_GB2312"/>
                <w:sz w:val="28"/>
                <w:szCs w:val="28"/>
              </w:rPr>
              <w:t>合同结算经省政府财政部门审定</w:t>
            </w:r>
          </w:p>
        </w:tc>
        <w:tc>
          <w:tcPr>
            <w:tcW w:w="2145" w:type="dxa"/>
            <w:vAlign w:val="center"/>
          </w:tcPr>
          <w:p w14:paraId="485C92D9">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10%或按省政府财政部门审定应付金额</w:t>
            </w:r>
          </w:p>
        </w:tc>
        <w:tc>
          <w:tcPr>
            <w:tcW w:w="1433" w:type="dxa"/>
            <w:vAlign w:val="center"/>
          </w:tcPr>
          <w:p w14:paraId="7130647F">
            <w:pPr>
              <w:spacing w:after="120"/>
              <w:ind w:firstLine="0" w:firstLineChars="0"/>
              <w:rPr>
                <w:rFonts w:ascii="仿宋_GB2312" w:eastAsia="仿宋_GB2312"/>
                <w:sz w:val="28"/>
                <w:szCs w:val="28"/>
              </w:rPr>
            </w:pPr>
            <w:r>
              <w:rPr>
                <w:rFonts w:ascii="仿宋_GB2312" w:eastAsia="仿宋_GB2312"/>
                <w:sz w:val="28"/>
                <w:szCs w:val="28"/>
              </w:rPr>
              <w:t>/</w:t>
            </w:r>
          </w:p>
        </w:tc>
      </w:tr>
      <w:tr w14:paraId="2AF7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836" w:type="dxa"/>
            <w:vAlign w:val="center"/>
          </w:tcPr>
          <w:p w14:paraId="7029CA5E">
            <w:pPr>
              <w:spacing w:after="120"/>
              <w:ind w:firstLine="560"/>
              <w:jc w:val="center"/>
              <w:rPr>
                <w:rFonts w:ascii="仿宋_GB2312" w:eastAsia="仿宋_GB2312"/>
                <w:sz w:val="28"/>
                <w:szCs w:val="28"/>
              </w:rPr>
            </w:pPr>
            <w:r>
              <w:rPr>
                <w:rFonts w:ascii="仿宋_GB2312" w:eastAsia="仿宋_GB2312"/>
                <w:sz w:val="28"/>
                <w:szCs w:val="28"/>
              </w:rPr>
              <w:t>6</w:t>
            </w:r>
          </w:p>
        </w:tc>
        <w:tc>
          <w:tcPr>
            <w:tcW w:w="4108" w:type="dxa"/>
            <w:vAlign w:val="center"/>
          </w:tcPr>
          <w:p w14:paraId="5020EF3F">
            <w:pPr>
              <w:spacing w:after="120"/>
              <w:ind w:firstLine="560"/>
              <w:jc w:val="center"/>
              <w:rPr>
                <w:rFonts w:ascii="仿宋_GB2312" w:eastAsia="仿宋_GB2312"/>
                <w:sz w:val="28"/>
                <w:szCs w:val="28"/>
              </w:rPr>
            </w:pPr>
            <w:r>
              <w:rPr>
                <w:rFonts w:hint="eastAsia" w:ascii="仿宋_GB2312" w:eastAsia="仿宋_GB2312"/>
                <w:sz w:val="28"/>
                <w:szCs w:val="28"/>
              </w:rPr>
              <w:t>缺陷责任期届满</w:t>
            </w:r>
          </w:p>
        </w:tc>
        <w:tc>
          <w:tcPr>
            <w:tcW w:w="2145" w:type="dxa"/>
            <w:vAlign w:val="center"/>
          </w:tcPr>
          <w:p w14:paraId="361FAAF1">
            <w:pPr>
              <w:spacing w:after="120"/>
              <w:ind w:firstLine="560"/>
              <w:jc w:val="center"/>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5%×C</w:t>
            </w:r>
          </w:p>
        </w:tc>
        <w:tc>
          <w:tcPr>
            <w:tcW w:w="1433" w:type="dxa"/>
            <w:vAlign w:val="center"/>
          </w:tcPr>
          <w:p w14:paraId="43A47059">
            <w:pPr>
              <w:spacing w:after="120"/>
              <w:ind w:firstLine="0" w:firstLineChars="0"/>
              <w:rPr>
                <w:rFonts w:ascii="仿宋_GB2312" w:eastAsia="仿宋_GB2312"/>
                <w:sz w:val="28"/>
                <w:szCs w:val="28"/>
              </w:rPr>
            </w:pPr>
            <w:r>
              <w:rPr>
                <w:rFonts w:hint="eastAsia" w:ascii="仿宋_GB2312" w:eastAsia="仿宋_GB2312"/>
                <w:sz w:val="28"/>
                <w:szCs w:val="28"/>
              </w:rPr>
              <w:t>按履约评价实施细则附件五</w:t>
            </w:r>
          </w:p>
        </w:tc>
      </w:tr>
    </w:tbl>
    <w:p w14:paraId="1BFC3F0D">
      <w:pPr>
        <w:spacing w:after="120" w:line="560" w:lineRule="exact"/>
        <w:ind w:firstLine="643"/>
        <w:rPr>
          <w:rFonts w:ascii="仿宋_GB2312" w:eastAsia="仿宋_GB2312"/>
          <w:b/>
          <w:sz w:val="32"/>
          <w:szCs w:val="32"/>
        </w:rPr>
      </w:pPr>
      <w:r>
        <w:rPr>
          <w:rFonts w:hint="eastAsia" w:ascii="仿宋_GB2312" w:eastAsia="仿宋_GB2312"/>
          <w:b/>
          <w:sz w:val="32"/>
          <w:szCs w:val="32"/>
        </w:rPr>
        <w:t>注：</w:t>
      </w:r>
    </w:p>
    <w:p w14:paraId="5DEACF01">
      <w:pPr>
        <w:spacing w:after="120" w:line="560" w:lineRule="exact"/>
        <w:ind w:firstLine="640"/>
        <w:rPr>
          <w:rFonts w:ascii="仿宋_GB2312" w:eastAsia="仿宋_GB2312"/>
          <w:sz w:val="32"/>
          <w:szCs w:val="32"/>
        </w:rPr>
      </w:pPr>
      <w:r>
        <w:rPr>
          <w:rFonts w:hint="eastAsia" w:ascii="仿宋_GB2312" w:eastAsia="仿宋_GB2312"/>
          <w:sz w:val="32"/>
          <w:szCs w:val="32"/>
        </w:rPr>
        <w:t>①基数为合同设计费总额（不含BIM 设计费）扣除合同约定的方案补偿费。</w:t>
      </w:r>
    </w:p>
    <w:p w14:paraId="5904533E">
      <w:pPr>
        <w:spacing w:after="120" w:line="560" w:lineRule="exact"/>
        <w:ind w:firstLine="640"/>
        <w:rPr>
          <w:rFonts w:ascii="仿宋_GB2312" w:eastAsia="仿宋_GB2312"/>
          <w:sz w:val="32"/>
          <w:szCs w:val="32"/>
        </w:rPr>
      </w:pPr>
      <w:r>
        <w:rPr>
          <w:rFonts w:hint="eastAsia" w:ascii="仿宋_GB2312" w:eastAsia="仿宋_GB2312"/>
          <w:sz w:val="32"/>
          <w:szCs w:val="32"/>
        </w:rPr>
        <w:t>②A为设计阶段合同履约评价得分对应的暂付设计费支付比例。</w:t>
      </w:r>
    </w:p>
    <w:p w14:paraId="5949F53C">
      <w:pPr>
        <w:spacing w:after="120" w:line="560" w:lineRule="exact"/>
        <w:ind w:firstLine="640"/>
        <w:rPr>
          <w:rFonts w:ascii="仿宋_GB2312" w:eastAsia="仿宋_GB2312"/>
          <w:sz w:val="32"/>
          <w:szCs w:val="32"/>
        </w:rPr>
      </w:pPr>
      <w:r>
        <w:rPr>
          <w:rFonts w:hint="eastAsia" w:ascii="仿宋_GB2312" w:eastAsia="仿宋_GB2312"/>
          <w:sz w:val="32"/>
          <w:szCs w:val="32"/>
        </w:rPr>
        <w:t>③F为设计阶段合同履约评价综合得分对应的暂付设计费余额应返还金额。暂付设计费余额为设计阶段全额设计费与该阶段暂付设计费的差额。</w:t>
      </w:r>
    </w:p>
    <w:p w14:paraId="166C5EF3">
      <w:pPr>
        <w:spacing w:after="120" w:line="560" w:lineRule="exact"/>
        <w:ind w:firstLine="640"/>
        <w:rPr>
          <w:rFonts w:ascii="仿宋_GB2312" w:eastAsia="仿宋_GB2312"/>
          <w:sz w:val="32"/>
          <w:szCs w:val="32"/>
        </w:rPr>
      </w:pPr>
      <w:r>
        <w:rPr>
          <w:rFonts w:hint="eastAsia" w:ascii="仿宋_GB2312" w:eastAsia="仿宋_GB2312"/>
          <w:sz w:val="32"/>
          <w:szCs w:val="32"/>
        </w:rPr>
        <w:t>④B为施工阶段合同履约评价综合得分对应的设计费支付比例。</w:t>
      </w:r>
    </w:p>
    <w:p w14:paraId="5368D022">
      <w:pPr>
        <w:spacing w:after="120" w:line="560" w:lineRule="exact"/>
        <w:ind w:firstLine="640"/>
        <w:rPr>
          <w:rFonts w:ascii="仿宋_GB2312" w:eastAsia="仿宋_GB2312"/>
          <w:sz w:val="32"/>
          <w:szCs w:val="32"/>
        </w:rPr>
      </w:pPr>
      <w:r>
        <w:rPr>
          <w:rFonts w:hint="eastAsia" w:ascii="仿宋_GB2312" w:eastAsia="仿宋_GB2312"/>
          <w:sz w:val="32"/>
          <w:szCs w:val="32"/>
        </w:rPr>
        <w:t>⑤C为缺陷责任期阶段合同履约评价综合得分对应的设计费支付比例。</w:t>
      </w:r>
    </w:p>
    <w:p w14:paraId="5E4BDCEA">
      <w:pPr>
        <w:numPr>
          <w:ilvl w:val="255"/>
          <w:numId w:val="0"/>
        </w:numPr>
        <w:spacing w:after="120"/>
        <w:rPr>
          <w:rFonts w:ascii="仿宋" w:hAnsi="仿宋" w:eastAsia="仿宋" w:cs="仿宋"/>
          <w:sz w:val="30"/>
          <w:szCs w:val="30"/>
        </w:rPr>
      </w:pPr>
    </w:p>
    <w:p w14:paraId="302D0447">
      <w:pPr>
        <w:spacing w:after="120"/>
        <w:ind w:firstLine="0" w:firstLineChars="0"/>
        <w:rPr>
          <w:rFonts w:ascii="仿宋" w:hAnsi="仿宋" w:eastAsia="仿宋" w:cs="仿宋"/>
          <w:sz w:val="30"/>
          <w:szCs w:val="30"/>
        </w:rPr>
      </w:pPr>
      <w:r>
        <w:rPr>
          <w:rFonts w:hint="eastAsia" w:ascii="仿宋" w:hAnsi="仿宋" w:eastAsia="仿宋" w:cs="仿宋"/>
          <w:sz w:val="30"/>
          <w:szCs w:val="30"/>
        </w:rPr>
        <w:t>说明：</w:t>
      </w:r>
    </w:p>
    <w:p w14:paraId="3A246ABD">
      <w:pPr>
        <w:spacing w:after="120"/>
        <w:ind w:firstLine="600"/>
        <w:rPr>
          <w:rFonts w:ascii="仿宋" w:hAnsi="仿宋" w:eastAsia="仿宋" w:cs="仿宋"/>
          <w:sz w:val="30"/>
          <w:szCs w:val="30"/>
        </w:rPr>
      </w:pPr>
      <w:r>
        <w:rPr>
          <w:rFonts w:hint="eastAsia" w:ascii="仿宋" w:hAnsi="仿宋" w:eastAsia="仿宋" w:cs="仿宋"/>
          <w:sz w:val="30"/>
          <w:szCs w:val="30"/>
        </w:rPr>
        <w:t>1 发包人支付的设计费中包含了设计人履行合同所需的所有支出，设计人每次办理款项申请时须开据发票（税金由设计人自理），并按发包人的要求提供进度款申请资料。</w:t>
      </w:r>
    </w:p>
    <w:p w14:paraId="46C63536">
      <w:pPr>
        <w:spacing w:after="120"/>
        <w:ind w:firstLine="600"/>
        <w:rPr>
          <w:rFonts w:ascii="仿宋" w:hAnsi="仿宋" w:eastAsia="仿宋" w:cs="仿宋"/>
          <w:sz w:val="30"/>
          <w:szCs w:val="30"/>
        </w:rPr>
      </w:pPr>
      <w:r>
        <w:rPr>
          <w:rFonts w:hint="eastAsia" w:ascii="仿宋" w:hAnsi="仿宋" w:eastAsia="仿宋" w:cs="仿宋"/>
          <w:sz w:val="30"/>
          <w:szCs w:val="30"/>
        </w:rPr>
        <w:t>2设计费结算以广东省财政厅审定为准。</w:t>
      </w:r>
    </w:p>
    <w:p w14:paraId="44392551">
      <w:pPr>
        <w:spacing w:after="120"/>
        <w:ind w:firstLine="600"/>
        <w:rPr>
          <w:rFonts w:ascii="仿宋" w:hAnsi="仿宋" w:eastAsia="仿宋" w:cs="仿宋"/>
          <w:sz w:val="30"/>
          <w:szCs w:val="30"/>
        </w:rPr>
      </w:pPr>
      <w:r>
        <w:rPr>
          <w:rFonts w:hint="eastAsia" w:ascii="仿宋" w:hAnsi="仿宋" w:eastAsia="仿宋" w:cs="仿宋"/>
          <w:sz w:val="30"/>
          <w:szCs w:val="30"/>
        </w:rPr>
        <w:t>3发包人付给设计人的款项为设计人与本项目有关的唯一报酬，设计人在与本项目有关的活动中，或在履行合同义务时，不应为私利而接受佣金、回扣或类似费用，一经发现该部分款项从发包人支付给设计人的费用中扣减。</w:t>
      </w:r>
    </w:p>
    <w:p w14:paraId="65FB121C">
      <w:pPr>
        <w:spacing w:after="120"/>
        <w:ind w:firstLine="600"/>
        <w:rPr>
          <w:rFonts w:ascii="仿宋" w:hAnsi="仿宋" w:eastAsia="仿宋" w:cs="仿宋"/>
          <w:sz w:val="30"/>
          <w:szCs w:val="30"/>
        </w:rPr>
      </w:pPr>
      <w:r>
        <w:rPr>
          <w:rFonts w:hint="eastAsia" w:ascii="仿宋" w:hAnsi="仿宋" w:eastAsia="仿宋" w:cs="仿宋"/>
          <w:sz w:val="30"/>
          <w:szCs w:val="30"/>
        </w:rPr>
        <w:t>4上述所有的支付时间不包含政府部门审批时间，设计人已清楚明白本项目工程款的拨付程序，并理解因政府部门审核请款手续对时间等方面的影响与发包人无关，故非发包人原因造成的工程款支付拖延，不得向发包人要求计付拖延工程款期间的利息及因此导致的其他损失。设计人应委派专人负责跟进报酬支付呈批过程的相关事务。</w:t>
      </w:r>
    </w:p>
    <w:p w14:paraId="68BD68D9">
      <w:pPr>
        <w:pStyle w:val="146"/>
        <w:tabs>
          <w:tab w:val="left" w:pos="-426"/>
          <w:tab w:val="left" w:pos="720"/>
        </w:tabs>
        <w:spacing w:after="120" w:line="360" w:lineRule="auto"/>
        <w:ind w:firstLine="600" w:firstLineChars="200"/>
        <w:rPr>
          <w:rFonts w:ascii="仿宋" w:hAnsi="仿宋" w:eastAsia="仿宋" w:cs="仿宋"/>
          <w:b/>
          <w:sz w:val="30"/>
          <w:szCs w:val="30"/>
        </w:rPr>
      </w:pPr>
      <w:r>
        <w:rPr>
          <w:rFonts w:hint="eastAsia" w:ascii="仿宋" w:hAnsi="仿宋" w:eastAsia="仿宋" w:cs="仿宋"/>
          <w:sz w:val="30"/>
          <w:szCs w:val="30"/>
        </w:rPr>
        <w:t>5本项目如发生因为规划或其他政策因素导致的部分内容不实施或延期实施，已实施部分按完成工作量计算；在服务期内需要延期的，不增加延期设计费。</w:t>
      </w:r>
    </w:p>
    <w:p w14:paraId="0E10914A">
      <w:pPr>
        <w:pStyle w:val="146"/>
        <w:tabs>
          <w:tab w:val="left" w:pos="-426"/>
          <w:tab w:val="left" w:pos="720"/>
        </w:tabs>
        <w:spacing w:after="120" w:line="360" w:lineRule="auto"/>
        <w:ind w:firstLine="482"/>
        <w:rPr>
          <w:rFonts w:ascii="仿宋" w:hAnsi="仿宋" w:eastAsia="仿宋" w:cs="仿宋"/>
          <w:sz w:val="30"/>
          <w:szCs w:val="30"/>
        </w:rPr>
      </w:pPr>
      <w:r>
        <w:rPr>
          <w:rFonts w:hint="eastAsia" w:ascii="仿宋" w:hAnsi="仿宋" w:eastAsia="仿宋" w:cs="仿宋"/>
          <w:b/>
          <w:sz w:val="30"/>
          <w:szCs w:val="30"/>
        </w:rPr>
        <w:t>（2）违约责任金</w:t>
      </w:r>
      <w:r>
        <w:rPr>
          <w:rFonts w:hint="eastAsia" w:ascii="仿宋" w:hAnsi="仿宋" w:eastAsia="仿宋" w:cs="仿宋"/>
          <w:b/>
          <w:bCs/>
          <w:sz w:val="30"/>
          <w:szCs w:val="30"/>
        </w:rPr>
        <w:t>支付约定</w:t>
      </w:r>
      <w:r>
        <w:rPr>
          <w:rFonts w:hint="eastAsia" w:ascii="仿宋" w:hAnsi="仿宋" w:eastAsia="仿宋" w:cs="仿宋"/>
          <w:b/>
          <w:sz w:val="30"/>
          <w:szCs w:val="30"/>
        </w:rPr>
        <w:t>：</w:t>
      </w:r>
      <w:r>
        <w:rPr>
          <w:rFonts w:hint="eastAsia" w:ascii="仿宋" w:hAnsi="仿宋" w:eastAsia="仿宋" w:cs="仿宋"/>
          <w:sz w:val="30"/>
          <w:szCs w:val="30"/>
        </w:rPr>
        <w:t>合同实施过程中设计单位若有符合扣除设计违约责任金情形，将以正式函件送达设计单位，通知违约金扣留数额，余额在第5次支付基本设计费时无息返还。</w:t>
      </w:r>
    </w:p>
    <w:p w14:paraId="43DF3E37">
      <w:pPr>
        <w:pStyle w:val="146"/>
        <w:tabs>
          <w:tab w:val="left" w:pos="-426"/>
          <w:tab w:val="left" w:pos="720"/>
        </w:tabs>
        <w:spacing w:after="120" w:line="360" w:lineRule="auto"/>
        <w:ind w:firstLine="482"/>
        <w:rPr>
          <w:rFonts w:ascii="仿宋" w:hAnsi="仿宋" w:eastAsia="仿宋" w:cs="仿宋"/>
          <w:sz w:val="30"/>
          <w:szCs w:val="30"/>
        </w:rPr>
      </w:pPr>
      <w:r>
        <w:rPr>
          <w:rFonts w:hint="eastAsia" w:ascii="仿宋" w:hAnsi="仿宋" w:eastAsia="仿宋" w:cs="仿宋"/>
          <w:b/>
          <w:sz w:val="30"/>
          <w:szCs w:val="30"/>
        </w:rPr>
        <w:t>（3）其他</w:t>
      </w:r>
      <w:r>
        <w:rPr>
          <w:rFonts w:hint="eastAsia" w:ascii="仿宋" w:hAnsi="仿宋" w:eastAsia="仿宋" w:cs="仿宋"/>
          <w:b/>
          <w:bCs/>
          <w:sz w:val="30"/>
          <w:szCs w:val="30"/>
        </w:rPr>
        <w:t>支付约定</w:t>
      </w:r>
      <w:r>
        <w:rPr>
          <w:rFonts w:hint="eastAsia" w:ascii="仿宋" w:hAnsi="仿宋" w:eastAsia="仿宋" w:cs="仿宋"/>
          <w:b/>
          <w:sz w:val="30"/>
          <w:szCs w:val="30"/>
        </w:rPr>
        <w:t>：</w:t>
      </w:r>
      <w:r>
        <w:rPr>
          <w:rFonts w:hint="eastAsia" w:ascii="仿宋" w:hAnsi="仿宋" w:eastAsia="仿宋" w:cs="仿宋"/>
          <w:sz w:val="30"/>
          <w:szCs w:val="30"/>
        </w:rPr>
        <w:t>设计人每次向发包人收取设计款时须提供合法发票。</w:t>
      </w:r>
    </w:p>
    <w:p w14:paraId="27C4BF22">
      <w:pPr>
        <w:pStyle w:val="145"/>
      </w:pPr>
    </w:p>
    <w:p w14:paraId="709F056B">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6.2设计费用结算 </w:t>
      </w:r>
    </w:p>
    <w:p w14:paraId="0ED83666">
      <w:pPr>
        <w:wordWrap/>
        <w:topLinePunct w:val="0"/>
        <w:spacing w:after="120"/>
        <w:ind w:firstLine="531" w:firstLineChars="0"/>
        <w:rPr>
          <w:rFonts w:ascii="仿宋" w:hAnsi="仿宋" w:eastAsia="仿宋" w:cs="仿宋"/>
          <w:bCs/>
          <w:sz w:val="30"/>
          <w:szCs w:val="30"/>
        </w:rPr>
      </w:pPr>
      <w:r>
        <w:rPr>
          <w:rFonts w:hint="eastAsia" w:ascii="仿宋" w:hAnsi="仿宋" w:eastAsia="仿宋" w:cs="仿宋"/>
          <w:bCs/>
          <w:sz w:val="30"/>
          <w:szCs w:val="30"/>
        </w:rPr>
        <w:t>6.2.1工程设计费为包干价，包括但不限于本工程的所有投标人的施工图设计以及后续施工的深化设计、复杂设计工作，其费用也包含了绿色建筑工程（</w:t>
      </w:r>
      <w:bookmarkStart w:id="1055" w:name="_Toc36146478"/>
      <w:bookmarkStart w:id="1056" w:name="_Toc28042685"/>
      <w:r>
        <w:rPr>
          <w:rFonts w:hint="eastAsia" w:ascii="仿宋" w:hAnsi="仿宋" w:eastAsia="仿宋" w:cs="仿宋"/>
          <w:bCs/>
          <w:sz w:val="30"/>
          <w:szCs w:val="30"/>
        </w:rPr>
        <w:t xml:space="preserve">   星标准）咨询费，</w:t>
      </w:r>
      <w:bookmarkEnd w:id="1055"/>
      <w:bookmarkEnd w:id="1056"/>
      <w:r>
        <w:rPr>
          <w:rFonts w:hint="eastAsia" w:ascii="仿宋" w:hAnsi="仿宋" w:eastAsia="仿宋" w:cs="仿宋"/>
          <w:bCs/>
          <w:sz w:val="30"/>
          <w:szCs w:val="30"/>
        </w:rPr>
        <w:t>专家评审费及场地费、施工阶段技术人员驻场费、竣工图纸编制费以及变更设计等费用；在合同实施期间设计费总价包干，不因设计工作量调整及工程造价的变化而变化，最终结算根据省财政厅《关于规范省级项目主管部门对下属单位基本建设工程结（决）算审核工作的通知》（粤财建[2017]120号）等相关规定办理。设计费已包含了后续项目变更的设计工作量，项目概算内产生的变更调整不再另行增加设计费。</w:t>
      </w:r>
    </w:p>
    <w:p w14:paraId="6BF47D0B">
      <w:pPr>
        <w:spacing w:after="120"/>
        <w:ind w:firstLine="600"/>
        <w:rPr>
          <w:rFonts w:ascii="仿宋" w:hAnsi="仿宋" w:eastAsia="仿宋" w:cs="仿宋"/>
          <w:bCs/>
          <w:sz w:val="30"/>
          <w:szCs w:val="30"/>
        </w:rPr>
      </w:pPr>
      <w:r>
        <w:rPr>
          <w:rFonts w:hint="eastAsia" w:ascii="仿宋" w:hAnsi="仿宋" w:eastAsia="仿宋" w:cs="仿宋"/>
          <w:bCs/>
          <w:sz w:val="30"/>
          <w:szCs w:val="30"/>
        </w:rPr>
        <w:t xml:space="preserve">6.2.2设计费结算额 =设计费结算价基准值－ 违约金 </w:t>
      </w:r>
    </w:p>
    <w:p w14:paraId="4CC94F76">
      <w:pPr>
        <w:spacing w:before="120" w:beforeLines="50" w:after="120"/>
        <w:ind w:firstLine="600"/>
        <w:rPr>
          <w:rFonts w:ascii="仿宋" w:hAnsi="仿宋" w:eastAsia="仿宋" w:cs="仿宋"/>
          <w:sz w:val="30"/>
          <w:szCs w:val="30"/>
        </w:rPr>
      </w:pPr>
    </w:p>
    <w:p w14:paraId="7F29BAB0">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 xml:space="preserve">6.3质量保证金  </w:t>
      </w:r>
    </w:p>
    <w:p w14:paraId="2D11DCCA">
      <w:pPr>
        <w:spacing w:after="120"/>
        <w:ind w:firstLine="600"/>
        <w:rPr>
          <w:rFonts w:ascii="仿宋" w:hAnsi="仿宋" w:eastAsia="仿宋" w:cs="仿宋"/>
          <w:sz w:val="30"/>
          <w:szCs w:val="30"/>
        </w:rPr>
      </w:pPr>
      <w:r>
        <w:rPr>
          <w:rFonts w:hint="eastAsia" w:ascii="仿宋" w:hAnsi="仿宋" w:eastAsia="仿宋" w:cs="仿宋"/>
          <w:sz w:val="30"/>
          <w:szCs w:val="30"/>
        </w:rPr>
        <w:t>（1）质量保证金的金额：经结算终审部门审定的结算总价的3%。</w:t>
      </w:r>
    </w:p>
    <w:p w14:paraId="6D009DF9">
      <w:pPr>
        <w:spacing w:after="120"/>
        <w:ind w:firstLine="600"/>
        <w:rPr>
          <w:rFonts w:ascii="仿宋" w:hAnsi="仿宋" w:eastAsia="仿宋" w:cs="仿宋"/>
          <w:sz w:val="30"/>
          <w:szCs w:val="30"/>
        </w:rPr>
      </w:pPr>
      <w:r>
        <w:rPr>
          <w:rFonts w:hint="eastAsia" w:ascii="仿宋" w:hAnsi="仿宋" w:eastAsia="仿宋" w:cs="仿宋"/>
          <w:sz w:val="30"/>
          <w:szCs w:val="30"/>
        </w:rPr>
        <w:t>质量保证金的暂扣方式：发包人按照上述比例从结算款中扣留。</w:t>
      </w:r>
    </w:p>
    <w:p w14:paraId="54EA61D8">
      <w:pPr>
        <w:spacing w:after="120"/>
        <w:ind w:firstLine="600"/>
        <w:rPr>
          <w:rFonts w:ascii="仿宋" w:hAnsi="仿宋" w:eastAsia="仿宋" w:cs="仿宋"/>
          <w:sz w:val="30"/>
          <w:szCs w:val="30"/>
        </w:rPr>
      </w:pPr>
      <w:r>
        <w:rPr>
          <w:rFonts w:hint="eastAsia" w:ascii="仿宋" w:hAnsi="仿宋" w:eastAsia="仿宋" w:cs="仿宋"/>
          <w:sz w:val="30"/>
          <w:szCs w:val="30"/>
        </w:rPr>
        <w:t>（2）质量保证金的支付：经结算终审部门审定，在工程竣工验收合格</w:t>
      </w:r>
      <w:bookmarkStart w:id="1057" w:name="_Toc28042687"/>
      <w:r>
        <w:rPr>
          <w:rFonts w:hint="eastAsia" w:ascii="仿宋" w:hAnsi="仿宋" w:eastAsia="仿宋" w:cs="仿宋"/>
          <w:sz w:val="30"/>
          <w:szCs w:val="30"/>
        </w:rPr>
        <w:t>后</w:t>
      </w:r>
      <w:bookmarkStart w:id="1058" w:name="_Toc36146480"/>
      <w:r>
        <w:rPr>
          <w:rFonts w:hint="eastAsia" w:ascii="仿宋" w:hAnsi="仿宋" w:eastAsia="仿宋" w:cs="仿宋"/>
          <w:sz w:val="30"/>
          <w:szCs w:val="30"/>
        </w:rPr>
        <w:t>2年，发包人</w:t>
      </w:r>
      <w:bookmarkEnd w:id="1057"/>
      <w:bookmarkEnd w:id="1058"/>
      <w:r>
        <w:rPr>
          <w:rFonts w:hint="eastAsia" w:ascii="仿宋" w:hAnsi="仿宋" w:eastAsia="仿宋" w:cs="仿宋"/>
          <w:sz w:val="30"/>
          <w:szCs w:val="30"/>
        </w:rPr>
        <w:t>应在</w:t>
      </w:r>
      <w:bookmarkStart w:id="1059" w:name="_Toc28042686"/>
      <w:bookmarkStart w:id="1060" w:name="_Toc36146479"/>
      <w:bookmarkStart w:id="1061" w:name="_Toc28042688"/>
      <w:bookmarkStart w:id="1062" w:name="_Toc36146481"/>
      <w:r>
        <w:rPr>
          <w:rFonts w:hint="eastAsia" w:ascii="仿宋" w:hAnsi="仿宋" w:eastAsia="仿宋" w:cs="仿宋"/>
          <w:sz w:val="30"/>
          <w:szCs w:val="30"/>
        </w:rPr>
        <w:t>收到设计人的款项</w:t>
      </w:r>
      <w:bookmarkEnd w:id="1059"/>
      <w:bookmarkEnd w:id="1060"/>
      <w:r>
        <w:rPr>
          <w:rFonts w:hint="eastAsia" w:ascii="仿宋" w:hAnsi="仿宋" w:eastAsia="仿宋" w:cs="仿宋"/>
          <w:sz w:val="30"/>
          <w:szCs w:val="30"/>
        </w:rPr>
        <w:t>申请手续且扣除应扣款项（含违约金）后14天内办理质量保证金支付手续（无利息）。</w:t>
      </w:r>
    </w:p>
    <w:p w14:paraId="051D11FE">
      <w:pPr>
        <w:pStyle w:val="4"/>
        <w:spacing w:before="120" w:beforeLines="50" w:after="120"/>
        <w:ind w:firstLine="602"/>
        <w:rPr>
          <w:rFonts w:ascii="仿宋" w:hAnsi="仿宋" w:eastAsia="仿宋" w:cs="仿宋"/>
          <w:sz w:val="30"/>
          <w:szCs w:val="30"/>
        </w:rPr>
      </w:pPr>
      <w:bookmarkStart w:id="1063" w:name="_Toc19668"/>
      <w:bookmarkStart w:id="1064" w:name="_Toc28006"/>
      <w:bookmarkStart w:id="1065" w:name="_Toc27842"/>
      <w:r>
        <w:rPr>
          <w:rFonts w:hint="eastAsia" w:ascii="仿宋" w:hAnsi="仿宋" w:eastAsia="仿宋" w:cs="仿宋"/>
          <w:sz w:val="30"/>
          <w:szCs w:val="30"/>
        </w:rPr>
        <w:t>7.设计违约</w:t>
      </w:r>
      <w:bookmarkEnd w:id="1063"/>
      <w:bookmarkEnd w:id="1064"/>
      <w:bookmarkEnd w:id="1065"/>
    </w:p>
    <w:p w14:paraId="60F51F5C">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7.1发包人违约</w:t>
      </w:r>
    </w:p>
    <w:p w14:paraId="26EC1527">
      <w:pPr>
        <w:spacing w:after="120"/>
        <w:ind w:firstLine="600"/>
        <w:rPr>
          <w:rFonts w:ascii="仿宋" w:hAnsi="仿宋" w:eastAsia="仿宋" w:cs="仿宋"/>
          <w:sz w:val="30"/>
          <w:szCs w:val="30"/>
        </w:rPr>
      </w:pPr>
      <w:r>
        <w:rPr>
          <w:rFonts w:hint="eastAsia" w:ascii="仿宋" w:hAnsi="仿宋" w:eastAsia="仿宋" w:cs="仿宋"/>
          <w:sz w:val="30"/>
          <w:szCs w:val="30"/>
        </w:rPr>
        <w:t>（1）发包人无正当理由不按合同约定支付设计费预付款、进度款的，除应支付本合同约定的设计费预付款、进度款外，还应按银行同期活期存款利率向设计人支付该进度款拖欠期间的利息。</w:t>
      </w:r>
    </w:p>
    <w:p w14:paraId="335E0FBE">
      <w:pPr>
        <w:spacing w:after="120"/>
        <w:ind w:firstLine="600"/>
        <w:rPr>
          <w:rFonts w:ascii="仿宋" w:hAnsi="仿宋" w:eastAsia="仿宋" w:cs="仿宋"/>
          <w:sz w:val="30"/>
          <w:szCs w:val="30"/>
        </w:rPr>
      </w:pPr>
      <w:r>
        <w:rPr>
          <w:rFonts w:hint="eastAsia" w:ascii="仿宋" w:hAnsi="仿宋" w:eastAsia="仿宋" w:cs="仿宋"/>
          <w:sz w:val="30"/>
          <w:szCs w:val="30"/>
        </w:rPr>
        <w:t>（2）发包人无正当理由不支付设计人设计竣工结算款的</w:t>
      </w:r>
      <w:bookmarkEnd w:id="1061"/>
      <w:bookmarkEnd w:id="1062"/>
      <w:r>
        <w:rPr>
          <w:rFonts w:hint="eastAsia" w:ascii="仿宋" w:hAnsi="仿宋" w:eastAsia="仿宋" w:cs="仿宋"/>
          <w:sz w:val="30"/>
          <w:szCs w:val="30"/>
        </w:rPr>
        <w:t>，除应支付设计人设计竣工结算款外，还应按银行同期活期存款利率向设计人支付该竣工结算款拖欠期间的利息。</w:t>
      </w:r>
    </w:p>
    <w:p w14:paraId="4EE3127A">
      <w:pPr>
        <w:spacing w:after="120"/>
        <w:ind w:firstLine="600"/>
        <w:rPr>
          <w:rFonts w:ascii="仿宋" w:hAnsi="仿宋" w:eastAsia="仿宋" w:cs="仿宋"/>
          <w:sz w:val="30"/>
          <w:szCs w:val="30"/>
        </w:rPr>
      </w:pPr>
      <w:r>
        <w:rPr>
          <w:rFonts w:hint="eastAsia" w:ascii="仿宋" w:hAnsi="仿宋" w:eastAsia="仿宋" w:cs="仿宋"/>
          <w:sz w:val="30"/>
          <w:szCs w:val="30"/>
        </w:rPr>
        <w:t>（3）发包人违约给设计人造成其他损失的，在设计人能够提交足够证据并经查证属实的情况下，发包人应赔偿其直接经济损失。</w:t>
      </w:r>
    </w:p>
    <w:p w14:paraId="5A18B2C6">
      <w:pPr>
        <w:spacing w:before="120" w:beforeLines="50" w:after="120"/>
        <w:ind w:firstLine="576" w:firstLineChars="192"/>
        <w:rPr>
          <w:rFonts w:ascii="仿宋" w:hAnsi="仿宋" w:eastAsia="仿宋" w:cs="仿宋"/>
          <w:sz w:val="30"/>
          <w:szCs w:val="30"/>
        </w:rPr>
      </w:pPr>
      <w:r>
        <w:rPr>
          <w:rFonts w:hint="eastAsia" w:ascii="仿宋" w:hAnsi="仿宋" w:eastAsia="仿宋" w:cs="仿宋"/>
          <w:sz w:val="30"/>
          <w:szCs w:val="30"/>
        </w:rPr>
        <w:t>7.2设计人的违约责任</w:t>
      </w:r>
    </w:p>
    <w:p w14:paraId="68EAC22F">
      <w:pPr>
        <w:spacing w:after="120"/>
        <w:ind w:firstLine="600"/>
        <w:rPr>
          <w:rFonts w:ascii="仿宋" w:hAnsi="仿宋" w:eastAsia="仿宋" w:cs="仿宋"/>
          <w:sz w:val="30"/>
          <w:szCs w:val="30"/>
        </w:rPr>
      </w:pPr>
      <w:r>
        <w:rPr>
          <w:rFonts w:hint="eastAsia" w:ascii="仿宋" w:hAnsi="仿宋" w:eastAsia="仿宋" w:cs="仿宋"/>
          <w:sz w:val="30"/>
          <w:szCs w:val="30"/>
        </w:rPr>
        <w:t>7.2.1设计人承担违约责任的方式包括但不限于：</w:t>
      </w:r>
    </w:p>
    <w:p w14:paraId="4665D635">
      <w:pPr>
        <w:spacing w:after="120"/>
        <w:ind w:firstLine="600"/>
        <w:rPr>
          <w:rFonts w:ascii="仿宋" w:hAnsi="仿宋" w:eastAsia="仿宋" w:cs="仿宋"/>
          <w:sz w:val="30"/>
          <w:szCs w:val="30"/>
        </w:rPr>
      </w:pPr>
      <w:r>
        <w:rPr>
          <w:rFonts w:hint="eastAsia" w:ascii="仿宋" w:hAnsi="仿宋" w:eastAsia="仿宋" w:cs="仿宋"/>
          <w:sz w:val="30"/>
          <w:szCs w:val="30"/>
        </w:rPr>
        <w:t>（1）限期整改。设计人不履行或不完全履行合同时，发包人有权向设计人发出限期整改通知。设计人必须在限期整改通知限定的时间内履行义务或执行指令，否则应承</w:t>
      </w:r>
      <w:bookmarkStart w:id="1066" w:name="_Toc28042689"/>
      <w:bookmarkStart w:id="1067" w:name="_Toc36146482"/>
      <w:r>
        <w:rPr>
          <w:rFonts w:hint="eastAsia" w:ascii="仿宋" w:hAnsi="仿宋" w:eastAsia="仿宋" w:cs="仿宋"/>
          <w:sz w:val="30"/>
          <w:szCs w:val="30"/>
        </w:rPr>
        <w:t>担1次一般违约责任。</w:t>
      </w:r>
    </w:p>
    <w:bookmarkEnd w:id="1066"/>
    <w:bookmarkEnd w:id="1067"/>
    <w:p w14:paraId="36AA07DA">
      <w:pPr>
        <w:spacing w:after="120"/>
        <w:ind w:firstLine="600"/>
        <w:rPr>
          <w:rFonts w:ascii="仿宋" w:hAnsi="仿宋" w:eastAsia="仿宋" w:cs="仿宋"/>
          <w:sz w:val="30"/>
          <w:szCs w:val="30"/>
        </w:rPr>
      </w:pPr>
      <w:r>
        <w:rPr>
          <w:rFonts w:hint="eastAsia" w:ascii="仿宋" w:hAnsi="仿宋" w:eastAsia="仿宋" w:cs="仿宋"/>
          <w:sz w:val="30"/>
          <w:szCs w:val="30"/>
        </w:rPr>
        <w:t xml:space="preserve">（2） 一般违约责任。发生以下情形，设计人承担一般违约责任。违约责任承担方式详见专用合同条件第15.2.1.2条。 </w:t>
      </w:r>
    </w:p>
    <w:p w14:paraId="26982E49">
      <w:pPr>
        <w:spacing w:after="120"/>
        <w:ind w:firstLine="600"/>
        <w:rPr>
          <w:rFonts w:ascii="仿宋" w:hAnsi="仿宋" w:eastAsia="仿宋" w:cs="仿宋"/>
          <w:sz w:val="30"/>
          <w:szCs w:val="30"/>
        </w:rPr>
      </w:pPr>
      <w:r>
        <w:rPr>
          <w:rFonts w:hint="eastAsia" w:ascii="仿宋" w:hAnsi="仿宋" w:eastAsia="仿宋" w:cs="仿宋"/>
          <w:sz w:val="30"/>
          <w:szCs w:val="30"/>
        </w:rPr>
        <w:t>①项目总负责人或专业负责人未按发包人要求出席会议（提前24小时通知；以书面会议通知或发包人代表短信或微信方式通知）。</w:t>
      </w:r>
    </w:p>
    <w:p w14:paraId="3269DDDE">
      <w:pPr>
        <w:spacing w:after="120"/>
        <w:ind w:firstLine="600"/>
        <w:rPr>
          <w:rFonts w:ascii="仿宋" w:hAnsi="仿宋" w:eastAsia="仿宋" w:cs="仿宋"/>
          <w:sz w:val="30"/>
          <w:szCs w:val="30"/>
        </w:rPr>
      </w:pPr>
      <w:r>
        <w:rPr>
          <w:rFonts w:hint="eastAsia" w:ascii="仿宋" w:hAnsi="仿宋" w:eastAsia="仿宋" w:cs="仿宋"/>
          <w:sz w:val="30"/>
          <w:szCs w:val="30"/>
        </w:rPr>
        <w:t>②未经发包人同意，合格成果文件提交时间超出合同约定、会议纪要规定或发包人要求提交的时间。</w:t>
      </w:r>
    </w:p>
    <w:p w14:paraId="54DCE6D7">
      <w:pPr>
        <w:spacing w:after="120"/>
        <w:ind w:firstLine="600"/>
        <w:rPr>
          <w:rFonts w:ascii="仿宋" w:hAnsi="仿宋" w:eastAsia="仿宋" w:cs="仿宋"/>
          <w:sz w:val="30"/>
          <w:szCs w:val="30"/>
        </w:rPr>
      </w:pPr>
      <w:r>
        <w:rPr>
          <w:rFonts w:hint="eastAsia" w:ascii="仿宋" w:hAnsi="仿宋" w:eastAsia="仿宋" w:cs="仿宋"/>
          <w:sz w:val="30"/>
          <w:szCs w:val="30"/>
        </w:rPr>
        <w:t>③因设计原因造成相关报建资料被规划、建设等主管部门退回1次。</w:t>
      </w:r>
    </w:p>
    <w:p w14:paraId="50A0270F">
      <w:pPr>
        <w:spacing w:after="120"/>
        <w:ind w:firstLine="600"/>
        <w:rPr>
          <w:rFonts w:ascii="仿宋" w:hAnsi="仿宋" w:eastAsia="仿宋" w:cs="仿宋"/>
          <w:sz w:val="30"/>
          <w:szCs w:val="30"/>
        </w:rPr>
      </w:pPr>
      <w:r>
        <w:rPr>
          <w:rFonts w:hint="eastAsia" w:ascii="仿宋" w:hAnsi="仿宋" w:eastAsia="仿宋" w:cs="仿宋"/>
          <w:sz w:val="30"/>
          <w:szCs w:val="30"/>
        </w:rPr>
        <w:t>④因自身投资控制不力，提交的</w:t>
      </w:r>
      <w:r>
        <w:rPr>
          <w:rFonts w:hint="eastAsia" w:ascii="仿宋_GB2312" w:eastAsia="仿宋_GB2312"/>
          <w:sz w:val="30"/>
          <w:szCs w:val="30"/>
          <w:u w:val="single"/>
        </w:rPr>
        <w:t>施工图预算</w:t>
      </w:r>
      <w:r>
        <w:rPr>
          <w:rFonts w:hint="eastAsia" w:ascii="仿宋" w:hAnsi="仿宋" w:eastAsia="仿宋" w:cs="仿宋"/>
          <w:sz w:val="30"/>
          <w:szCs w:val="30"/>
        </w:rPr>
        <w:t>超出初步设计概算建安工程费。</w:t>
      </w:r>
    </w:p>
    <w:p w14:paraId="2B603E28">
      <w:pPr>
        <w:spacing w:after="120"/>
        <w:ind w:firstLine="600"/>
        <w:rPr>
          <w:rFonts w:ascii="仿宋" w:hAnsi="仿宋" w:eastAsia="仿宋" w:cs="仿宋"/>
          <w:sz w:val="30"/>
          <w:szCs w:val="30"/>
        </w:rPr>
      </w:pPr>
      <w:r>
        <w:rPr>
          <w:rFonts w:hint="eastAsia" w:ascii="仿宋" w:hAnsi="仿宋" w:eastAsia="仿宋" w:cs="仿宋"/>
          <w:sz w:val="30"/>
          <w:szCs w:val="30"/>
        </w:rPr>
        <w:t>⑤无正当理由且未经发包人同意，采用非标准材料或设备（指在省、市造价管理部门公布的材料设备价格库中无法查询到的尺寸、规格等，而技术上完全可以被上述价格库中同类材料设备替代的情形），出现一项非标材料或设备按一次一般违约责任计。</w:t>
      </w:r>
    </w:p>
    <w:p w14:paraId="33A6B0D7">
      <w:pPr>
        <w:spacing w:after="120"/>
        <w:ind w:firstLine="600"/>
        <w:rPr>
          <w:rFonts w:ascii="仿宋" w:hAnsi="仿宋" w:eastAsia="仿宋" w:cs="仿宋"/>
          <w:sz w:val="30"/>
          <w:szCs w:val="30"/>
        </w:rPr>
      </w:pPr>
      <w:r>
        <w:rPr>
          <w:rFonts w:hint="eastAsia" w:ascii="仿宋" w:hAnsi="仿宋" w:eastAsia="仿宋" w:cs="仿宋"/>
          <w:sz w:val="30"/>
          <w:szCs w:val="30"/>
        </w:rPr>
        <w:t>⑥设计人违反合同约定的其他情形。</w:t>
      </w:r>
    </w:p>
    <w:p w14:paraId="526A8EDB">
      <w:pPr>
        <w:numPr>
          <w:ilvl w:val="0"/>
          <w:numId w:val="33"/>
        </w:numPr>
        <w:spacing w:after="120"/>
        <w:ind w:firstLine="600"/>
        <w:rPr>
          <w:rFonts w:ascii="仿宋" w:hAnsi="仿宋" w:eastAsia="仿宋" w:cs="仿宋"/>
          <w:sz w:val="30"/>
          <w:szCs w:val="30"/>
        </w:rPr>
      </w:pPr>
      <w:r>
        <w:rPr>
          <w:rFonts w:hint="eastAsia" w:ascii="仿宋" w:hAnsi="仿宋" w:eastAsia="仿宋" w:cs="仿宋"/>
          <w:sz w:val="30"/>
          <w:szCs w:val="30"/>
        </w:rPr>
        <w:t>严重违约责任。发生以下情形，设计人承担严重违约责任。违约责任承担方式详见专用合同条件第15.2.1.2条。</w:t>
      </w:r>
    </w:p>
    <w:p w14:paraId="256F1FE7">
      <w:pPr>
        <w:numPr>
          <w:ilvl w:val="0"/>
          <w:numId w:val="34"/>
        </w:numPr>
        <w:spacing w:after="120"/>
        <w:ind w:firstLine="600"/>
        <w:rPr>
          <w:rFonts w:ascii="仿宋" w:hAnsi="仿宋" w:eastAsia="仿宋" w:cs="仿宋"/>
          <w:sz w:val="30"/>
          <w:szCs w:val="30"/>
        </w:rPr>
      </w:pPr>
      <w:r>
        <w:rPr>
          <w:rFonts w:hint="eastAsia" w:ascii="仿宋" w:hAnsi="仿宋" w:eastAsia="仿宋" w:cs="仿宋"/>
          <w:sz w:val="30"/>
          <w:szCs w:val="30"/>
        </w:rPr>
        <w:t>经审核的</w:t>
      </w:r>
      <w:r>
        <w:rPr>
          <w:rFonts w:hint="eastAsia" w:ascii="仿宋_GB2312" w:eastAsia="仿宋_GB2312"/>
          <w:sz w:val="30"/>
          <w:szCs w:val="30"/>
          <w:u w:val="single"/>
        </w:rPr>
        <w:t>施工图预算</w:t>
      </w:r>
      <w:r>
        <w:rPr>
          <w:rFonts w:hint="eastAsia" w:ascii="仿宋" w:hAnsi="仿宋" w:eastAsia="仿宋" w:cs="仿宋"/>
          <w:sz w:val="30"/>
          <w:szCs w:val="30"/>
        </w:rPr>
        <w:t>超出初步设计概算。</w:t>
      </w:r>
    </w:p>
    <w:p w14:paraId="76D9479C">
      <w:pPr>
        <w:numPr>
          <w:ilvl w:val="0"/>
          <w:numId w:val="34"/>
        </w:numPr>
        <w:spacing w:after="120"/>
        <w:ind w:firstLine="600"/>
        <w:rPr>
          <w:rFonts w:ascii="仿宋" w:hAnsi="仿宋" w:eastAsia="仿宋" w:cs="仿宋"/>
          <w:sz w:val="30"/>
          <w:szCs w:val="30"/>
        </w:rPr>
      </w:pPr>
      <w:r>
        <w:rPr>
          <w:rFonts w:hint="eastAsia" w:ascii="仿宋" w:hAnsi="仿宋" w:eastAsia="仿宋" w:cs="仿宋"/>
          <w:sz w:val="30"/>
          <w:szCs w:val="30"/>
        </w:rPr>
        <w:t>因设计原因造成相关报建资料被规划、建设等主管部门退回累计达到2次或以上。</w:t>
      </w:r>
    </w:p>
    <w:p w14:paraId="7C5CB14C">
      <w:pPr>
        <w:numPr>
          <w:ilvl w:val="0"/>
          <w:numId w:val="34"/>
        </w:numPr>
        <w:spacing w:after="120"/>
        <w:ind w:firstLine="600"/>
        <w:rPr>
          <w:rFonts w:ascii="仿宋" w:hAnsi="仿宋" w:eastAsia="仿宋" w:cs="仿宋"/>
          <w:sz w:val="30"/>
          <w:szCs w:val="30"/>
        </w:rPr>
      </w:pPr>
      <w:r>
        <w:rPr>
          <w:rFonts w:hint="eastAsia" w:ascii="仿宋" w:hAnsi="仿宋" w:eastAsia="仿宋" w:cs="仿宋"/>
          <w:sz w:val="30"/>
          <w:szCs w:val="30"/>
        </w:rPr>
        <w:t>无正当理由且未经发包人同意，擅自改变发改、规划、国土等行政审批部门批准的建设地点、规模、内容、标准等指标及要求。</w:t>
      </w:r>
    </w:p>
    <w:p w14:paraId="48114033">
      <w:pPr>
        <w:numPr>
          <w:ilvl w:val="0"/>
          <w:numId w:val="34"/>
        </w:numPr>
        <w:spacing w:after="120"/>
        <w:ind w:firstLine="600"/>
        <w:rPr>
          <w:rFonts w:ascii="仿宋" w:hAnsi="仿宋" w:eastAsia="仿宋" w:cs="仿宋"/>
          <w:sz w:val="30"/>
          <w:szCs w:val="30"/>
        </w:rPr>
      </w:pPr>
      <w:r>
        <w:rPr>
          <w:rFonts w:hint="eastAsia" w:ascii="仿宋" w:hAnsi="仿宋" w:eastAsia="仿宋" w:cs="仿宋"/>
          <w:sz w:val="30"/>
          <w:szCs w:val="30"/>
        </w:rPr>
        <w:t>未经发包人同意，合格成果文件提交时间超出合同约定、会议纪要规定或发包人要求提交的时间3天以上。</w:t>
      </w:r>
    </w:p>
    <w:p w14:paraId="372D9109">
      <w:pPr>
        <w:numPr>
          <w:ilvl w:val="0"/>
          <w:numId w:val="34"/>
        </w:numPr>
        <w:spacing w:after="120"/>
        <w:ind w:firstLine="600"/>
        <w:rPr>
          <w:rFonts w:ascii="仿宋" w:hAnsi="仿宋" w:eastAsia="仿宋" w:cs="仿宋"/>
          <w:sz w:val="30"/>
          <w:szCs w:val="30"/>
        </w:rPr>
      </w:pPr>
      <w:r>
        <w:rPr>
          <w:rFonts w:hint="eastAsia" w:ascii="仿宋" w:hAnsi="仿宋" w:eastAsia="仿宋" w:cs="仿宋"/>
          <w:sz w:val="30"/>
          <w:szCs w:val="30"/>
        </w:rPr>
        <w:t>第三方造价咨询单位编制或审核的</w:t>
      </w:r>
      <w:r>
        <w:rPr>
          <w:rFonts w:hint="eastAsia" w:ascii="仿宋_GB2312" w:eastAsia="仿宋_GB2312"/>
          <w:sz w:val="30"/>
          <w:szCs w:val="30"/>
          <w:u w:val="single"/>
        </w:rPr>
        <w:t>施工图预算</w:t>
      </w:r>
      <w:r>
        <w:rPr>
          <w:rFonts w:hint="eastAsia" w:ascii="仿宋" w:hAnsi="仿宋" w:eastAsia="仿宋" w:cs="仿宋"/>
          <w:sz w:val="30"/>
          <w:szCs w:val="30"/>
        </w:rPr>
        <w:t>，经发包人确认，超出经发改部门批复的初步设计概算建安工程费。</w:t>
      </w:r>
    </w:p>
    <w:p w14:paraId="086FC11E">
      <w:pPr>
        <w:numPr>
          <w:ilvl w:val="0"/>
          <w:numId w:val="34"/>
        </w:numPr>
        <w:spacing w:after="120"/>
        <w:ind w:firstLine="600"/>
        <w:rPr>
          <w:rFonts w:ascii="仿宋" w:hAnsi="仿宋" w:eastAsia="仿宋" w:cs="仿宋"/>
          <w:sz w:val="30"/>
          <w:szCs w:val="30"/>
        </w:rPr>
      </w:pPr>
      <w:r>
        <w:rPr>
          <w:rFonts w:hint="eastAsia" w:ascii="仿宋" w:hAnsi="仿宋" w:eastAsia="仿宋" w:cs="仿宋"/>
          <w:sz w:val="30"/>
          <w:szCs w:val="30"/>
        </w:rPr>
        <w:t>第三方造价咨询单位编制或审核的</w:t>
      </w:r>
      <w:r>
        <w:rPr>
          <w:rFonts w:hint="eastAsia" w:ascii="仿宋_GB2312" w:eastAsia="仿宋_GB2312"/>
          <w:sz w:val="30"/>
          <w:szCs w:val="30"/>
          <w:u w:val="single"/>
        </w:rPr>
        <w:t>施工图预算</w:t>
      </w:r>
      <w:r>
        <w:rPr>
          <w:rFonts w:hint="eastAsia" w:ascii="仿宋" w:hAnsi="仿宋" w:eastAsia="仿宋" w:cs="仿宋"/>
          <w:sz w:val="30"/>
          <w:szCs w:val="30"/>
        </w:rPr>
        <w:t>，因施工图原因造成无法确认的造价与经发改部门批复的初步设计概算建安工程费相比大于5%。</w:t>
      </w:r>
    </w:p>
    <w:p w14:paraId="45701F25">
      <w:pPr>
        <w:spacing w:after="120"/>
        <w:ind w:firstLine="600"/>
        <w:rPr>
          <w:rFonts w:ascii="仿宋" w:hAnsi="仿宋" w:eastAsia="仿宋" w:cs="仿宋"/>
          <w:sz w:val="30"/>
          <w:szCs w:val="30"/>
        </w:rPr>
      </w:pPr>
      <w:r>
        <w:rPr>
          <w:rFonts w:hint="eastAsia" w:ascii="仿宋" w:hAnsi="仿宋" w:eastAsia="仿宋" w:cs="仿宋"/>
          <w:sz w:val="30"/>
          <w:szCs w:val="30"/>
        </w:rPr>
        <w:t>（4） 赔偿损失。因设计人原因造成发包人经济损失的，设计人除负责采取补救措施外，应退还损失部分的设计费，并按照设计人在事故中的责任比例向发包人赔偿实际损失。</w:t>
      </w:r>
    </w:p>
    <w:p w14:paraId="3A9B6A2A">
      <w:pPr>
        <w:spacing w:after="120"/>
        <w:ind w:firstLine="600"/>
        <w:rPr>
          <w:rFonts w:ascii="仿宋" w:hAnsi="仿宋" w:eastAsia="仿宋" w:cs="仿宋"/>
          <w:sz w:val="30"/>
          <w:szCs w:val="30"/>
        </w:rPr>
      </w:pPr>
      <w:r>
        <w:rPr>
          <w:rFonts w:hint="eastAsia" w:ascii="仿宋" w:hAnsi="仿宋" w:eastAsia="仿宋" w:cs="仿宋"/>
          <w:sz w:val="30"/>
          <w:szCs w:val="30"/>
        </w:rPr>
        <w:t>（5）部分解除合同。当设计人违反合同条款的约定，部分解除合同的条件成就时，发包人有权向设计人发出书面部分解除合同的通知，该通知在送达设计人时即生效。设计人应向发包人承担本合同设计费5%的违约金，违约金不足以弥补发包人全部损失的，设计人还应予以赔偿。同时，设计人必须在通知生效之日起三天内停止被解除部分的工作，通知生效之日起五天内配合发包人完成现场工作和有关资料的交接，所交接资料必须完整且满足发包人要求。设计人无特殊原因未在规定期限内完成交接和离场，或交接资料不完整或符合要求的，发包人有权视情况解除合同。若因设计人拒交或延误交接现场工作和有关资料而引致发包人工期延误和其它方面的损失，设计人应赔偿发包人及本项目参建单位相关损失。</w:t>
      </w:r>
    </w:p>
    <w:p w14:paraId="46F6C64F">
      <w:pPr>
        <w:spacing w:after="120"/>
        <w:ind w:firstLine="600"/>
        <w:rPr>
          <w:rFonts w:ascii="仿宋" w:hAnsi="仿宋" w:eastAsia="仿宋" w:cs="仿宋"/>
          <w:sz w:val="30"/>
          <w:szCs w:val="30"/>
        </w:rPr>
      </w:pPr>
      <w:r>
        <w:rPr>
          <w:rFonts w:hint="eastAsia" w:ascii="仿宋" w:hAnsi="仿宋" w:eastAsia="仿宋" w:cs="仿宋"/>
          <w:sz w:val="30"/>
          <w:szCs w:val="30"/>
        </w:rPr>
        <w:t>（6）解除合同。当设计人违反合同条款约定，解除合同的条件成就时，发包人有权向设计人发出书面解除合同的通知，该通知在送达设计人时即生效。给发包人造成损失的，设计人应赔偿发包人的全部损失。同时，设计人必须在通知生效之日起三天内停止全部工作，通知生效之日起五天内配合发包人完成现场工作和有关资料的交接，并于完成交接工作当天内离场。设计人应保证所移交的资料齐全完整且满足发包人要求，设计人未在规定期限内完成交接和离场或所移交的资料不完整的，引致发包人工期延误和其它方面的损失，设计人应赔偿发包人及本项目参建单位相关损失。</w:t>
      </w:r>
    </w:p>
    <w:p w14:paraId="79BF5A00">
      <w:pPr>
        <w:spacing w:after="120"/>
        <w:ind w:firstLine="600"/>
        <w:rPr>
          <w:rFonts w:ascii="仿宋" w:hAnsi="仿宋" w:eastAsia="仿宋" w:cs="仿宋"/>
          <w:sz w:val="30"/>
          <w:szCs w:val="30"/>
        </w:rPr>
      </w:pPr>
      <w:r>
        <w:rPr>
          <w:rFonts w:hint="eastAsia" w:ascii="仿宋" w:hAnsi="仿宋" w:eastAsia="仿宋" w:cs="仿宋"/>
          <w:sz w:val="30"/>
          <w:szCs w:val="30"/>
        </w:rPr>
        <w:t xml:space="preserve">（7）设计人按合同条款约定应承担的违约金和赔偿金应分别计算。 </w:t>
      </w:r>
    </w:p>
    <w:p w14:paraId="6EAC8B93">
      <w:pPr>
        <w:spacing w:after="120"/>
        <w:ind w:firstLine="810" w:firstLineChars="270"/>
        <w:rPr>
          <w:rFonts w:ascii="仿宋" w:hAnsi="仿宋" w:eastAsia="仿宋" w:cs="仿宋"/>
          <w:sz w:val="30"/>
          <w:szCs w:val="30"/>
        </w:rPr>
      </w:pPr>
      <w:r>
        <w:rPr>
          <w:rFonts w:hint="eastAsia" w:ascii="仿宋" w:hAnsi="仿宋" w:eastAsia="仿宋" w:cs="仿宋"/>
          <w:sz w:val="30"/>
          <w:szCs w:val="30"/>
        </w:rPr>
        <w:t>7.2.2除合同另有约定外，设计人收到限期整改通知累计3次，另追加一次一般违约责任；累计出现3次一般违约责任另追加1次严重违约责任；累计出现3次严重违约责任，发包人有权单方面部分或全部解除合同。</w:t>
      </w:r>
    </w:p>
    <w:p w14:paraId="3AC90051">
      <w:pPr>
        <w:spacing w:after="120"/>
        <w:ind w:firstLine="600"/>
        <w:rPr>
          <w:rFonts w:ascii="仿宋" w:hAnsi="仿宋" w:eastAsia="仿宋" w:cs="仿宋"/>
          <w:sz w:val="30"/>
          <w:szCs w:val="30"/>
        </w:rPr>
      </w:pPr>
      <w:r>
        <w:rPr>
          <w:rFonts w:hint="eastAsia" w:ascii="仿宋" w:hAnsi="仿宋" w:eastAsia="仿宋" w:cs="仿宋"/>
          <w:sz w:val="30"/>
          <w:szCs w:val="30"/>
        </w:rPr>
        <w:t>对于累计出现3次一般违约责任，或出现1次严重违约责任的，除按合同约定追究其违约责任外，还应按下列方式进行处理：</w:t>
      </w:r>
    </w:p>
    <w:p w14:paraId="740DFF31">
      <w:pPr>
        <w:spacing w:after="120"/>
        <w:ind w:firstLine="600"/>
        <w:rPr>
          <w:rFonts w:ascii="仿宋" w:hAnsi="仿宋" w:eastAsia="仿宋" w:cs="仿宋"/>
          <w:sz w:val="30"/>
          <w:szCs w:val="30"/>
        </w:rPr>
      </w:pPr>
      <w:r>
        <w:rPr>
          <w:rFonts w:hint="eastAsia" w:ascii="仿宋" w:hAnsi="仿宋" w:eastAsia="仿宋" w:cs="仿宋"/>
          <w:sz w:val="30"/>
          <w:szCs w:val="30"/>
        </w:rPr>
        <w:t>（1）发布公告予以通报批评。</w:t>
      </w:r>
    </w:p>
    <w:p w14:paraId="4CBC5E2A">
      <w:pPr>
        <w:spacing w:after="120"/>
        <w:ind w:firstLine="600"/>
        <w:rPr>
          <w:rFonts w:ascii="仿宋" w:hAnsi="仿宋" w:eastAsia="仿宋" w:cs="仿宋"/>
          <w:sz w:val="30"/>
          <w:szCs w:val="30"/>
        </w:rPr>
      </w:pPr>
      <w:r>
        <w:rPr>
          <w:rFonts w:hint="eastAsia" w:ascii="仿宋" w:hAnsi="仿宋" w:eastAsia="仿宋" w:cs="仿宋"/>
          <w:sz w:val="30"/>
          <w:szCs w:val="30"/>
        </w:rPr>
        <w:t>（2）通报批评公告由发包人抄送建设行政主管部门，并告知在一定时间段内不接受其参加发包人范围内项目投标或承接工程项目。</w:t>
      </w:r>
    </w:p>
    <w:p w14:paraId="264E2E7E">
      <w:pPr>
        <w:spacing w:after="120"/>
        <w:ind w:firstLine="600"/>
        <w:rPr>
          <w:rFonts w:ascii="仿宋" w:hAnsi="仿宋" w:eastAsia="仿宋" w:cs="仿宋"/>
          <w:sz w:val="30"/>
          <w:szCs w:val="30"/>
        </w:rPr>
      </w:pPr>
      <w:r>
        <w:rPr>
          <w:rFonts w:hint="eastAsia" w:ascii="仿宋" w:hAnsi="仿宋" w:eastAsia="仿宋" w:cs="仿宋"/>
          <w:sz w:val="30"/>
          <w:szCs w:val="30"/>
        </w:rPr>
        <w:t>7.2.3设计人违约需向发包人承担违约金、赔偿金时，发包人可在未付设计人款项中扣除，也可以向为承包人提供履约保函银行主张索赔。必要时，发包人有权书面通知设计人交纳。设计人必须在发包人规定的时间内主动交纳；逾期交纳的，发包人有权按逾期天数每天加收逾期交纳金额1‰的逾期违约金。</w:t>
      </w:r>
    </w:p>
    <w:p w14:paraId="4DAE4127">
      <w:pPr>
        <w:spacing w:after="120"/>
        <w:ind w:firstLine="600"/>
        <w:rPr>
          <w:rFonts w:ascii="仿宋" w:hAnsi="仿宋" w:eastAsia="仿宋" w:cs="仿宋"/>
          <w:sz w:val="30"/>
          <w:szCs w:val="30"/>
        </w:rPr>
      </w:pPr>
      <w:r>
        <w:rPr>
          <w:rFonts w:hint="eastAsia" w:ascii="仿宋" w:hAnsi="仿宋" w:eastAsia="仿宋" w:cs="仿宋"/>
          <w:sz w:val="30"/>
          <w:szCs w:val="30"/>
        </w:rPr>
        <w:t>7.2.4本合同解除后，设计人已经完成的设计成果文件（含无加密电子版文件）全部归发包人所有，发包人有权与其他设计人签订设计协议，其他设计人有权在设计人已经完成的设计成果文件的基础上继续设计，设计人不得以任何理由拒绝或拖延提供设计成果文件（含无加密电子版文件），设计人应得报酬按本合同其他条款结算。设计人拒绝或拖延提供已经完成设计成果文件（含无加密电子版文件）造成工期延误时，按本合同总承包管理与施工部分专用合同条款承担工期延误违约责任。</w:t>
      </w:r>
    </w:p>
    <w:p w14:paraId="45FA0621">
      <w:pPr>
        <w:spacing w:after="120"/>
        <w:ind w:firstLine="600"/>
        <w:rPr>
          <w:rFonts w:ascii="仿宋" w:hAnsi="仿宋" w:eastAsia="仿宋" w:cs="仿宋"/>
          <w:sz w:val="30"/>
          <w:szCs w:val="30"/>
        </w:rPr>
      </w:pPr>
      <w:r>
        <w:rPr>
          <w:rFonts w:hint="eastAsia" w:ascii="仿宋" w:hAnsi="仿宋" w:eastAsia="仿宋" w:cs="仿宋"/>
          <w:sz w:val="30"/>
          <w:szCs w:val="30"/>
        </w:rPr>
        <w:t>7.2.5设计管理、服务方面的违约责任</w:t>
      </w:r>
    </w:p>
    <w:p w14:paraId="402B177D">
      <w:pPr>
        <w:spacing w:after="120"/>
        <w:ind w:firstLine="600"/>
        <w:rPr>
          <w:rFonts w:ascii="仿宋" w:hAnsi="仿宋" w:eastAsia="仿宋" w:cs="仿宋"/>
          <w:sz w:val="30"/>
          <w:szCs w:val="30"/>
        </w:rPr>
      </w:pPr>
      <w:r>
        <w:rPr>
          <w:rFonts w:hint="eastAsia" w:ascii="仿宋" w:hAnsi="仿宋" w:eastAsia="仿宋" w:cs="仿宋"/>
          <w:sz w:val="30"/>
          <w:szCs w:val="30"/>
        </w:rPr>
        <w:t>（1）设计人在履行合同过程中贿赂发包人人员的，视为不正当竞争并承担严重违约1次。情节特别严重的，发包人有权单方面解除合同。涉嫌犯罪的，移交司法部门处理。</w:t>
      </w:r>
    </w:p>
    <w:p w14:paraId="520B7180">
      <w:pPr>
        <w:spacing w:after="120"/>
        <w:ind w:firstLine="600"/>
        <w:rPr>
          <w:rFonts w:ascii="仿宋" w:hAnsi="仿宋" w:eastAsia="仿宋" w:cs="仿宋"/>
          <w:sz w:val="30"/>
          <w:szCs w:val="30"/>
        </w:rPr>
      </w:pPr>
      <w:r>
        <w:rPr>
          <w:rFonts w:hint="eastAsia" w:ascii="仿宋" w:hAnsi="仿宋" w:eastAsia="仿宋" w:cs="仿宋"/>
          <w:sz w:val="30"/>
          <w:szCs w:val="30"/>
        </w:rPr>
        <w:t>（2）设计人单方面终止或解除本合同造成工期延误的，按本合同总承包管理与施工部分专用合同条款承担工期延误违约责任。</w:t>
      </w:r>
    </w:p>
    <w:p w14:paraId="560E475B">
      <w:pPr>
        <w:spacing w:after="120"/>
        <w:ind w:firstLine="600"/>
        <w:rPr>
          <w:rFonts w:ascii="仿宋" w:hAnsi="仿宋" w:eastAsia="仿宋" w:cs="仿宋"/>
          <w:sz w:val="30"/>
          <w:szCs w:val="30"/>
        </w:rPr>
      </w:pPr>
      <w:r>
        <w:rPr>
          <w:rFonts w:hint="eastAsia" w:ascii="仿宋" w:hAnsi="仿宋" w:eastAsia="仿宋" w:cs="仿宋"/>
          <w:sz w:val="30"/>
          <w:szCs w:val="30"/>
        </w:rPr>
        <w:t>（3）设计人未能按本合同设计专用条款约定投入人员或投入人员没有按时到位的人员为一般设计人员的，每出现1人次，设计人承担一般违约责任1次；如该没有投入或者没有按时到位的人员为设计专业负责人员的，每出现1人次，设计人承担严重违约责任1次。设计人要求更换人员的，按第7.2.5条第（6）款第①点约定承担违约责任。设计人在发包人规定的宽限期内仍未将人员投入到位的，发包人有权另请他人接替其工作，另请他人的费用从应支付给设计人的设计费中扣减，发包人有权要求设计人按第7.2.5条第（6）款第②点约定承担违约责任。</w:t>
      </w:r>
    </w:p>
    <w:p w14:paraId="39E6643C">
      <w:pPr>
        <w:spacing w:after="120"/>
        <w:ind w:firstLine="600"/>
        <w:rPr>
          <w:rFonts w:ascii="仿宋" w:hAnsi="仿宋" w:eastAsia="仿宋" w:cs="仿宋"/>
          <w:sz w:val="30"/>
          <w:szCs w:val="30"/>
        </w:rPr>
      </w:pPr>
      <w:r>
        <w:rPr>
          <w:rFonts w:hint="eastAsia" w:ascii="仿宋" w:hAnsi="仿宋" w:eastAsia="仿宋" w:cs="仿宋"/>
          <w:sz w:val="30"/>
          <w:szCs w:val="30"/>
        </w:rPr>
        <w:t>（4）设计人纳入发包人统一管理的设计服务人员（含现场服务人员）不遵守发包人管理制度或者工作不称职的，必须在发包人规定的时间内予以更换。到期不更换的，视为设计人未能按合同约定投入人员，按第7.2.5条第（3）款约定承担违约责任。</w:t>
      </w:r>
    </w:p>
    <w:p w14:paraId="13B09829">
      <w:pPr>
        <w:spacing w:after="120"/>
        <w:ind w:firstLine="600"/>
        <w:rPr>
          <w:rFonts w:ascii="仿宋" w:hAnsi="仿宋" w:eastAsia="仿宋" w:cs="仿宋"/>
          <w:sz w:val="30"/>
          <w:szCs w:val="30"/>
        </w:rPr>
      </w:pPr>
      <w:r>
        <w:rPr>
          <w:rFonts w:hint="eastAsia" w:ascii="仿宋" w:hAnsi="仿宋" w:eastAsia="仿宋" w:cs="仿宋"/>
          <w:sz w:val="30"/>
          <w:szCs w:val="30"/>
        </w:rPr>
        <w:t>（5）按合同约定投入的专为本合同工程服务的设计人驻场设计人员参与其他工程工作的，每发现一人次，视为设计人未能按合同约定投入人员，参照第7.2.5条第（3）款约定承担违约责任。</w:t>
      </w:r>
    </w:p>
    <w:p w14:paraId="6B1C3535">
      <w:pPr>
        <w:spacing w:after="120"/>
        <w:ind w:firstLine="600"/>
        <w:rPr>
          <w:rFonts w:ascii="仿宋" w:hAnsi="仿宋" w:eastAsia="仿宋" w:cs="仿宋"/>
          <w:sz w:val="30"/>
          <w:szCs w:val="30"/>
        </w:rPr>
      </w:pPr>
      <w:r>
        <w:rPr>
          <w:rFonts w:hint="eastAsia" w:ascii="仿宋" w:hAnsi="仿宋" w:eastAsia="仿宋" w:cs="仿宋"/>
          <w:sz w:val="30"/>
          <w:szCs w:val="30"/>
        </w:rPr>
        <w:t>（6）在本合同履行期内设计人要求更换人员的，按以下约定处理：</w:t>
      </w:r>
    </w:p>
    <w:p w14:paraId="2B49A607">
      <w:pPr>
        <w:spacing w:after="120"/>
        <w:ind w:firstLine="600"/>
        <w:rPr>
          <w:rFonts w:ascii="仿宋" w:hAnsi="仿宋" w:eastAsia="仿宋" w:cs="仿宋"/>
          <w:sz w:val="30"/>
          <w:szCs w:val="30"/>
        </w:rPr>
      </w:pPr>
      <w:r>
        <w:rPr>
          <w:rFonts w:hint="eastAsia" w:ascii="仿宋" w:hAnsi="仿宋" w:eastAsia="仿宋" w:cs="仿宋"/>
          <w:sz w:val="30"/>
          <w:szCs w:val="30"/>
        </w:rPr>
        <w:t>①经发包人同意的，更换一般设计人员（含驻场设计代表）须向发包人承担违约金1万元/人次；更换专业设计负责人须向发包人承担违约金3万元/人次；更换项目设计负责人、设计承包管理负责人或者驻场设计代表总负责人须向发包人承担违约金5万元/人次。</w:t>
      </w:r>
    </w:p>
    <w:p w14:paraId="14A49B74">
      <w:pPr>
        <w:spacing w:after="120"/>
        <w:ind w:firstLine="600"/>
        <w:rPr>
          <w:rFonts w:ascii="仿宋" w:hAnsi="仿宋" w:eastAsia="仿宋" w:cs="仿宋"/>
          <w:sz w:val="30"/>
          <w:szCs w:val="30"/>
        </w:rPr>
      </w:pPr>
      <w:r>
        <w:rPr>
          <w:rFonts w:hint="eastAsia" w:ascii="仿宋" w:hAnsi="仿宋" w:eastAsia="仿宋" w:cs="仿宋"/>
          <w:sz w:val="30"/>
          <w:szCs w:val="30"/>
        </w:rPr>
        <w:t>②未经发包人同意的，更换一般设计人员（含驻场设计代表）须向发包人承担违约金5万元/人次；更换专业设计负责人须向发包人承担违约金15万元/人次；更换项目设计负责人、设计承包管理负责人或者驻场设计代表总负责人须向发包人承担违约金25万元/人次。</w:t>
      </w:r>
    </w:p>
    <w:p w14:paraId="1DDC5266">
      <w:pPr>
        <w:spacing w:after="120"/>
        <w:ind w:firstLine="600"/>
        <w:rPr>
          <w:rFonts w:ascii="仿宋" w:hAnsi="仿宋" w:eastAsia="仿宋" w:cs="仿宋"/>
          <w:sz w:val="30"/>
          <w:szCs w:val="30"/>
        </w:rPr>
      </w:pPr>
      <w:r>
        <w:rPr>
          <w:rFonts w:hint="eastAsia" w:ascii="仿宋" w:hAnsi="仿宋" w:eastAsia="仿宋" w:cs="仿宋"/>
          <w:sz w:val="30"/>
          <w:szCs w:val="30"/>
        </w:rPr>
        <w:t xml:space="preserve"> ③因不可抗力事件（如重病、重伤、失踪、死亡等）造成设计人员岗位空缺的，设计人必须在出现空缺之日起五日内按照本合同相关约定的标准予以补充，但无须向发包人支付违约金。逾期未予补充或补充人员不符合本合同相关约定标准的，视作设计人未能按照合同约定投入设计人员，参照第7.2.5条第（3）款约定承担违约责任。</w:t>
      </w:r>
    </w:p>
    <w:p w14:paraId="4B46180A">
      <w:pPr>
        <w:spacing w:after="120"/>
        <w:ind w:firstLine="600"/>
        <w:rPr>
          <w:rFonts w:ascii="仿宋" w:hAnsi="仿宋" w:eastAsia="仿宋" w:cs="仿宋"/>
          <w:sz w:val="30"/>
          <w:szCs w:val="30"/>
        </w:rPr>
      </w:pPr>
      <w:r>
        <w:rPr>
          <w:rFonts w:hint="eastAsia" w:ascii="仿宋" w:hAnsi="仿宋" w:eastAsia="仿宋" w:cs="仿宋"/>
          <w:sz w:val="30"/>
          <w:szCs w:val="30"/>
        </w:rPr>
        <w:t xml:space="preserve"> ④发包人要求设计人以实际工作能力较高的人员调换实际工作能力较低的现场人员，或者设计人主动要求以实际工作能力较高的人员调换实际工作能力较低的现场人员并经发包人批准且经实践证实的，设计人可不承担违约责任。</w:t>
      </w:r>
    </w:p>
    <w:p w14:paraId="636EBCD8">
      <w:pPr>
        <w:spacing w:after="120"/>
        <w:ind w:firstLine="600"/>
        <w:rPr>
          <w:rFonts w:ascii="仿宋" w:hAnsi="仿宋" w:eastAsia="仿宋" w:cs="仿宋"/>
          <w:sz w:val="30"/>
          <w:szCs w:val="30"/>
        </w:rPr>
      </w:pPr>
      <w:r>
        <w:rPr>
          <w:rFonts w:hint="eastAsia" w:ascii="仿宋" w:hAnsi="仿宋" w:eastAsia="仿宋" w:cs="仿宋"/>
          <w:sz w:val="30"/>
          <w:szCs w:val="30"/>
        </w:rPr>
        <w:t>（7）设计人应支持、服从发包人的管理工作，对发包人的指令和书面通知，若无正当理由又未提前报告、得到认可，而公开或变相拒不执行的，第一次承担一般违约责任1次；第二次及以后，每发生一次承担严重违约1次，情节特别严重的，发包人有权部分解除合同或解除合同。给发包人造成损失的，设计人应赔偿发包人的全部损失。</w:t>
      </w:r>
    </w:p>
    <w:p w14:paraId="67FC61E4">
      <w:pPr>
        <w:spacing w:after="120"/>
        <w:ind w:firstLine="600"/>
        <w:rPr>
          <w:rFonts w:ascii="仿宋" w:hAnsi="仿宋" w:eastAsia="仿宋" w:cs="仿宋"/>
          <w:sz w:val="30"/>
          <w:szCs w:val="30"/>
        </w:rPr>
      </w:pPr>
      <w:r>
        <w:rPr>
          <w:rFonts w:hint="eastAsia" w:ascii="仿宋" w:hAnsi="仿宋" w:eastAsia="仿宋" w:cs="仿宋"/>
          <w:sz w:val="30"/>
          <w:szCs w:val="30"/>
        </w:rPr>
        <w:t>（8）设计人未遵守发包人所制订的各项制度、规定的，由设计人按所违反制度、规定的有关规定承担责任。所违反制度、规定没有明确规定的，视作不服从发包人的管理工作，参照第7.2.5条第（7）款约定承担违约责任。</w:t>
      </w:r>
    </w:p>
    <w:p w14:paraId="303CDB73">
      <w:pPr>
        <w:spacing w:after="120"/>
        <w:ind w:firstLine="600"/>
        <w:rPr>
          <w:rFonts w:ascii="仿宋" w:hAnsi="仿宋" w:eastAsia="仿宋" w:cs="仿宋"/>
          <w:sz w:val="30"/>
          <w:szCs w:val="30"/>
        </w:rPr>
      </w:pPr>
      <w:r>
        <w:rPr>
          <w:rFonts w:hint="eastAsia" w:ascii="仿宋" w:hAnsi="仿宋" w:eastAsia="仿宋" w:cs="仿宋"/>
          <w:sz w:val="30"/>
          <w:szCs w:val="30"/>
        </w:rPr>
        <w:t>（9）设计人未按合同约定做好设计承包管理或配合协调工作，经施工图审查单位或发包人发出限期改正通知后3天内，设计人仍未能整改至令施工图审查单位或发包人认可的，视作不服从发包人的管理工作，参照第7.2.5条第（7）款约定承担违约责任。</w:t>
      </w:r>
    </w:p>
    <w:p w14:paraId="5B7224D5">
      <w:pPr>
        <w:spacing w:after="120"/>
        <w:ind w:firstLine="600"/>
        <w:rPr>
          <w:rFonts w:ascii="仿宋" w:hAnsi="仿宋" w:eastAsia="仿宋" w:cs="仿宋"/>
          <w:sz w:val="30"/>
          <w:szCs w:val="30"/>
        </w:rPr>
      </w:pPr>
      <w:r>
        <w:rPr>
          <w:rFonts w:hint="eastAsia" w:ascii="仿宋" w:hAnsi="仿宋" w:eastAsia="仿宋" w:cs="仿宋"/>
          <w:sz w:val="30"/>
          <w:szCs w:val="30"/>
        </w:rPr>
        <w:t>（10）对于发包人通知设计人（包括设计人分包单位）参加的现场问题处理会议、工程验收会议等会议，被通知人员缺席的，每缺席一人次设计人承担3000元违约金。</w:t>
      </w:r>
    </w:p>
    <w:p w14:paraId="37A84DAE">
      <w:pPr>
        <w:spacing w:after="120"/>
        <w:ind w:firstLine="600"/>
        <w:rPr>
          <w:rFonts w:ascii="仿宋" w:hAnsi="仿宋" w:eastAsia="仿宋" w:cs="仿宋"/>
          <w:sz w:val="30"/>
          <w:szCs w:val="30"/>
        </w:rPr>
      </w:pPr>
      <w:r>
        <w:rPr>
          <w:rFonts w:hint="eastAsia" w:ascii="仿宋" w:hAnsi="仿宋" w:eastAsia="仿宋" w:cs="仿宋"/>
          <w:sz w:val="30"/>
          <w:szCs w:val="30"/>
        </w:rPr>
        <w:t>（11）设计人未能按合同约定投入足够的人员、设备、设施满足发包人的信息化管理要求的，视作不服从发包人的管理工作，参照第7.2.5条第（7）款约定承担违约责任。</w:t>
      </w:r>
    </w:p>
    <w:p w14:paraId="30668832">
      <w:pPr>
        <w:spacing w:after="120"/>
        <w:ind w:firstLine="600"/>
        <w:rPr>
          <w:rFonts w:ascii="仿宋" w:hAnsi="仿宋" w:eastAsia="仿宋" w:cs="仿宋"/>
          <w:sz w:val="30"/>
          <w:szCs w:val="30"/>
        </w:rPr>
      </w:pPr>
      <w:r>
        <w:rPr>
          <w:rFonts w:hint="eastAsia" w:ascii="仿宋" w:hAnsi="仿宋" w:eastAsia="仿宋" w:cs="仿宋"/>
          <w:sz w:val="30"/>
          <w:szCs w:val="30"/>
        </w:rPr>
        <w:t>（12）因设计人未按时按质地提供本合同设计专用条款约定的各项设计服务，导致本合同工程建安费用增加的，设计人按以下公式计算向发包人承担违约金（即减收设计费）：</w:t>
      </w:r>
    </w:p>
    <w:p w14:paraId="41A9C285">
      <w:pPr>
        <w:spacing w:after="120"/>
        <w:ind w:firstLine="600"/>
        <w:rPr>
          <w:rFonts w:ascii="仿宋" w:hAnsi="仿宋" w:eastAsia="仿宋" w:cs="仿宋"/>
          <w:sz w:val="30"/>
          <w:szCs w:val="30"/>
        </w:rPr>
      </w:pPr>
      <w:r>
        <w:rPr>
          <w:rFonts w:hint="eastAsia" w:ascii="仿宋" w:hAnsi="仿宋" w:eastAsia="仿宋" w:cs="仿宋"/>
          <w:sz w:val="30"/>
          <w:szCs w:val="30"/>
        </w:rPr>
        <w:t>违约金（减收设计费） = A ×（B / C）× 2</w:t>
      </w:r>
    </w:p>
    <w:p w14:paraId="08C7DF31">
      <w:pPr>
        <w:spacing w:after="120"/>
        <w:ind w:firstLine="600"/>
        <w:rPr>
          <w:rFonts w:ascii="仿宋" w:hAnsi="仿宋" w:eastAsia="仿宋" w:cs="仿宋"/>
          <w:sz w:val="30"/>
          <w:szCs w:val="30"/>
        </w:rPr>
      </w:pPr>
      <w:r>
        <w:rPr>
          <w:rFonts w:hint="eastAsia" w:ascii="仿宋" w:hAnsi="仿宋" w:eastAsia="仿宋" w:cs="仿宋"/>
          <w:sz w:val="30"/>
          <w:szCs w:val="30"/>
        </w:rPr>
        <w:t>其中：A - 实际增加的建安工程费；</w:t>
      </w:r>
    </w:p>
    <w:p w14:paraId="215A3408">
      <w:pPr>
        <w:spacing w:after="120"/>
        <w:ind w:firstLine="600"/>
        <w:rPr>
          <w:rFonts w:ascii="仿宋" w:hAnsi="仿宋" w:eastAsia="仿宋" w:cs="仿宋"/>
          <w:sz w:val="30"/>
          <w:szCs w:val="30"/>
        </w:rPr>
      </w:pPr>
      <w:r>
        <w:rPr>
          <w:rFonts w:hint="eastAsia" w:ascii="仿宋" w:hAnsi="仿宋" w:eastAsia="仿宋" w:cs="仿宋"/>
          <w:sz w:val="30"/>
          <w:szCs w:val="30"/>
        </w:rPr>
        <w:t>B - 本合同设计收费（包括工程设计费及其它设计收费）总额；</w:t>
      </w:r>
    </w:p>
    <w:p w14:paraId="765972B7">
      <w:pPr>
        <w:spacing w:after="120"/>
        <w:ind w:firstLine="600"/>
        <w:rPr>
          <w:rFonts w:ascii="仿宋" w:hAnsi="仿宋" w:eastAsia="仿宋" w:cs="仿宋"/>
          <w:sz w:val="30"/>
          <w:szCs w:val="30"/>
        </w:rPr>
      </w:pPr>
      <w:r>
        <w:rPr>
          <w:rFonts w:hint="eastAsia" w:ascii="仿宋" w:hAnsi="仿宋" w:eastAsia="仿宋" w:cs="仿宋"/>
          <w:sz w:val="30"/>
          <w:szCs w:val="30"/>
        </w:rPr>
        <w:t>C - 本合同工程审定工程设计概算建安工程费总额。</w:t>
      </w:r>
    </w:p>
    <w:p w14:paraId="469B63B3">
      <w:pPr>
        <w:spacing w:after="120"/>
        <w:ind w:firstLine="600"/>
        <w:rPr>
          <w:rFonts w:ascii="仿宋" w:hAnsi="仿宋" w:eastAsia="仿宋" w:cs="仿宋"/>
          <w:sz w:val="30"/>
          <w:szCs w:val="30"/>
        </w:rPr>
      </w:pPr>
      <w:r>
        <w:rPr>
          <w:rFonts w:hint="eastAsia" w:ascii="仿宋" w:hAnsi="仿宋" w:eastAsia="仿宋" w:cs="仿宋"/>
          <w:sz w:val="30"/>
          <w:szCs w:val="30"/>
        </w:rPr>
        <w:t>未支付部分设计费不足以抵扣违约金时，从已经收取的设计费中退回相应部分给发包人，直至退回全部已经收取的设计费为止。</w:t>
      </w:r>
    </w:p>
    <w:p w14:paraId="3EDEA122">
      <w:pPr>
        <w:spacing w:after="120"/>
        <w:ind w:firstLine="600"/>
        <w:rPr>
          <w:rFonts w:ascii="仿宋" w:hAnsi="仿宋" w:eastAsia="仿宋" w:cs="仿宋"/>
          <w:sz w:val="30"/>
          <w:szCs w:val="30"/>
        </w:rPr>
      </w:pPr>
      <w:r>
        <w:rPr>
          <w:rFonts w:hint="eastAsia" w:ascii="仿宋" w:hAnsi="仿宋" w:eastAsia="仿宋" w:cs="仿宋"/>
          <w:sz w:val="30"/>
          <w:szCs w:val="30"/>
        </w:rPr>
        <w:t>除外情形：（1）法规变化、规范调整、不可抗力事件、政府部门变更要求、发包人指示变更、物价变动等。（2）发包人未接受设计人对初步设计文件的优化修改建议。</w:t>
      </w:r>
    </w:p>
    <w:p w14:paraId="11F3846C">
      <w:pPr>
        <w:spacing w:after="120"/>
        <w:ind w:firstLine="600"/>
        <w:rPr>
          <w:rFonts w:ascii="仿宋" w:hAnsi="仿宋" w:eastAsia="仿宋" w:cs="仿宋"/>
          <w:sz w:val="30"/>
          <w:szCs w:val="30"/>
        </w:rPr>
      </w:pPr>
      <w:r>
        <w:rPr>
          <w:rFonts w:hint="eastAsia" w:ascii="仿宋" w:hAnsi="仿宋" w:eastAsia="仿宋" w:cs="仿宋"/>
          <w:sz w:val="30"/>
          <w:szCs w:val="30"/>
        </w:rPr>
        <w:t xml:space="preserve">7.2.6设计成果文件方面的违约责任 </w:t>
      </w:r>
    </w:p>
    <w:p w14:paraId="3C9E928E">
      <w:pPr>
        <w:spacing w:after="120"/>
        <w:ind w:firstLine="600"/>
        <w:rPr>
          <w:rFonts w:ascii="仿宋" w:hAnsi="仿宋" w:eastAsia="仿宋" w:cs="仿宋"/>
          <w:sz w:val="30"/>
          <w:szCs w:val="30"/>
        </w:rPr>
      </w:pPr>
      <w:r>
        <w:rPr>
          <w:rFonts w:hint="eastAsia" w:ascii="仿宋" w:hAnsi="仿宋" w:eastAsia="仿宋" w:cs="仿宋"/>
          <w:sz w:val="30"/>
          <w:szCs w:val="30"/>
        </w:rPr>
        <w:t>（1）设计人未能按本合同约定的时间或发包人审核同意的设计进度计划提交设计成果文件的。如果延期交付设计成果文件，设计人每天向发包人承担的误期违约金为设计合同价格的0.3%。造成施工工期延误时，按本合同总承包管理与施工部分专用合同条款承担工期延误违约责任（同联合体牵头人承担连带责任）。</w:t>
      </w:r>
    </w:p>
    <w:p w14:paraId="47AB3B7B">
      <w:pPr>
        <w:spacing w:after="120"/>
        <w:ind w:firstLine="600"/>
        <w:rPr>
          <w:rFonts w:ascii="仿宋" w:hAnsi="仿宋" w:eastAsia="仿宋" w:cs="仿宋"/>
          <w:sz w:val="30"/>
          <w:szCs w:val="30"/>
        </w:rPr>
      </w:pPr>
      <w:r>
        <w:rPr>
          <w:rFonts w:hint="eastAsia" w:ascii="仿宋" w:hAnsi="仿宋" w:eastAsia="仿宋" w:cs="仿宋"/>
          <w:sz w:val="30"/>
          <w:szCs w:val="30"/>
        </w:rPr>
        <w:t>（2）本合同履行期间，设计人的设计质量不符合合同约定或设计成果文件出现遗漏、错误的，设计人应在发包人规定的限期内对设计成果文件及时进行补充、修改、完善；因此造成设计成果文件逾期交付的，按第7.2.6条第（1）点的约定处理。除误期损失外，造成发包人材料、设备等其他损失的，设计人应继续赔偿。</w:t>
      </w:r>
    </w:p>
    <w:p w14:paraId="2CD24485">
      <w:pPr>
        <w:spacing w:after="120"/>
        <w:ind w:firstLine="600"/>
        <w:rPr>
          <w:rFonts w:ascii="仿宋" w:hAnsi="仿宋" w:eastAsia="仿宋" w:cs="仿宋"/>
          <w:sz w:val="30"/>
          <w:szCs w:val="30"/>
        </w:rPr>
      </w:pPr>
      <w:r>
        <w:rPr>
          <w:rFonts w:hint="eastAsia" w:ascii="仿宋" w:hAnsi="仿宋" w:eastAsia="仿宋" w:cs="仿宋"/>
          <w:sz w:val="30"/>
          <w:szCs w:val="30"/>
        </w:rPr>
        <w:t>（3）设计人提交的设计成果文件如有违反国家相关强制性规定的，经政府有关部门确认，每发生1例，承担严重违约责任1次。</w:t>
      </w:r>
    </w:p>
    <w:p w14:paraId="54898D10">
      <w:pPr>
        <w:spacing w:after="120"/>
        <w:ind w:firstLine="600"/>
        <w:rPr>
          <w:rFonts w:ascii="仿宋" w:hAnsi="仿宋" w:eastAsia="仿宋" w:cs="仿宋"/>
          <w:sz w:val="30"/>
          <w:szCs w:val="30"/>
        </w:rPr>
      </w:pPr>
      <w:r>
        <w:rPr>
          <w:rFonts w:hint="eastAsia" w:ascii="仿宋" w:hAnsi="仿宋" w:eastAsia="仿宋" w:cs="仿宋"/>
          <w:sz w:val="30"/>
          <w:szCs w:val="30"/>
        </w:rPr>
        <w:t>（4）如经过发包人或施工图审查单位或发包人委托的第三方对设计变更的审核，发现设计人擅自对设计变更进行合并、分拆的，第一次时，设计人承担一般违约1次；第二次及以后，每违反一次，设计人承担严重违约责任1次。</w:t>
      </w:r>
    </w:p>
    <w:p w14:paraId="38BC4887">
      <w:pPr>
        <w:spacing w:after="120"/>
        <w:ind w:firstLine="600"/>
        <w:rPr>
          <w:rFonts w:ascii="仿宋" w:hAnsi="仿宋" w:eastAsia="仿宋" w:cs="仿宋"/>
          <w:sz w:val="30"/>
          <w:szCs w:val="30"/>
        </w:rPr>
      </w:pPr>
      <w:r>
        <w:rPr>
          <w:rFonts w:hint="eastAsia" w:ascii="仿宋" w:hAnsi="仿宋" w:eastAsia="仿宋" w:cs="仿宋"/>
          <w:sz w:val="30"/>
          <w:szCs w:val="30"/>
        </w:rPr>
        <w:t>（5）如设计人的设计成果文件中含有明显倾向于某一专门厂商生产的设备、材料的描述，或在其设计成果文件中选用了具有专一性、排他性的材料、设备而又未事先向发包人书面报告并详细说明理由的，每违反一次，设计人承担严重违约责任1次。</w:t>
      </w:r>
    </w:p>
    <w:p w14:paraId="6E2072C2">
      <w:pPr>
        <w:spacing w:after="120"/>
        <w:ind w:firstLine="600"/>
        <w:rPr>
          <w:rFonts w:ascii="仿宋" w:hAnsi="仿宋" w:eastAsia="仿宋" w:cs="仿宋"/>
          <w:sz w:val="30"/>
          <w:szCs w:val="30"/>
        </w:rPr>
      </w:pPr>
      <w:r>
        <w:rPr>
          <w:rFonts w:hint="eastAsia" w:ascii="仿宋" w:hAnsi="仿宋" w:eastAsia="仿宋" w:cs="仿宋"/>
          <w:sz w:val="30"/>
          <w:szCs w:val="30"/>
        </w:rPr>
        <w:t xml:space="preserve">（6）因设计人原因造成设计变更并引起工程费用增加的，设计人应负责修改设计，保证建安工程费在批准概算范围内；造成实际发生的建安工程费增加的，参照第7.2.5条第（12）款约定的计算方法确定违约金；给发包人造成损失的，设计人应赔偿发包人的全部损失。 </w:t>
      </w:r>
    </w:p>
    <w:p w14:paraId="02A3BD52">
      <w:pPr>
        <w:spacing w:after="120"/>
        <w:ind w:firstLine="600"/>
        <w:rPr>
          <w:rFonts w:ascii="仿宋" w:hAnsi="仿宋" w:eastAsia="仿宋" w:cs="仿宋"/>
          <w:sz w:val="30"/>
          <w:szCs w:val="30"/>
        </w:rPr>
      </w:pPr>
      <w:r>
        <w:rPr>
          <w:rFonts w:hint="eastAsia" w:ascii="仿宋" w:hAnsi="仿宋" w:eastAsia="仿宋" w:cs="仿宋"/>
          <w:sz w:val="30"/>
          <w:szCs w:val="30"/>
        </w:rPr>
        <w:t>（7）经发包人认可的本合同牵头人或其委托的具有施工图审查能力的单位审查并经发包人或发包人委托的第三方确认，设计人的施工图设计成果文件中存在违反国家相关强制性规定的，参照第7.2.6条第（3）款约定承担违约责任。</w:t>
      </w:r>
    </w:p>
    <w:p w14:paraId="6DAC7844">
      <w:pPr>
        <w:spacing w:after="120"/>
        <w:ind w:firstLine="600"/>
        <w:rPr>
          <w:rFonts w:ascii="仿宋" w:hAnsi="仿宋" w:eastAsia="仿宋" w:cs="仿宋"/>
          <w:sz w:val="30"/>
          <w:szCs w:val="30"/>
        </w:rPr>
      </w:pPr>
      <w:r>
        <w:rPr>
          <w:rFonts w:hint="eastAsia" w:ascii="仿宋" w:hAnsi="仿宋" w:eastAsia="仿宋" w:cs="仿宋"/>
          <w:sz w:val="30"/>
          <w:szCs w:val="30"/>
        </w:rPr>
        <w:t>7.2.7 投资控制方面的违约责任：</w:t>
      </w:r>
    </w:p>
    <w:p w14:paraId="29FF88C0">
      <w:pPr>
        <w:spacing w:after="120"/>
        <w:ind w:firstLine="600"/>
        <w:rPr>
          <w:rFonts w:ascii="仿宋" w:hAnsi="仿宋" w:eastAsia="仿宋" w:cs="仿宋"/>
          <w:sz w:val="30"/>
          <w:szCs w:val="30"/>
        </w:rPr>
      </w:pPr>
      <w:r>
        <w:rPr>
          <w:rFonts w:hint="eastAsia" w:ascii="仿宋" w:hAnsi="仿宋" w:eastAsia="仿宋" w:cs="仿宋"/>
          <w:sz w:val="30"/>
          <w:szCs w:val="30"/>
        </w:rPr>
        <w:t>（1）设计人未经发包人同意突破合同约定的投资控制要求的，设计人承担一次严重违约责任1次；设计人应负责修改设计，保证建安工程费在批准概算范围内。如最终因此造成实际发生的建安工程费增加的，参照第7.2.5条第（12）款约定的计算方法确定违约金。</w:t>
      </w:r>
    </w:p>
    <w:p w14:paraId="675C64AC">
      <w:pPr>
        <w:spacing w:after="120"/>
        <w:ind w:firstLine="600"/>
        <w:rPr>
          <w:rFonts w:ascii="仿宋" w:hAnsi="仿宋" w:eastAsia="仿宋" w:cs="仿宋"/>
          <w:sz w:val="30"/>
          <w:szCs w:val="30"/>
        </w:rPr>
      </w:pPr>
      <w:r>
        <w:rPr>
          <w:rFonts w:hint="eastAsia" w:ascii="仿宋" w:hAnsi="仿宋" w:eastAsia="仿宋" w:cs="仿宋"/>
          <w:sz w:val="30"/>
          <w:szCs w:val="30"/>
        </w:rPr>
        <w:t>（2）设计人对设计人分包单位的投资控制方面的违约相应承担连带责任，相关违约责任参照第7.2.7条第（1）项的相关约定执行。</w:t>
      </w:r>
    </w:p>
    <w:p w14:paraId="347DB45E">
      <w:pPr>
        <w:spacing w:after="120"/>
        <w:ind w:firstLine="600"/>
        <w:rPr>
          <w:rFonts w:ascii="仿宋" w:hAnsi="仿宋" w:eastAsia="仿宋" w:cs="仿宋"/>
          <w:sz w:val="30"/>
          <w:szCs w:val="30"/>
        </w:rPr>
      </w:pPr>
      <w:r>
        <w:rPr>
          <w:rFonts w:hint="eastAsia" w:ascii="仿宋" w:hAnsi="仿宋" w:eastAsia="仿宋" w:cs="仿宋"/>
          <w:sz w:val="30"/>
          <w:szCs w:val="30"/>
        </w:rPr>
        <w:t>（3）如因设计人提供的计成果文件深度不够等原因导致发包人另外发包的专项施工图设计无法满足投资控制的要求，设计人应及时完善、修改相关的设计成果文件；造成实际发生的建安工程费增加的，参照第7.2.5条第（12）款约定的计算方法确定违约金；给发包人造成损失的，设计人应赔偿发包人的全部损失。</w:t>
      </w:r>
    </w:p>
    <w:p w14:paraId="6E773FDF">
      <w:pPr>
        <w:spacing w:after="120"/>
        <w:ind w:firstLine="600"/>
        <w:rPr>
          <w:rFonts w:ascii="仿宋" w:hAnsi="仿宋" w:eastAsia="仿宋" w:cs="仿宋"/>
          <w:sz w:val="30"/>
          <w:szCs w:val="30"/>
        </w:rPr>
      </w:pPr>
      <w:r>
        <w:rPr>
          <w:rFonts w:hint="eastAsia" w:ascii="仿宋" w:hAnsi="仿宋" w:eastAsia="仿宋" w:cs="仿宋"/>
          <w:sz w:val="30"/>
          <w:szCs w:val="30"/>
        </w:rPr>
        <w:t>（4）因设计人擅自对设计变更进行合并、分拆导致本合同工程投资失控，造成实际发生的建安工程费增加的，参照第7.2.5条第（12）款的计算方法确定违约金；给发包人造成损失的，设计人应赔偿发包人的全部损失。</w:t>
      </w:r>
    </w:p>
    <w:p w14:paraId="6EFC4551">
      <w:pPr>
        <w:spacing w:after="120"/>
        <w:ind w:firstLine="600"/>
        <w:rPr>
          <w:rFonts w:ascii="仿宋" w:hAnsi="仿宋" w:eastAsia="仿宋" w:cs="仿宋"/>
          <w:sz w:val="30"/>
          <w:szCs w:val="30"/>
        </w:rPr>
      </w:pPr>
      <w:r>
        <w:rPr>
          <w:rFonts w:hint="eastAsia" w:ascii="仿宋" w:hAnsi="仿宋" w:eastAsia="仿宋" w:cs="仿宋"/>
          <w:sz w:val="30"/>
          <w:szCs w:val="30"/>
        </w:rPr>
        <w:t>7.2.8设计分包、转包、违法分包方面的违约责任</w:t>
      </w:r>
    </w:p>
    <w:p w14:paraId="3700B2C6">
      <w:pPr>
        <w:spacing w:after="120"/>
        <w:ind w:firstLine="600"/>
        <w:rPr>
          <w:rFonts w:ascii="仿宋" w:hAnsi="仿宋" w:eastAsia="仿宋" w:cs="仿宋"/>
          <w:sz w:val="30"/>
          <w:szCs w:val="30"/>
        </w:rPr>
      </w:pPr>
      <w:r>
        <w:rPr>
          <w:rFonts w:hint="eastAsia" w:ascii="仿宋" w:hAnsi="仿宋" w:eastAsia="仿宋" w:cs="仿宋"/>
          <w:sz w:val="30"/>
          <w:szCs w:val="30"/>
        </w:rPr>
        <w:t>（1）设计人不按合同约定进行设计分包管理的，视同不服从发包人管理，应按第7.2.5条第（7）款约定承担违约责任，同时发包人有权暂停支付本合同工程设计进度款，直到设计人完成相</w:t>
      </w:r>
      <w:bookmarkStart w:id="1068" w:name="_Toc25589001"/>
      <w:r>
        <w:rPr>
          <w:rFonts w:hint="eastAsia" w:ascii="仿宋" w:hAnsi="仿宋" w:eastAsia="仿宋" w:cs="仿宋"/>
          <w:sz w:val="30"/>
          <w:szCs w:val="30"/>
        </w:rPr>
        <w:t>关工作为止。</w:t>
      </w:r>
    </w:p>
    <w:p w14:paraId="746BA4C6">
      <w:pPr>
        <w:spacing w:after="120"/>
        <w:ind w:firstLine="600"/>
        <w:rPr>
          <w:rFonts w:ascii="仿宋" w:hAnsi="仿宋" w:eastAsia="仿宋" w:cs="仿宋"/>
          <w:sz w:val="30"/>
          <w:szCs w:val="30"/>
        </w:rPr>
      </w:pPr>
      <w:r>
        <w:rPr>
          <w:rFonts w:hint="eastAsia" w:ascii="仿宋" w:hAnsi="仿宋" w:eastAsia="仿宋" w:cs="仿宋"/>
          <w:sz w:val="30"/>
          <w:szCs w:val="30"/>
        </w:rPr>
        <w:t>（2）设计人转包本合同设计，或者违</w:t>
      </w:r>
      <w:bookmarkEnd w:id="1068"/>
      <w:r>
        <w:rPr>
          <w:rFonts w:hint="eastAsia" w:ascii="仿宋" w:hAnsi="仿宋" w:eastAsia="仿宋" w:cs="仿宋"/>
          <w:sz w:val="30"/>
          <w:szCs w:val="30"/>
        </w:rPr>
        <w:t>反法律法规及本合同约定分包本合同设计的，发包人有权单方面部分解除合同或解除合同，并由设计人承担由此产生的一切责任及损失。造成工期延误时，按本合同总承包管理与施工部分专用合同条款承担工期延误违约责任。</w:t>
      </w:r>
    </w:p>
    <w:p w14:paraId="06849DA2">
      <w:pPr>
        <w:spacing w:after="120"/>
        <w:ind w:firstLine="600"/>
        <w:rPr>
          <w:rFonts w:ascii="仿宋" w:hAnsi="仿宋" w:eastAsia="仿宋" w:cs="仿宋"/>
          <w:sz w:val="30"/>
          <w:szCs w:val="30"/>
        </w:rPr>
      </w:pPr>
      <w:r>
        <w:rPr>
          <w:rFonts w:hint="eastAsia" w:ascii="仿宋" w:hAnsi="仿宋" w:eastAsia="仿宋" w:cs="仿宋"/>
          <w:sz w:val="30"/>
          <w:szCs w:val="30"/>
        </w:rPr>
        <w:t>7.2.9其他违约责任</w:t>
      </w:r>
    </w:p>
    <w:p w14:paraId="23FCCCD4">
      <w:pPr>
        <w:spacing w:after="120"/>
        <w:ind w:firstLine="600"/>
        <w:rPr>
          <w:rFonts w:ascii="仿宋" w:hAnsi="仿宋" w:eastAsia="仿宋" w:cs="仿宋"/>
          <w:sz w:val="30"/>
          <w:szCs w:val="30"/>
        </w:rPr>
      </w:pPr>
      <w:r>
        <w:rPr>
          <w:rFonts w:hint="eastAsia" w:ascii="仿宋" w:hAnsi="仿宋" w:eastAsia="仿宋" w:cs="仿宋"/>
          <w:sz w:val="30"/>
          <w:szCs w:val="30"/>
        </w:rPr>
        <w:t>出现下列情形是，设计人应承担严重违约责任：</w:t>
      </w:r>
    </w:p>
    <w:p w14:paraId="19DECAEB">
      <w:pPr>
        <w:spacing w:after="120"/>
        <w:ind w:firstLine="600"/>
        <w:rPr>
          <w:rFonts w:ascii="仿宋" w:hAnsi="仿宋" w:eastAsia="仿宋" w:cs="仿宋"/>
          <w:sz w:val="30"/>
          <w:szCs w:val="30"/>
        </w:rPr>
      </w:pPr>
      <w:r>
        <w:rPr>
          <w:rFonts w:hint="eastAsia" w:ascii="仿宋" w:hAnsi="仿宋" w:eastAsia="仿宋" w:cs="仿宋"/>
          <w:sz w:val="30"/>
          <w:szCs w:val="30"/>
        </w:rPr>
        <w:t>（1）因设计原因造成相关报建资料被规划、建设等主管部门退回累计达到2次或以上。</w:t>
      </w:r>
    </w:p>
    <w:p w14:paraId="0022CC09">
      <w:pPr>
        <w:spacing w:after="120"/>
        <w:ind w:firstLine="600"/>
        <w:rPr>
          <w:rFonts w:ascii="仿宋" w:hAnsi="仿宋" w:eastAsia="仿宋" w:cs="仿宋"/>
          <w:sz w:val="30"/>
          <w:szCs w:val="30"/>
        </w:rPr>
      </w:pPr>
      <w:r>
        <w:rPr>
          <w:rFonts w:hint="eastAsia" w:ascii="仿宋" w:hAnsi="仿宋" w:eastAsia="仿宋" w:cs="仿宋"/>
          <w:sz w:val="30"/>
          <w:szCs w:val="30"/>
        </w:rPr>
        <w:t>（2）未经发包人同意，擅自改变发改、规划、国土等行政审批部门批准的规模、内容、标准等指标及要求。</w:t>
      </w:r>
    </w:p>
    <w:p w14:paraId="71B3821D">
      <w:pPr>
        <w:spacing w:after="120"/>
        <w:ind w:firstLine="600"/>
        <w:rPr>
          <w:rFonts w:ascii="仿宋" w:hAnsi="仿宋" w:eastAsia="仿宋" w:cs="仿宋"/>
          <w:sz w:val="30"/>
          <w:szCs w:val="30"/>
        </w:rPr>
      </w:pPr>
      <w:r>
        <w:rPr>
          <w:rFonts w:hint="eastAsia" w:ascii="仿宋" w:hAnsi="仿宋" w:eastAsia="仿宋" w:cs="仿宋"/>
          <w:sz w:val="30"/>
          <w:szCs w:val="30"/>
        </w:rPr>
        <w:t>（3）未经发包人同意，合格成果文件提交时间超出合同约定、会议纪要规定或发包人要求提交的时间3天以上。</w:t>
      </w:r>
    </w:p>
    <w:p w14:paraId="10DE920D">
      <w:pPr>
        <w:spacing w:after="120"/>
        <w:ind w:firstLine="600"/>
        <w:rPr>
          <w:rFonts w:ascii="仿宋" w:hAnsi="仿宋" w:eastAsia="仿宋" w:cs="仿宋"/>
          <w:sz w:val="30"/>
          <w:szCs w:val="30"/>
        </w:rPr>
      </w:pPr>
      <w:r>
        <w:rPr>
          <w:rFonts w:hint="eastAsia" w:ascii="仿宋" w:hAnsi="仿宋" w:eastAsia="仿宋" w:cs="仿宋"/>
          <w:sz w:val="30"/>
          <w:szCs w:val="30"/>
        </w:rPr>
        <w:t>7.2.10除上述约定之外，设计人不履行或不完全履行合同其他义务的，均构成违约，首先承担限期整改责任；未能限期整改时，应当承担一般违约责任1次。3次限期整改通知未落实或情节较重的，应当承担严重违约责任1次。</w:t>
      </w:r>
    </w:p>
    <w:p w14:paraId="300A869A">
      <w:pPr>
        <w:pStyle w:val="4"/>
        <w:spacing w:before="120" w:beforeLines="50" w:after="120"/>
        <w:ind w:firstLine="602"/>
        <w:rPr>
          <w:rFonts w:ascii="仿宋" w:hAnsi="仿宋" w:eastAsia="仿宋" w:cs="仿宋"/>
          <w:sz w:val="30"/>
          <w:szCs w:val="30"/>
        </w:rPr>
      </w:pPr>
      <w:bookmarkStart w:id="1069" w:name="_Toc7355"/>
      <w:bookmarkStart w:id="1070" w:name="_Toc11494"/>
      <w:bookmarkStart w:id="1071" w:name="_Toc29861"/>
      <w:r>
        <w:rPr>
          <w:rFonts w:hint="eastAsia" w:ascii="仿宋" w:hAnsi="仿宋" w:eastAsia="仿宋" w:cs="仿宋"/>
          <w:sz w:val="30"/>
          <w:szCs w:val="30"/>
        </w:rPr>
        <w:t>8 .设计保险</w:t>
      </w:r>
      <w:bookmarkEnd w:id="1069"/>
      <w:bookmarkEnd w:id="1070"/>
      <w:bookmarkEnd w:id="1071"/>
    </w:p>
    <w:p w14:paraId="54A1EC40">
      <w:pPr>
        <w:spacing w:after="120"/>
        <w:ind w:firstLine="600"/>
        <w:rPr>
          <w:rFonts w:ascii="仿宋" w:hAnsi="仿宋" w:eastAsia="仿宋" w:cs="仿宋"/>
          <w:sz w:val="30"/>
          <w:szCs w:val="30"/>
        </w:rPr>
      </w:pPr>
      <w:r>
        <w:rPr>
          <w:rFonts w:hint="eastAsia" w:ascii="仿宋" w:hAnsi="仿宋" w:eastAsia="仿宋" w:cs="仿宋"/>
          <w:sz w:val="30"/>
          <w:szCs w:val="30"/>
        </w:rPr>
        <w:t>8.1 设计人应购买发包人认可的、履行本合同所需要的建设工程设计责任保险，并使其于合同责任期内保持有效。工程设计责任保险应承担由于设计人设计工作的疏忽或过失而引发的工程质量事故所造成的建设工程本身的物质损</w:t>
      </w:r>
      <w:bookmarkStart w:id="1072" w:name="_Toc36146483"/>
      <w:bookmarkStart w:id="1073" w:name="_Toc25588994"/>
      <w:bookmarkStart w:id="1074" w:name="_Toc28042690"/>
      <w:r>
        <w:rPr>
          <w:rFonts w:hint="eastAsia" w:ascii="仿宋" w:hAnsi="仿宋" w:eastAsia="仿宋" w:cs="仿宋"/>
          <w:sz w:val="30"/>
          <w:szCs w:val="30"/>
        </w:rPr>
        <w:t>失以及第三者人</w:t>
      </w:r>
      <w:bookmarkEnd w:id="1072"/>
      <w:bookmarkEnd w:id="1073"/>
      <w:bookmarkEnd w:id="1074"/>
      <w:r>
        <w:rPr>
          <w:rFonts w:hint="eastAsia" w:ascii="仿宋" w:hAnsi="仿宋" w:eastAsia="仿宋" w:cs="仿宋"/>
          <w:sz w:val="30"/>
          <w:szCs w:val="30"/>
        </w:rPr>
        <w:t>身伤</w:t>
      </w:r>
      <w:bookmarkStart w:id="1075" w:name="_Toc25588995"/>
      <w:r>
        <w:rPr>
          <w:rFonts w:hint="eastAsia" w:ascii="仿宋" w:hAnsi="仿宋" w:eastAsia="仿宋" w:cs="仿宋"/>
          <w:sz w:val="30"/>
          <w:szCs w:val="30"/>
        </w:rPr>
        <w:t>亡、财产损失或费用的赔偿责任。</w:t>
      </w:r>
    </w:p>
    <w:p w14:paraId="4842EE69">
      <w:pPr>
        <w:spacing w:after="120"/>
        <w:ind w:firstLine="600"/>
        <w:rPr>
          <w:rFonts w:ascii="仿宋" w:hAnsi="仿宋" w:eastAsia="仿宋" w:cs="仿宋"/>
          <w:kern w:val="2"/>
          <w:sz w:val="30"/>
          <w:szCs w:val="30"/>
        </w:rPr>
      </w:pPr>
      <w:r>
        <w:rPr>
          <w:rFonts w:hint="eastAsia" w:ascii="仿宋" w:hAnsi="仿宋" w:eastAsia="仿宋" w:cs="仿宋"/>
          <w:kern w:val="2"/>
          <w:sz w:val="30"/>
          <w:szCs w:val="30"/>
        </w:rPr>
        <w:t>8.2设计人应负责为其参与本项目设计的人员购买意外伤害保险，确保设计人员</w:t>
      </w:r>
      <w:bookmarkEnd w:id="1075"/>
      <w:r>
        <w:rPr>
          <w:rFonts w:hint="eastAsia" w:ascii="仿宋" w:hAnsi="仿宋" w:eastAsia="仿宋" w:cs="仿宋"/>
          <w:kern w:val="2"/>
          <w:sz w:val="30"/>
          <w:szCs w:val="30"/>
        </w:rPr>
        <w:t>及工作人员在项目现场遭受意外伤害后能得到保险理赔。对于设计人的设计人员及工作人员在项目现场遭受的意外伤害，发包人无需承担赔偿责任。</w:t>
      </w:r>
    </w:p>
    <w:p w14:paraId="1F894364">
      <w:pPr>
        <w:pStyle w:val="4"/>
        <w:spacing w:before="120" w:beforeLines="50" w:after="120"/>
        <w:ind w:firstLine="602"/>
        <w:rPr>
          <w:rFonts w:ascii="仿宋" w:hAnsi="仿宋" w:eastAsia="仿宋" w:cs="仿宋"/>
          <w:sz w:val="30"/>
          <w:szCs w:val="30"/>
        </w:rPr>
      </w:pPr>
      <w:bookmarkStart w:id="1076" w:name="_Toc26208"/>
      <w:bookmarkStart w:id="1077" w:name="_Toc12205"/>
      <w:bookmarkStart w:id="1078" w:name="_Toc18227"/>
      <w:r>
        <w:rPr>
          <w:rFonts w:hint="eastAsia" w:ascii="仿宋" w:hAnsi="仿宋" w:eastAsia="仿宋" w:cs="仿宋"/>
          <w:sz w:val="30"/>
          <w:szCs w:val="30"/>
        </w:rPr>
        <w:t>9 . 知识产权</w:t>
      </w:r>
      <w:bookmarkEnd w:id="1076"/>
      <w:bookmarkEnd w:id="1077"/>
      <w:bookmarkEnd w:id="1078"/>
    </w:p>
    <w:p w14:paraId="55C415D4">
      <w:pPr>
        <w:spacing w:after="120"/>
        <w:ind w:firstLine="600"/>
        <w:rPr>
          <w:rFonts w:ascii="仿宋" w:hAnsi="仿宋" w:eastAsia="仿宋" w:cs="仿宋"/>
          <w:sz w:val="30"/>
          <w:szCs w:val="30"/>
        </w:rPr>
      </w:pPr>
      <w:r>
        <w:rPr>
          <w:rFonts w:hint="eastAsia" w:ascii="仿宋" w:hAnsi="仿宋" w:eastAsia="仿宋" w:cs="仿宋"/>
          <w:sz w:val="30"/>
          <w:szCs w:val="30"/>
        </w:rPr>
        <w:t>发包人拥有施工图设计文件知识产权。</w:t>
      </w:r>
    </w:p>
    <w:p w14:paraId="7578F9C5">
      <w:pPr>
        <w:pStyle w:val="4"/>
        <w:spacing w:before="120" w:beforeLines="50" w:after="120"/>
        <w:ind w:firstLine="602"/>
        <w:rPr>
          <w:rFonts w:ascii="仿宋" w:hAnsi="仿宋" w:eastAsia="仿宋" w:cs="仿宋"/>
          <w:sz w:val="30"/>
          <w:szCs w:val="30"/>
        </w:rPr>
      </w:pPr>
      <w:bookmarkStart w:id="1079" w:name="_Toc9497"/>
      <w:bookmarkStart w:id="1080" w:name="_Toc12494"/>
      <w:bookmarkStart w:id="1081" w:name="_Toc10165"/>
      <w:r>
        <w:rPr>
          <w:rFonts w:hint="eastAsia" w:ascii="仿宋" w:hAnsi="仿宋" w:eastAsia="仿宋" w:cs="仿宋"/>
          <w:sz w:val="30"/>
          <w:szCs w:val="30"/>
        </w:rPr>
        <w:t>10. 其他</w:t>
      </w:r>
      <w:bookmarkEnd w:id="1079"/>
      <w:bookmarkEnd w:id="1080"/>
      <w:bookmarkEnd w:id="1081"/>
    </w:p>
    <w:p w14:paraId="7F5BA729">
      <w:pPr>
        <w:spacing w:after="120"/>
        <w:ind w:firstLine="600"/>
        <w:rPr>
          <w:rFonts w:ascii="仿宋" w:hAnsi="仿宋" w:eastAsia="仿宋" w:cs="仿宋"/>
          <w:bCs/>
          <w:sz w:val="30"/>
          <w:szCs w:val="30"/>
        </w:rPr>
      </w:pPr>
      <w:r>
        <w:rPr>
          <w:rFonts w:hint="eastAsia" w:ascii="仿宋" w:hAnsi="仿宋" w:eastAsia="仿宋" w:cs="仿宋"/>
          <w:sz w:val="30"/>
          <w:szCs w:val="30"/>
        </w:rPr>
        <w:t>10.1发包人委托方案设计单位对设计人的施工图设计成果文件进行审核、提出修改完善意见，并要求设计人按照审核意见进行修改。方案设计单位在选定重要外墙</w:t>
      </w:r>
      <w:bookmarkStart w:id="1082" w:name="_Toc28042691"/>
      <w:bookmarkStart w:id="1083" w:name="_Toc36146484"/>
      <w:r>
        <w:rPr>
          <w:rFonts w:hint="eastAsia" w:ascii="仿宋" w:hAnsi="仿宋" w:eastAsia="仿宋" w:cs="仿宋"/>
          <w:sz w:val="30"/>
          <w:szCs w:val="30"/>
        </w:rPr>
        <w:t>和装饰材料的过程</w:t>
      </w:r>
      <w:bookmarkEnd w:id="1082"/>
      <w:bookmarkEnd w:id="1083"/>
      <w:r>
        <w:rPr>
          <w:rFonts w:hint="eastAsia" w:ascii="仿宋" w:hAnsi="仿宋" w:eastAsia="仿宋" w:cs="仿宋"/>
          <w:sz w:val="30"/>
          <w:szCs w:val="30"/>
        </w:rPr>
        <w:t>中有审核确认的权利，确保项目的实施效果。</w:t>
      </w:r>
    </w:p>
    <w:p w14:paraId="10619EA6">
      <w:pPr>
        <w:spacing w:after="120"/>
        <w:ind w:firstLine="600"/>
        <w:rPr>
          <w:rFonts w:ascii="仿宋" w:hAnsi="仿宋" w:eastAsia="仿宋" w:cs="仿宋"/>
          <w:sz w:val="30"/>
          <w:szCs w:val="30"/>
        </w:rPr>
      </w:pPr>
      <w:bookmarkStart w:id="1084" w:name="_Toc28042692"/>
      <w:bookmarkStart w:id="1085" w:name="_Toc36146485"/>
      <w:r>
        <w:rPr>
          <w:rFonts w:hint="eastAsia" w:ascii="仿宋" w:hAnsi="仿宋" w:eastAsia="仿宋" w:cs="仿宋"/>
          <w:sz w:val="30"/>
          <w:szCs w:val="30"/>
        </w:rPr>
        <w:t>本项目申报设</w:t>
      </w:r>
      <w:bookmarkEnd w:id="1084"/>
      <w:bookmarkEnd w:id="1085"/>
      <w:r>
        <w:rPr>
          <w:rFonts w:hint="eastAsia" w:ascii="仿宋" w:hAnsi="仿宋" w:eastAsia="仿宋" w:cs="仿宋"/>
          <w:sz w:val="30"/>
          <w:szCs w:val="30"/>
        </w:rPr>
        <w:t>计奖项时，方案设计单位作为主创单位排名在前，方案设计单位主创人员及各专业设计人员排名在前。</w:t>
      </w:r>
    </w:p>
    <w:p w14:paraId="0C68B113">
      <w:pPr>
        <w:spacing w:after="120"/>
        <w:ind w:firstLine="600"/>
        <w:rPr>
          <w:rFonts w:ascii="仿宋" w:hAnsi="仿宋" w:eastAsia="仿宋" w:cs="仿宋"/>
          <w:sz w:val="30"/>
          <w:szCs w:val="30"/>
        </w:rPr>
      </w:pPr>
      <w:r>
        <w:rPr>
          <w:rFonts w:hint="eastAsia" w:ascii="仿宋" w:hAnsi="仿宋" w:eastAsia="仿宋" w:cs="仿宋"/>
          <w:sz w:val="30"/>
          <w:szCs w:val="30"/>
        </w:rPr>
        <w:t>10.2  索赔、不可抗力、争议、合同解除等情形发生时，除设计部分专用合同条款约定外，参照总承包管理与施工部分专用合同条款执行。</w:t>
      </w:r>
    </w:p>
    <w:p w14:paraId="7289C063">
      <w:pPr>
        <w:pStyle w:val="106"/>
        <w:numPr>
          <w:ilvl w:val="0"/>
          <w:numId w:val="0"/>
        </w:numPr>
        <w:spacing w:after="120"/>
        <w:jc w:val="center"/>
        <w:outlineLvl w:val="1"/>
      </w:pPr>
      <w:r>
        <w:rPr>
          <w:rFonts w:hint="eastAsia" w:ascii="仿宋" w:hAnsi="仿宋" w:eastAsia="仿宋" w:cs="仿宋"/>
          <w:szCs w:val="21"/>
        </w:rPr>
        <w:br w:type="page"/>
      </w:r>
      <w:bookmarkStart w:id="1086" w:name="_Toc4790"/>
      <w:bookmarkStart w:id="1087" w:name="_Toc14542"/>
      <w:bookmarkStart w:id="1088" w:name="_Toc30749"/>
      <w:bookmarkStart w:id="1089" w:name="_Toc26513"/>
      <w:r>
        <w:rPr>
          <w:rFonts w:hint="eastAsia" w:ascii="仿宋" w:hAnsi="仿宋" w:eastAsia="仿宋" w:cs="仿宋"/>
          <w:b/>
          <w:bCs/>
          <w:sz w:val="32"/>
          <w:szCs w:val="32"/>
        </w:rPr>
        <w:t>附</w:t>
      </w:r>
      <w:bookmarkStart w:id="1090" w:name="_Toc296347231"/>
      <w:bookmarkStart w:id="1091" w:name="_Toc296891272"/>
      <w:bookmarkStart w:id="1092" w:name="_Toc296503232"/>
      <w:bookmarkStart w:id="1093" w:name="_Toc296346733"/>
      <w:bookmarkStart w:id="1094" w:name="_Toc296891060"/>
      <w:bookmarkStart w:id="1095" w:name="_Toc267261702"/>
      <w:bookmarkStart w:id="1096" w:name="_Toc296944571"/>
      <w:r>
        <w:rPr>
          <w:rFonts w:hint="eastAsia" w:ascii="仿宋" w:hAnsi="仿宋" w:eastAsia="仿宋" w:cs="仿宋"/>
          <w:b/>
          <w:bCs/>
          <w:sz w:val="32"/>
          <w:szCs w:val="32"/>
        </w:rPr>
        <w:t>件11 预付款保函</w:t>
      </w:r>
      <w:bookmarkEnd w:id="1086"/>
      <w:bookmarkEnd w:id="1087"/>
      <w:bookmarkEnd w:id="1088"/>
      <w:bookmarkEnd w:id="1089"/>
    </w:p>
    <w:bookmarkEnd w:id="1090"/>
    <w:bookmarkEnd w:id="1091"/>
    <w:bookmarkEnd w:id="1092"/>
    <w:bookmarkEnd w:id="1093"/>
    <w:bookmarkEnd w:id="1094"/>
    <w:bookmarkEnd w:id="1095"/>
    <w:bookmarkEnd w:id="1096"/>
    <w:p w14:paraId="7F655360">
      <w:pPr>
        <w:spacing w:after="120" w:line="440" w:lineRule="exact"/>
        <w:ind w:left="-648" w:leftChars="-270" w:firstLine="765" w:firstLineChars="255"/>
        <w:jc w:val="left"/>
        <w:rPr>
          <w:rFonts w:ascii="仿宋" w:hAnsi="仿宋" w:eastAsia="仿宋" w:cs="仿宋"/>
          <w:sz w:val="30"/>
          <w:szCs w:val="30"/>
        </w:rPr>
      </w:pPr>
      <w:r>
        <w:rPr>
          <w:rFonts w:hint="eastAsia" w:ascii="仿宋" w:hAnsi="仿宋" w:eastAsia="仿宋" w:cs="仿宋"/>
          <w:sz w:val="30"/>
          <w:szCs w:val="30"/>
        </w:rPr>
        <w:t>广东省代建项目管理局：</w:t>
      </w:r>
    </w:p>
    <w:p w14:paraId="78DB92E7">
      <w:pPr>
        <w:spacing w:afterLines="0"/>
        <w:ind w:firstLine="600"/>
        <w:rPr>
          <w:rFonts w:ascii="仿宋" w:hAnsi="仿宋" w:eastAsia="仿宋" w:cs="仿宋"/>
          <w:sz w:val="30"/>
          <w:szCs w:val="30"/>
        </w:rPr>
      </w:pPr>
      <w:r>
        <w:rPr>
          <w:rFonts w:hint="eastAsia" w:ascii="仿宋" w:hAnsi="仿宋" w:eastAsia="仿宋" w:cs="仿宋"/>
          <w:sz w:val="30"/>
          <w:szCs w:val="30"/>
        </w:rPr>
        <w:t>根据（承包人名称）（以下称“承包人”）与（发包人名称）（以下简称“发包人”）于年月日签订的（项目名称）设计施工总承包合同，承包人按约定的金额向发包人提交一份预付款担保，即有权得到发包人支付相等金额的预付款。我方愿意就你方提供给承包人的预付款提供担保。</w:t>
      </w:r>
    </w:p>
    <w:p w14:paraId="2A43BBB9">
      <w:pPr>
        <w:spacing w:afterLines="0"/>
        <w:ind w:firstLine="600"/>
        <w:rPr>
          <w:rFonts w:ascii="仿宋" w:hAnsi="仿宋" w:eastAsia="仿宋" w:cs="仿宋"/>
          <w:sz w:val="30"/>
          <w:szCs w:val="30"/>
        </w:rPr>
      </w:pPr>
      <w:r>
        <w:rPr>
          <w:rFonts w:hint="eastAsia" w:ascii="仿宋" w:hAnsi="仿宋" w:eastAsia="仿宋" w:cs="仿宋"/>
          <w:sz w:val="30"/>
          <w:szCs w:val="30"/>
        </w:rPr>
        <w:t>1. 担保金额人民币（大写） （¥</w:t>
      </w:r>
      <w:r>
        <w:rPr>
          <w:rFonts w:hint="eastAsia" w:ascii="仿宋" w:hAnsi="仿宋" w:eastAsia="仿宋" w:cs="仿宋"/>
          <w:sz w:val="30"/>
          <w:szCs w:val="30"/>
          <w:u w:val="single"/>
        </w:rPr>
        <w:t xml:space="preserve">       元</w:t>
      </w:r>
      <w:r>
        <w:rPr>
          <w:rFonts w:hint="eastAsia" w:ascii="仿宋" w:hAnsi="仿宋" w:eastAsia="仿宋" w:cs="仿宋"/>
          <w:sz w:val="30"/>
          <w:szCs w:val="30"/>
        </w:rPr>
        <w:t>）。</w:t>
      </w:r>
    </w:p>
    <w:p w14:paraId="50235040">
      <w:pPr>
        <w:spacing w:afterLines="0"/>
        <w:ind w:firstLine="600"/>
        <w:rPr>
          <w:rFonts w:ascii="仿宋" w:hAnsi="仿宋" w:eastAsia="仿宋" w:cs="仿宋"/>
          <w:sz w:val="30"/>
          <w:szCs w:val="30"/>
        </w:rPr>
      </w:pPr>
      <w:r>
        <w:rPr>
          <w:rFonts w:hint="eastAsia" w:ascii="仿宋" w:hAnsi="仿宋" w:eastAsia="仿宋" w:cs="仿宋"/>
          <w:sz w:val="30"/>
          <w:szCs w:val="30"/>
        </w:rPr>
        <w:t>2. 担保有效期自预付款支付给承包人起生效，但本保函有效期最迟不超过年月日。</w:t>
      </w:r>
    </w:p>
    <w:p w14:paraId="595E4696">
      <w:pPr>
        <w:spacing w:afterLines="0"/>
        <w:ind w:firstLine="600"/>
        <w:rPr>
          <w:rFonts w:ascii="仿宋" w:hAnsi="仿宋" w:eastAsia="仿宋" w:cs="仿宋"/>
          <w:sz w:val="30"/>
          <w:szCs w:val="30"/>
        </w:rPr>
      </w:pPr>
      <w:r>
        <w:rPr>
          <w:rFonts w:hint="eastAsia" w:ascii="仿宋" w:hAnsi="仿宋" w:eastAsia="仿宋" w:cs="仿宋"/>
          <w:sz w:val="30"/>
          <w:szCs w:val="30"/>
        </w:rPr>
        <w:t>3. 在本保函有效期内，因承包人违反合同约定的义务而要求收回预付款时，我方在收到你方的书面通知后，在７天内支付。但本保函的担保金额，在任何时候不应超过预付款金额减去发包人按合同约定在向承包人签发的进度付款证书中扣除的金额。</w:t>
      </w:r>
    </w:p>
    <w:p w14:paraId="2806CE87">
      <w:pPr>
        <w:spacing w:afterLines="0"/>
        <w:ind w:firstLine="600"/>
        <w:rPr>
          <w:rFonts w:ascii="仿宋" w:hAnsi="仿宋" w:eastAsia="仿宋" w:cs="仿宋"/>
          <w:sz w:val="30"/>
          <w:szCs w:val="30"/>
        </w:rPr>
      </w:pPr>
      <w:r>
        <w:rPr>
          <w:rFonts w:hint="eastAsia" w:ascii="仿宋" w:hAnsi="仿宋" w:eastAsia="仿宋" w:cs="仿宋"/>
          <w:sz w:val="30"/>
          <w:szCs w:val="30"/>
        </w:rPr>
        <w:t>4. 发包人和承包人按《通用合同条款》第13条变更合同时，我方承担本保函规定的义务不变。</w:t>
      </w:r>
    </w:p>
    <w:p w14:paraId="6701AD96">
      <w:pPr>
        <w:spacing w:after="120" w:line="600" w:lineRule="exact"/>
        <w:ind w:left="-648" w:leftChars="-270" w:firstLine="1215" w:firstLineChars="405"/>
        <w:rPr>
          <w:rFonts w:ascii="仿宋" w:hAnsi="仿宋" w:eastAsia="仿宋" w:cs="仿宋"/>
          <w:sz w:val="30"/>
          <w:szCs w:val="30"/>
        </w:rPr>
      </w:pPr>
      <w:r>
        <w:rPr>
          <w:rFonts w:hint="eastAsia" w:ascii="仿宋" w:hAnsi="仿宋" w:eastAsia="仿宋" w:cs="仿宋"/>
          <w:sz w:val="30"/>
          <w:szCs w:val="30"/>
        </w:rPr>
        <w:t>担保人：（盖单位章）</w:t>
      </w:r>
    </w:p>
    <w:p w14:paraId="7CD13EB4">
      <w:pPr>
        <w:spacing w:after="120" w:line="600" w:lineRule="exact"/>
        <w:ind w:left="-648" w:leftChars="-270" w:firstLine="1215" w:firstLineChars="405"/>
        <w:rPr>
          <w:rFonts w:ascii="仿宋" w:hAnsi="仿宋" w:eastAsia="仿宋" w:cs="仿宋"/>
          <w:sz w:val="30"/>
          <w:szCs w:val="30"/>
        </w:rPr>
      </w:pPr>
      <w:r>
        <w:rPr>
          <w:rFonts w:hint="eastAsia" w:ascii="仿宋" w:hAnsi="仿宋" w:eastAsia="仿宋" w:cs="仿宋"/>
          <w:sz w:val="30"/>
          <w:szCs w:val="30"/>
        </w:rPr>
        <w:t>法定代表人或授权人：（签字）</w:t>
      </w:r>
    </w:p>
    <w:p w14:paraId="1BBC48C5">
      <w:pPr>
        <w:spacing w:after="120" w:line="600" w:lineRule="exact"/>
        <w:ind w:left="-648" w:leftChars="-270" w:firstLine="1215" w:firstLineChars="405"/>
        <w:rPr>
          <w:rFonts w:ascii="仿宋" w:hAnsi="仿宋" w:eastAsia="仿宋" w:cs="仿宋"/>
          <w:sz w:val="30"/>
          <w:szCs w:val="30"/>
        </w:rPr>
      </w:pPr>
      <w:r>
        <w:rPr>
          <w:rFonts w:hint="eastAsia" w:ascii="仿宋" w:hAnsi="仿宋" w:eastAsia="仿宋" w:cs="仿宋"/>
          <w:sz w:val="30"/>
          <w:szCs w:val="30"/>
        </w:rPr>
        <w:t>地    址：</w:t>
      </w:r>
      <w:r>
        <w:rPr>
          <w:rFonts w:hint="eastAsia" w:ascii="仿宋" w:hAnsi="仿宋" w:eastAsia="仿宋" w:cs="仿宋"/>
          <w:sz w:val="30"/>
          <w:szCs w:val="30"/>
          <w:u w:val="single"/>
        </w:rPr>
        <w:tab/>
      </w:r>
      <w:r>
        <w:rPr>
          <w:rFonts w:hint="eastAsia" w:ascii="仿宋" w:hAnsi="仿宋" w:eastAsia="仿宋" w:cs="仿宋"/>
          <w:sz w:val="30"/>
          <w:szCs w:val="30"/>
          <w:u w:val="single"/>
        </w:rPr>
        <w:tab/>
      </w:r>
      <w:r>
        <w:rPr>
          <w:rFonts w:hint="eastAsia" w:ascii="仿宋" w:hAnsi="仿宋" w:eastAsia="仿宋" w:cs="仿宋"/>
          <w:sz w:val="30"/>
          <w:szCs w:val="30"/>
          <w:u w:val="single"/>
        </w:rPr>
        <w:tab/>
      </w:r>
      <w:r>
        <w:rPr>
          <w:rFonts w:hint="eastAsia" w:ascii="仿宋" w:hAnsi="仿宋" w:eastAsia="仿宋" w:cs="仿宋"/>
          <w:sz w:val="30"/>
          <w:szCs w:val="30"/>
          <w:u w:val="single"/>
        </w:rPr>
        <w:tab/>
      </w:r>
    </w:p>
    <w:p w14:paraId="45FDD05E">
      <w:pPr>
        <w:spacing w:after="120" w:line="600" w:lineRule="exact"/>
        <w:ind w:left="-648" w:leftChars="-270" w:firstLine="1215" w:firstLineChars="405"/>
        <w:rPr>
          <w:rFonts w:ascii="仿宋" w:hAnsi="仿宋" w:eastAsia="仿宋" w:cs="仿宋"/>
          <w:sz w:val="30"/>
          <w:szCs w:val="30"/>
          <w:u w:val="single"/>
        </w:rPr>
      </w:pPr>
      <w:r>
        <w:rPr>
          <w:rFonts w:hint="eastAsia" w:ascii="仿宋" w:hAnsi="仿宋" w:eastAsia="仿宋" w:cs="仿宋"/>
          <w:sz w:val="30"/>
          <w:szCs w:val="30"/>
        </w:rPr>
        <w:t>邮政编码：</w:t>
      </w:r>
      <w:r>
        <w:rPr>
          <w:rFonts w:hint="eastAsia" w:ascii="仿宋" w:hAnsi="仿宋" w:eastAsia="仿宋" w:cs="仿宋"/>
          <w:sz w:val="30"/>
          <w:szCs w:val="30"/>
          <w:u w:val="single"/>
        </w:rPr>
        <w:tab/>
      </w:r>
      <w:r>
        <w:rPr>
          <w:rFonts w:hint="eastAsia" w:ascii="仿宋" w:hAnsi="仿宋" w:eastAsia="仿宋" w:cs="仿宋"/>
          <w:sz w:val="30"/>
          <w:szCs w:val="30"/>
          <w:u w:val="single"/>
        </w:rPr>
        <w:tab/>
      </w:r>
      <w:r>
        <w:rPr>
          <w:rFonts w:hint="eastAsia" w:ascii="仿宋" w:hAnsi="仿宋" w:eastAsia="仿宋" w:cs="仿宋"/>
          <w:sz w:val="30"/>
          <w:szCs w:val="30"/>
          <w:u w:val="single"/>
        </w:rPr>
        <w:tab/>
      </w:r>
      <w:r>
        <w:rPr>
          <w:rFonts w:hint="eastAsia" w:ascii="仿宋" w:hAnsi="仿宋" w:eastAsia="仿宋" w:cs="仿宋"/>
          <w:sz w:val="30"/>
          <w:szCs w:val="30"/>
          <w:u w:val="single"/>
        </w:rPr>
        <w:tab/>
      </w:r>
      <w:r>
        <w:rPr>
          <w:rFonts w:hint="eastAsia" w:ascii="仿宋" w:hAnsi="仿宋" w:eastAsia="仿宋" w:cs="仿宋"/>
          <w:sz w:val="30"/>
          <w:szCs w:val="30"/>
          <w:u w:val="single"/>
        </w:rPr>
        <w:tab/>
      </w:r>
      <w:r>
        <w:rPr>
          <w:rFonts w:hint="eastAsia" w:ascii="仿宋" w:hAnsi="仿宋" w:eastAsia="仿宋" w:cs="仿宋"/>
          <w:sz w:val="30"/>
          <w:szCs w:val="30"/>
          <w:u w:val="single"/>
        </w:rPr>
        <w:tab/>
      </w:r>
      <w:r>
        <w:rPr>
          <w:rFonts w:hint="eastAsia" w:ascii="仿宋" w:hAnsi="仿宋" w:eastAsia="仿宋" w:cs="仿宋"/>
          <w:sz w:val="30"/>
          <w:szCs w:val="30"/>
          <w:u w:val="single"/>
        </w:rPr>
        <w:tab/>
      </w:r>
    </w:p>
    <w:p w14:paraId="36D3BB41">
      <w:pPr>
        <w:spacing w:after="120" w:line="600" w:lineRule="exact"/>
        <w:ind w:left="-648" w:leftChars="-270" w:firstLine="1215" w:firstLineChars="405"/>
        <w:rPr>
          <w:rFonts w:ascii="仿宋" w:hAnsi="仿宋" w:eastAsia="仿宋" w:cs="仿宋"/>
          <w:sz w:val="30"/>
          <w:szCs w:val="30"/>
          <w:u w:val="single"/>
        </w:rPr>
      </w:pPr>
      <w:r>
        <w:rPr>
          <w:rFonts w:hint="eastAsia" w:ascii="仿宋" w:hAnsi="仿宋" w:eastAsia="仿宋" w:cs="仿宋"/>
          <w:sz w:val="30"/>
          <w:szCs w:val="30"/>
        </w:rPr>
        <w:t>电    话：</w:t>
      </w:r>
    </w:p>
    <w:p w14:paraId="58444908">
      <w:pPr>
        <w:spacing w:after="120" w:line="600" w:lineRule="exact"/>
        <w:ind w:left="-648" w:leftChars="-270" w:firstLine="1215" w:firstLineChars="405"/>
        <w:rPr>
          <w:rFonts w:ascii="仿宋" w:hAnsi="仿宋" w:eastAsia="仿宋" w:cs="仿宋"/>
          <w:sz w:val="30"/>
          <w:szCs w:val="30"/>
        </w:rPr>
      </w:pPr>
      <w:r>
        <w:rPr>
          <w:rFonts w:hint="eastAsia" w:ascii="仿宋" w:hAnsi="仿宋" w:eastAsia="仿宋" w:cs="仿宋"/>
          <w:sz w:val="30"/>
          <w:szCs w:val="30"/>
        </w:rPr>
        <w:t>年月日</w:t>
      </w:r>
    </w:p>
    <w:p w14:paraId="5E80744D">
      <w:pPr>
        <w:pStyle w:val="106"/>
        <w:numPr>
          <w:ilvl w:val="0"/>
          <w:numId w:val="0"/>
        </w:numPr>
        <w:spacing w:after="120"/>
        <w:jc w:val="center"/>
        <w:outlineLvl w:val="1"/>
      </w:pPr>
      <w:r>
        <w:rPr>
          <w:rFonts w:ascii="仿宋" w:hAnsi="仿宋" w:eastAsia="仿宋"/>
          <w:szCs w:val="24"/>
        </w:rPr>
        <w:br w:type="page"/>
      </w:r>
      <w:bookmarkStart w:id="1097" w:name="_Toc436060979"/>
      <w:bookmarkStart w:id="1098" w:name="_Toc24382"/>
      <w:bookmarkStart w:id="1099" w:name="_Toc4631"/>
      <w:bookmarkStart w:id="1100" w:name="_Toc436057796"/>
      <w:bookmarkStart w:id="1101" w:name="_Toc436058012"/>
      <w:bookmarkStart w:id="1102" w:name="_Toc436058600"/>
      <w:bookmarkStart w:id="1103" w:name="_Toc436057358"/>
      <w:bookmarkStart w:id="1104" w:name="_Toc436061851"/>
      <w:bookmarkStart w:id="1105" w:name="_Toc22038"/>
      <w:bookmarkStart w:id="1106" w:name="_Toc6614"/>
      <w:bookmarkStart w:id="1107" w:name="_Toc25232"/>
      <w:bookmarkStart w:id="1108" w:name="_Toc4489"/>
      <w:bookmarkStart w:id="1109" w:name="_Toc7657"/>
      <w:bookmarkStart w:id="1110" w:name="_Toc2996"/>
      <w:bookmarkStart w:id="1111" w:name="_Toc10722"/>
      <w:bookmarkStart w:id="1112" w:name="_Toc7888"/>
      <w:r>
        <w:rPr>
          <w:rFonts w:hint="eastAsia" w:ascii="仿宋" w:hAnsi="仿宋" w:eastAsia="仿宋" w:cs="仿宋"/>
          <w:b/>
          <w:bCs/>
          <w:sz w:val="32"/>
          <w:szCs w:val="32"/>
        </w:rPr>
        <w:t>附件</w:t>
      </w:r>
      <w:bookmarkEnd w:id="1097"/>
      <w:bookmarkEnd w:id="1098"/>
      <w:bookmarkEnd w:id="1099"/>
      <w:bookmarkEnd w:id="1100"/>
      <w:bookmarkEnd w:id="1101"/>
      <w:bookmarkEnd w:id="1102"/>
      <w:bookmarkEnd w:id="1103"/>
      <w:bookmarkEnd w:id="1104"/>
      <w:r>
        <w:rPr>
          <w:rFonts w:hint="eastAsia" w:ascii="仿宋" w:hAnsi="仿宋" w:eastAsia="仿宋" w:cs="仿宋"/>
          <w:b/>
          <w:bCs/>
          <w:sz w:val="32"/>
          <w:szCs w:val="32"/>
        </w:rPr>
        <w:t>1</w:t>
      </w:r>
      <w:bookmarkStart w:id="1113" w:name="_Toc436058601"/>
      <w:bookmarkStart w:id="1114" w:name="_Toc436056489"/>
      <w:bookmarkStart w:id="1115" w:name="_Toc436061852"/>
      <w:bookmarkStart w:id="1116" w:name="_Toc436060980"/>
      <w:bookmarkStart w:id="1117" w:name="_Toc436057359"/>
      <w:bookmarkStart w:id="1118" w:name="_Toc436057797"/>
      <w:bookmarkStart w:id="1119" w:name="_Toc436058013"/>
      <w:bookmarkStart w:id="1120" w:name="_Toc2310"/>
      <w:r>
        <w:rPr>
          <w:rFonts w:hint="eastAsia" w:ascii="仿宋" w:hAnsi="仿宋" w:eastAsia="仿宋" w:cs="仿宋"/>
          <w:b/>
          <w:bCs/>
          <w:sz w:val="32"/>
          <w:szCs w:val="32"/>
        </w:rPr>
        <w:t>2 联合体工作协议书</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p>
    <w:p w14:paraId="047E430C">
      <w:pPr>
        <w:spacing w:after="120"/>
        <w:ind w:firstLine="482"/>
        <w:jc w:val="center"/>
        <w:rPr>
          <w:rFonts w:ascii="仿宋" w:hAnsi="仿宋" w:eastAsia="仿宋"/>
          <w:b/>
          <w:szCs w:val="24"/>
        </w:rPr>
      </w:pPr>
    </w:p>
    <w:p w14:paraId="3CC176DF">
      <w:pPr>
        <w:spacing w:after="120"/>
        <w:ind w:left="-648" w:leftChars="-270" w:firstLine="765" w:firstLineChars="255"/>
        <w:rPr>
          <w:rFonts w:ascii="仿宋" w:hAnsi="仿宋" w:eastAsia="仿宋"/>
          <w:sz w:val="30"/>
          <w:szCs w:val="30"/>
          <w:u w:val="single"/>
        </w:rPr>
      </w:pPr>
      <w:r>
        <w:rPr>
          <w:rFonts w:hint="eastAsia" w:ascii="仿宋" w:hAnsi="仿宋" w:eastAsia="仿宋"/>
          <w:sz w:val="30"/>
          <w:szCs w:val="30"/>
        </w:rPr>
        <w:t>发包人：</w:t>
      </w:r>
      <w:r>
        <w:rPr>
          <w:rFonts w:ascii="仿宋" w:hAnsi="仿宋" w:eastAsia="仿宋"/>
          <w:sz w:val="30"/>
          <w:szCs w:val="30"/>
          <w:u w:val="single"/>
        </w:rPr>
        <w:t xml:space="preserve"> 广东省代建项目管理局 </w:t>
      </w:r>
    </w:p>
    <w:p w14:paraId="26BB6FAF">
      <w:pPr>
        <w:spacing w:after="120"/>
        <w:ind w:left="-648" w:leftChars="-270" w:firstLine="765" w:firstLineChars="255"/>
        <w:rPr>
          <w:rFonts w:ascii="仿宋" w:hAnsi="仿宋" w:eastAsia="仿宋"/>
          <w:sz w:val="30"/>
          <w:szCs w:val="30"/>
        </w:rPr>
      </w:pPr>
      <w:r>
        <w:rPr>
          <w:rFonts w:hint="eastAsia" w:ascii="仿宋" w:hAnsi="仿宋" w:eastAsia="仿宋"/>
          <w:sz w:val="30"/>
          <w:szCs w:val="30"/>
        </w:rPr>
        <w:t>承包人：（牵头人）</w:t>
      </w:r>
    </w:p>
    <w:p w14:paraId="095BB220">
      <w:pPr>
        <w:spacing w:after="120"/>
        <w:ind w:left="-648" w:leftChars="-270" w:firstLine="765" w:firstLineChars="255"/>
        <w:rPr>
          <w:rFonts w:ascii="仿宋" w:hAnsi="仿宋" w:eastAsia="仿宋"/>
          <w:sz w:val="30"/>
          <w:szCs w:val="30"/>
        </w:rPr>
      </w:pPr>
      <w:r>
        <w:rPr>
          <w:rFonts w:ascii="仿宋" w:hAnsi="仿宋" w:eastAsia="仿宋"/>
          <w:sz w:val="30"/>
          <w:szCs w:val="30"/>
        </w:rPr>
        <w:t>（成  员）</w:t>
      </w:r>
    </w:p>
    <w:p w14:paraId="7932299F">
      <w:pPr>
        <w:spacing w:after="120"/>
        <w:ind w:left="-648" w:leftChars="-270" w:firstLine="765" w:firstLineChars="255"/>
        <w:rPr>
          <w:rFonts w:ascii="仿宋" w:hAnsi="仿宋" w:eastAsia="仿宋"/>
          <w:sz w:val="30"/>
          <w:szCs w:val="30"/>
          <w:u w:val="single"/>
        </w:rPr>
      </w:pPr>
      <w:r>
        <w:rPr>
          <w:rFonts w:ascii="仿宋" w:hAnsi="仿宋" w:eastAsia="仿宋"/>
          <w:sz w:val="30"/>
          <w:szCs w:val="30"/>
        </w:rPr>
        <w:t>（成  员）</w:t>
      </w:r>
    </w:p>
    <w:p w14:paraId="49F64C09">
      <w:pPr>
        <w:spacing w:after="120" w:line="240" w:lineRule="auto"/>
        <w:ind w:firstLine="600"/>
        <w:rPr>
          <w:rFonts w:ascii="仿宋" w:hAnsi="仿宋" w:eastAsia="仿宋"/>
          <w:sz w:val="30"/>
          <w:szCs w:val="30"/>
        </w:rPr>
      </w:pPr>
      <w:r>
        <w:rPr>
          <w:rFonts w:hint="eastAsia" w:ascii="仿宋" w:hAnsi="仿宋" w:eastAsia="仿宋"/>
          <w:sz w:val="30"/>
          <w:szCs w:val="30"/>
        </w:rPr>
        <w:t>（牵头人）、（成员）、（成员）共同自愿组成联合体参与“</w:t>
      </w:r>
      <w:r>
        <w:rPr>
          <w:rFonts w:ascii="仿宋" w:hAnsi="仿宋" w:eastAsia="仿宋"/>
          <w:sz w:val="30"/>
          <w:szCs w:val="30"/>
          <w:u w:val="single"/>
        </w:rPr>
        <w:t xml:space="preserve">         项目   </w:t>
      </w:r>
      <w:r>
        <w:rPr>
          <w:rFonts w:hint="eastAsia" w:ascii="仿宋" w:hAnsi="仿宋" w:eastAsia="仿宋"/>
          <w:sz w:val="30"/>
          <w:szCs w:val="30"/>
        </w:rPr>
        <w:t>”投标，并于年月日中标承包该工程项目；本协议书各方遵循平等、自愿、公平和诚实信用的原则，就合同工程设计、施工有关事项友好协商、达成一致意见，订立本协议书。</w:t>
      </w:r>
    </w:p>
    <w:p w14:paraId="716B356D">
      <w:pPr>
        <w:spacing w:after="120" w:line="240" w:lineRule="auto"/>
        <w:ind w:firstLine="600"/>
        <w:rPr>
          <w:rFonts w:ascii="仿宋" w:hAnsi="仿宋" w:eastAsia="仿宋"/>
          <w:sz w:val="30"/>
          <w:szCs w:val="30"/>
        </w:rPr>
      </w:pPr>
      <w:r>
        <w:rPr>
          <w:rFonts w:hint="eastAsia" w:ascii="仿宋" w:hAnsi="仿宋" w:eastAsia="仿宋"/>
          <w:sz w:val="30"/>
          <w:szCs w:val="30"/>
        </w:rPr>
        <w:t>一、</w:t>
      </w:r>
      <w:r>
        <w:rPr>
          <w:rFonts w:ascii="仿宋" w:hAnsi="仿宋" w:eastAsia="仿宋"/>
          <w:sz w:val="30"/>
          <w:szCs w:val="30"/>
        </w:rPr>
        <w:t>为联合体</w:t>
      </w:r>
      <w:r>
        <w:rPr>
          <w:rFonts w:hint="eastAsia" w:ascii="仿宋" w:hAnsi="仿宋" w:eastAsia="仿宋"/>
          <w:sz w:val="30"/>
          <w:szCs w:val="30"/>
        </w:rPr>
        <w:t>牵头人</w:t>
      </w:r>
      <w:r>
        <w:rPr>
          <w:rFonts w:ascii="仿宋" w:hAnsi="仿宋" w:eastAsia="仿宋"/>
          <w:sz w:val="30"/>
          <w:szCs w:val="30"/>
        </w:rPr>
        <w:t>，为联合体成员。</w:t>
      </w:r>
      <w:r>
        <w:rPr>
          <w:rFonts w:hint="eastAsia" w:ascii="仿宋" w:hAnsi="仿宋" w:eastAsia="仿宋"/>
          <w:sz w:val="30"/>
          <w:szCs w:val="30"/>
        </w:rPr>
        <w:t>联合体各方同意：</w:t>
      </w:r>
    </w:p>
    <w:p w14:paraId="63D22A8C">
      <w:pPr>
        <w:spacing w:after="120" w:line="240" w:lineRule="auto"/>
        <w:ind w:firstLine="600"/>
        <w:rPr>
          <w:rFonts w:ascii="仿宋" w:hAnsi="仿宋" w:eastAsia="仿宋"/>
          <w:sz w:val="30"/>
          <w:szCs w:val="30"/>
        </w:rPr>
      </w:pPr>
      <w:r>
        <w:rPr>
          <w:rFonts w:ascii="仿宋" w:hAnsi="仿宋" w:eastAsia="仿宋"/>
          <w:sz w:val="30"/>
          <w:szCs w:val="30"/>
        </w:rPr>
        <w:t>1、由</w:t>
      </w:r>
      <w:r>
        <w:rPr>
          <w:rFonts w:hint="eastAsia" w:ascii="仿宋" w:hAnsi="仿宋" w:eastAsia="仿宋"/>
          <w:sz w:val="30"/>
          <w:szCs w:val="30"/>
        </w:rPr>
        <w:t>（牵头人）</w:t>
      </w:r>
      <w:r>
        <w:rPr>
          <w:rFonts w:ascii="仿宋" w:hAnsi="仿宋" w:eastAsia="仿宋"/>
          <w:sz w:val="30"/>
          <w:szCs w:val="30"/>
        </w:rPr>
        <w:t>代表联合体各方与发包人</w:t>
      </w:r>
      <w:r>
        <w:rPr>
          <w:rFonts w:hint="eastAsia" w:ascii="仿宋" w:hAnsi="仿宋" w:eastAsia="仿宋"/>
          <w:sz w:val="30"/>
          <w:szCs w:val="30"/>
        </w:rPr>
        <w:t>接洽</w:t>
      </w:r>
      <w:r>
        <w:rPr>
          <w:rFonts w:ascii="仿宋" w:hAnsi="仿宋" w:eastAsia="仿宋"/>
          <w:sz w:val="30"/>
          <w:szCs w:val="30"/>
          <w:u w:val="single"/>
        </w:rPr>
        <w:t xml:space="preserve">      合同  </w:t>
      </w:r>
      <w:r>
        <w:rPr>
          <w:rFonts w:hint="eastAsia" w:ascii="仿宋" w:hAnsi="仿宋" w:eastAsia="仿宋"/>
          <w:sz w:val="30"/>
          <w:szCs w:val="30"/>
        </w:rPr>
        <w:t>签订事宜，本工程合同签订后由牵头人按合同约定向发包人交纳履约保函，预付款保函由各收款单位分别提交。</w:t>
      </w:r>
    </w:p>
    <w:p w14:paraId="5FDBCAF1">
      <w:pPr>
        <w:spacing w:after="120" w:line="240" w:lineRule="auto"/>
        <w:ind w:firstLine="600"/>
        <w:rPr>
          <w:rFonts w:ascii="仿宋" w:hAnsi="仿宋" w:eastAsia="仿宋"/>
          <w:sz w:val="30"/>
          <w:szCs w:val="30"/>
        </w:rPr>
      </w:pPr>
      <w:r>
        <w:rPr>
          <w:rFonts w:ascii="仿宋" w:hAnsi="仿宋" w:eastAsia="仿宋"/>
          <w:sz w:val="30"/>
          <w:szCs w:val="30"/>
        </w:rPr>
        <w:t>2、合同履行过程中，</w:t>
      </w:r>
      <w:r>
        <w:rPr>
          <w:rFonts w:hint="eastAsia" w:ascii="仿宋" w:hAnsi="仿宋" w:eastAsia="仿宋"/>
          <w:sz w:val="30"/>
          <w:szCs w:val="30"/>
        </w:rPr>
        <w:t>联合体牵头人代表联合体成员承担责任和接受发包人的指令</w:t>
      </w:r>
      <w:r>
        <w:rPr>
          <w:rFonts w:ascii="仿宋" w:hAnsi="仿宋" w:eastAsia="仿宋"/>
          <w:sz w:val="30"/>
          <w:szCs w:val="30"/>
        </w:rPr>
        <w:t>,指示和通知,并且在整个合同实施过程中的全部事宜均由联合体牵头人负责。联合体各方同意授权给由</w:t>
      </w:r>
      <w:r>
        <w:rPr>
          <w:rFonts w:hint="eastAsia" w:ascii="仿宋" w:hAnsi="仿宋" w:eastAsia="仿宋"/>
          <w:sz w:val="30"/>
          <w:szCs w:val="30"/>
        </w:rPr>
        <w:t>牵头人</w:t>
      </w:r>
      <w:r>
        <w:rPr>
          <w:rFonts w:ascii="仿宋" w:hAnsi="仿宋" w:eastAsia="仿宋"/>
          <w:sz w:val="30"/>
          <w:szCs w:val="30"/>
        </w:rPr>
        <w:t>派出的</w:t>
      </w:r>
      <w:r>
        <w:rPr>
          <w:rFonts w:hint="eastAsia" w:ascii="仿宋" w:hAnsi="仿宋" w:eastAsia="仿宋"/>
          <w:sz w:val="30"/>
          <w:szCs w:val="30"/>
        </w:rPr>
        <w:t>项目总负责人负责履行本项目合同及办理一切本合同范围内的事宜。</w:t>
      </w:r>
    </w:p>
    <w:p w14:paraId="44554A1D">
      <w:pPr>
        <w:spacing w:after="120" w:line="240" w:lineRule="auto"/>
        <w:ind w:firstLine="600"/>
        <w:rPr>
          <w:rFonts w:ascii="仿宋" w:hAnsi="仿宋" w:eastAsia="仿宋"/>
          <w:sz w:val="30"/>
          <w:szCs w:val="30"/>
        </w:rPr>
      </w:pPr>
      <w:r>
        <w:rPr>
          <w:rFonts w:ascii="仿宋" w:hAnsi="仿宋" w:eastAsia="仿宋"/>
          <w:sz w:val="30"/>
          <w:szCs w:val="30"/>
        </w:rPr>
        <w:t>3</w:t>
      </w:r>
      <w:r>
        <w:rPr>
          <w:rFonts w:hint="eastAsia" w:ascii="仿宋" w:hAnsi="仿宋" w:eastAsia="仿宋"/>
          <w:sz w:val="30"/>
          <w:szCs w:val="30"/>
        </w:rPr>
        <w:t>、本项目的工程款项（含进度款、结算等）申请由牵头人统一负责，发包人审批后向承包人各方支付工程款项，承包人各方在收取工程款时向发包人提交等额的合法发票。</w:t>
      </w:r>
    </w:p>
    <w:p w14:paraId="75368568">
      <w:pPr>
        <w:spacing w:after="120" w:line="240" w:lineRule="auto"/>
        <w:ind w:firstLine="600"/>
        <w:rPr>
          <w:rFonts w:ascii="仿宋" w:hAnsi="仿宋" w:eastAsia="仿宋"/>
          <w:sz w:val="30"/>
          <w:szCs w:val="30"/>
        </w:rPr>
      </w:pPr>
      <w:r>
        <w:rPr>
          <w:rFonts w:hint="eastAsia" w:ascii="仿宋" w:hAnsi="仿宋" w:eastAsia="仿宋"/>
          <w:sz w:val="30"/>
          <w:szCs w:val="30"/>
        </w:rPr>
        <w:t>二、联合体各方合同责任：</w:t>
      </w:r>
    </w:p>
    <w:p w14:paraId="5BD215E0">
      <w:pPr>
        <w:spacing w:after="120" w:line="240" w:lineRule="auto"/>
        <w:ind w:firstLine="600"/>
        <w:rPr>
          <w:rFonts w:ascii="仿宋" w:hAnsi="仿宋" w:eastAsia="仿宋"/>
          <w:sz w:val="30"/>
          <w:szCs w:val="30"/>
        </w:rPr>
      </w:pPr>
      <w:r>
        <w:rPr>
          <w:rFonts w:ascii="仿宋" w:hAnsi="仿宋" w:eastAsia="仿宋"/>
          <w:sz w:val="30"/>
          <w:szCs w:val="30"/>
        </w:rPr>
        <w:t>1、</w:t>
      </w:r>
      <w:r>
        <w:rPr>
          <w:rFonts w:hint="eastAsia" w:ascii="仿宋" w:hAnsi="仿宋" w:eastAsia="仿宋"/>
          <w:sz w:val="30"/>
          <w:szCs w:val="30"/>
        </w:rPr>
        <w:t>负责本项目的设计及设计优化等工作，项目实施阶段全过程建设管理，直至工程竣工验收、项目移交，完成并配合相关部门结（决）算审核等工作，具体按合同要求。</w:t>
      </w:r>
    </w:p>
    <w:p w14:paraId="437E4137">
      <w:pPr>
        <w:spacing w:after="120" w:line="240" w:lineRule="auto"/>
        <w:ind w:firstLine="600"/>
        <w:rPr>
          <w:rFonts w:ascii="仿宋" w:hAnsi="仿宋" w:eastAsia="仿宋"/>
          <w:sz w:val="30"/>
          <w:szCs w:val="30"/>
        </w:rPr>
      </w:pPr>
      <w:r>
        <w:rPr>
          <w:rFonts w:hint="eastAsia" w:ascii="仿宋" w:hAnsi="仿宋" w:eastAsia="仿宋"/>
          <w:sz w:val="30"/>
          <w:szCs w:val="30"/>
        </w:rPr>
        <w:t>2</w:t>
      </w:r>
      <w:r>
        <w:rPr>
          <w:rFonts w:ascii="仿宋" w:hAnsi="仿宋" w:eastAsia="仿宋"/>
          <w:sz w:val="30"/>
          <w:szCs w:val="30"/>
        </w:rPr>
        <w:t>、</w:t>
      </w:r>
      <w:r>
        <w:rPr>
          <w:rFonts w:hint="eastAsia" w:ascii="仿宋" w:hAnsi="仿宋" w:eastAsia="仿宋"/>
          <w:sz w:val="30"/>
          <w:szCs w:val="30"/>
        </w:rPr>
        <w:t>（牵头人）负责本项目的施工及工程保修等工作，具体按合同要求。</w:t>
      </w:r>
    </w:p>
    <w:p w14:paraId="297C6318">
      <w:pPr>
        <w:spacing w:after="120" w:line="240" w:lineRule="auto"/>
        <w:ind w:firstLine="600"/>
        <w:rPr>
          <w:rFonts w:ascii="仿宋" w:hAnsi="仿宋" w:eastAsia="仿宋"/>
          <w:sz w:val="30"/>
          <w:szCs w:val="30"/>
        </w:rPr>
      </w:pPr>
      <w:r>
        <w:rPr>
          <w:rFonts w:hint="eastAsia" w:ascii="仿宋" w:hAnsi="仿宋" w:eastAsia="仿宋"/>
          <w:sz w:val="30"/>
          <w:szCs w:val="30"/>
        </w:rPr>
        <w:t>三、联合体各方共同承担本项目合同条款规定的一切义务和责任，按照合同及招标文件的划分，承担各自所负的责任和风险，并向发包人承担连带责任。</w:t>
      </w:r>
    </w:p>
    <w:p w14:paraId="533FF427">
      <w:pPr>
        <w:spacing w:after="120" w:line="240" w:lineRule="auto"/>
        <w:ind w:firstLine="600"/>
        <w:rPr>
          <w:rFonts w:ascii="仿宋" w:hAnsi="仿宋" w:eastAsia="仿宋"/>
          <w:sz w:val="30"/>
          <w:szCs w:val="30"/>
        </w:rPr>
      </w:pPr>
      <w:r>
        <w:rPr>
          <w:rFonts w:hint="eastAsia" w:ascii="仿宋" w:hAnsi="仿宋" w:eastAsia="仿宋"/>
          <w:sz w:val="30"/>
          <w:szCs w:val="30"/>
        </w:rPr>
        <w:t>四、各方在工程实施过程中的有关费用按各自承担的工作量分摊。</w:t>
      </w:r>
    </w:p>
    <w:p w14:paraId="7283D98E">
      <w:pPr>
        <w:spacing w:after="120" w:line="240" w:lineRule="auto"/>
        <w:ind w:firstLine="600"/>
        <w:rPr>
          <w:rFonts w:ascii="仿宋" w:hAnsi="仿宋" w:eastAsia="仿宋"/>
          <w:sz w:val="30"/>
          <w:szCs w:val="30"/>
        </w:rPr>
      </w:pPr>
      <w:r>
        <w:rPr>
          <w:rFonts w:hint="eastAsia" w:ascii="仿宋" w:hAnsi="仿宋" w:eastAsia="仿宋"/>
          <w:sz w:val="30"/>
          <w:szCs w:val="30"/>
        </w:rPr>
        <w:t>五、本联合体工作协议是本项目合同的附件，对联合体各方具有合同约束力。</w:t>
      </w:r>
    </w:p>
    <w:p w14:paraId="09E6B73C">
      <w:pPr>
        <w:spacing w:after="120" w:line="240" w:lineRule="auto"/>
        <w:ind w:firstLine="600"/>
        <w:rPr>
          <w:rFonts w:ascii="仿宋" w:hAnsi="仿宋" w:eastAsia="仿宋"/>
          <w:sz w:val="30"/>
          <w:szCs w:val="30"/>
        </w:rPr>
      </w:pPr>
      <w:r>
        <w:rPr>
          <w:rFonts w:hint="eastAsia" w:ascii="仿宋" w:hAnsi="仿宋" w:eastAsia="仿宋"/>
          <w:sz w:val="30"/>
          <w:szCs w:val="30"/>
        </w:rPr>
        <w:t>本协议书自签署之日起生效，至合同履行完毕后自动失效。本协议书一式</w:t>
      </w:r>
      <w:r>
        <w:rPr>
          <w:rFonts w:hint="eastAsia" w:ascii="仿宋" w:hAnsi="仿宋" w:eastAsia="仿宋"/>
          <w:sz w:val="30"/>
          <w:szCs w:val="30"/>
          <w:u w:val="single"/>
        </w:rPr>
        <w:t>贰拾</w:t>
      </w:r>
      <w:r>
        <w:rPr>
          <w:rFonts w:hint="eastAsia" w:ascii="仿宋" w:hAnsi="仿宋" w:eastAsia="仿宋"/>
          <w:sz w:val="30"/>
          <w:szCs w:val="30"/>
        </w:rPr>
        <w:t>份，具有同等法律效力，发包人执</w:t>
      </w:r>
      <w:r>
        <w:rPr>
          <w:rFonts w:hint="eastAsia" w:ascii="仿宋" w:hAnsi="仿宋" w:eastAsia="仿宋"/>
          <w:sz w:val="30"/>
          <w:szCs w:val="30"/>
          <w:u w:val="single"/>
        </w:rPr>
        <w:t>拾</w:t>
      </w:r>
      <w:r>
        <w:rPr>
          <w:rFonts w:hint="eastAsia" w:ascii="仿宋" w:hAnsi="仿宋" w:eastAsia="仿宋"/>
          <w:sz w:val="30"/>
          <w:szCs w:val="30"/>
        </w:rPr>
        <w:t>份（含广东省代建项目管理局备案用肆份），承包人执</w:t>
      </w:r>
      <w:r>
        <w:rPr>
          <w:rFonts w:hint="eastAsia" w:ascii="仿宋" w:hAnsi="仿宋" w:eastAsia="仿宋"/>
          <w:sz w:val="30"/>
          <w:szCs w:val="30"/>
          <w:u w:val="single"/>
        </w:rPr>
        <w:t>拾</w:t>
      </w:r>
      <w:r>
        <w:rPr>
          <w:rFonts w:hint="eastAsia" w:ascii="仿宋" w:hAnsi="仿宋" w:eastAsia="仿宋"/>
          <w:sz w:val="30"/>
          <w:szCs w:val="30"/>
        </w:rPr>
        <w:t>份，其中：施工方</w:t>
      </w:r>
      <w:r>
        <w:rPr>
          <w:rFonts w:hint="eastAsia" w:ascii="仿宋" w:hAnsi="仿宋" w:eastAsia="仿宋"/>
          <w:sz w:val="30"/>
          <w:szCs w:val="30"/>
          <w:u w:val="single"/>
        </w:rPr>
        <w:t>柒</w:t>
      </w:r>
      <w:r>
        <w:rPr>
          <w:rFonts w:hint="eastAsia" w:ascii="仿宋" w:hAnsi="仿宋" w:eastAsia="仿宋"/>
          <w:sz w:val="30"/>
          <w:szCs w:val="30"/>
        </w:rPr>
        <w:t>份、设计方叁份。</w:t>
      </w:r>
    </w:p>
    <w:p w14:paraId="0112E339">
      <w:pPr>
        <w:spacing w:after="120"/>
        <w:ind w:left="-648" w:leftChars="-270" w:firstLine="315" w:firstLineChars="105"/>
        <w:rPr>
          <w:rFonts w:ascii="仿宋" w:hAnsi="仿宋" w:eastAsia="仿宋"/>
          <w:sz w:val="30"/>
          <w:szCs w:val="30"/>
        </w:rPr>
      </w:pPr>
    </w:p>
    <w:p w14:paraId="7BB8DE83">
      <w:pPr>
        <w:spacing w:after="120" w:line="500" w:lineRule="exact"/>
        <w:ind w:left="-648" w:leftChars="-270" w:firstLine="915" w:firstLineChars="305"/>
        <w:rPr>
          <w:rFonts w:ascii="仿宋" w:hAnsi="仿宋" w:eastAsia="仿宋" w:cs="微软雅黑"/>
          <w:sz w:val="30"/>
          <w:szCs w:val="30"/>
        </w:rPr>
      </w:pPr>
      <w:r>
        <w:rPr>
          <w:rFonts w:hint="eastAsia" w:ascii="仿宋" w:hAnsi="仿宋" w:eastAsia="仿宋" w:cs="微软雅黑"/>
          <w:sz w:val="30"/>
          <w:szCs w:val="30"/>
        </w:rPr>
        <w:t>（牵头人）：设计单位（公章）</w:t>
      </w:r>
    </w:p>
    <w:p w14:paraId="434BD362">
      <w:pPr>
        <w:spacing w:after="120" w:line="500" w:lineRule="exact"/>
        <w:ind w:left="-648" w:leftChars="-270" w:firstLine="915" w:firstLineChars="305"/>
        <w:rPr>
          <w:rFonts w:ascii="仿宋" w:hAnsi="仿宋" w:eastAsia="仿宋" w:cs="微软雅黑"/>
          <w:sz w:val="30"/>
          <w:szCs w:val="30"/>
        </w:rPr>
      </w:pPr>
      <w:r>
        <w:rPr>
          <w:rFonts w:hint="eastAsia" w:ascii="仿宋" w:hAnsi="仿宋" w:eastAsia="仿宋" w:cs="微软雅黑"/>
          <w:sz w:val="30"/>
          <w:szCs w:val="30"/>
        </w:rPr>
        <w:t>法定代表人或其授权代表：</w:t>
      </w:r>
    </w:p>
    <w:p w14:paraId="2D28463F">
      <w:pPr>
        <w:spacing w:after="120" w:line="500" w:lineRule="exact"/>
        <w:ind w:left="-648" w:leftChars="-270" w:firstLine="915" w:firstLineChars="305"/>
        <w:rPr>
          <w:rFonts w:ascii="仿宋" w:hAnsi="仿宋" w:eastAsia="仿宋" w:cs="微软雅黑"/>
          <w:sz w:val="30"/>
          <w:szCs w:val="30"/>
        </w:rPr>
      </w:pPr>
      <w:r>
        <w:rPr>
          <w:rFonts w:hint="eastAsia" w:ascii="仿宋" w:hAnsi="仿宋" w:eastAsia="仿宋" w:cs="微软雅黑"/>
          <w:sz w:val="30"/>
          <w:szCs w:val="30"/>
        </w:rPr>
        <w:t>住</w:t>
      </w:r>
      <w:r>
        <w:rPr>
          <w:rFonts w:ascii="仿宋" w:hAnsi="仿宋" w:eastAsia="仿宋" w:cs="微软雅黑"/>
          <w:sz w:val="30"/>
          <w:szCs w:val="30"/>
        </w:rPr>
        <w:t xml:space="preserve">    所： </w:t>
      </w:r>
    </w:p>
    <w:p w14:paraId="598A4FFE">
      <w:pPr>
        <w:spacing w:after="120" w:line="500" w:lineRule="exact"/>
        <w:ind w:left="-648" w:leftChars="-270" w:firstLine="915" w:firstLineChars="305"/>
        <w:rPr>
          <w:rFonts w:ascii="仿宋" w:hAnsi="仿宋" w:eastAsia="仿宋" w:cs="微软雅黑"/>
          <w:sz w:val="30"/>
          <w:szCs w:val="30"/>
        </w:rPr>
      </w:pPr>
      <w:r>
        <w:rPr>
          <w:rFonts w:hint="eastAsia" w:ascii="仿宋" w:hAnsi="仿宋" w:eastAsia="仿宋" w:cs="微软雅黑"/>
          <w:sz w:val="30"/>
          <w:szCs w:val="30"/>
        </w:rPr>
        <w:t>电　　话：　　</w:t>
      </w:r>
    </w:p>
    <w:p w14:paraId="3039ECD8">
      <w:pPr>
        <w:spacing w:after="120" w:line="500" w:lineRule="exact"/>
        <w:ind w:left="-648" w:leftChars="-270" w:firstLine="915" w:firstLineChars="305"/>
        <w:rPr>
          <w:rFonts w:ascii="仿宋" w:hAnsi="仿宋" w:eastAsia="仿宋" w:cs="微软雅黑"/>
          <w:sz w:val="30"/>
          <w:szCs w:val="30"/>
        </w:rPr>
      </w:pPr>
      <w:r>
        <w:rPr>
          <w:rFonts w:hint="eastAsia" w:ascii="仿宋" w:hAnsi="仿宋" w:eastAsia="仿宋" w:cs="微软雅黑"/>
          <w:sz w:val="30"/>
          <w:szCs w:val="30"/>
        </w:rPr>
        <w:t>传　　真：　</w:t>
      </w:r>
    </w:p>
    <w:p w14:paraId="32415E53">
      <w:pPr>
        <w:spacing w:after="120" w:line="500" w:lineRule="exact"/>
        <w:ind w:left="-648" w:leftChars="-270" w:firstLine="315" w:firstLineChars="105"/>
        <w:rPr>
          <w:rFonts w:ascii="仿宋" w:hAnsi="仿宋" w:eastAsia="仿宋"/>
          <w:sz w:val="30"/>
          <w:szCs w:val="30"/>
          <w:u w:val="single"/>
        </w:rPr>
      </w:pPr>
    </w:p>
    <w:p w14:paraId="65F239E0">
      <w:pPr>
        <w:spacing w:after="120" w:line="500" w:lineRule="exact"/>
        <w:ind w:left="-648" w:leftChars="-270" w:firstLine="315" w:firstLineChars="105"/>
        <w:rPr>
          <w:rFonts w:ascii="仿宋" w:hAnsi="仿宋" w:eastAsia="仿宋" w:cs="微软雅黑"/>
          <w:sz w:val="30"/>
          <w:szCs w:val="30"/>
        </w:rPr>
      </w:pPr>
    </w:p>
    <w:p w14:paraId="7B881AED">
      <w:pPr>
        <w:spacing w:after="120" w:line="500" w:lineRule="exact"/>
        <w:ind w:left="-648" w:leftChars="-270" w:firstLine="765" w:firstLineChars="255"/>
        <w:rPr>
          <w:rFonts w:ascii="仿宋" w:hAnsi="仿宋" w:eastAsia="仿宋" w:cs="微软雅黑"/>
          <w:sz w:val="30"/>
          <w:szCs w:val="30"/>
        </w:rPr>
      </w:pPr>
      <w:r>
        <w:rPr>
          <w:rFonts w:hint="eastAsia" w:ascii="仿宋" w:hAnsi="仿宋" w:eastAsia="仿宋" w:cs="微软雅黑"/>
          <w:sz w:val="30"/>
          <w:szCs w:val="30"/>
        </w:rPr>
        <w:t>（成员）：施工单位（公章）</w:t>
      </w:r>
    </w:p>
    <w:p w14:paraId="21C1197A">
      <w:pPr>
        <w:spacing w:after="120" w:line="500" w:lineRule="exact"/>
        <w:ind w:left="-648" w:leftChars="-270" w:firstLine="765" w:firstLineChars="255"/>
        <w:rPr>
          <w:rFonts w:ascii="仿宋" w:hAnsi="仿宋" w:eastAsia="仿宋" w:cs="微软雅黑"/>
          <w:sz w:val="30"/>
          <w:szCs w:val="30"/>
        </w:rPr>
      </w:pPr>
      <w:r>
        <w:rPr>
          <w:rFonts w:hint="eastAsia" w:ascii="仿宋" w:hAnsi="仿宋" w:eastAsia="仿宋" w:cs="微软雅黑"/>
          <w:sz w:val="30"/>
          <w:szCs w:val="30"/>
        </w:rPr>
        <w:t>法定代表人或其授权代表：</w:t>
      </w:r>
    </w:p>
    <w:p w14:paraId="4D96EE5E">
      <w:pPr>
        <w:spacing w:after="120" w:line="500" w:lineRule="exact"/>
        <w:ind w:left="-648" w:leftChars="-270" w:firstLine="765" w:firstLineChars="255"/>
        <w:rPr>
          <w:rFonts w:ascii="仿宋" w:hAnsi="仿宋" w:eastAsia="仿宋" w:cs="微软雅黑"/>
          <w:sz w:val="30"/>
          <w:szCs w:val="30"/>
        </w:rPr>
      </w:pPr>
      <w:r>
        <w:rPr>
          <w:rFonts w:hint="eastAsia" w:ascii="仿宋" w:hAnsi="仿宋" w:eastAsia="仿宋" w:cs="微软雅黑"/>
          <w:sz w:val="30"/>
          <w:szCs w:val="30"/>
        </w:rPr>
        <w:t>住</w:t>
      </w:r>
      <w:r>
        <w:rPr>
          <w:rFonts w:ascii="仿宋" w:hAnsi="仿宋" w:eastAsia="仿宋" w:cs="微软雅黑"/>
          <w:sz w:val="30"/>
          <w:szCs w:val="30"/>
        </w:rPr>
        <w:t xml:space="preserve">   所：                                 </w:t>
      </w:r>
    </w:p>
    <w:p w14:paraId="048A782A">
      <w:pPr>
        <w:spacing w:after="120" w:line="500" w:lineRule="exact"/>
        <w:ind w:left="-648" w:leftChars="-270" w:firstLine="765" w:firstLineChars="255"/>
        <w:rPr>
          <w:rFonts w:ascii="仿宋" w:hAnsi="仿宋" w:eastAsia="仿宋" w:cs="微软雅黑"/>
          <w:sz w:val="30"/>
          <w:szCs w:val="30"/>
        </w:rPr>
      </w:pPr>
      <w:r>
        <w:rPr>
          <w:rFonts w:hint="eastAsia" w:ascii="仿宋" w:hAnsi="仿宋" w:eastAsia="仿宋" w:cs="微软雅黑"/>
          <w:sz w:val="30"/>
          <w:szCs w:val="30"/>
        </w:rPr>
        <w:t>电</w:t>
      </w:r>
      <w:r>
        <w:rPr>
          <w:rFonts w:ascii="仿宋" w:hAnsi="仿宋" w:eastAsia="仿宋" w:cs="微软雅黑"/>
          <w:sz w:val="30"/>
          <w:szCs w:val="30"/>
        </w:rPr>
        <w:t xml:space="preserve">   话：                                   </w:t>
      </w:r>
    </w:p>
    <w:p w14:paraId="5ED50EA1">
      <w:pPr>
        <w:spacing w:after="120" w:line="500" w:lineRule="exact"/>
        <w:ind w:left="-648" w:leftChars="-270" w:firstLine="765" w:firstLineChars="255"/>
        <w:jc w:val="left"/>
        <w:rPr>
          <w:rFonts w:ascii="仿宋" w:hAnsi="仿宋" w:eastAsia="仿宋" w:cs="微软雅黑"/>
          <w:sz w:val="30"/>
          <w:szCs w:val="30"/>
        </w:rPr>
      </w:pPr>
      <w:r>
        <w:rPr>
          <w:rFonts w:hint="eastAsia" w:ascii="仿宋" w:hAnsi="仿宋" w:eastAsia="仿宋" w:cs="微软雅黑"/>
          <w:sz w:val="30"/>
          <w:szCs w:val="30"/>
        </w:rPr>
        <w:t>传</w:t>
      </w:r>
      <w:r>
        <w:rPr>
          <w:rFonts w:ascii="仿宋" w:hAnsi="仿宋" w:eastAsia="仿宋" w:cs="微软雅黑"/>
          <w:sz w:val="30"/>
          <w:szCs w:val="30"/>
        </w:rPr>
        <w:t xml:space="preserve">   真：  </w:t>
      </w:r>
    </w:p>
    <w:p w14:paraId="1C2A9C6E">
      <w:pPr>
        <w:wordWrap/>
        <w:topLinePunct w:val="0"/>
        <w:adjustRightInd/>
        <w:snapToGrid/>
        <w:spacing w:afterLines="0" w:line="240" w:lineRule="auto"/>
        <w:ind w:firstLine="0" w:firstLineChars="0"/>
        <w:jc w:val="left"/>
        <w:rPr>
          <w:rFonts w:ascii="仿宋" w:hAnsi="仿宋" w:eastAsia="仿宋"/>
          <w:szCs w:val="24"/>
        </w:rPr>
      </w:pPr>
    </w:p>
    <w:p w14:paraId="1954575E">
      <w:pPr>
        <w:pStyle w:val="106"/>
        <w:numPr>
          <w:ilvl w:val="0"/>
          <w:numId w:val="0"/>
        </w:numPr>
        <w:spacing w:after="120"/>
        <w:jc w:val="center"/>
        <w:rPr>
          <w:rFonts w:ascii="仿宋" w:hAnsi="仿宋" w:eastAsia="仿宋" w:cs="仿宋"/>
          <w:b/>
          <w:bCs/>
          <w:sz w:val="32"/>
          <w:szCs w:val="32"/>
        </w:rPr>
      </w:pPr>
      <w:bookmarkStart w:id="1121" w:name="_Toc1787"/>
      <w:bookmarkStart w:id="1122" w:name="_Toc19731"/>
      <w:bookmarkStart w:id="1123" w:name="_Toc25763"/>
      <w:bookmarkStart w:id="1124" w:name="_Toc6167"/>
      <w:bookmarkStart w:id="1125" w:name="_Toc12851"/>
      <w:bookmarkStart w:id="1126" w:name="_Toc27405"/>
      <w:bookmarkStart w:id="1127" w:name="_Toc10230"/>
      <w:bookmarkStart w:id="1128" w:name="_Toc6456"/>
      <w:bookmarkStart w:id="1129" w:name="_Toc21037"/>
      <w:bookmarkStart w:id="1130" w:name="_Toc25810"/>
      <w:bookmarkStart w:id="1131" w:name="_Toc14241"/>
    </w:p>
    <w:p w14:paraId="5221382B">
      <w:pPr>
        <w:pStyle w:val="106"/>
        <w:numPr>
          <w:ilvl w:val="0"/>
          <w:numId w:val="0"/>
        </w:numPr>
        <w:spacing w:after="120"/>
        <w:jc w:val="center"/>
        <w:rPr>
          <w:rFonts w:ascii="仿宋" w:hAnsi="仿宋" w:eastAsia="仿宋" w:cs="仿宋"/>
          <w:b/>
          <w:bCs/>
          <w:sz w:val="32"/>
          <w:szCs w:val="32"/>
        </w:rPr>
      </w:pPr>
    </w:p>
    <w:bookmarkEnd w:id="1121"/>
    <w:bookmarkEnd w:id="1122"/>
    <w:bookmarkEnd w:id="1123"/>
    <w:bookmarkEnd w:id="1124"/>
    <w:bookmarkEnd w:id="1125"/>
    <w:bookmarkEnd w:id="1126"/>
    <w:bookmarkEnd w:id="1127"/>
    <w:bookmarkEnd w:id="1128"/>
    <w:bookmarkEnd w:id="1129"/>
    <w:bookmarkEnd w:id="1130"/>
    <w:bookmarkEnd w:id="1131"/>
    <w:p w14:paraId="6667E060">
      <w:pPr>
        <w:pStyle w:val="106"/>
        <w:numPr>
          <w:ilvl w:val="0"/>
          <w:numId w:val="0"/>
        </w:numPr>
        <w:spacing w:after="120"/>
        <w:jc w:val="center"/>
        <w:outlineLvl w:val="1"/>
        <w:rPr>
          <w:rFonts w:ascii="仿宋" w:hAnsi="仿宋" w:eastAsia="仿宋" w:cs="仿宋"/>
          <w:b/>
          <w:bCs/>
          <w:sz w:val="32"/>
          <w:szCs w:val="32"/>
        </w:rPr>
      </w:pPr>
      <w:r>
        <w:rPr>
          <w:rFonts w:hint="eastAsia" w:ascii="仿宋" w:hAnsi="仿宋" w:eastAsia="仿宋" w:cs="仿宋"/>
          <w:b/>
          <w:bCs/>
          <w:sz w:val="32"/>
          <w:szCs w:val="32"/>
        </w:rPr>
        <w:t>附件13 项目部机构设置图</w:t>
      </w:r>
    </w:p>
    <w:p w14:paraId="2B6AEC1E">
      <w:pPr>
        <w:wordWrap/>
        <w:topLinePunct w:val="0"/>
        <w:adjustRightInd/>
        <w:snapToGrid/>
        <w:spacing w:afterLines="0" w:line="240" w:lineRule="auto"/>
        <w:ind w:firstLine="0" w:firstLineChars="0"/>
        <w:rPr>
          <w:rFonts w:ascii="仿宋" w:hAnsi="仿宋" w:eastAsia="仿宋"/>
          <w:szCs w:val="24"/>
        </w:rPr>
      </w:pPr>
    </w:p>
    <w:p w14:paraId="3B21A42B">
      <w:pPr>
        <w:wordWrap/>
        <w:topLinePunct w:val="0"/>
        <w:adjustRightInd/>
        <w:snapToGrid/>
        <w:spacing w:afterLines="0" w:line="240" w:lineRule="auto"/>
        <w:ind w:firstLine="0" w:firstLineChars="0"/>
        <w:jc w:val="center"/>
        <w:rPr>
          <w:rFonts w:ascii="仿宋" w:hAnsi="仿宋" w:eastAsia="仿宋"/>
          <w:szCs w:val="24"/>
        </w:rPr>
      </w:pPr>
      <w:bookmarkStart w:id="1132" w:name="_Toc9300"/>
      <w:bookmarkStart w:id="1133" w:name="_Toc17131"/>
      <w:bookmarkStart w:id="1134" w:name="_Toc24338"/>
      <w:bookmarkStart w:id="1135" w:name="_Toc1205"/>
      <w:bookmarkStart w:id="1136" w:name="_Toc3087"/>
      <w:bookmarkStart w:id="1137" w:name="_Toc31149"/>
      <w:bookmarkStart w:id="1138" w:name="_Toc429"/>
      <w:bookmarkStart w:id="1139" w:name="_Toc552"/>
      <w:bookmarkStart w:id="1140" w:name="_Toc6833"/>
      <w:bookmarkStart w:id="1141" w:name="_Toc31126"/>
    </w:p>
    <w:p w14:paraId="203B31C2">
      <w:pPr>
        <w:wordWrap/>
        <w:topLinePunct w:val="0"/>
        <w:adjustRightInd/>
        <w:snapToGrid/>
        <w:spacing w:afterLines="0" w:line="240" w:lineRule="auto"/>
        <w:ind w:firstLine="0" w:firstLineChars="0"/>
        <w:jc w:val="center"/>
        <w:rPr>
          <w:rFonts w:ascii="仿宋" w:hAnsi="仿宋" w:eastAsia="仿宋"/>
          <w:szCs w:val="24"/>
        </w:rPr>
      </w:pPr>
      <w:r>
        <w:rPr>
          <w:rFonts w:ascii="仿宋" w:hAnsi="仿宋" w:eastAsia="仿宋"/>
          <w:szCs w:val="24"/>
        </w:rPr>
        <w:pict>
          <v:shape id="文本框 20" o:spid="_x0000_s1038" o:spt="202" type="#_x0000_t202" style="position:absolute;left:0pt;margin-left:130.15pt;margin-top:0.65pt;height:50.6pt;width:130.55pt;z-index:251659264;mso-width-relative:page;mso-height-relative:page;" coordsize="21600,21600" o:allowincell="f" o:gfxdata="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YfqQ2AAAAAkBAAAPAAAAAAAAAAEAIAAA&#10;ACIAAABkcnMvZG93bnJldi54bWxQSwECFAAUAAAACACHTuJAA7OuEkUCAACWBAAADgAAAAAAAAAB&#10;ACAAAAAnAQAAZHJzL2Uyb0RvYy54bWxQSwUGAAAAAAYABgBZAQAA3gUAAAAA&#10;">
            <v:path/>
            <v:fill focussize="0,0"/>
            <v:stroke joinstyle="miter"/>
            <v:imagedata o:title=""/>
            <o:lock v:ext="edit"/>
            <v:textbox>
              <w:txbxContent>
                <w:p w14:paraId="229E4B74">
                  <w:pPr>
                    <w:pStyle w:val="38"/>
                    <w:rPr>
                      <w:rFonts w:ascii="仿宋" w:hAnsi="仿宋" w:eastAsia="仿宋" w:cs="仿宋"/>
                      <w:sz w:val="30"/>
                      <w:szCs w:val="30"/>
                    </w:rPr>
                  </w:pPr>
                  <w:r>
                    <w:rPr>
                      <w:rFonts w:hint="eastAsia" w:ascii="仿宋" w:hAnsi="仿宋" w:eastAsia="仿宋" w:cs="仿宋"/>
                      <w:sz w:val="30"/>
                      <w:szCs w:val="30"/>
                    </w:rPr>
                    <w:t>项目部</w:t>
                  </w:r>
                </w:p>
                <w:p w14:paraId="1B9FA44A">
                  <w:pPr>
                    <w:pStyle w:val="38"/>
                    <w:rPr>
                      <w:rFonts w:ascii="仿宋" w:hAnsi="仿宋" w:eastAsia="仿宋" w:cs="仿宋"/>
                      <w:sz w:val="30"/>
                      <w:szCs w:val="30"/>
                    </w:rPr>
                  </w:pPr>
                  <w:r>
                    <w:rPr>
                      <w:rFonts w:hint="eastAsia" w:ascii="仿宋" w:hAnsi="仿宋" w:eastAsia="仿宋" w:cs="仿宋"/>
                      <w:sz w:val="30"/>
                      <w:szCs w:val="30"/>
                    </w:rPr>
                    <w:t>（项目经理）</w:t>
                  </w:r>
                </w:p>
              </w:txbxContent>
            </v:textbox>
          </v:shape>
        </w:pict>
      </w:r>
      <w:r>
        <w:rPr>
          <w:rFonts w:ascii="仿宋" w:hAnsi="仿宋" w:eastAsia="仿宋"/>
          <w:szCs w:val="24"/>
        </w:rPr>
        <w:pict>
          <v:shape id="文本框 23" o:spid="_x0000_s1037" o:spt="202" type="#_x0000_t202" style="position:absolute;left:0pt;margin-left:-0.1pt;margin-top:105.1pt;height:163.95pt;width:64pt;z-index:251661312;mso-width-relative:page;mso-height-relative:page;" coordsize="21600,21600" o:allowincell="f" o:gfxdata="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3Xq2/YAAAACQEAAA8AAAAAAAAAAQAg&#10;AAAAIgAAAGRycy9kb3ducmV2LnhtbFBLAQIUABQAAAAIAIdO4kAyLQNkRwIAAJcEAAAOAAAAAAAA&#10;AAEAIAAAACcBAABkcnMvZTJvRG9jLnhtbFBLBQYAAAAABgAGAFkBAADgBQAAAAA=&#10;">
            <v:path/>
            <v:fill focussize="0,0"/>
            <v:stroke joinstyle="miter"/>
            <v:imagedata o:title=""/>
            <o:lock v:ext="edit"/>
            <v:textbox>
              <w:txbxContent>
                <w:p w14:paraId="15CFC9F3">
                  <w:pPr>
                    <w:pStyle w:val="38"/>
                    <w:rPr>
                      <w:rFonts w:ascii="仿宋" w:hAnsi="仿宋" w:eastAsia="仿宋" w:cs="仿宋"/>
                      <w:sz w:val="30"/>
                      <w:szCs w:val="30"/>
                    </w:rPr>
                  </w:pPr>
                  <w:r>
                    <w:rPr>
                      <w:rFonts w:hint="eastAsia" w:ascii="仿宋" w:hAnsi="仿宋" w:eastAsia="仿宋" w:cs="仿宋"/>
                      <w:sz w:val="30"/>
                      <w:szCs w:val="30"/>
                    </w:rPr>
                    <w:t>勘</w:t>
                  </w:r>
                </w:p>
                <w:p w14:paraId="38990F4D">
                  <w:pPr>
                    <w:pStyle w:val="38"/>
                    <w:rPr>
                      <w:rFonts w:ascii="仿宋" w:hAnsi="仿宋" w:eastAsia="仿宋" w:cs="仿宋"/>
                      <w:sz w:val="30"/>
                      <w:szCs w:val="30"/>
                    </w:rPr>
                  </w:pPr>
                  <w:r>
                    <w:rPr>
                      <w:rFonts w:hint="eastAsia" w:ascii="仿宋" w:hAnsi="仿宋" w:eastAsia="仿宋" w:cs="仿宋"/>
                      <w:sz w:val="30"/>
                      <w:szCs w:val="30"/>
                    </w:rPr>
                    <w:t>察</w:t>
                  </w:r>
                </w:p>
                <w:p w14:paraId="73924634">
                  <w:pPr>
                    <w:pStyle w:val="38"/>
                    <w:rPr>
                      <w:rFonts w:ascii="仿宋" w:hAnsi="仿宋" w:eastAsia="仿宋" w:cs="仿宋"/>
                      <w:sz w:val="30"/>
                      <w:szCs w:val="30"/>
                    </w:rPr>
                  </w:pPr>
                  <w:r>
                    <w:rPr>
                      <w:rFonts w:hint="eastAsia" w:ascii="仿宋" w:hAnsi="仿宋" w:eastAsia="仿宋" w:cs="仿宋"/>
                      <w:sz w:val="30"/>
                      <w:szCs w:val="30"/>
                    </w:rPr>
                    <w:t>组</w:t>
                  </w:r>
                </w:p>
                <w:p w14:paraId="3B25AE68">
                  <w:pPr>
                    <w:wordWrap/>
                    <w:spacing w:afterLines="0"/>
                    <w:ind w:firstLine="0" w:firstLineChars="0"/>
                    <w:jc w:val="center"/>
                    <w:rPr>
                      <w:rFonts w:ascii="仿宋" w:hAnsi="仿宋" w:eastAsia="仿宋" w:cs="仿宋"/>
                      <w:sz w:val="30"/>
                      <w:szCs w:val="30"/>
                      <w:lang w:val="en-GB"/>
                    </w:rPr>
                  </w:pPr>
                </w:p>
                <w:p w14:paraId="68B37912">
                  <w:pPr>
                    <w:wordWrap/>
                    <w:spacing w:afterLines="0"/>
                    <w:ind w:firstLine="0" w:firstLineChars="0"/>
                    <w:rPr>
                      <w:rFonts w:ascii="仿宋" w:hAnsi="仿宋" w:eastAsia="仿宋" w:cs="仿宋"/>
                      <w:sz w:val="30"/>
                      <w:szCs w:val="30"/>
                    </w:rPr>
                  </w:pPr>
                  <w:r>
                    <w:rPr>
                      <w:rFonts w:hint="eastAsia" w:ascii="仿宋" w:hAnsi="仿宋" w:eastAsia="仿宋" w:cs="仿宋"/>
                      <w:sz w:val="30"/>
                      <w:szCs w:val="30"/>
                      <w:lang w:val="en-GB"/>
                    </w:rPr>
                    <w:t>（组长）</w:t>
                  </w:r>
                </w:p>
              </w:txbxContent>
            </v:textbox>
          </v:shape>
        </w:pict>
      </w:r>
      <w:r>
        <w:rPr>
          <w:rFonts w:ascii="仿宋" w:hAnsi="仿宋" w:eastAsia="仿宋"/>
          <w:szCs w:val="24"/>
        </w:rPr>
        <w:pict>
          <v:shape id="文本框 27" o:spid="_x0000_s1036" o:spt="202" type="#_x0000_t202" style="position:absolute;left:0pt;margin-left:245.2pt;margin-top:106.75pt;height:163.15pt;width:47.1pt;z-index:251666432;mso-width-relative:page;mso-height-relative:page;" coordsize="21600,21600" o:allowincell="f" o:gfxdata="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lJKKI2wAAAAsBAAAPAAAAAAAA&#10;AAEAIAAAACIAAABkcnMvZG93bnJldi54bWxQSwECFAAUAAAACACHTuJAB957jUgCAACXBAAADgAA&#10;AAAAAAABACAAAAAqAQAAZHJzL2Uyb0RvYy54bWxQSwUGAAAAAAYABgBZAQAA5AUAAAAA&#10;">
            <v:path/>
            <v:fill focussize="0,0"/>
            <v:stroke joinstyle="miter"/>
            <v:imagedata o:title=""/>
            <o:lock v:ext="edit"/>
            <v:textbox>
              <w:txbxContent>
                <w:p w14:paraId="186EB4B5">
                  <w:pPr>
                    <w:pStyle w:val="38"/>
                    <w:rPr>
                      <w:rFonts w:ascii="仿宋" w:hAnsi="仿宋" w:eastAsia="仿宋" w:cs="仿宋"/>
                      <w:sz w:val="30"/>
                      <w:szCs w:val="30"/>
                    </w:rPr>
                  </w:pPr>
                  <w:r>
                    <w:rPr>
                      <w:rFonts w:hint="eastAsia" w:ascii="仿宋" w:hAnsi="仿宋" w:eastAsia="仿宋" w:cs="仿宋"/>
                      <w:sz w:val="30"/>
                      <w:szCs w:val="30"/>
                    </w:rPr>
                    <w:t>采</w:t>
                  </w:r>
                </w:p>
                <w:p w14:paraId="781B3E0E">
                  <w:pPr>
                    <w:pStyle w:val="38"/>
                    <w:rPr>
                      <w:rFonts w:ascii="仿宋" w:hAnsi="仿宋" w:eastAsia="仿宋" w:cs="仿宋"/>
                      <w:sz w:val="30"/>
                      <w:szCs w:val="30"/>
                    </w:rPr>
                  </w:pPr>
                  <w:r>
                    <w:rPr>
                      <w:rFonts w:hint="eastAsia" w:ascii="仿宋" w:hAnsi="仿宋" w:eastAsia="仿宋" w:cs="仿宋"/>
                      <w:sz w:val="30"/>
                      <w:szCs w:val="30"/>
                    </w:rPr>
                    <w:t>购</w:t>
                  </w:r>
                </w:p>
                <w:p w14:paraId="06D12406">
                  <w:pPr>
                    <w:pStyle w:val="38"/>
                    <w:rPr>
                      <w:rFonts w:ascii="仿宋" w:hAnsi="仿宋" w:eastAsia="仿宋" w:cs="仿宋"/>
                      <w:sz w:val="30"/>
                      <w:szCs w:val="30"/>
                    </w:rPr>
                  </w:pPr>
                  <w:r>
                    <w:rPr>
                      <w:rFonts w:hint="eastAsia" w:ascii="仿宋" w:hAnsi="仿宋" w:eastAsia="仿宋" w:cs="仿宋"/>
                      <w:sz w:val="30"/>
                      <w:szCs w:val="30"/>
                    </w:rPr>
                    <w:t>组</w:t>
                  </w:r>
                </w:p>
                <w:p w14:paraId="516DBABB">
                  <w:pPr>
                    <w:pStyle w:val="38"/>
                    <w:jc w:val="both"/>
                    <w:rPr>
                      <w:rFonts w:ascii="仿宋" w:hAnsi="仿宋" w:eastAsia="仿宋" w:cs="仿宋"/>
                      <w:sz w:val="30"/>
                      <w:szCs w:val="30"/>
                    </w:rPr>
                  </w:pPr>
                </w:p>
                <w:p w14:paraId="53B64447">
                  <w:pPr>
                    <w:pStyle w:val="38"/>
                    <w:jc w:val="both"/>
                    <w:rPr>
                      <w:rFonts w:ascii="仿宋" w:hAnsi="仿宋" w:eastAsia="仿宋" w:cs="仿宋"/>
                      <w:sz w:val="30"/>
                      <w:szCs w:val="30"/>
                    </w:rPr>
                  </w:pPr>
                  <w:r>
                    <w:rPr>
                      <w:rFonts w:hint="eastAsia" w:ascii="仿宋" w:hAnsi="仿宋" w:eastAsia="仿宋" w:cs="仿宋"/>
                      <w:sz w:val="30"/>
                      <w:szCs w:val="30"/>
                    </w:rPr>
                    <w:t>（组长）</w:t>
                  </w:r>
                </w:p>
                <w:p w14:paraId="341DD132">
                  <w:pPr>
                    <w:spacing w:after="120"/>
                    <w:ind w:firstLine="600"/>
                    <w:rPr>
                      <w:rFonts w:ascii="仿宋" w:hAnsi="仿宋" w:eastAsia="仿宋" w:cs="仿宋"/>
                      <w:sz w:val="30"/>
                      <w:szCs w:val="30"/>
                    </w:rPr>
                  </w:pPr>
                </w:p>
              </w:txbxContent>
            </v:textbox>
          </v:shape>
        </w:pict>
      </w:r>
      <w:r>
        <w:rPr>
          <w:rFonts w:ascii="仿宋" w:hAnsi="仿宋" w:eastAsia="仿宋"/>
          <w:szCs w:val="24"/>
        </w:rPr>
        <w:pict>
          <v:shape id="文本框 28" o:spid="_x0000_s1035" o:spt="202" type="#_x0000_t202" style="position:absolute;left:0pt;margin-left:324pt;margin-top:105.3pt;height:162.35pt;width:48.4pt;z-index:251668480;mso-width-relative:page;mso-height-relative:page;" coordsize="21600,21600" o:allowincell="f" o:gfxdata="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1A99vaAAAACwEAAA8AAAAAAAAA&#10;AQAgAAAAIgAAAGRycy9kb3ducmV2LnhtbFBLAQIUABQAAAAIAIdO4kCzSHQCSAIAAJYEAAAOAAAA&#10;AAAAAAEAIAAAACkBAABkcnMvZTJvRG9jLnhtbFBLBQYAAAAABgAGAFkBAADjBQAAAAA=&#10;">
            <v:path/>
            <v:fill focussize="0,0"/>
            <v:stroke joinstyle="miter"/>
            <v:imagedata o:title=""/>
            <o:lock v:ext="edit"/>
            <v:textbox>
              <w:txbxContent>
                <w:p w14:paraId="285AD1C1">
                  <w:pPr>
                    <w:pStyle w:val="38"/>
                    <w:rPr>
                      <w:rFonts w:ascii="仿宋" w:hAnsi="仿宋" w:eastAsia="仿宋" w:cs="仿宋"/>
                      <w:sz w:val="30"/>
                      <w:szCs w:val="30"/>
                    </w:rPr>
                  </w:pPr>
                  <w:r>
                    <w:rPr>
                      <w:rFonts w:hint="eastAsia" w:ascii="仿宋" w:hAnsi="仿宋" w:eastAsia="仿宋" w:cs="仿宋"/>
                      <w:sz w:val="30"/>
                      <w:szCs w:val="30"/>
                    </w:rPr>
                    <w:t>综合管理组</w:t>
                  </w:r>
                </w:p>
                <w:p w14:paraId="40813C46">
                  <w:pPr>
                    <w:pStyle w:val="38"/>
                    <w:jc w:val="both"/>
                    <w:rPr>
                      <w:rFonts w:ascii="仿宋" w:hAnsi="仿宋" w:eastAsia="仿宋" w:cs="仿宋"/>
                      <w:sz w:val="30"/>
                      <w:szCs w:val="30"/>
                    </w:rPr>
                  </w:pPr>
                  <w:r>
                    <w:rPr>
                      <w:rFonts w:hint="eastAsia" w:ascii="仿宋" w:hAnsi="仿宋" w:eastAsia="仿宋" w:cs="仿宋"/>
                      <w:sz w:val="30"/>
                      <w:szCs w:val="30"/>
                    </w:rPr>
                    <w:t>（组长）</w:t>
                  </w:r>
                </w:p>
                <w:p w14:paraId="7F890427">
                  <w:pPr>
                    <w:pStyle w:val="38"/>
                    <w:rPr>
                      <w:rFonts w:ascii="仿宋" w:hAnsi="仿宋" w:eastAsia="仿宋" w:cs="仿宋"/>
                      <w:sz w:val="30"/>
                      <w:szCs w:val="30"/>
                    </w:rPr>
                  </w:pPr>
                </w:p>
              </w:txbxContent>
            </v:textbox>
          </v:shape>
        </w:pict>
      </w:r>
      <w:r>
        <w:rPr>
          <w:rFonts w:ascii="仿宋" w:hAnsi="仿宋" w:eastAsia="仿宋"/>
          <w:szCs w:val="24"/>
        </w:rPr>
        <w:pict>
          <v:line id="直接连接符 16" o:spid="_x0000_s1034" o:spt="20" style="position:absolute;left:0pt;margin-left:351.35pt;margin-top:79.35pt;height:25.8pt;width:0pt;z-index:251663360;mso-width-relative:page;mso-height-relative:page;" coordsize="21600,21600" o:allowincell="f" o:gfxdata="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l4HzdkAAAALAQAADwAAAAAAAAABACAAAAAiAAAAZHJz&#10;L2Rvd25yZXYueG1sUEsBAhQAFAAAAAgAh07iQJpQX+8DAgAA5gMAAA4AAAAAAAAAAQAgAAAAKAEA&#10;AGRycy9lMm9Eb2MueG1sUEsFBgAAAAAGAAYAWQEAAJ0FAAAAAA==&#10;">
            <v:path arrowok="t"/>
            <v:fill focussize="0,0"/>
            <v:stroke endarrow="block"/>
            <v:imagedata o:title=""/>
            <o:lock v:ext="edit"/>
          </v:line>
        </w:pict>
      </w:r>
      <w:r>
        <w:rPr>
          <w:rFonts w:ascii="仿宋" w:hAnsi="仿宋" w:eastAsia="仿宋"/>
          <w:szCs w:val="24"/>
        </w:rPr>
        <w:pict>
          <v:line id="直接连接符 17" o:spid="_x0000_s1033" o:spt="20" style="position:absolute;left:0pt;flip:y;margin-left:31.45pt;margin-top:79.35pt;height:1.25pt;width:319.9pt;z-index:251660288;mso-width-relative:page;mso-height-relative:page;" coordsize="21600,21600" o:allowincell="f" o:gfxdata="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TWvRF1wAAAAoBAAAPAAAAAAAAAAEAIAAAACIAAABkcnMvZG93bnJldi54bWxQSwEC&#10;FAAUAAAACACHTuJAxsEP6vUBAADHAwAADgAAAAAAAAABACAAAAAmAQAAZHJzL2Uyb0RvYy54bWxQ&#10;SwUGAAAAAAYABgBZAQAAjQUAAAAA&#10;">
            <v:path arrowok="t"/>
            <v:fill focussize="0,0"/>
            <v:stroke/>
            <v:imagedata o:title=""/>
            <o:lock v:ext="edit"/>
          </v:line>
        </w:pict>
      </w:r>
      <w:r>
        <w:rPr>
          <w:rFonts w:ascii="仿宋" w:hAnsi="仿宋" w:eastAsia="仿宋"/>
          <w:szCs w:val="24"/>
        </w:rPr>
        <w:pict>
          <v:line id="直接连接符 18" o:spid="_x0000_s1032" o:spt="20" style="position:absolute;left:0pt;margin-left:275.6pt;margin-top:80.6pt;height:24.55pt;width:0pt;z-index:251664384;mso-width-relative:page;mso-height-relative:page;" coordsize="21600,21600" o:allowincell="f" o:gfxdata="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xMlbZAAAACwEAAA8AAAAAAAAAAQAgAAAAIgAAAGRycy9k&#10;b3ducmV2LnhtbFBLAQIUABQAAAAIAIdO4kCK9mEsAQIAAOYDAAAOAAAAAAAAAAEAIAAAACgBAABk&#10;cnMvZTJvRG9jLnhtbFBLBQYAAAAABgAGAFkBAACbBQAAAAA=&#10;">
            <v:path arrowok="t"/>
            <v:fill focussize="0,0"/>
            <v:stroke endarrow="block"/>
            <v:imagedata o:title=""/>
            <o:lock v:ext="edit"/>
          </v:line>
        </w:pict>
      </w:r>
      <w:r>
        <w:rPr>
          <w:rFonts w:ascii="仿宋" w:hAnsi="仿宋" w:eastAsia="仿宋"/>
          <w:szCs w:val="24"/>
        </w:rPr>
        <w:pict>
          <v:line id="直接连接符 19" o:spid="_x0000_s1031" o:spt="20" style="position:absolute;left:0pt;margin-left:110.95pt;margin-top:80.6pt;height:24.35pt;width:0pt;z-index:251662336;mso-width-relative:page;mso-height-relative:page;" coordsize="21600,21600" o:allowincell="f" o:gfxdata="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ajLrzZAAAACwEAAA8AAAAAAAAAAQAgAAAAIgAAAGRycy9k&#10;b3ducmV2LnhtbFBLAQIUABQAAAAIAIdO4kDc4/XFAQIAAOYDAAAOAAAAAAAAAAEAIAAAACgBAABk&#10;cnMvZTJvRG9jLnhtbFBLBQYAAAAABgAGAFkBAACbBQAAAAA=&#10;">
            <v:path arrowok="t"/>
            <v:fill focussize="0,0"/>
            <v:stroke endarrow="block"/>
            <v:imagedata o:title=""/>
            <o:lock v:ext="edit"/>
          </v:line>
        </w:pict>
      </w:r>
      <w:r>
        <w:rPr>
          <w:rFonts w:ascii="仿宋" w:hAnsi="仿宋" w:eastAsia="仿宋"/>
          <w:szCs w:val="24"/>
        </w:rPr>
        <w:pict>
          <v:line id="直接连接符 21" o:spid="_x0000_s1030" o:spt="20" style="position:absolute;left:0pt;margin-left:192.35pt;margin-top:51.05pt;height:31.5pt;width:0pt;z-index:251665408;mso-width-relative:page;mso-height-relative:page;" coordsize="21600,21600" o:allowincell="f" o:gfxdata="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Z/W/bZAAAACwEAAA8AAAAAAAAAAQAgAAAAIgAAAGRycy9k&#10;b3ducmV2LnhtbFBLAQIUABQAAAAIAIdO4kA7FW7RAQIAAOcDAAAOAAAAAAAAAAEAIAAAACgBAABk&#10;cnMvZTJvRG9jLnhtbFBLBQYAAAAABgAGAFkBAACbBQAAAAA=&#10;">
            <v:path arrowok="t"/>
            <v:fill focussize="0,0"/>
            <v:stroke endarrow="block"/>
            <v:imagedata o:title=""/>
            <o:lock v:ext="edit"/>
          </v:line>
        </w:pict>
      </w:r>
      <w:r>
        <w:rPr>
          <w:rFonts w:ascii="仿宋" w:hAnsi="仿宋" w:eastAsia="仿宋"/>
          <w:szCs w:val="24"/>
        </w:rPr>
        <w:pict>
          <v:line id="直接连接符 22" o:spid="_x0000_s1029" o:spt="20" style="position:absolute;left:0pt;margin-left:31.45pt;margin-top:80.8pt;height:25.85pt;width:0pt;z-index:251667456;mso-width-relative:page;mso-height-relative:page;" coordsize="21600,21600" o:allowincell="f" o:gfxdata="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6nLkbYAAAACQEAAA8AAAAAAAAAAQAgAAAAIgAAAGRycy9k&#10;b3ducmV2LnhtbFBLAQIUABQAAAAIAIdO4kBB3aUAAgIAAOcDAAAOAAAAAAAAAAEAIAAAACcBAABk&#10;cnMvZTJvRG9jLnhtbFBLBQYAAAAABgAGAFkBAACbBQAAAAA=&#10;">
            <v:path arrowok="t"/>
            <v:fill focussize="0,0"/>
            <v:stroke endarrow="block"/>
            <v:imagedata o:title=""/>
            <o:lock v:ext="edit"/>
          </v:line>
        </w:pict>
      </w:r>
      <w:r>
        <w:rPr>
          <w:rFonts w:ascii="仿宋" w:hAnsi="仿宋" w:eastAsia="仿宋"/>
          <w:szCs w:val="24"/>
        </w:rPr>
        <w:pict>
          <v:line id="直接连接符 24" o:spid="_x0000_s1028" o:spt="20" style="position:absolute;left:0pt;margin-left:192.35pt;margin-top:79.25pt;height:25.85pt;width:0pt;z-index:251669504;mso-width-relative:page;mso-height-relative:page;" coordsize="21600,21600" o:allowincell="f" o:gfxdata="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HCWmNoAAAALAQAADwAAAAAAAAABACAAAAAiAAAAZHJz&#10;L2Rvd25yZXYueG1sUEsBAhQAFAAAAAgAh07iQBkTO3QCAgAA5wMAAA4AAAAAAAAAAQAgAAAAKQEA&#10;AGRycy9lMm9Eb2MueG1sUEsFBgAAAAAGAAYAWQEAAJ0FAAAAAA==&#10;">
            <v:path arrowok="t"/>
            <v:fill focussize="0,0"/>
            <v:stroke endarrow="block"/>
            <v:imagedata o:title=""/>
            <o:lock v:ext="edit"/>
          </v:line>
        </w:pict>
      </w:r>
      <w:r>
        <w:rPr>
          <w:rFonts w:ascii="仿宋" w:hAnsi="仿宋" w:eastAsia="仿宋"/>
          <w:szCs w:val="24"/>
        </w:rPr>
        <w:pict>
          <v:shape id="文本框 25" o:spid="_x0000_s1027" o:spt="202" type="#_x0000_t202" style="position:absolute;left:0pt;margin-left:88.6pt;margin-top:105.1pt;height:163.15pt;width:51.35pt;z-index:251672576;mso-width-relative:page;mso-height-relative:page;" coordsize="21600,21600" o:allowincell="f" o:gfxdata="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UfF/baAAAACwEAAA8AAAAAAAAAAQAg&#10;AAAAIgAAAGRycy9kb3ducmV2LnhtbFBLAQIUABQAAAAIAIdO4kCC2Ng2RQIAAJcEAAAOAAAAAAAA&#10;AAEAIAAAACkBAABkcnMvZTJvRG9jLnhtbFBLBQYAAAAABgAGAFkBAADgBQAAAAA=&#10;">
            <v:path/>
            <v:fill focussize="0,0"/>
            <v:stroke joinstyle="miter"/>
            <v:imagedata o:title=""/>
            <o:lock v:ext="edit"/>
            <v:textbox>
              <w:txbxContent>
                <w:p w14:paraId="2A879E76">
                  <w:pPr>
                    <w:pStyle w:val="38"/>
                    <w:rPr>
                      <w:rFonts w:ascii="仿宋" w:hAnsi="仿宋" w:eastAsia="仿宋" w:cs="仿宋"/>
                      <w:sz w:val="30"/>
                      <w:szCs w:val="30"/>
                    </w:rPr>
                  </w:pPr>
                  <w:r>
                    <w:rPr>
                      <w:rFonts w:hint="eastAsia" w:ascii="仿宋" w:hAnsi="仿宋" w:eastAsia="仿宋" w:cs="仿宋"/>
                      <w:sz w:val="30"/>
                      <w:szCs w:val="30"/>
                    </w:rPr>
                    <w:t>设</w:t>
                  </w:r>
                </w:p>
                <w:p w14:paraId="4A013FC3">
                  <w:pPr>
                    <w:pStyle w:val="38"/>
                    <w:rPr>
                      <w:rFonts w:ascii="仿宋" w:hAnsi="仿宋" w:eastAsia="仿宋" w:cs="仿宋"/>
                      <w:sz w:val="30"/>
                      <w:szCs w:val="30"/>
                    </w:rPr>
                  </w:pPr>
                  <w:r>
                    <w:rPr>
                      <w:rFonts w:hint="eastAsia" w:ascii="仿宋" w:hAnsi="仿宋" w:eastAsia="仿宋" w:cs="仿宋"/>
                      <w:sz w:val="30"/>
                      <w:szCs w:val="30"/>
                    </w:rPr>
                    <w:t>计</w:t>
                  </w:r>
                </w:p>
                <w:p w14:paraId="2CF42732">
                  <w:pPr>
                    <w:pStyle w:val="38"/>
                    <w:rPr>
                      <w:rFonts w:ascii="仿宋" w:hAnsi="仿宋" w:eastAsia="仿宋" w:cs="仿宋"/>
                      <w:sz w:val="30"/>
                      <w:szCs w:val="30"/>
                    </w:rPr>
                  </w:pPr>
                  <w:r>
                    <w:rPr>
                      <w:rFonts w:hint="eastAsia" w:ascii="仿宋" w:hAnsi="仿宋" w:eastAsia="仿宋" w:cs="仿宋"/>
                      <w:sz w:val="30"/>
                      <w:szCs w:val="30"/>
                    </w:rPr>
                    <w:t>组</w:t>
                  </w:r>
                </w:p>
                <w:p w14:paraId="1D28BF06">
                  <w:pPr>
                    <w:pStyle w:val="38"/>
                    <w:jc w:val="both"/>
                    <w:rPr>
                      <w:rFonts w:ascii="仿宋" w:hAnsi="仿宋" w:eastAsia="仿宋" w:cs="仿宋"/>
                      <w:sz w:val="30"/>
                      <w:szCs w:val="30"/>
                    </w:rPr>
                  </w:pPr>
                </w:p>
                <w:p w14:paraId="7BFF61B3">
                  <w:pPr>
                    <w:pStyle w:val="38"/>
                    <w:jc w:val="both"/>
                    <w:rPr>
                      <w:rFonts w:ascii="仿宋" w:hAnsi="仿宋" w:eastAsia="仿宋" w:cs="仿宋"/>
                      <w:sz w:val="30"/>
                      <w:szCs w:val="30"/>
                    </w:rPr>
                  </w:pPr>
                  <w:r>
                    <w:rPr>
                      <w:rFonts w:hint="eastAsia" w:ascii="仿宋" w:hAnsi="仿宋" w:eastAsia="仿宋" w:cs="仿宋"/>
                      <w:sz w:val="30"/>
                      <w:szCs w:val="30"/>
                    </w:rPr>
                    <w:t>（组长）</w:t>
                  </w:r>
                </w:p>
                <w:p w14:paraId="3B7AF075">
                  <w:pPr>
                    <w:pStyle w:val="38"/>
                    <w:rPr>
                      <w:rFonts w:ascii="仿宋" w:hAnsi="仿宋" w:eastAsia="仿宋" w:cs="仿宋"/>
                      <w:sz w:val="30"/>
                      <w:szCs w:val="30"/>
                    </w:rPr>
                  </w:pPr>
                </w:p>
              </w:txbxContent>
            </v:textbox>
          </v:shape>
        </w:pict>
      </w:r>
      <w:r>
        <w:rPr>
          <w:rFonts w:ascii="仿宋" w:hAnsi="仿宋" w:eastAsia="仿宋"/>
          <w:szCs w:val="24"/>
        </w:rPr>
        <w:pict>
          <v:shape id="文本框 26" o:spid="_x0000_s1026" o:spt="202" type="#_x0000_t202" style="position:absolute;left:0pt;margin-left:172.9pt;margin-top:105.1pt;height:172.25pt;width:49.15pt;z-index:251673600;mso-width-relative:page;mso-height-relative:page;" coordsize="21600,21600" o:allowincell="f" o:gfxdata="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o3Z63aAAAACwEAAA8AAAAAAAAA&#10;AQAgAAAAIgAAAGRycy9kb3ducmV2LnhtbFBLAQIUABQAAAAIAIdO4kB1FHTcSAIAAJcEAAAOAAAA&#10;AAAAAAEAIAAAACkBAABkcnMvZTJvRG9jLnhtbFBLBQYAAAAABgAGAFkBAADjBQAAAAA=&#10;">
            <v:path/>
            <v:fill focussize="0,0"/>
            <v:stroke joinstyle="miter"/>
            <v:imagedata o:title=""/>
            <o:lock v:ext="edit"/>
            <v:textbox>
              <w:txbxContent>
                <w:p w14:paraId="44D27A06">
                  <w:pPr>
                    <w:pStyle w:val="38"/>
                    <w:rPr>
                      <w:rFonts w:ascii="仿宋" w:hAnsi="仿宋" w:eastAsia="仿宋" w:cs="仿宋"/>
                      <w:sz w:val="30"/>
                      <w:szCs w:val="30"/>
                    </w:rPr>
                  </w:pPr>
                  <w:r>
                    <w:rPr>
                      <w:rFonts w:hint="eastAsia" w:ascii="仿宋" w:hAnsi="仿宋" w:eastAsia="仿宋" w:cs="仿宋"/>
                      <w:sz w:val="30"/>
                      <w:szCs w:val="30"/>
                    </w:rPr>
                    <w:t>施</w:t>
                  </w:r>
                </w:p>
                <w:p w14:paraId="0D236118">
                  <w:pPr>
                    <w:pStyle w:val="38"/>
                    <w:rPr>
                      <w:rFonts w:ascii="仿宋" w:hAnsi="仿宋" w:eastAsia="仿宋" w:cs="仿宋"/>
                      <w:sz w:val="30"/>
                      <w:szCs w:val="30"/>
                    </w:rPr>
                  </w:pPr>
                  <w:r>
                    <w:rPr>
                      <w:rFonts w:hint="eastAsia" w:ascii="仿宋" w:hAnsi="仿宋" w:eastAsia="仿宋" w:cs="仿宋"/>
                      <w:sz w:val="30"/>
                      <w:szCs w:val="30"/>
                    </w:rPr>
                    <w:t>工</w:t>
                  </w:r>
                </w:p>
                <w:p w14:paraId="22F4F617">
                  <w:pPr>
                    <w:pStyle w:val="38"/>
                    <w:rPr>
                      <w:rFonts w:ascii="仿宋" w:hAnsi="仿宋" w:eastAsia="仿宋" w:cs="仿宋"/>
                      <w:sz w:val="30"/>
                      <w:szCs w:val="30"/>
                    </w:rPr>
                  </w:pPr>
                  <w:r>
                    <w:rPr>
                      <w:rFonts w:hint="eastAsia" w:ascii="仿宋" w:hAnsi="仿宋" w:eastAsia="仿宋" w:cs="仿宋"/>
                      <w:sz w:val="30"/>
                      <w:szCs w:val="30"/>
                    </w:rPr>
                    <w:t>组</w:t>
                  </w:r>
                </w:p>
                <w:p w14:paraId="626A58A2">
                  <w:pPr>
                    <w:pStyle w:val="38"/>
                    <w:jc w:val="both"/>
                    <w:rPr>
                      <w:rFonts w:ascii="仿宋" w:hAnsi="仿宋" w:eastAsia="仿宋" w:cs="仿宋"/>
                      <w:sz w:val="30"/>
                      <w:szCs w:val="30"/>
                    </w:rPr>
                  </w:pPr>
                </w:p>
                <w:p w14:paraId="5DEE2276">
                  <w:pPr>
                    <w:pStyle w:val="38"/>
                    <w:jc w:val="both"/>
                    <w:rPr>
                      <w:rFonts w:ascii="仿宋" w:hAnsi="仿宋" w:eastAsia="仿宋" w:cs="仿宋"/>
                      <w:sz w:val="30"/>
                      <w:szCs w:val="30"/>
                    </w:rPr>
                  </w:pPr>
                  <w:r>
                    <w:rPr>
                      <w:rFonts w:hint="eastAsia" w:ascii="仿宋" w:hAnsi="仿宋" w:eastAsia="仿宋" w:cs="仿宋"/>
                      <w:sz w:val="30"/>
                      <w:szCs w:val="30"/>
                    </w:rPr>
                    <w:t>（组长）</w:t>
                  </w:r>
                </w:p>
                <w:p w14:paraId="105AB343">
                  <w:pPr>
                    <w:spacing w:after="120"/>
                    <w:ind w:firstLine="600"/>
                    <w:rPr>
                      <w:rFonts w:ascii="仿宋" w:hAnsi="仿宋" w:eastAsia="仿宋" w:cs="仿宋"/>
                      <w:sz w:val="30"/>
                      <w:szCs w:val="30"/>
                    </w:rPr>
                  </w:pPr>
                </w:p>
              </w:txbxContent>
            </v:textbox>
          </v:shape>
        </w:pict>
      </w:r>
      <w:r>
        <w:rPr>
          <w:rFonts w:ascii="仿宋" w:hAnsi="仿宋" w:eastAsia="仿宋"/>
          <w:szCs w:val="24"/>
        </w:rPr>
        <w:br w:type="page"/>
      </w:r>
    </w:p>
    <w:p w14:paraId="47AA920A">
      <w:pPr>
        <w:pStyle w:val="106"/>
        <w:numPr>
          <w:ilvl w:val="0"/>
          <w:numId w:val="0"/>
        </w:numPr>
        <w:spacing w:after="120"/>
        <w:ind w:firstLine="1928" w:firstLineChars="600"/>
        <w:outlineLvl w:val="1"/>
        <w:rPr>
          <w:rFonts w:ascii="仿宋" w:hAnsi="仿宋" w:eastAsia="仿宋" w:cs="仿宋"/>
          <w:b/>
          <w:bCs/>
          <w:sz w:val="32"/>
          <w:szCs w:val="32"/>
        </w:rPr>
      </w:pPr>
      <w:r>
        <w:rPr>
          <w:rFonts w:hint="eastAsia" w:ascii="仿宋" w:hAnsi="仿宋" w:eastAsia="仿宋" w:cs="仿宋"/>
          <w:b/>
          <w:bCs/>
          <w:sz w:val="32"/>
          <w:szCs w:val="32"/>
        </w:rPr>
        <w:t>附件</w:t>
      </w:r>
      <w:bookmarkEnd w:id="1132"/>
      <w:bookmarkEnd w:id="1133"/>
      <w:r>
        <w:rPr>
          <w:rFonts w:hint="eastAsia" w:ascii="仿宋" w:hAnsi="仿宋" w:eastAsia="仿宋" w:cs="仿宋"/>
          <w:b/>
          <w:bCs/>
          <w:sz w:val="32"/>
          <w:szCs w:val="32"/>
        </w:rPr>
        <w:t>14 联合体法人代表授权书</w:t>
      </w:r>
      <w:bookmarkEnd w:id="1134"/>
      <w:bookmarkEnd w:id="1135"/>
      <w:bookmarkEnd w:id="1136"/>
      <w:bookmarkEnd w:id="1137"/>
      <w:bookmarkEnd w:id="1138"/>
      <w:bookmarkEnd w:id="1139"/>
      <w:bookmarkEnd w:id="1140"/>
      <w:bookmarkEnd w:id="1141"/>
    </w:p>
    <w:p w14:paraId="243F6BFE">
      <w:pPr>
        <w:spacing w:after="120"/>
        <w:ind w:firstLine="600"/>
        <w:jc w:val="left"/>
        <w:rPr>
          <w:rFonts w:ascii="仿宋" w:hAnsi="仿宋" w:eastAsia="仿宋"/>
          <w:sz w:val="30"/>
          <w:szCs w:val="30"/>
        </w:rPr>
      </w:pPr>
      <w:r>
        <w:rPr>
          <w:rFonts w:ascii="仿宋" w:hAnsi="仿宋" w:eastAsia="仿宋"/>
          <w:sz w:val="30"/>
          <w:szCs w:val="30"/>
        </w:rPr>
        <w:t xml:space="preserve">本授权书声明：我（联合体成员单位的法人代表姓名）系注册于（联合体成员单位的注册地址）的（联合体成员单位名称）法定代表人，现代表本公司授权 （联合体牵头人单位名称）的 </w:t>
      </w:r>
      <w:r>
        <w:rPr>
          <w:rFonts w:ascii="仿宋" w:hAnsi="仿宋" w:eastAsia="仿宋"/>
          <w:sz w:val="30"/>
          <w:szCs w:val="30"/>
          <w:u w:val="single"/>
        </w:rPr>
        <w:t xml:space="preserve">   、 </w:t>
      </w:r>
      <w:r>
        <w:rPr>
          <w:rFonts w:ascii="仿宋" w:hAnsi="仿宋" w:eastAsia="仿宋"/>
          <w:sz w:val="30"/>
          <w:szCs w:val="30"/>
        </w:rPr>
        <w:t>（项目总负责人名称、身份证号码）代表联合体各成员担任</w:t>
      </w:r>
      <w:r>
        <w:rPr>
          <w:rFonts w:ascii="仿宋" w:hAnsi="仿宋" w:eastAsia="仿宋"/>
          <w:sz w:val="30"/>
          <w:szCs w:val="30"/>
          <w:u w:val="single"/>
        </w:rPr>
        <w:t xml:space="preserve">   项目</w:t>
      </w:r>
      <w:r>
        <w:rPr>
          <w:rFonts w:ascii="仿宋" w:hAnsi="仿宋" w:eastAsia="仿宋"/>
          <w:sz w:val="30"/>
          <w:szCs w:val="30"/>
        </w:rPr>
        <w:t>（项目名称）项目的项目总负责人职务。</w:t>
      </w:r>
    </w:p>
    <w:p w14:paraId="3103D02E">
      <w:pPr>
        <w:spacing w:after="120"/>
        <w:ind w:firstLine="600"/>
        <w:rPr>
          <w:rFonts w:ascii="仿宋" w:hAnsi="仿宋" w:eastAsia="仿宋"/>
          <w:sz w:val="30"/>
          <w:szCs w:val="30"/>
        </w:rPr>
      </w:pPr>
      <w:r>
        <w:rPr>
          <w:rFonts w:ascii="仿宋" w:hAnsi="仿宋" w:eastAsia="仿宋"/>
          <w:sz w:val="30"/>
          <w:szCs w:val="30"/>
        </w:rPr>
        <w:t>(项目总负责人名称、身份证号码)被授权代表、</w:t>
      </w:r>
      <w:r>
        <w:rPr>
          <w:rFonts w:hint="eastAsia" w:ascii="仿宋" w:hAnsi="仿宋" w:eastAsia="仿宋"/>
          <w:sz w:val="30"/>
          <w:szCs w:val="30"/>
        </w:rPr>
        <w:t>、</w:t>
      </w:r>
      <w:r>
        <w:rPr>
          <w:rFonts w:ascii="仿宋" w:hAnsi="仿宋" w:eastAsia="仿宋"/>
          <w:sz w:val="30"/>
          <w:szCs w:val="30"/>
        </w:rPr>
        <w:t>（联合体所有成员单位名称）承担责任和接受指示，是代表我方履行该项目设计采购施工总承包合同义务的负责人，在合同实施中（包括支付），所签署的一切文件和处理的一切有关事宜，联合体各成员单位均予以承认。</w:t>
      </w:r>
    </w:p>
    <w:p w14:paraId="69865566">
      <w:pPr>
        <w:spacing w:after="120"/>
        <w:ind w:firstLine="600"/>
        <w:rPr>
          <w:rFonts w:ascii="仿宋" w:hAnsi="仿宋" w:eastAsia="仿宋"/>
          <w:sz w:val="30"/>
          <w:szCs w:val="30"/>
        </w:rPr>
      </w:pPr>
      <w:r>
        <w:rPr>
          <w:rFonts w:ascii="仿宋" w:hAnsi="仿宋" w:eastAsia="仿宋"/>
          <w:sz w:val="30"/>
          <w:szCs w:val="30"/>
        </w:rPr>
        <w:t>本授权书于年月 日签字生效，特此声明。</w:t>
      </w:r>
    </w:p>
    <w:p w14:paraId="0640C458">
      <w:pPr>
        <w:spacing w:after="120" w:line="400" w:lineRule="exact"/>
        <w:ind w:firstLine="600"/>
        <w:rPr>
          <w:rFonts w:ascii="仿宋" w:hAnsi="仿宋" w:eastAsia="仿宋"/>
          <w:sz w:val="30"/>
          <w:szCs w:val="30"/>
        </w:rPr>
      </w:pPr>
      <w:r>
        <w:rPr>
          <w:rFonts w:ascii="仿宋" w:hAnsi="仿宋" w:eastAsia="仿宋"/>
          <w:sz w:val="30"/>
          <w:szCs w:val="30"/>
        </w:rPr>
        <w:t xml:space="preserve">联合体牵头人名称： </w:t>
      </w:r>
    </w:p>
    <w:p w14:paraId="1FFA2904">
      <w:pPr>
        <w:spacing w:after="120" w:line="400" w:lineRule="exact"/>
        <w:ind w:firstLine="600"/>
        <w:rPr>
          <w:rFonts w:ascii="仿宋" w:hAnsi="仿宋" w:eastAsia="仿宋"/>
          <w:sz w:val="30"/>
          <w:szCs w:val="30"/>
        </w:rPr>
      </w:pPr>
      <w:r>
        <w:rPr>
          <w:rFonts w:ascii="仿宋" w:hAnsi="仿宋" w:eastAsia="仿宋"/>
          <w:sz w:val="30"/>
          <w:szCs w:val="30"/>
        </w:rPr>
        <w:t>联合体牵头人法人代表签字：</w:t>
      </w:r>
    </w:p>
    <w:p w14:paraId="6DC453EC">
      <w:pPr>
        <w:spacing w:after="120" w:line="400" w:lineRule="exact"/>
        <w:ind w:firstLine="600"/>
        <w:rPr>
          <w:rFonts w:ascii="仿宋" w:hAnsi="仿宋" w:eastAsia="仿宋"/>
          <w:sz w:val="30"/>
          <w:szCs w:val="30"/>
        </w:rPr>
      </w:pPr>
      <w:r>
        <w:rPr>
          <w:rFonts w:ascii="仿宋" w:hAnsi="仿宋" w:eastAsia="仿宋"/>
          <w:sz w:val="30"/>
          <w:szCs w:val="30"/>
        </w:rPr>
        <w:t xml:space="preserve">（签字 公章） </w:t>
      </w:r>
    </w:p>
    <w:p w14:paraId="743EDCF5">
      <w:pPr>
        <w:spacing w:after="120" w:line="400" w:lineRule="exact"/>
        <w:ind w:firstLine="600"/>
        <w:rPr>
          <w:rFonts w:ascii="仿宋" w:hAnsi="仿宋" w:eastAsia="仿宋"/>
          <w:sz w:val="30"/>
          <w:szCs w:val="30"/>
        </w:rPr>
      </w:pPr>
      <w:r>
        <w:rPr>
          <w:rFonts w:ascii="仿宋" w:hAnsi="仿宋" w:eastAsia="仿宋"/>
          <w:sz w:val="30"/>
          <w:szCs w:val="30"/>
        </w:rPr>
        <w:t xml:space="preserve">       年    月    日</w:t>
      </w:r>
    </w:p>
    <w:p w14:paraId="4A70CFF4">
      <w:pPr>
        <w:pStyle w:val="26"/>
        <w:spacing w:after="120"/>
      </w:pPr>
    </w:p>
    <w:p w14:paraId="1146C8EB">
      <w:pPr>
        <w:spacing w:after="120" w:line="400" w:lineRule="exact"/>
        <w:ind w:firstLine="600"/>
        <w:rPr>
          <w:rFonts w:ascii="仿宋" w:hAnsi="仿宋" w:eastAsia="仿宋"/>
          <w:sz w:val="30"/>
          <w:szCs w:val="30"/>
        </w:rPr>
      </w:pPr>
      <w:r>
        <w:rPr>
          <w:rFonts w:ascii="仿宋" w:hAnsi="仿宋" w:eastAsia="仿宋"/>
          <w:sz w:val="30"/>
          <w:szCs w:val="30"/>
        </w:rPr>
        <w:t xml:space="preserve">联合体成员名称： </w:t>
      </w:r>
    </w:p>
    <w:p w14:paraId="4A36DC8A">
      <w:pPr>
        <w:spacing w:after="120" w:line="400" w:lineRule="exact"/>
        <w:ind w:firstLine="600"/>
        <w:rPr>
          <w:rFonts w:ascii="仿宋" w:hAnsi="仿宋" w:eastAsia="仿宋"/>
          <w:sz w:val="30"/>
          <w:szCs w:val="30"/>
        </w:rPr>
      </w:pPr>
      <w:r>
        <w:rPr>
          <w:rFonts w:ascii="仿宋" w:hAnsi="仿宋" w:eastAsia="仿宋"/>
          <w:sz w:val="30"/>
          <w:szCs w:val="30"/>
        </w:rPr>
        <w:t>联合体成员法人代表签字：</w:t>
      </w:r>
    </w:p>
    <w:p w14:paraId="5B18C361">
      <w:pPr>
        <w:spacing w:after="120" w:line="400" w:lineRule="exact"/>
        <w:ind w:firstLine="600"/>
        <w:rPr>
          <w:rFonts w:ascii="仿宋" w:hAnsi="仿宋" w:eastAsia="仿宋"/>
          <w:sz w:val="30"/>
          <w:szCs w:val="30"/>
        </w:rPr>
      </w:pPr>
      <w:r>
        <w:rPr>
          <w:rFonts w:ascii="仿宋" w:hAnsi="仿宋" w:eastAsia="仿宋"/>
          <w:sz w:val="30"/>
          <w:szCs w:val="30"/>
        </w:rPr>
        <w:t>（签字 公章</w:t>
      </w:r>
      <w:r>
        <w:rPr>
          <w:rFonts w:hint="eastAsia" w:ascii="仿宋" w:hAnsi="仿宋" w:eastAsia="仿宋"/>
          <w:sz w:val="30"/>
          <w:szCs w:val="30"/>
        </w:rPr>
        <w:t>）</w:t>
      </w:r>
    </w:p>
    <w:p w14:paraId="569FA8FF">
      <w:pPr>
        <w:spacing w:after="120" w:line="400" w:lineRule="exact"/>
        <w:ind w:left="456" w:leftChars="190" w:firstLine="600"/>
        <w:rPr>
          <w:rFonts w:ascii="仿宋" w:hAnsi="仿宋" w:eastAsia="仿宋"/>
          <w:sz w:val="30"/>
          <w:szCs w:val="30"/>
        </w:rPr>
      </w:pPr>
      <w:r>
        <w:rPr>
          <w:rFonts w:ascii="仿宋" w:hAnsi="仿宋" w:eastAsia="仿宋"/>
          <w:sz w:val="30"/>
          <w:szCs w:val="30"/>
        </w:rPr>
        <w:t xml:space="preserve">       年    月    日</w:t>
      </w:r>
    </w:p>
    <w:p w14:paraId="6C0526AA">
      <w:pPr>
        <w:spacing w:after="120" w:line="400" w:lineRule="exact"/>
        <w:ind w:firstLine="600"/>
        <w:rPr>
          <w:rFonts w:ascii="仿宋" w:hAnsi="仿宋" w:eastAsia="仿宋"/>
          <w:sz w:val="30"/>
          <w:szCs w:val="30"/>
        </w:rPr>
      </w:pPr>
    </w:p>
    <w:p w14:paraId="1AA71836">
      <w:pPr>
        <w:spacing w:after="120" w:line="400" w:lineRule="exact"/>
        <w:ind w:firstLine="600"/>
        <w:rPr>
          <w:rFonts w:ascii="仿宋" w:hAnsi="仿宋" w:eastAsia="仿宋"/>
          <w:sz w:val="30"/>
          <w:szCs w:val="30"/>
        </w:rPr>
      </w:pPr>
      <w:r>
        <w:rPr>
          <w:rFonts w:ascii="仿宋" w:hAnsi="仿宋" w:eastAsia="仿宋"/>
          <w:sz w:val="30"/>
          <w:szCs w:val="30"/>
        </w:rPr>
        <w:t xml:space="preserve">联合体成员名称： </w:t>
      </w:r>
    </w:p>
    <w:p w14:paraId="6ADC8EE2">
      <w:pPr>
        <w:spacing w:after="120" w:line="400" w:lineRule="exact"/>
        <w:ind w:firstLine="600"/>
        <w:rPr>
          <w:rFonts w:ascii="仿宋" w:hAnsi="仿宋" w:eastAsia="仿宋"/>
          <w:sz w:val="30"/>
          <w:szCs w:val="30"/>
        </w:rPr>
      </w:pPr>
      <w:r>
        <w:rPr>
          <w:rFonts w:ascii="仿宋" w:hAnsi="仿宋" w:eastAsia="仿宋"/>
          <w:sz w:val="30"/>
          <w:szCs w:val="30"/>
        </w:rPr>
        <w:t>联合体成员法人代表签字：</w:t>
      </w:r>
    </w:p>
    <w:p w14:paraId="7180C7CA">
      <w:pPr>
        <w:spacing w:after="120" w:line="400" w:lineRule="exact"/>
        <w:ind w:firstLine="600"/>
        <w:rPr>
          <w:rFonts w:ascii="仿宋" w:hAnsi="仿宋" w:eastAsia="仿宋"/>
          <w:sz w:val="30"/>
          <w:szCs w:val="30"/>
        </w:rPr>
      </w:pPr>
      <w:r>
        <w:rPr>
          <w:rFonts w:ascii="仿宋" w:hAnsi="仿宋" w:eastAsia="仿宋"/>
          <w:sz w:val="30"/>
          <w:szCs w:val="30"/>
        </w:rPr>
        <w:t>（签字 公章）</w:t>
      </w:r>
    </w:p>
    <w:p w14:paraId="525B57CA">
      <w:pPr>
        <w:spacing w:after="120" w:line="400" w:lineRule="exact"/>
        <w:ind w:left="456" w:leftChars="190" w:firstLine="600"/>
        <w:rPr>
          <w:rFonts w:ascii="仿宋" w:hAnsi="仿宋" w:eastAsia="仿宋"/>
          <w:szCs w:val="24"/>
        </w:rPr>
      </w:pPr>
      <w:r>
        <w:rPr>
          <w:rFonts w:ascii="仿宋" w:hAnsi="仿宋" w:eastAsia="仿宋"/>
          <w:sz w:val="30"/>
          <w:szCs w:val="30"/>
        </w:rPr>
        <w:t xml:space="preserve">    年    月    日</w:t>
      </w:r>
      <w:r>
        <w:rPr>
          <w:rFonts w:ascii="仿宋" w:hAnsi="仿宋" w:eastAsia="仿宋"/>
          <w:szCs w:val="24"/>
        </w:rPr>
        <w:br w:type="page"/>
      </w:r>
    </w:p>
    <w:p w14:paraId="248745F9">
      <w:pPr>
        <w:pStyle w:val="106"/>
        <w:numPr>
          <w:ilvl w:val="0"/>
          <w:numId w:val="0"/>
        </w:numPr>
        <w:spacing w:after="120"/>
        <w:jc w:val="center"/>
        <w:outlineLvl w:val="1"/>
        <w:rPr>
          <w:rFonts w:ascii="仿宋" w:hAnsi="仿宋" w:eastAsia="仿宋" w:cs="仿宋"/>
          <w:b/>
          <w:bCs/>
          <w:sz w:val="32"/>
          <w:szCs w:val="32"/>
        </w:rPr>
      </w:pPr>
      <w:bookmarkStart w:id="1142" w:name="_Toc1008"/>
      <w:bookmarkStart w:id="1143" w:name="_Toc22336"/>
      <w:bookmarkStart w:id="1144" w:name="_Toc5370"/>
      <w:bookmarkStart w:id="1145" w:name="_Toc5953"/>
      <w:bookmarkStart w:id="1146" w:name="_Toc21474"/>
      <w:bookmarkStart w:id="1147" w:name="_Toc4313"/>
      <w:bookmarkStart w:id="1148" w:name="_Toc2298"/>
      <w:bookmarkStart w:id="1149" w:name="_Toc10810"/>
      <w:r>
        <w:rPr>
          <w:rFonts w:hint="eastAsia" w:ascii="仿宋" w:hAnsi="仿宋" w:eastAsia="仿宋" w:cs="仿宋"/>
          <w:b/>
          <w:bCs/>
          <w:sz w:val="32"/>
          <w:szCs w:val="32"/>
        </w:rPr>
        <w:t>附件15 联合体工作实施细则</w:t>
      </w:r>
      <w:bookmarkEnd w:id="1142"/>
      <w:bookmarkEnd w:id="1143"/>
      <w:bookmarkEnd w:id="1144"/>
      <w:bookmarkEnd w:id="1145"/>
      <w:bookmarkEnd w:id="1146"/>
      <w:bookmarkEnd w:id="1147"/>
      <w:bookmarkEnd w:id="1148"/>
      <w:bookmarkEnd w:id="1149"/>
    </w:p>
    <w:p w14:paraId="68F4602D">
      <w:pPr>
        <w:spacing w:after="120" w:line="440" w:lineRule="exact"/>
        <w:ind w:left="-567"/>
        <w:jc w:val="center"/>
        <w:rPr>
          <w:rFonts w:ascii="仿宋" w:hAnsi="仿宋" w:eastAsia="仿宋"/>
          <w:szCs w:val="24"/>
        </w:rPr>
      </w:pPr>
    </w:p>
    <w:p w14:paraId="52234793">
      <w:pPr>
        <w:spacing w:after="120" w:line="440" w:lineRule="exact"/>
        <w:ind w:left="-567" w:firstLine="600"/>
        <w:jc w:val="left"/>
        <w:rPr>
          <w:rFonts w:ascii="仿宋" w:hAnsi="仿宋" w:eastAsia="仿宋"/>
          <w:sz w:val="30"/>
          <w:szCs w:val="30"/>
        </w:rPr>
      </w:pPr>
      <w:r>
        <w:rPr>
          <w:rFonts w:hint="eastAsia" w:ascii="仿宋" w:hAnsi="仿宋" w:eastAsia="仿宋"/>
          <w:sz w:val="30"/>
          <w:szCs w:val="30"/>
          <w:u w:val="single"/>
        </w:rPr>
        <w:t>（、、）</w:t>
      </w:r>
      <w:r>
        <w:rPr>
          <w:rFonts w:ascii="仿宋" w:hAnsi="仿宋" w:eastAsia="仿宋"/>
          <w:sz w:val="30"/>
          <w:szCs w:val="30"/>
        </w:rPr>
        <w:t>自愿组成联合体，共同参加了</w:t>
      </w:r>
      <w:r>
        <w:rPr>
          <w:rFonts w:ascii="仿宋" w:hAnsi="仿宋" w:eastAsia="仿宋"/>
          <w:sz w:val="30"/>
          <w:szCs w:val="30"/>
          <w:u w:val="single"/>
        </w:rPr>
        <w:t xml:space="preserve">       项目 </w:t>
      </w:r>
      <w:r>
        <w:rPr>
          <w:rFonts w:ascii="仿宋" w:hAnsi="仿宋" w:eastAsia="仿宋"/>
          <w:sz w:val="30"/>
          <w:szCs w:val="30"/>
        </w:rPr>
        <w:t>投标，联合体各成员承诺不违反设计采购施工总承包合同约定的情况下，按照以下工作实施细则进行管理工作：</w:t>
      </w:r>
    </w:p>
    <w:p w14:paraId="67DFA0C2">
      <w:pPr>
        <w:spacing w:after="120" w:line="440" w:lineRule="exact"/>
        <w:ind w:left="-567" w:firstLine="600"/>
        <w:jc w:val="left"/>
        <w:rPr>
          <w:rFonts w:ascii="仿宋" w:hAnsi="仿宋" w:eastAsia="仿宋"/>
          <w:sz w:val="30"/>
          <w:szCs w:val="30"/>
        </w:rPr>
      </w:pPr>
      <w:r>
        <w:rPr>
          <w:rFonts w:ascii="仿宋" w:hAnsi="仿宋" w:eastAsia="仿宋"/>
          <w:sz w:val="30"/>
          <w:szCs w:val="30"/>
        </w:rPr>
        <w:t>第一条 职责分工</w:t>
      </w:r>
    </w:p>
    <w:p w14:paraId="1B038BD1">
      <w:pPr>
        <w:spacing w:after="120" w:line="440" w:lineRule="exact"/>
        <w:ind w:left="-567" w:firstLine="600"/>
        <w:jc w:val="left"/>
        <w:rPr>
          <w:rFonts w:ascii="仿宋" w:hAnsi="仿宋" w:eastAsia="仿宋"/>
          <w:sz w:val="30"/>
          <w:szCs w:val="30"/>
        </w:rPr>
      </w:pPr>
      <w:r>
        <w:rPr>
          <w:rFonts w:ascii="仿宋" w:hAnsi="仿宋" w:eastAsia="仿宋"/>
          <w:sz w:val="30"/>
          <w:szCs w:val="30"/>
        </w:rPr>
        <w:t>1、投标工作由联合体牵头人负责，由双方成立的投标小组具体实施；联合体牵头人代表联合体办理本招标项目投标文件的编制、签字、盖章以及合同谈判活动，并代表联合体提交会晤接收相关的资料、信息及指示，处理与之有关的一切事务。投标保证金按文件中各自工程量的相应比例各自承担，须由联合体牵头人统一递交。</w:t>
      </w:r>
    </w:p>
    <w:p w14:paraId="020E0F2C">
      <w:pPr>
        <w:spacing w:after="120" w:line="440" w:lineRule="exact"/>
        <w:ind w:left="-567" w:firstLine="600"/>
        <w:jc w:val="left"/>
        <w:rPr>
          <w:rFonts w:ascii="仿宋" w:hAnsi="仿宋" w:eastAsia="仿宋"/>
          <w:sz w:val="30"/>
          <w:szCs w:val="30"/>
        </w:rPr>
      </w:pPr>
      <w:r>
        <w:rPr>
          <w:rFonts w:ascii="仿宋" w:hAnsi="仿宋" w:eastAsia="仿宋"/>
          <w:sz w:val="30"/>
          <w:szCs w:val="30"/>
        </w:rPr>
        <w:t>2、联合体牵头人和联合体成员共同组建联合体项目部，联合体牵头人委派符合招标文件要求的项目经理主管本项目的进度、安全、质量及其它事项，各专业职能部门负责人也需满足发包人的要求。</w:t>
      </w:r>
    </w:p>
    <w:p w14:paraId="26D4F301">
      <w:pPr>
        <w:spacing w:after="120" w:line="440" w:lineRule="exact"/>
        <w:ind w:left="-567" w:firstLine="600"/>
        <w:jc w:val="left"/>
        <w:rPr>
          <w:rFonts w:ascii="仿宋" w:hAnsi="仿宋" w:eastAsia="仿宋"/>
          <w:sz w:val="30"/>
          <w:szCs w:val="30"/>
        </w:rPr>
      </w:pPr>
      <w:r>
        <w:rPr>
          <w:rFonts w:ascii="仿宋" w:hAnsi="仿宋" w:eastAsia="仿宋"/>
          <w:sz w:val="30"/>
          <w:szCs w:val="30"/>
        </w:rPr>
        <w:t>3、联合体项目部负责本项目的工程总承包管理，负责合同实施阶段的主办、组织和协调管理工作，负责合同实施过程中办理与本项目发包人涉及本工程相关的一切付款申请及收取工程款事项。</w:t>
      </w:r>
    </w:p>
    <w:p w14:paraId="6CA2A26F">
      <w:pPr>
        <w:spacing w:after="120" w:line="440" w:lineRule="exact"/>
        <w:ind w:left="-567" w:firstLine="600"/>
        <w:jc w:val="left"/>
        <w:rPr>
          <w:rFonts w:ascii="仿宋" w:hAnsi="仿宋" w:eastAsia="仿宋"/>
          <w:sz w:val="30"/>
          <w:szCs w:val="30"/>
        </w:rPr>
      </w:pPr>
      <w:r>
        <w:rPr>
          <w:rFonts w:ascii="仿宋" w:hAnsi="仿宋" w:eastAsia="仿宋"/>
          <w:sz w:val="30"/>
          <w:szCs w:val="30"/>
        </w:rPr>
        <w:t>4、联合体成员各自严格按合同约定执行；履约保证金按合同中各自工程量的相应比例 各自承担，须由联合体项目部统一递交。</w:t>
      </w:r>
    </w:p>
    <w:p w14:paraId="7799F8E5">
      <w:pPr>
        <w:spacing w:after="120" w:line="440" w:lineRule="exact"/>
        <w:ind w:left="-567" w:firstLine="600"/>
        <w:jc w:val="left"/>
        <w:rPr>
          <w:rFonts w:ascii="仿宋" w:hAnsi="仿宋" w:eastAsia="仿宋"/>
          <w:sz w:val="30"/>
          <w:szCs w:val="30"/>
        </w:rPr>
      </w:pPr>
      <w:r>
        <w:rPr>
          <w:rFonts w:ascii="仿宋" w:hAnsi="仿宋" w:eastAsia="仿宋"/>
          <w:sz w:val="30"/>
          <w:szCs w:val="30"/>
        </w:rPr>
        <w:t>5、联合体牵头人负责按联合体成员实际完成的经发包人验收合格的工程量作为计量依据，由发包人按合同比例将款项支付至各联合体成员银行账户。</w:t>
      </w:r>
    </w:p>
    <w:p w14:paraId="66222861">
      <w:pPr>
        <w:spacing w:after="120" w:line="440" w:lineRule="exact"/>
        <w:ind w:left="-567" w:firstLine="600"/>
        <w:jc w:val="left"/>
        <w:rPr>
          <w:rFonts w:ascii="仿宋" w:hAnsi="仿宋" w:eastAsia="仿宋"/>
          <w:sz w:val="30"/>
          <w:szCs w:val="30"/>
        </w:rPr>
      </w:pPr>
      <w:r>
        <w:rPr>
          <w:rFonts w:ascii="仿宋" w:hAnsi="仿宋" w:eastAsia="仿宋"/>
          <w:sz w:val="30"/>
          <w:szCs w:val="30"/>
        </w:rPr>
        <w:t>第二条 质量管控</w:t>
      </w:r>
    </w:p>
    <w:p w14:paraId="54331A78">
      <w:pPr>
        <w:spacing w:after="120" w:line="440" w:lineRule="exact"/>
        <w:ind w:left="-567" w:firstLine="600"/>
        <w:jc w:val="left"/>
        <w:rPr>
          <w:rFonts w:ascii="仿宋" w:hAnsi="仿宋" w:eastAsia="仿宋"/>
          <w:sz w:val="30"/>
          <w:szCs w:val="30"/>
        </w:rPr>
      </w:pPr>
      <w:r>
        <w:rPr>
          <w:rFonts w:ascii="仿宋" w:hAnsi="仿宋" w:eastAsia="仿宋"/>
          <w:sz w:val="30"/>
          <w:szCs w:val="30"/>
        </w:rPr>
        <w:t>1、联合体项目部应按本工程采用的施工技术规范，施工图纸，合理组织施工，加强质量控制，确保工程质量。</w:t>
      </w:r>
    </w:p>
    <w:p w14:paraId="1B986A1B">
      <w:pPr>
        <w:spacing w:after="120" w:line="440" w:lineRule="exact"/>
        <w:ind w:left="-567" w:firstLine="600"/>
        <w:jc w:val="left"/>
        <w:rPr>
          <w:rFonts w:ascii="仿宋" w:hAnsi="仿宋" w:eastAsia="仿宋"/>
          <w:sz w:val="30"/>
          <w:szCs w:val="30"/>
        </w:rPr>
      </w:pPr>
      <w:r>
        <w:rPr>
          <w:rFonts w:ascii="仿宋" w:hAnsi="仿宋" w:eastAsia="仿宋"/>
          <w:sz w:val="30"/>
          <w:szCs w:val="30"/>
        </w:rPr>
        <w:t>2、联合体项目部必须按要求做好单位、分部、分项、检验批工程的质量记录、评定工作，保证工程质量评定的真实性、准确性、及时性。</w:t>
      </w:r>
    </w:p>
    <w:p w14:paraId="6FDCE59F">
      <w:pPr>
        <w:spacing w:after="120" w:line="440" w:lineRule="exact"/>
        <w:ind w:left="-567" w:firstLine="600"/>
        <w:jc w:val="left"/>
        <w:rPr>
          <w:rFonts w:ascii="仿宋" w:hAnsi="仿宋" w:eastAsia="仿宋"/>
          <w:sz w:val="30"/>
          <w:szCs w:val="30"/>
        </w:rPr>
      </w:pPr>
      <w:r>
        <w:rPr>
          <w:rFonts w:ascii="仿宋" w:hAnsi="仿宋" w:eastAsia="仿宋"/>
          <w:sz w:val="30"/>
          <w:szCs w:val="30"/>
        </w:rPr>
        <w:t xml:space="preserve">3、本工程缺陷责任期、保修期以与发包人签订的施工合同为准，联合体各成员对其所承担的工程质量终身负责。缺陷责任、保修时间从本项目工程正式竣工验收日期算起。 </w:t>
      </w:r>
    </w:p>
    <w:p w14:paraId="1C35C267">
      <w:pPr>
        <w:spacing w:after="120" w:line="440" w:lineRule="exact"/>
        <w:ind w:left="-567" w:firstLine="600"/>
        <w:jc w:val="left"/>
        <w:rPr>
          <w:rFonts w:ascii="仿宋" w:hAnsi="仿宋" w:eastAsia="仿宋"/>
          <w:sz w:val="30"/>
          <w:szCs w:val="30"/>
        </w:rPr>
      </w:pPr>
      <w:r>
        <w:rPr>
          <w:rFonts w:ascii="仿宋" w:hAnsi="仿宋" w:eastAsia="仿宋"/>
          <w:sz w:val="30"/>
          <w:szCs w:val="30"/>
        </w:rPr>
        <w:t>第三条 材料供应</w:t>
      </w:r>
    </w:p>
    <w:p w14:paraId="12551198">
      <w:pPr>
        <w:spacing w:after="120" w:line="440" w:lineRule="exact"/>
        <w:ind w:left="-567" w:firstLine="600"/>
        <w:jc w:val="left"/>
        <w:rPr>
          <w:rFonts w:ascii="仿宋" w:hAnsi="仿宋" w:eastAsia="仿宋"/>
          <w:sz w:val="30"/>
          <w:szCs w:val="30"/>
        </w:rPr>
      </w:pPr>
      <w:r>
        <w:rPr>
          <w:rFonts w:ascii="仿宋" w:hAnsi="仿宋" w:eastAsia="仿宋"/>
          <w:sz w:val="30"/>
          <w:szCs w:val="30"/>
        </w:rPr>
        <w:t>1、为保证工程质量，工程过程中所用材料需满足施工合同或设计要求的规定，在指定的供应商处购买。</w:t>
      </w:r>
    </w:p>
    <w:p w14:paraId="01D77ED9">
      <w:pPr>
        <w:spacing w:after="120" w:line="440" w:lineRule="exact"/>
        <w:ind w:left="-567" w:firstLine="600"/>
        <w:jc w:val="left"/>
        <w:rPr>
          <w:rFonts w:ascii="仿宋" w:hAnsi="仿宋" w:eastAsia="仿宋"/>
          <w:sz w:val="30"/>
          <w:szCs w:val="30"/>
        </w:rPr>
      </w:pPr>
      <w:r>
        <w:rPr>
          <w:rFonts w:ascii="仿宋" w:hAnsi="仿宋" w:eastAsia="仿宋"/>
          <w:sz w:val="30"/>
          <w:szCs w:val="30"/>
        </w:rPr>
        <w:t>2、联合体各成员自购材料及要求：除合同约定提供的甲供材料外，合同工程所需的其它材料均由联合体各成员自购。联合体自购的所有材料应有出厂合格证及检验报告单，并经监理工程师现场验收合格后方可使用。未经检验或验收不合格的材料严禁使用，验收不合格的材料联合体应立即清除出场，造成的损失由联合体承担。</w:t>
      </w:r>
    </w:p>
    <w:p w14:paraId="33A59BB6">
      <w:pPr>
        <w:spacing w:after="120" w:line="440" w:lineRule="exact"/>
        <w:ind w:left="-567" w:firstLine="600"/>
        <w:jc w:val="left"/>
        <w:rPr>
          <w:rFonts w:ascii="仿宋" w:hAnsi="仿宋" w:eastAsia="仿宋"/>
          <w:sz w:val="30"/>
          <w:szCs w:val="30"/>
        </w:rPr>
      </w:pPr>
      <w:r>
        <w:rPr>
          <w:rFonts w:ascii="仿宋" w:hAnsi="仿宋" w:eastAsia="仿宋"/>
          <w:sz w:val="30"/>
          <w:szCs w:val="30"/>
        </w:rPr>
        <w:t>第四条 权利和义务</w:t>
      </w:r>
    </w:p>
    <w:p w14:paraId="2A6E9EF6">
      <w:pPr>
        <w:spacing w:after="120" w:line="440" w:lineRule="exact"/>
        <w:ind w:left="-567" w:firstLine="600"/>
        <w:jc w:val="left"/>
        <w:rPr>
          <w:rFonts w:ascii="仿宋" w:hAnsi="仿宋" w:eastAsia="仿宋"/>
          <w:sz w:val="30"/>
          <w:szCs w:val="30"/>
        </w:rPr>
      </w:pPr>
      <w:r>
        <w:rPr>
          <w:rFonts w:ascii="仿宋" w:hAnsi="仿宋" w:eastAsia="仿宋"/>
          <w:sz w:val="30"/>
          <w:szCs w:val="30"/>
        </w:rPr>
        <w:t>1、联合体项目部：</w:t>
      </w:r>
    </w:p>
    <w:p w14:paraId="2535048D">
      <w:pPr>
        <w:spacing w:after="120" w:line="440" w:lineRule="exact"/>
        <w:ind w:left="-567" w:firstLine="600"/>
        <w:jc w:val="left"/>
        <w:rPr>
          <w:rFonts w:ascii="仿宋" w:hAnsi="仿宋" w:eastAsia="仿宋"/>
          <w:sz w:val="30"/>
          <w:szCs w:val="30"/>
        </w:rPr>
      </w:pPr>
      <w:r>
        <w:rPr>
          <w:rFonts w:ascii="仿宋" w:hAnsi="仿宋" w:eastAsia="仿宋"/>
          <w:sz w:val="30"/>
          <w:szCs w:val="30"/>
        </w:rPr>
        <w:t xml:space="preserve">1.1统筹安排、协调解决工程使用的生产、生活临时设施、工作用水、用电及施工场地； </w:t>
      </w:r>
    </w:p>
    <w:p w14:paraId="4DB86EFF">
      <w:pPr>
        <w:spacing w:after="120" w:line="440" w:lineRule="exact"/>
        <w:ind w:left="-567" w:firstLine="600"/>
        <w:jc w:val="left"/>
        <w:rPr>
          <w:rFonts w:ascii="仿宋" w:hAnsi="仿宋" w:eastAsia="仿宋"/>
          <w:sz w:val="30"/>
          <w:szCs w:val="30"/>
        </w:rPr>
      </w:pPr>
      <w:r>
        <w:rPr>
          <w:rFonts w:ascii="仿宋" w:hAnsi="仿宋" w:eastAsia="仿宋"/>
          <w:sz w:val="30"/>
          <w:szCs w:val="30"/>
        </w:rPr>
        <w:t>1.2按合同约定，办理收方、结算手续，支付联合体成员工程款；</w:t>
      </w:r>
    </w:p>
    <w:p w14:paraId="46F0F08C">
      <w:pPr>
        <w:spacing w:after="120" w:line="440" w:lineRule="exact"/>
        <w:ind w:left="-567" w:firstLine="600"/>
        <w:jc w:val="left"/>
        <w:rPr>
          <w:rFonts w:ascii="仿宋" w:hAnsi="仿宋" w:eastAsia="仿宋"/>
          <w:sz w:val="30"/>
          <w:szCs w:val="30"/>
        </w:rPr>
      </w:pPr>
      <w:r>
        <w:rPr>
          <w:rFonts w:ascii="仿宋" w:hAnsi="仿宋" w:eastAsia="仿宋"/>
          <w:sz w:val="30"/>
          <w:szCs w:val="30"/>
        </w:rPr>
        <w:t>1.3负责与本工程项目发包人、监理的联系，协调现场工作关系；</w:t>
      </w:r>
    </w:p>
    <w:p w14:paraId="3602C320">
      <w:pPr>
        <w:spacing w:after="120" w:line="440" w:lineRule="exact"/>
        <w:ind w:left="-567" w:firstLine="600"/>
        <w:jc w:val="left"/>
        <w:rPr>
          <w:rFonts w:ascii="仿宋" w:hAnsi="仿宋" w:eastAsia="仿宋"/>
          <w:sz w:val="30"/>
          <w:szCs w:val="30"/>
        </w:rPr>
      </w:pPr>
      <w:r>
        <w:rPr>
          <w:rFonts w:ascii="仿宋" w:hAnsi="仿宋" w:eastAsia="仿宋"/>
          <w:sz w:val="30"/>
          <w:szCs w:val="30"/>
        </w:rPr>
        <w:t>1.4协同发包人对联合体成员施工(或完工) 工程进行过程检验和竣工验收，进行竣工文件的整理和报送工作；</w:t>
      </w:r>
    </w:p>
    <w:p w14:paraId="611E2DFE">
      <w:pPr>
        <w:spacing w:after="120" w:line="440" w:lineRule="exact"/>
        <w:ind w:left="-567" w:firstLine="600"/>
        <w:jc w:val="left"/>
        <w:rPr>
          <w:rFonts w:ascii="仿宋" w:hAnsi="仿宋" w:eastAsia="仿宋"/>
          <w:sz w:val="30"/>
          <w:szCs w:val="30"/>
        </w:rPr>
      </w:pPr>
      <w:r>
        <w:rPr>
          <w:rFonts w:ascii="仿宋" w:hAnsi="仿宋" w:eastAsia="仿宋"/>
          <w:sz w:val="30"/>
          <w:szCs w:val="30"/>
        </w:rPr>
        <w:t>1.5对联合体成员所承担的施工任务安全、质量、环境、进度等进行监督检查；</w:t>
      </w:r>
    </w:p>
    <w:p w14:paraId="383BDCB7">
      <w:pPr>
        <w:spacing w:after="120" w:line="440" w:lineRule="exact"/>
        <w:ind w:left="-567" w:firstLine="600"/>
        <w:jc w:val="left"/>
        <w:rPr>
          <w:rFonts w:ascii="仿宋" w:hAnsi="仿宋" w:eastAsia="仿宋"/>
          <w:sz w:val="30"/>
          <w:szCs w:val="30"/>
        </w:rPr>
      </w:pPr>
      <w:r>
        <w:rPr>
          <w:rFonts w:ascii="仿宋" w:hAnsi="仿宋" w:eastAsia="仿宋"/>
          <w:sz w:val="30"/>
          <w:szCs w:val="30"/>
        </w:rPr>
        <w:t>1.6就联合体成员所承担的工程范围内的有关工作， 联合体项目部随时可以向联合体成员发出指令，联合体成员应执行；若联合体成员拒不执行指令，联合体项目部可委托其他施工作业队伍完成该指令事项，发生的费用从应付联合体成员相应款项中扣除。</w:t>
      </w:r>
    </w:p>
    <w:p w14:paraId="7B00E375">
      <w:pPr>
        <w:spacing w:after="120" w:line="440" w:lineRule="exact"/>
        <w:ind w:left="-567" w:firstLine="600"/>
        <w:jc w:val="left"/>
        <w:rPr>
          <w:rFonts w:ascii="仿宋" w:hAnsi="仿宋" w:eastAsia="仿宋"/>
          <w:sz w:val="30"/>
          <w:szCs w:val="30"/>
        </w:rPr>
      </w:pPr>
      <w:r>
        <w:rPr>
          <w:rFonts w:ascii="仿宋" w:hAnsi="仿宋" w:eastAsia="仿宋"/>
          <w:sz w:val="30"/>
          <w:szCs w:val="30"/>
        </w:rPr>
        <w:t>2、联合体成员：</w:t>
      </w:r>
    </w:p>
    <w:p w14:paraId="2F0A5758">
      <w:pPr>
        <w:spacing w:after="120" w:line="440" w:lineRule="exact"/>
        <w:ind w:left="-567" w:firstLine="600"/>
        <w:jc w:val="left"/>
        <w:rPr>
          <w:rFonts w:ascii="仿宋" w:hAnsi="仿宋" w:eastAsia="仿宋"/>
          <w:sz w:val="30"/>
          <w:szCs w:val="30"/>
        </w:rPr>
      </w:pPr>
      <w:r>
        <w:rPr>
          <w:rFonts w:ascii="仿宋" w:hAnsi="仿宋" w:eastAsia="仿宋"/>
          <w:sz w:val="30"/>
          <w:szCs w:val="30"/>
        </w:rPr>
        <w:t xml:space="preserve">2.1严格按照设计图纸、 施工验收规范、 有关技术要求及施工组织设计等要求精心组织施工，确保工程质量达到约定的标准；对其所承担的工程质量向联合体牵头人负责。 </w:t>
      </w:r>
    </w:p>
    <w:p w14:paraId="244FD6FC">
      <w:pPr>
        <w:spacing w:after="120" w:line="440" w:lineRule="exact"/>
        <w:ind w:left="-567" w:firstLine="600"/>
        <w:jc w:val="left"/>
        <w:rPr>
          <w:rFonts w:ascii="仿宋" w:hAnsi="仿宋" w:eastAsia="仿宋"/>
          <w:sz w:val="30"/>
          <w:szCs w:val="30"/>
        </w:rPr>
      </w:pPr>
      <w:r>
        <w:rPr>
          <w:rFonts w:ascii="仿宋" w:hAnsi="仿宋" w:eastAsia="仿宋"/>
          <w:sz w:val="30"/>
          <w:szCs w:val="30"/>
        </w:rPr>
        <w:t>2.2投入满足施工所需的人、财、物，并纳入联合体项目部统一管理，施工组长、各 岗位人员、特殊工种等主要人员的资格和上岗操作证复印件报联合体项目部备案，以上人员应保证及时到位并常驻现场进行对本工程的管理，离开工地必须向联合体项目部履行请假手续。</w:t>
      </w:r>
    </w:p>
    <w:p w14:paraId="50813FB9">
      <w:pPr>
        <w:spacing w:after="120" w:line="440" w:lineRule="exact"/>
        <w:ind w:left="-567" w:firstLine="600"/>
        <w:jc w:val="left"/>
        <w:rPr>
          <w:rFonts w:ascii="仿宋" w:hAnsi="仿宋" w:eastAsia="仿宋"/>
          <w:sz w:val="30"/>
          <w:szCs w:val="30"/>
        </w:rPr>
      </w:pPr>
      <w:r>
        <w:rPr>
          <w:rFonts w:ascii="仿宋" w:hAnsi="仿宋" w:eastAsia="仿宋"/>
          <w:sz w:val="30"/>
          <w:szCs w:val="30"/>
        </w:rPr>
        <w:t>2.3加强安全教育，认真执行安全技术规范，严格遵守安全制度，落实安全计划，确保施工安全；必须为从事危险作业的施工人员办理意外伤害保险，并为施工场地内自有人员 生命财产和施工机械设备办理保险，支付保险费用。保险事故发生时，有责任尽力采取必 要的措施，防止或者减少损失。承担由于自身责任造成的质量修改、返工、工期拖延、安全事故、现场脏乱造成的损失及各种罚款。</w:t>
      </w:r>
    </w:p>
    <w:p w14:paraId="1FE0BFE3">
      <w:pPr>
        <w:spacing w:after="120" w:line="440" w:lineRule="exact"/>
        <w:ind w:left="-567" w:firstLine="600"/>
        <w:jc w:val="left"/>
        <w:rPr>
          <w:rFonts w:ascii="仿宋" w:hAnsi="仿宋" w:eastAsia="仿宋"/>
          <w:sz w:val="30"/>
          <w:szCs w:val="30"/>
        </w:rPr>
      </w:pPr>
      <w:r>
        <w:rPr>
          <w:rFonts w:ascii="仿宋" w:hAnsi="仿宋" w:eastAsia="仿宋"/>
          <w:sz w:val="30"/>
          <w:szCs w:val="30"/>
        </w:rPr>
        <w:t>2.4加强现场管理，严格执行建设主管部门及环保、消防、环卫等有关部门对施工现场 的管理规定；按联合体项目部标准化工地要求设置标牌，搞好生活区的管理，做好自身责任区的治安保卫工作，做到文明施工。</w:t>
      </w:r>
    </w:p>
    <w:p w14:paraId="78858139">
      <w:pPr>
        <w:spacing w:after="120" w:line="440" w:lineRule="exact"/>
        <w:ind w:left="-567" w:firstLine="600"/>
        <w:jc w:val="left"/>
        <w:rPr>
          <w:rFonts w:ascii="仿宋" w:hAnsi="仿宋" w:eastAsia="仿宋"/>
          <w:sz w:val="30"/>
          <w:szCs w:val="30"/>
        </w:rPr>
      </w:pPr>
      <w:r>
        <w:rPr>
          <w:rFonts w:ascii="仿宋" w:hAnsi="仿宋" w:eastAsia="仿宋"/>
          <w:sz w:val="30"/>
          <w:szCs w:val="30"/>
        </w:rPr>
        <w:t>2.5自觉接受联合体牵头人、监理工程师、发包人及有关部门的管理、监督和检查。施工过程中投入必要的安全生产费用，采取完备的安全防护措施，消除事故隐患。</w:t>
      </w:r>
    </w:p>
    <w:p w14:paraId="6077FCCA">
      <w:pPr>
        <w:spacing w:after="120" w:line="440" w:lineRule="exact"/>
        <w:ind w:left="-567" w:firstLine="600"/>
        <w:jc w:val="left"/>
        <w:rPr>
          <w:rFonts w:ascii="仿宋" w:hAnsi="仿宋" w:eastAsia="仿宋"/>
          <w:sz w:val="30"/>
          <w:szCs w:val="30"/>
        </w:rPr>
      </w:pPr>
      <w:r>
        <w:rPr>
          <w:rFonts w:ascii="仿宋" w:hAnsi="仿宋" w:eastAsia="仿宋"/>
          <w:sz w:val="30"/>
          <w:szCs w:val="30"/>
        </w:rPr>
        <w:t>2.6服从联合体项目部转发的发包人及监理工程师的指令，履行施工包合同约定的与合同工程有关的所有义务及工作程序。在本项工程中，发包人对联合体项目部的要求以及联 合体项目部向发包人的承诺，对联合体成员具有同样的制约作用。</w:t>
      </w:r>
    </w:p>
    <w:p w14:paraId="1B03AE5F">
      <w:pPr>
        <w:spacing w:after="120" w:line="440" w:lineRule="exact"/>
        <w:ind w:left="-567" w:firstLine="600"/>
        <w:jc w:val="left"/>
        <w:rPr>
          <w:rFonts w:ascii="仿宋" w:hAnsi="仿宋" w:eastAsia="仿宋"/>
          <w:sz w:val="30"/>
          <w:szCs w:val="30"/>
        </w:rPr>
      </w:pPr>
      <w:r>
        <w:rPr>
          <w:rFonts w:ascii="仿宋" w:hAnsi="仿宋" w:eastAsia="仿宋"/>
          <w:sz w:val="30"/>
          <w:szCs w:val="30"/>
        </w:rPr>
        <w:t>2.7尊重监理，信守合同，维护联合体项目部的信誉。 自觉接受政府职能部门、 发包人、 联合体项目部和监理的技术指导、安全质量监督检查。</w:t>
      </w:r>
    </w:p>
    <w:p w14:paraId="57F02ECC">
      <w:pPr>
        <w:spacing w:after="120" w:line="440" w:lineRule="exact"/>
        <w:ind w:left="-567" w:firstLine="600"/>
        <w:jc w:val="left"/>
        <w:rPr>
          <w:rFonts w:ascii="仿宋" w:hAnsi="仿宋" w:eastAsia="仿宋"/>
          <w:sz w:val="30"/>
          <w:szCs w:val="30"/>
        </w:rPr>
      </w:pPr>
      <w:r>
        <w:rPr>
          <w:rFonts w:ascii="仿宋" w:hAnsi="仿宋" w:eastAsia="仿宋"/>
          <w:sz w:val="30"/>
          <w:szCs w:val="30"/>
        </w:rPr>
        <w:t xml:space="preserve">2.8不得将本工程承担范围内的部分或全部工程分包给其他单位或个人，禁止转包。 </w:t>
      </w:r>
    </w:p>
    <w:p w14:paraId="10EFA879">
      <w:pPr>
        <w:spacing w:after="120" w:line="440" w:lineRule="exact"/>
        <w:ind w:left="-567" w:firstLine="600"/>
        <w:jc w:val="left"/>
        <w:rPr>
          <w:rFonts w:ascii="仿宋" w:hAnsi="仿宋" w:eastAsia="仿宋"/>
          <w:sz w:val="30"/>
          <w:szCs w:val="30"/>
        </w:rPr>
      </w:pPr>
      <w:r>
        <w:rPr>
          <w:rFonts w:ascii="仿宋" w:hAnsi="仿宋" w:eastAsia="仿宋"/>
          <w:sz w:val="30"/>
          <w:szCs w:val="30"/>
        </w:rPr>
        <w:t>2.9已竣工工程未交付联合体项目部之前，联合体各成员应负责已完的工程的成品保护 工作，保护期间发生损坏，联合体各成员自费予以修复。</w:t>
      </w:r>
    </w:p>
    <w:p w14:paraId="3C8EFA9E">
      <w:pPr>
        <w:spacing w:after="120" w:line="440" w:lineRule="exact"/>
        <w:ind w:left="-567" w:firstLine="600"/>
        <w:jc w:val="left"/>
        <w:rPr>
          <w:rFonts w:ascii="仿宋" w:hAnsi="仿宋" w:eastAsia="仿宋"/>
          <w:sz w:val="30"/>
          <w:szCs w:val="30"/>
        </w:rPr>
      </w:pPr>
      <w:r>
        <w:rPr>
          <w:rFonts w:ascii="仿宋" w:hAnsi="仿宋" w:eastAsia="仿宋"/>
          <w:sz w:val="30"/>
          <w:szCs w:val="30"/>
        </w:rPr>
        <w:t>2.10做好施工中各项目、各环节及分工序的监测、量测和试验，若委托联合体项目部 完成，联合体项目部应收取相应的费用。</w:t>
      </w:r>
    </w:p>
    <w:p w14:paraId="64403250">
      <w:pPr>
        <w:spacing w:after="120" w:line="440" w:lineRule="exact"/>
        <w:ind w:left="-567" w:firstLine="600"/>
        <w:jc w:val="left"/>
        <w:rPr>
          <w:rFonts w:ascii="仿宋" w:hAnsi="仿宋" w:eastAsia="仿宋"/>
          <w:sz w:val="30"/>
          <w:szCs w:val="30"/>
        </w:rPr>
      </w:pPr>
      <w:r>
        <w:rPr>
          <w:rFonts w:ascii="仿宋" w:hAnsi="仿宋" w:eastAsia="仿宋"/>
          <w:sz w:val="30"/>
          <w:szCs w:val="30"/>
        </w:rPr>
        <w:t>2.11如需联合体项目部协助解决施工中出现的外围环境干扰，承担相应费用。</w:t>
      </w:r>
    </w:p>
    <w:p w14:paraId="6A899A3C">
      <w:pPr>
        <w:spacing w:after="120" w:line="440" w:lineRule="exact"/>
        <w:ind w:left="-567" w:firstLine="600"/>
        <w:jc w:val="left"/>
        <w:rPr>
          <w:rFonts w:ascii="仿宋" w:hAnsi="仿宋" w:eastAsia="仿宋"/>
          <w:sz w:val="30"/>
          <w:szCs w:val="30"/>
        </w:rPr>
      </w:pPr>
      <w:r>
        <w:rPr>
          <w:rFonts w:ascii="仿宋" w:hAnsi="仿宋" w:eastAsia="仿宋"/>
          <w:sz w:val="30"/>
          <w:szCs w:val="30"/>
        </w:rPr>
        <w:t>2.12遵守国家有关法律、法规和乡规民约，因联合体各成员施工导致的罚款、赔偿、 诉讼等均由联合体各成员负责，并承担相应的责任和费用。</w:t>
      </w:r>
    </w:p>
    <w:p w14:paraId="5C0CFF0B">
      <w:pPr>
        <w:spacing w:after="120" w:line="440" w:lineRule="exact"/>
        <w:ind w:left="-567" w:firstLine="600"/>
        <w:jc w:val="left"/>
        <w:rPr>
          <w:rFonts w:ascii="仿宋" w:hAnsi="仿宋" w:eastAsia="仿宋"/>
          <w:sz w:val="30"/>
          <w:szCs w:val="30"/>
        </w:rPr>
      </w:pPr>
      <w:r>
        <w:rPr>
          <w:rFonts w:ascii="仿宋" w:hAnsi="仿宋" w:eastAsia="仿宋"/>
          <w:sz w:val="30"/>
          <w:szCs w:val="30"/>
        </w:rPr>
        <w:t>2.13按照国家现行法律法规和当地政府规定与劳务人员签订劳动合同。</w:t>
      </w:r>
    </w:p>
    <w:p w14:paraId="4C66AB4C">
      <w:pPr>
        <w:spacing w:after="120" w:line="440" w:lineRule="exact"/>
        <w:ind w:left="-567" w:firstLine="600"/>
        <w:jc w:val="left"/>
        <w:rPr>
          <w:rFonts w:ascii="仿宋" w:hAnsi="仿宋" w:eastAsia="仿宋"/>
          <w:sz w:val="30"/>
          <w:szCs w:val="30"/>
        </w:rPr>
      </w:pPr>
      <w:r>
        <w:rPr>
          <w:rFonts w:ascii="仿宋" w:hAnsi="仿宋" w:eastAsia="仿宋"/>
          <w:sz w:val="30"/>
          <w:szCs w:val="30"/>
        </w:rPr>
        <w:t>第五条 安全文明、环保施工</w:t>
      </w:r>
    </w:p>
    <w:p w14:paraId="2FC458EE">
      <w:pPr>
        <w:spacing w:after="120" w:line="440" w:lineRule="exact"/>
        <w:ind w:left="-567" w:firstLine="600"/>
        <w:jc w:val="left"/>
        <w:rPr>
          <w:rFonts w:ascii="仿宋" w:hAnsi="仿宋" w:eastAsia="仿宋"/>
          <w:sz w:val="30"/>
          <w:szCs w:val="30"/>
        </w:rPr>
      </w:pPr>
      <w:r>
        <w:rPr>
          <w:rFonts w:ascii="仿宋" w:hAnsi="仿宋" w:eastAsia="仿宋"/>
          <w:sz w:val="30"/>
          <w:szCs w:val="30"/>
        </w:rPr>
        <w:t>1、联合体各成员应遵守国家、地方政府及行发包人管部门颁布的有关施工安全、劳动 保护、文明施工、卫生管理、环境保护等法规制度，严格按照安全环保标准组织施工，联 合体项目部做好本工程的安全管理工作。</w:t>
      </w:r>
    </w:p>
    <w:p w14:paraId="202BF24C">
      <w:pPr>
        <w:spacing w:after="120" w:line="440" w:lineRule="exact"/>
        <w:ind w:left="-567" w:firstLine="600"/>
        <w:jc w:val="left"/>
        <w:rPr>
          <w:rFonts w:ascii="仿宋" w:hAnsi="仿宋" w:eastAsia="仿宋"/>
          <w:sz w:val="30"/>
          <w:szCs w:val="30"/>
        </w:rPr>
      </w:pPr>
      <w:r>
        <w:rPr>
          <w:rFonts w:ascii="仿宋" w:hAnsi="仿宋" w:eastAsia="仿宋"/>
          <w:sz w:val="30"/>
          <w:szCs w:val="30"/>
        </w:rPr>
        <w:t>2、联合体各成员根据需要在施工现场配置统一的安全、文明施工设施、保护器材、安全警告标示牌等。</w:t>
      </w:r>
    </w:p>
    <w:p w14:paraId="701177F1">
      <w:pPr>
        <w:spacing w:after="120" w:line="440" w:lineRule="exact"/>
        <w:ind w:left="-567" w:firstLine="600"/>
        <w:jc w:val="left"/>
        <w:rPr>
          <w:rFonts w:ascii="仿宋" w:hAnsi="仿宋" w:eastAsia="仿宋"/>
          <w:sz w:val="30"/>
          <w:szCs w:val="30"/>
        </w:rPr>
      </w:pPr>
      <w:r>
        <w:rPr>
          <w:rFonts w:ascii="仿宋" w:hAnsi="仿宋" w:eastAsia="仿宋"/>
          <w:sz w:val="30"/>
          <w:szCs w:val="30"/>
        </w:rPr>
        <w:t>3、联合体各成员应配备必要的安全防护设施，并按照国家有关安全生产法律、行政法 规、操作规程执行。</w:t>
      </w:r>
    </w:p>
    <w:p w14:paraId="4A7D8E85">
      <w:pPr>
        <w:spacing w:after="120" w:line="440" w:lineRule="exact"/>
        <w:ind w:left="-567" w:firstLine="600"/>
        <w:jc w:val="left"/>
        <w:rPr>
          <w:rFonts w:ascii="仿宋" w:hAnsi="仿宋" w:eastAsia="仿宋"/>
          <w:sz w:val="30"/>
          <w:szCs w:val="30"/>
        </w:rPr>
      </w:pPr>
      <w:r>
        <w:rPr>
          <w:rFonts w:ascii="仿宋" w:hAnsi="仿宋" w:eastAsia="仿宋"/>
          <w:sz w:val="30"/>
          <w:szCs w:val="30"/>
        </w:rPr>
        <w:t>4、按照《中华人民共和国职业病防治法》的规定，联合体各成员应对本单位参建人员 进行职业病预防、检查、治疗和康复工作，并承担由此发生的相关费用。</w:t>
      </w:r>
    </w:p>
    <w:p w14:paraId="1B3FB942">
      <w:pPr>
        <w:spacing w:after="120" w:line="440" w:lineRule="exact"/>
        <w:ind w:left="-567" w:firstLine="600"/>
        <w:jc w:val="left"/>
        <w:rPr>
          <w:rFonts w:ascii="仿宋" w:hAnsi="仿宋" w:eastAsia="仿宋"/>
          <w:sz w:val="30"/>
          <w:szCs w:val="30"/>
        </w:rPr>
      </w:pPr>
      <w:r>
        <w:rPr>
          <w:rFonts w:ascii="仿宋" w:hAnsi="仿宋" w:eastAsia="仿宋"/>
          <w:sz w:val="30"/>
          <w:szCs w:val="30"/>
        </w:rPr>
        <w:t>5、联合体各成员要搞好文明施工和标准化建设。交工前联合体负责对已完工程进行保 管并及时清理场地。施工时，要采取措施防止因施工原因致使工程、农田、水体、建筑物 及其他设施受到污染和损害。要及时修建临时排水设施，保持施工场地排水通畅。按有关 规定妥善处理因施工产生的废水、废气、噪声、淤泥、垃圾等各种影响环境污染的因素。 由于联合体各成员施工原因造成的环境污染事件，其负全部责任并承担由此发生的所有费 用。</w:t>
      </w:r>
    </w:p>
    <w:p w14:paraId="521FE61F">
      <w:pPr>
        <w:spacing w:after="120" w:line="440" w:lineRule="exact"/>
        <w:ind w:left="-567" w:firstLine="600"/>
        <w:jc w:val="left"/>
        <w:rPr>
          <w:rFonts w:ascii="仿宋" w:hAnsi="仿宋" w:eastAsia="仿宋"/>
          <w:sz w:val="30"/>
          <w:szCs w:val="30"/>
        </w:rPr>
      </w:pPr>
      <w:r>
        <w:rPr>
          <w:rFonts w:ascii="仿宋" w:hAnsi="仿宋" w:eastAsia="仿宋"/>
          <w:sz w:val="30"/>
          <w:szCs w:val="30"/>
        </w:rPr>
        <w:t>第六条  竣工验收</w:t>
      </w:r>
    </w:p>
    <w:p w14:paraId="214BD71C">
      <w:pPr>
        <w:spacing w:after="120" w:line="440" w:lineRule="exact"/>
        <w:ind w:left="-567" w:firstLine="600"/>
        <w:jc w:val="left"/>
        <w:rPr>
          <w:rFonts w:ascii="仿宋" w:hAnsi="仿宋" w:eastAsia="仿宋"/>
          <w:sz w:val="30"/>
          <w:szCs w:val="30"/>
        </w:rPr>
      </w:pPr>
      <w:r>
        <w:rPr>
          <w:rFonts w:ascii="仿宋" w:hAnsi="仿宋" w:eastAsia="仿宋"/>
          <w:sz w:val="30"/>
          <w:szCs w:val="30"/>
        </w:rPr>
        <w:t>1、联合体各成员所承担的工程具备竣工验收条件的，应由联合体项目部提供完整的竣工资料及竣工验收报告。</w:t>
      </w:r>
    </w:p>
    <w:p w14:paraId="73A49814">
      <w:pPr>
        <w:spacing w:after="120" w:line="440" w:lineRule="exact"/>
        <w:ind w:left="-567" w:firstLine="600"/>
        <w:jc w:val="left"/>
        <w:rPr>
          <w:rFonts w:ascii="仿宋" w:hAnsi="仿宋" w:eastAsia="仿宋"/>
          <w:sz w:val="30"/>
          <w:szCs w:val="30"/>
        </w:rPr>
      </w:pPr>
      <w:r>
        <w:rPr>
          <w:rFonts w:ascii="仿宋" w:hAnsi="仿宋" w:eastAsia="仿宋"/>
          <w:sz w:val="30"/>
          <w:szCs w:val="30"/>
        </w:rPr>
        <w:t>2、由于联合体各成员原因导致工程竣工验收未能通过的，联合体各成员应负责修复相应缺陷并承担相应的费用和责任。</w:t>
      </w:r>
    </w:p>
    <w:p w14:paraId="2537ED56">
      <w:pPr>
        <w:spacing w:after="120" w:line="440" w:lineRule="exact"/>
        <w:ind w:left="-567" w:firstLine="600"/>
        <w:jc w:val="left"/>
        <w:rPr>
          <w:rFonts w:ascii="仿宋" w:hAnsi="仿宋" w:eastAsia="仿宋"/>
          <w:sz w:val="30"/>
          <w:szCs w:val="30"/>
        </w:rPr>
      </w:pPr>
      <w:r>
        <w:rPr>
          <w:rFonts w:ascii="仿宋" w:hAnsi="仿宋" w:eastAsia="仿宋"/>
          <w:sz w:val="30"/>
          <w:szCs w:val="30"/>
        </w:rPr>
        <w:t>第七条 联合体各成员向联合体项目部在项目竣工验收之日提交完整的结算资料，按照合同约定的合同价款及结算方式，进行工程竣工结算。</w:t>
      </w:r>
    </w:p>
    <w:p w14:paraId="5234E14D">
      <w:pPr>
        <w:pStyle w:val="106"/>
        <w:numPr>
          <w:ilvl w:val="0"/>
          <w:numId w:val="0"/>
        </w:numPr>
        <w:spacing w:after="120"/>
        <w:jc w:val="center"/>
        <w:outlineLvl w:val="1"/>
        <w:rPr>
          <w:rFonts w:ascii="仿宋" w:hAnsi="仿宋" w:eastAsia="仿宋"/>
          <w:szCs w:val="24"/>
        </w:rPr>
      </w:pPr>
      <w:r>
        <w:rPr>
          <w:rFonts w:ascii="仿宋" w:hAnsi="仿宋" w:eastAsia="仿宋"/>
          <w:szCs w:val="24"/>
        </w:rPr>
        <w:br w:type="page"/>
      </w:r>
      <w:bookmarkStart w:id="1150" w:name="_Toc14198"/>
      <w:bookmarkStart w:id="1151" w:name="_Toc22266"/>
      <w:bookmarkStart w:id="1152" w:name="_Toc3676"/>
      <w:bookmarkStart w:id="1153" w:name="_Toc12331"/>
      <w:bookmarkStart w:id="1154" w:name="_Toc18941"/>
      <w:bookmarkStart w:id="1155" w:name="_Toc26232"/>
      <w:bookmarkStart w:id="1156" w:name="_Toc30884"/>
      <w:bookmarkStart w:id="1157" w:name="_Toc31008"/>
      <w:bookmarkStart w:id="1158" w:name="_Toc19195"/>
      <w:r>
        <w:rPr>
          <w:rFonts w:hint="eastAsia" w:ascii="仿宋" w:hAnsi="仿宋" w:eastAsia="仿宋" w:cs="仿宋"/>
          <w:b/>
          <w:bCs/>
          <w:sz w:val="32"/>
          <w:szCs w:val="32"/>
        </w:rPr>
        <w:t>附件</w:t>
      </w:r>
      <w:bookmarkEnd w:id="1150"/>
      <w:r>
        <w:rPr>
          <w:rFonts w:hint="eastAsia" w:ascii="仿宋" w:hAnsi="仿宋" w:eastAsia="仿宋" w:cs="仿宋"/>
          <w:b/>
          <w:bCs/>
          <w:sz w:val="32"/>
          <w:szCs w:val="32"/>
        </w:rPr>
        <w:t>16项目资料接受（移交）清单</w:t>
      </w:r>
      <w:bookmarkEnd w:id="1151"/>
      <w:bookmarkEnd w:id="1152"/>
      <w:bookmarkEnd w:id="1153"/>
      <w:bookmarkEnd w:id="1154"/>
      <w:bookmarkEnd w:id="1155"/>
      <w:bookmarkEnd w:id="1156"/>
      <w:bookmarkEnd w:id="1157"/>
      <w:bookmarkEnd w:id="1158"/>
    </w:p>
    <w:tbl>
      <w:tblPr>
        <w:tblStyle w:val="55"/>
        <w:tblW w:w="8890" w:type="dxa"/>
        <w:jc w:val="center"/>
        <w:tblLayout w:type="fixed"/>
        <w:tblCellMar>
          <w:top w:w="0" w:type="dxa"/>
          <w:left w:w="108" w:type="dxa"/>
          <w:bottom w:w="0" w:type="dxa"/>
          <w:right w:w="108" w:type="dxa"/>
        </w:tblCellMar>
      </w:tblPr>
      <w:tblGrid>
        <w:gridCol w:w="1074"/>
        <w:gridCol w:w="636"/>
        <w:gridCol w:w="1989"/>
        <w:gridCol w:w="1276"/>
        <w:gridCol w:w="1063"/>
        <w:gridCol w:w="1128"/>
        <w:gridCol w:w="596"/>
        <w:gridCol w:w="1128"/>
      </w:tblGrid>
      <w:tr w14:paraId="33E0FEA0">
        <w:tblPrEx>
          <w:tblCellMar>
            <w:top w:w="0" w:type="dxa"/>
            <w:left w:w="108" w:type="dxa"/>
            <w:bottom w:w="0" w:type="dxa"/>
            <w:right w:w="108" w:type="dxa"/>
          </w:tblCellMar>
        </w:tblPrEx>
        <w:trPr>
          <w:trHeight w:val="476" w:hRule="atLeast"/>
          <w:jc w:val="center"/>
        </w:trPr>
        <w:tc>
          <w:tcPr>
            <w:tcW w:w="8890" w:type="dxa"/>
            <w:gridSpan w:val="8"/>
            <w:tcBorders>
              <w:top w:val="nil"/>
              <w:left w:val="nil"/>
              <w:bottom w:val="nil"/>
              <w:right w:val="nil"/>
            </w:tcBorders>
            <w:vAlign w:val="center"/>
          </w:tcPr>
          <w:p w14:paraId="352F78F3">
            <w:pPr>
              <w:wordWrap/>
              <w:spacing w:after="120"/>
              <w:ind w:firstLine="0" w:firstLineChars="0"/>
              <w:jc w:val="left"/>
              <w:rPr>
                <w:rFonts w:ascii="仿宋" w:hAnsi="仿宋" w:eastAsia="仿宋" w:cs="仿宋"/>
                <w:b/>
                <w:bCs/>
                <w:sz w:val="30"/>
                <w:szCs w:val="30"/>
              </w:rPr>
            </w:pPr>
            <w:r>
              <w:rPr>
                <w:rFonts w:hint="eastAsia" w:ascii="仿宋" w:hAnsi="仿宋" w:eastAsia="仿宋" w:cs="仿宋"/>
                <w:sz w:val="30"/>
                <w:szCs w:val="30"/>
              </w:rPr>
              <w:t>格式1</w:t>
            </w:r>
          </w:p>
        </w:tc>
      </w:tr>
      <w:tr w14:paraId="49D70FD3">
        <w:tblPrEx>
          <w:tblCellMar>
            <w:top w:w="0" w:type="dxa"/>
            <w:left w:w="108" w:type="dxa"/>
            <w:bottom w:w="0" w:type="dxa"/>
            <w:right w:w="108" w:type="dxa"/>
          </w:tblCellMar>
        </w:tblPrEx>
        <w:trPr>
          <w:trHeight w:val="778" w:hRule="atLeast"/>
          <w:jc w:val="center"/>
        </w:trPr>
        <w:tc>
          <w:tcPr>
            <w:tcW w:w="8890" w:type="dxa"/>
            <w:gridSpan w:val="8"/>
            <w:tcBorders>
              <w:top w:val="nil"/>
              <w:left w:val="nil"/>
              <w:bottom w:val="nil"/>
              <w:right w:val="nil"/>
            </w:tcBorders>
            <w:vAlign w:val="center"/>
          </w:tcPr>
          <w:p w14:paraId="01347821">
            <w:pPr>
              <w:wordWrap/>
              <w:spacing w:after="120"/>
              <w:ind w:left="480" w:firstLine="0" w:firstLineChars="0"/>
              <w:jc w:val="center"/>
              <w:rPr>
                <w:rFonts w:ascii="仿宋" w:hAnsi="仿宋" w:eastAsia="仿宋" w:cs="仿宋"/>
                <w:b/>
                <w:bCs/>
                <w:kern w:val="2"/>
                <w:sz w:val="30"/>
                <w:szCs w:val="30"/>
              </w:rPr>
            </w:pPr>
            <w:r>
              <w:rPr>
                <w:rFonts w:hint="eastAsia" w:ascii="仿宋" w:hAnsi="仿宋" w:eastAsia="仿宋" w:cs="仿宋"/>
                <w:b/>
                <w:bCs/>
                <w:sz w:val="30"/>
                <w:szCs w:val="30"/>
              </w:rPr>
              <w:t>项目资料接受（移交）清单——概算</w:t>
            </w:r>
          </w:p>
        </w:tc>
      </w:tr>
      <w:tr w14:paraId="7AC5A234">
        <w:tblPrEx>
          <w:tblCellMar>
            <w:top w:w="0" w:type="dxa"/>
            <w:left w:w="108" w:type="dxa"/>
            <w:bottom w:w="0" w:type="dxa"/>
            <w:right w:w="108" w:type="dxa"/>
          </w:tblCellMar>
        </w:tblPrEx>
        <w:trPr>
          <w:trHeight w:val="492" w:hRule="atLeast"/>
          <w:jc w:val="center"/>
        </w:trPr>
        <w:tc>
          <w:tcPr>
            <w:tcW w:w="1710" w:type="dxa"/>
            <w:gridSpan w:val="2"/>
            <w:tcBorders>
              <w:top w:val="single" w:color="auto" w:sz="4" w:space="0"/>
              <w:left w:val="single" w:color="auto" w:sz="4" w:space="0"/>
              <w:bottom w:val="single" w:color="auto" w:sz="4" w:space="0"/>
              <w:right w:val="single" w:color="auto" w:sz="4" w:space="0"/>
            </w:tcBorders>
            <w:vAlign w:val="center"/>
          </w:tcPr>
          <w:p w14:paraId="7BE9A3D7">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项目名称</w:t>
            </w:r>
          </w:p>
        </w:tc>
        <w:tc>
          <w:tcPr>
            <w:tcW w:w="7180" w:type="dxa"/>
            <w:gridSpan w:val="6"/>
            <w:tcBorders>
              <w:top w:val="single" w:color="auto" w:sz="4" w:space="0"/>
              <w:left w:val="nil"/>
              <w:bottom w:val="single" w:color="auto" w:sz="4" w:space="0"/>
              <w:right w:val="single" w:color="auto" w:sz="4" w:space="0"/>
            </w:tcBorders>
            <w:vAlign w:val="center"/>
          </w:tcPr>
          <w:p w14:paraId="6E57909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688CC2D2">
        <w:tblPrEx>
          <w:tblCellMar>
            <w:top w:w="0" w:type="dxa"/>
            <w:left w:w="108" w:type="dxa"/>
            <w:bottom w:w="0" w:type="dxa"/>
            <w:right w:w="108" w:type="dxa"/>
          </w:tblCellMar>
        </w:tblPrEx>
        <w:trPr>
          <w:trHeight w:val="619" w:hRule="atLeast"/>
          <w:jc w:val="center"/>
        </w:trPr>
        <w:tc>
          <w:tcPr>
            <w:tcW w:w="1710" w:type="dxa"/>
            <w:gridSpan w:val="2"/>
            <w:tcBorders>
              <w:top w:val="single" w:color="auto" w:sz="4" w:space="0"/>
              <w:left w:val="single" w:color="auto" w:sz="4" w:space="0"/>
              <w:bottom w:val="single" w:color="auto" w:sz="4" w:space="0"/>
              <w:right w:val="single" w:color="auto" w:sz="4" w:space="0"/>
            </w:tcBorders>
            <w:vAlign w:val="center"/>
          </w:tcPr>
          <w:p w14:paraId="000A1EA9">
            <w:pPr>
              <w:wordWrap/>
              <w:spacing w:after="120"/>
              <w:ind w:firstLine="0" w:firstLineChars="0"/>
              <w:jc w:val="center"/>
              <w:rPr>
                <w:rFonts w:ascii="仿宋" w:hAnsi="仿宋" w:eastAsia="仿宋" w:cs="仿宋"/>
                <w:kern w:val="2"/>
                <w:sz w:val="30"/>
                <w:szCs w:val="30"/>
              </w:rPr>
            </w:pPr>
            <w:r>
              <w:rPr>
                <w:rFonts w:hint="eastAsia" w:ascii="仿宋" w:hAnsi="仿宋" w:eastAsia="仿宋" w:cs="仿宋"/>
                <w:sz w:val="30"/>
                <w:szCs w:val="30"/>
              </w:rPr>
              <w:t>建设单位</w:t>
            </w:r>
          </w:p>
        </w:tc>
        <w:tc>
          <w:tcPr>
            <w:tcW w:w="1989" w:type="dxa"/>
            <w:tcBorders>
              <w:top w:val="nil"/>
              <w:left w:val="nil"/>
              <w:bottom w:val="single" w:color="auto" w:sz="4" w:space="0"/>
              <w:right w:val="single" w:color="auto" w:sz="4" w:space="0"/>
            </w:tcBorders>
            <w:vAlign w:val="center"/>
          </w:tcPr>
          <w:p w14:paraId="2F6935A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6" w:type="dxa"/>
            <w:tcBorders>
              <w:top w:val="nil"/>
              <w:left w:val="nil"/>
              <w:bottom w:val="single" w:color="auto" w:sz="4" w:space="0"/>
              <w:right w:val="single" w:color="auto" w:sz="4" w:space="0"/>
            </w:tcBorders>
            <w:vAlign w:val="center"/>
          </w:tcPr>
          <w:p w14:paraId="2D7EB5D0">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联系人</w:t>
            </w:r>
          </w:p>
        </w:tc>
        <w:tc>
          <w:tcPr>
            <w:tcW w:w="1063" w:type="dxa"/>
            <w:tcBorders>
              <w:top w:val="nil"/>
              <w:left w:val="nil"/>
              <w:bottom w:val="single" w:color="auto" w:sz="4" w:space="0"/>
              <w:right w:val="single" w:color="auto" w:sz="4" w:space="0"/>
            </w:tcBorders>
            <w:vAlign w:val="center"/>
          </w:tcPr>
          <w:p w14:paraId="56F55B4A">
            <w:pPr>
              <w:wordWrap/>
              <w:spacing w:after="120"/>
              <w:ind w:left="480" w:firstLine="0" w:firstLineChars="0"/>
              <w:jc w:val="center"/>
              <w:rPr>
                <w:rFonts w:ascii="仿宋" w:hAnsi="仿宋" w:eastAsia="仿宋" w:cs="仿宋"/>
                <w:kern w:val="2"/>
                <w:sz w:val="30"/>
                <w:szCs w:val="30"/>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19A4CADA">
            <w:pPr>
              <w:wordWrap/>
              <w:spacing w:after="120"/>
              <w:ind w:left="480" w:firstLine="0" w:firstLineChars="0"/>
              <w:jc w:val="center"/>
              <w:rPr>
                <w:rFonts w:ascii="仿宋" w:hAnsi="仿宋" w:eastAsia="仿宋" w:cs="仿宋"/>
                <w:kern w:val="2"/>
                <w:sz w:val="30"/>
                <w:szCs w:val="30"/>
              </w:rPr>
            </w:pPr>
            <w:r>
              <w:rPr>
                <w:rFonts w:hint="eastAsia" w:ascii="仿宋" w:hAnsi="仿宋" w:eastAsia="仿宋" w:cs="仿宋"/>
                <w:sz w:val="30"/>
                <w:szCs w:val="30"/>
              </w:rPr>
              <w:t>电话</w:t>
            </w:r>
          </w:p>
        </w:tc>
        <w:tc>
          <w:tcPr>
            <w:tcW w:w="1724" w:type="dxa"/>
            <w:gridSpan w:val="2"/>
            <w:tcBorders>
              <w:top w:val="single" w:color="auto" w:sz="4" w:space="0"/>
              <w:left w:val="nil"/>
              <w:bottom w:val="single" w:color="auto" w:sz="4" w:space="0"/>
              <w:right w:val="single" w:color="000000" w:sz="4" w:space="0"/>
            </w:tcBorders>
            <w:vAlign w:val="center"/>
          </w:tcPr>
          <w:p w14:paraId="61427CE7">
            <w:pPr>
              <w:wordWrap/>
              <w:spacing w:after="120"/>
              <w:ind w:left="480" w:firstLine="0" w:firstLineChars="0"/>
              <w:jc w:val="center"/>
              <w:rPr>
                <w:rFonts w:ascii="仿宋" w:hAnsi="仿宋" w:eastAsia="仿宋" w:cs="仿宋"/>
                <w:kern w:val="2"/>
                <w:sz w:val="30"/>
                <w:szCs w:val="30"/>
              </w:rPr>
            </w:pPr>
            <w:r>
              <w:rPr>
                <w:rFonts w:hint="eastAsia" w:ascii="仿宋" w:hAnsi="仿宋" w:eastAsia="仿宋" w:cs="仿宋"/>
                <w:sz w:val="30"/>
                <w:szCs w:val="30"/>
              </w:rPr>
              <w:t>　</w:t>
            </w:r>
          </w:p>
        </w:tc>
      </w:tr>
      <w:tr w14:paraId="521B534D">
        <w:tblPrEx>
          <w:tblCellMar>
            <w:top w:w="0" w:type="dxa"/>
            <w:left w:w="108" w:type="dxa"/>
            <w:bottom w:w="0" w:type="dxa"/>
            <w:right w:w="108" w:type="dxa"/>
          </w:tblCellMar>
        </w:tblPrEx>
        <w:trPr>
          <w:trHeight w:val="619" w:hRule="atLeast"/>
          <w:jc w:val="center"/>
        </w:trPr>
        <w:tc>
          <w:tcPr>
            <w:tcW w:w="1710" w:type="dxa"/>
            <w:gridSpan w:val="2"/>
            <w:tcBorders>
              <w:top w:val="single" w:color="auto" w:sz="4" w:space="0"/>
              <w:left w:val="single" w:color="auto" w:sz="4" w:space="0"/>
              <w:bottom w:val="single" w:color="auto" w:sz="4" w:space="0"/>
              <w:right w:val="single" w:color="auto" w:sz="4" w:space="0"/>
            </w:tcBorders>
            <w:vAlign w:val="center"/>
          </w:tcPr>
          <w:p w14:paraId="613334DB">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施工单位</w:t>
            </w:r>
          </w:p>
        </w:tc>
        <w:tc>
          <w:tcPr>
            <w:tcW w:w="1989" w:type="dxa"/>
            <w:tcBorders>
              <w:top w:val="nil"/>
              <w:left w:val="nil"/>
              <w:bottom w:val="single" w:color="auto" w:sz="4" w:space="0"/>
              <w:right w:val="single" w:color="auto" w:sz="4" w:space="0"/>
            </w:tcBorders>
            <w:vAlign w:val="center"/>
          </w:tcPr>
          <w:p w14:paraId="61BC718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6" w:type="dxa"/>
            <w:tcBorders>
              <w:top w:val="nil"/>
              <w:left w:val="nil"/>
              <w:bottom w:val="single" w:color="auto" w:sz="4" w:space="0"/>
              <w:right w:val="single" w:color="auto" w:sz="4" w:space="0"/>
            </w:tcBorders>
            <w:vAlign w:val="center"/>
          </w:tcPr>
          <w:p w14:paraId="38B7059C">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联系人</w:t>
            </w:r>
          </w:p>
        </w:tc>
        <w:tc>
          <w:tcPr>
            <w:tcW w:w="1063" w:type="dxa"/>
            <w:tcBorders>
              <w:top w:val="nil"/>
              <w:left w:val="nil"/>
              <w:bottom w:val="single" w:color="auto" w:sz="4" w:space="0"/>
              <w:right w:val="single" w:color="auto" w:sz="4" w:space="0"/>
            </w:tcBorders>
            <w:vAlign w:val="center"/>
          </w:tcPr>
          <w:p w14:paraId="7CE8E101">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1AF811BB">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电话</w:t>
            </w:r>
          </w:p>
        </w:tc>
        <w:tc>
          <w:tcPr>
            <w:tcW w:w="1724" w:type="dxa"/>
            <w:gridSpan w:val="2"/>
            <w:tcBorders>
              <w:top w:val="single" w:color="auto" w:sz="4" w:space="0"/>
              <w:left w:val="nil"/>
              <w:bottom w:val="single" w:color="auto" w:sz="4" w:space="0"/>
              <w:right w:val="single" w:color="000000" w:sz="4" w:space="0"/>
            </w:tcBorders>
            <w:vAlign w:val="center"/>
          </w:tcPr>
          <w:p w14:paraId="54FB480C">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2D5B75D8">
        <w:tblPrEx>
          <w:tblCellMar>
            <w:top w:w="0" w:type="dxa"/>
            <w:left w:w="108" w:type="dxa"/>
            <w:bottom w:w="0" w:type="dxa"/>
            <w:right w:w="108" w:type="dxa"/>
          </w:tblCellMar>
        </w:tblPrEx>
        <w:trPr>
          <w:trHeight w:val="492" w:hRule="atLeast"/>
          <w:jc w:val="center"/>
        </w:trPr>
        <w:tc>
          <w:tcPr>
            <w:tcW w:w="1074" w:type="dxa"/>
            <w:vMerge w:val="restart"/>
            <w:tcBorders>
              <w:top w:val="nil"/>
              <w:left w:val="single" w:color="auto" w:sz="4" w:space="0"/>
              <w:bottom w:val="single" w:color="auto" w:sz="4" w:space="0"/>
              <w:right w:val="single" w:color="auto" w:sz="4" w:space="0"/>
            </w:tcBorders>
            <w:textDirection w:val="tbRlV"/>
            <w:vAlign w:val="center"/>
          </w:tcPr>
          <w:p w14:paraId="73581B69">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序号</w:t>
            </w:r>
          </w:p>
        </w:tc>
        <w:tc>
          <w:tcPr>
            <w:tcW w:w="2625" w:type="dxa"/>
            <w:gridSpan w:val="2"/>
            <w:vMerge w:val="restart"/>
            <w:tcBorders>
              <w:top w:val="single" w:color="auto" w:sz="4" w:space="0"/>
              <w:left w:val="single" w:color="auto" w:sz="4" w:space="0"/>
              <w:bottom w:val="single" w:color="auto" w:sz="4" w:space="0"/>
              <w:right w:val="single" w:color="auto" w:sz="4" w:space="0"/>
            </w:tcBorders>
            <w:vAlign w:val="center"/>
          </w:tcPr>
          <w:p w14:paraId="63D30DBD">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资料名称</w:t>
            </w:r>
          </w:p>
        </w:tc>
        <w:tc>
          <w:tcPr>
            <w:tcW w:w="1276" w:type="dxa"/>
            <w:vMerge w:val="restart"/>
            <w:tcBorders>
              <w:top w:val="nil"/>
              <w:left w:val="single" w:color="auto" w:sz="4" w:space="0"/>
              <w:bottom w:val="single" w:color="auto" w:sz="4" w:space="0"/>
              <w:right w:val="single" w:color="auto" w:sz="4" w:space="0"/>
            </w:tcBorders>
            <w:vAlign w:val="center"/>
          </w:tcPr>
          <w:p w14:paraId="35C5DDAB">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单位</w:t>
            </w:r>
          </w:p>
        </w:tc>
        <w:tc>
          <w:tcPr>
            <w:tcW w:w="1063" w:type="dxa"/>
            <w:vMerge w:val="restart"/>
            <w:tcBorders>
              <w:top w:val="nil"/>
              <w:left w:val="single" w:color="auto" w:sz="4" w:space="0"/>
              <w:bottom w:val="single" w:color="auto" w:sz="4" w:space="0"/>
              <w:right w:val="single" w:color="auto" w:sz="4" w:space="0"/>
            </w:tcBorders>
            <w:vAlign w:val="center"/>
          </w:tcPr>
          <w:p w14:paraId="547A7311">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数量</w:t>
            </w:r>
          </w:p>
        </w:tc>
        <w:tc>
          <w:tcPr>
            <w:tcW w:w="1724" w:type="dxa"/>
            <w:gridSpan w:val="2"/>
            <w:tcBorders>
              <w:top w:val="single" w:color="auto" w:sz="4" w:space="0"/>
              <w:left w:val="nil"/>
              <w:bottom w:val="single" w:color="auto" w:sz="4" w:space="0"/>
              <w:right w:val="single" w:color="auto" w:sz="4" w:space="0"/>
            </w:tcBorders>
            <w:vAlign w:val="center"/>
          </w:tcPr>
          <w:p w14:paraId="3983C427">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是否原件</w:t>
            </w:r>
          </w:p>
        </w:tc>
        <w:tc>
          <w:tcPr>
            <w:tcW w:w="1128" w:type="dxa"/>
            <w:vMerge w:val="restart"/>
            <w:tcBorders>
              <w:top w:val="nil"/>
              <w:left w:val="single" w:color="auto" w:sz="4" w:space="0"/>
              <w:bottom w:val="single" w:color="000000" w:sz="4" w:space="0"/>
              <w:right w:val="single" w:color="auto" w:sz="4" w:space="0"/>
            </w:tcBorders>
            <w:vAlign w:val="center"/>
          </w:tcPr>
          <w:p w14:paraId="008AB9C0">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备注</w:t>
            </w:r>
          </w:p>
        </w:tc>
      </w:tr>
      <w:tr w14:paraId="58BC5E6D">
        <w:tblPrEx>
          <w:tblCellMar>
            <w:top w:w="0" w:type="dxa"/>
            <w:left w:w="108" w:type="dxa"/>
            <w:bottom w:w="0" w:type="dxa"/>
            <w:right w:w="108" w:type="dxa"/>
          </w:tblCellMar>
        </w:tblPrEx>
        <w:trPr>
          <w:trHeight w:val="492" w:hRule="atLeast"/>
          <w:jc w:val="center"/>
        </w:trPr>
        <w:tc>
          <w:tcPr>
            <w:tcW w:w="1074" w:type="dxa"/>
            <w:vMerge w:val="continue"/>
            <w:tcBorders>
              <w:top w:val="nil"/>
              <w:left w:val="single" w:color="auto" w:sz="4" w:space="0"/>
              <w:bottom w:val="single" w:color="auto" w:sz="4" w:space="0"/>
              <w:right w:val="single" w:color="auto" w:sz="4" w:space="0"/>
            </w:tcBorders>
            <w:vAlign w:val="center"/>
          </w:tcPr>
          <w:p w14:paraId="6B62916D">
            <w:pPr>
              <w:wordWrap/>
              <w:spacing w:after="120"/>
              <w:ind w:firstLine="0" w:firstLineChars="0"/>
              <w:jc w:val="left"/>
              <w:rPr>
                <w:rFonts w:ascii="仿宋" w:hAnsi="仿宋" w:eastAsia="仿宋" w:cs="仿宋"/>
                <w:sz w:val="30"/>
                <w:szCs w:val="30"/>
              </w:rPr>
            </w:pPr>
          </w:p>
        </w:tc>
        <w:tc>
          <w:tcPr>
            <w:tcW w:w="2625" w:type="dxa"/>
            <w:gridSpan w:val="2"/>
            <w:vMerge w:val="continue"/>
            <w:tcBorders>
              <w:top w:val="single" w:color="auto" w:sz="4" w:space="0"/>
              <w:left w:val="single" w:color="auto" w:sz="4" w:space="0"/>
              <w:bottom w:val="single" w:color="auto" w:sz="4" w:space="0"/>
              <w:right w:val="single" w:color="auto" w:sz="4" w:space="0"/>
            </w:tcBorders>
            <w:vAlign w:val="center"/>
          </w:tcPr>
          <w:p w14:paraId="08D2D2AF">
            <w:pPr>
              <w:wordWrap/>
              <w:spacing w:after="120"/>
              <w:ind w:firstLine="0" w:firstLineChars="0"/>
              <w:jc w:val="left"/>
              <w:rPr>
                <w:rFonts w:ascii="仿宋" w:hAnsi="仿宋" w:eastAsia="仿宋" w:cs="仿宋"/>
                <w:sz w:val="30"/>
                <w:szCs w:val="30"/>
              </w:rPr>
            </w:pPr>
          </w:p>
        </w:tc>
        <w:tc>
          <w:tcPr>
            <w:tcW w:w="1276" w:type="dxa"/>
            <w:vMerge w:val="continue"/>
            <w:tcBorders>
              <w:top w:val="nil"/>
              <w:left w:val="single" w:color="auto" w:sz="4" w:space="0"/>
              <w:bottom w:val="single" w:color="auto" w:sz="4" w:space="0"/>
              <w:right w:val="single" w:color="auto" w:sz="4" w:space="0"/>
            </w:tcBorders>
            <w:vAlign w:val="center"/>
          </w:tcPr>
          <w:p w14:paraId="30E76245">
            <w:pPr>
              <w:wordWrap/>
              <w:spacing w:after="120"/>
              <w:ind w:firstLine="0" w:firstLineChars="0"/>
              <w:jc w:val="left"/>
              <w:rPr>
                <w:rFonts w:ascii="仿宋" w:hAnsi="仿宋" w:eastAsia="仿宋" w:cs="仿宋"/>
                <w:sz w:val="30"/>
                <w:szCs w:val="30"/>
              </w:rPr>
            </w:pPr>
          </w:p>
        </w:tc>
        <w:tc>
          <w:tcPr>
            <w:tcW w:w="1063" w:type="dxa"/>
            <w:vMerge w:val="continue"/>
            <w:tcBorders>
              <w:top w:val="nil"/>
              <w:left w:val="single" w:color="auto" w:sz="4" w:space="0"/>
              <w:bottom w:val="single" w:color="auto" w:sz="4" w:space="0"/>
              <w:right w:val="single" w:color="auto" w:sz="4" w:space="0"/>
            </w:tcBorders>
            <w:vAlign w:val="center"/>
          </w:tcPr>
          <w:p w14:paraId="1BE7CEE7">
            <w:pPr>
              <w:wordWrap/>
              <w:spacing w:after="120"/>
              <w:ind w:firstLine="0" w:firstLineChars="0"/>
              <w:jc w:val="left"/>
              <w:rPr>
                <w:rFonts w:ascii="仿宋" w:hAnsi="仿宋" w:eastAsia="仿宋" w:cs="仿宋"/>
                <w:sz w:val="30"/>
                <w:szCs w:val="30"/>
              </w:rPr>
            </w:pPr>
          </w:p>
        </w:tc>
        <w:tc>
          <w:tcPr>
            <w:tcW w:w="1128" w:type="dxa"/>
            <w:tcBorders>
              <w:top w:val="nil"/>
              <w:left w:val="nil"/>
              <w:bottom w:val="single" w:color="auto" w:sz="4" w:space="0"/>
              <w:right w:val="single" w:color="auto" w:sz="4" w:space="0"/>
            </w:tcBorders>
            <w:vAlign w:val="center"/>
          </w:tcPr>
          <w:p w14:paraId="2B8D2FE8">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是</w:t>
            </w:r>
          </w:p>
        </w:tc>
        <w:tc>
          <w:tcPr>
            <w:tcW w:w="596" w:type="dxa"/>
            <w:tcBorders>
              <w:top w:val="nil"/>
              <w:left w:val="nil"/>
              <w:bottom w:val="single" w:color="auto" w:sz="4" w:space="0"/>
              <w:right w:val="single" w:color="auto" w:sz="4" w:space="0"/>
            </w:tcBorders>
            <w:vAlign w:val="center"/>
          </w:tcPr>
          <w:p w14:paraId="63D8EE5F">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否</w:t>
            </w:r>
          </w:p>
        </w:tc>
        <w:tc>
          <w:tcPr>
            <w:tcW w:w="1128" w:type="dxa"/>
            <w:vMerge w:val="continue"/>
            <w:tcBorders>
              <w:top w:val="nil"/>
              <w:left w:val="single" w:color="auto" w:sz="4" w:space="0"/>
              <w:bottom w:val="single" w:color="000000" w:sz="4" w:space="0"/>
              <w:right w:val="single" w:color="auto" w:sz="4" w:space="0"/>
            </w:tcBorders>
            <w:vAlign w:val="center"/>
          </w:tcPr>
          <w:p w14:paraId="12E4A2ED">
            <w:pPr>
              <w:wordWrap/>
              <w:spacing w:after="120"/>
              <w:ind w:firstLine="0" w:firstLineChars="0"/>
              <w:jc w:val="left"/>
              <w:rPr>
                <w:rFonts w:ascii="仿宋" w:hAnsi="仿宋" w:eastAsia="仿宋" w:cs="仿宋"/>
                <w:sz w:val="30"/>
                <w:szCs w:val="30"/>
              </w:rPr>
            </w:pPr>
          </w:p>
        </w:tc>
      </w:tr>
      <w:tr w14:paraId="7DCD1138">
        <w:tblPrEx>
          <w:tblCellMar>
            <w:top w:w="0" w:type="dxa"/>
            <w:left w:w="108" w:type="dxa"/>
            <w:bottom w:w="0" w:type="dxa"/>
            <w:right w:w="108" w:type="dxa"/>
          </w:tblCellMar>
        </w:tblPrEx>
        <w:trPr>
          <w:trHeight w:val="858" w:hRule="atLeast"/>
          <w:jc w:val="center"/>
        </w:trPr>
        <w:tc>
          <w:tcPr>
            <w:tcW w:w="1074" w:type="dxa"/>
            <w:tcBorders>
              <w:top w:val="nil"/>
              <w:left w:val="single" w:color="auto" w:sz="4" w:space="0"/>
              <w:bottom w:val="single" w:color="auto" w:sz="4" w:space="0"/>
              <w:right w:val="single" w:color="auto" w:sz="4" w:space="0"/>
            </w:tcBorders>
            <w:vAlign w:val="center"/>
          </w:tcPr>
          <w:p w14:paraId="799416CE">
            <w:pPr>
              <w:wordWrap/>
              <w:spacing w:after="120"/>
              <w:ind w:firstLine="600"/>
              <w:rPr>
                <w:rFonts w:ascii="仿宋" w:hAnsi="仿宋" w:eastAsia="仿宋" w:cs="仿宋"/>
                <w:kern w:val="2"/>
                <w:sz w:val="30"/>
                <w:szCs w:val="30"/>
              </w:rPr>
            </w:pPr>
            <w:r>
              <w:rPr>
                <w:rFonts w:hint="eastAsia" w:ascii="仿宋" w:hAnsi="仿宋" w:eastAsia="仿宋" w:cs="仿宋"/>
                <w:sz w:val="30"/>
                <w:szCs w:val="30"/>
              </w:rPr>
              <w:t>1</w:t>
            </w:r>
          </w:p>
        </w:tc>
        <w:tc>
          <w:tcPr>
            <w:tcW w:w="2625" w:type="dxa"/>
            <w:gridSpan w:val="2"/>
            <w:tcBorders>
              <w:top w:val="single" w:color="auto" w:sz="4" w:space="0"/>
              <w:left w:val="nil"/>
              <w:bottom w:val="single" w:color="auto" w:sz="4" w:space="0"/>
              <w:right w:val="single" w:color="auto" w:sz="4" w:space="0"/>
            </w:tcBorders>
            <w:vAlign w:val="center"/>
          </w:tcPr>
          <w:p w14:paraId="64B5BB7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项目建议书或可行性研究报告</w:t>
            </w:r>
          </w:p>
        </w:tc>
        <w:tc>
          <w:tcPr>
            <w:tcW w:w="1276" w:type="dxa"/>
            <w:tcBorders>
              <w:top w:val="nil"/>
              <w:left w:val="nil"/>
              <w:bottom w:val="single" w:color="auto" w:sz="4" w:space="0"/>
              <w:right w:val="single" w:color="auto" w:sz="4" w:space="0"/>
            </w:tcBorders>
            <w:vAlign w:val="center"/>
          </w:tcPr>
          <w:p w14:paraId="770F9AC3">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0955F66A">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0767447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43FFADA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3ED3CEB2">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0E02A16E">
        <w:tblPrEx>
          <w:tblCellMar>
            <w:top w:w="0" w:type="dxa"/>
            <w:left w:w="108" w:type="dxa"/>
            <w:bottom w:w="0" w:type="dxa"/>
            <w:right w:w="108" w:type="dxa"/>
          </w:tblCellMar>
        </w:tblPrEx>
        <w:trPr>
          <w:trHeight w:val="762" w:hRule="atLeast"/>
          <w:jc w:val="center"/>
        </w:trPr>
        <w:tc>
          <w:tcPr>
            <w:tcW w:w="1074" w:type="dxa"/>
            <w:tcBorders>
              <w:top w:val="nil"/>
              <w:left w:val="single" w:color="auto" w:sz="4" w:space="0"/>
              <w:bottom w:val="single" w:color="auto" w:sz="4" w:space="0"/>
              <w:right w:val="single" w:color="auto" w:sz="4" w:space="0"/>
            </w:tcBorders>
            <w:vAlign w:val="center"/>
          </w:tcPr>
          <w:p w14:paraId="5F45AAE2">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2</w:t>
            </w:r>
          </w:p>
        </w:tc>
        <w:tc>
          <w:tcPr>
            <w:tcW w:w="2625" w:type="dxa"/>
            <w:gridSpan w:val="2"/>
            <w:tcBorders>
              <w:top w:val="single" w:color="auto" w:sz="4" w:space="0"/>
              <w:left w:val="nil"/>
              <w:bottom w:val="single" w:color="auto" w:sz="4" w:space="0"/>
              <w:right w:val="single" w:color="auto" w:sz="4" w:space="0"/>
            </w:tcBorders>
            <w:vAlign w:val="center"/>
          </w:tcPr>
          <w:p w14:paraId="4587AA5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项目主管部门对概算的批文</w:t>
            </w:r>
          </w:p>
        </w:tc>
        <w:tc>
          <w:tcPr>
            <w:tcW w:w="1276" w:type="dxa"/>
            <w:tcBorders>
              <w:top w:val="nil"/>
              <w:left w:val="nil"/>
              <w:bottom w:val="single" w:color="auto" w:sz="4" w:space="0"/>
              <w:right w:val="single" w:color="auto" w:sz="4" w:space="0"/>
            </w:tcBorders>
            <w:vAlign w:val="center"/>
          </w:tcPr>
          <w:p w14:paraId="3732BFA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1478B19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54A2D14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558DD70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29EF202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0E984EDF">
        <w:tblPrEx>
          <w:tblCellMar>
            <w:top w:w="0" w:type="dxa"/>
            <w:left w:w="108" w:type="dxa"/>
            <w:bottom w:w="0" w:type="dxa"/>
            <w:right w:w="108" w:type="dxa"/>
          </w:tblCellMar>
        </w:tblPrEx>
        <w:trPr>
          <w:trHeight w:val="682" w:hRule="atLeast"/>
          <w:jc w:val="center"/>
        </w:trPr>
        <w:tc>
          <w:tcPr>
            <w:tcW w:w="1074" w:type="dxa"/>
            <w:tcBorders>
              <w:top w:val="nil"/>
              <w:left w:val="single" w:color="auto" w:sz="4" w:space="0"/>
              <w:bottom w:val="single" w:color="auto" w:sz="4" w:space="0"/>
              <w:right w:val="single" w:color="auto" w:sz="4" w:space="0"/>
            </w:tcBorders>
            <w:vAlign w:val="center"/>
          </w:tcPr>
          <w:p w14:paraId="67030215">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3</w:t>
            </w:r>
          </w:p>
        </w:tc>
        <w:tc>
          <w:tcPr>
            <w:tcW w:w="2625" w:type="dxa"/>
            <w:gridSpan w:val="2"/>
            <w:tcBorders>
              <w:top w:val="single" w:color="auto" w:sz="4" w:space="0"/>
              <w:left w:val="nil"/>
              <w:bottom w:val="single" w:color="auto" w:sz="4" w:space="0"/>
              <w:right w:val="single" w:color="auto" w:sz="4" w:space="0"/>
            </w:tcBorders>
            <w:vAlign w:val="center"/>
          </w:tcPr>
          <w:p w14:paraId="54ECCBA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初步设计资料或总体设计、初步设计图纸</w:t>
            </w:r>
          </w:p>
        </w:tc>
        <w:tc>
          <w:tcPr>
            <w:tcW w:w="1276" w:type="dxa"/>
            <w:tcBorders>
              <w:top w:val="nil"/>
              <w:left w:val="nil"/>
              <w:bottom w:val="single" w:color="auto" w:sz="4" w:space="0"/>
              <w:right w:val="single" w:color="auto" w:sz="4" w:space="0"/>
            </w:tcBorders>
            <w:vAlign w:val="center"/>
          </w:tcPr>
          <w:p w14:paraId="053B1EE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1080986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0E3795CB">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7D84F97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1D2400F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7BF6BBAE">
        <w:tblPrEx>
          <w:tblCellMar>
            <w:top w:w="0" w:type="dxa"/>
            <w:left w:w="108" w:type="dxa"/>
            <w:bottom w:w="0" w:type="dxa"/>
            <w:right w:w="108" w:type="dxa"/>
          </w:tblCellMar>
        </w:tblPrEx>
        <w:trPr>
          <w:trHeight w:val="730" w:hRule="atLeast"/>
          <w:jc w:val="center"/>
        </w:trPr>
        <w:tc>
          <w:tcPr>
            <w:tcW w:w="1074" w:type="dxa"/>
            <w:tcBorders>
              <w:top w:val="nil"/>
              <w:left w:val="single" w:color="auto" w:sz="4" w:space="0"/>
              <w:bottom w:val="single" w:color="auto" w:sz="4" w:space="0"/>
              <w:right w:val="single" w:color="auto" w:sz="4" w:space="0"/>
            </w:tcBorders>
            <w:vAlign w:val="center"/>
          </w:tcPr>
          <w:p w14:paraId="1CE6A4C8">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4</w:t>
            </w:r>
          </w:p>
        </w:tc>
        <w:tc>
          <w:tcPr>
            <w:tcW w:w="2625" w:type="dxa"/>
            <w:gridSpan w:val="2"/>
            <w:tcBorders>
              <w:top w:val="single" w:color="auto" w:sz="4" w:space="0"/>
              <w:left w:val="nil"/>
              <w:bottom w:val="single" w:color="auto" w:sz="4" w:space="0"/>
              <w:right w:val="single" w:color="auto" w:sz="4" w:space="0"/>
            </w:tcBorders>
            <w:vAlign w:val="center"/>
          </w:tcPr>
          <w:p w14:paraId="3FA46F7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工程量说明或设计报告及其电子版</w:t>
            </w:r>
          </w:p>
        </w:tc>
        <w:tc>
          <w:tcPr>
            <w:tcW w:w="1276" w:type="dxa"/>
            <w:tcBorders>
              <w:top w:val="nil"/>
              <w:left w:val="nil"/>
              <w:bottom w:val="single" w:color="auto" w:sz="4" w:space="0"/>
              <w:right w:val="single" w:color="auto" w:sz="4" w:space="0"/>
            </w:tcBorders>
            <w:vAlign w:val="center"/>
          </w:tcPr>
          <w:p w14:paraId="187AAAD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2CD9F99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264413E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7577100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221282E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49090C1A">
        <w:tblPrEx>
          <w:tblCellMar>
            <w:top w:w="0" w:type="dxa"/>
            <w:left w:w="108" w:type="dxa"/>
            <w:bottom w:w="0" w:type="dxa"/>
            <w:right w:w="108" w:type="dxa"/>
          </w:tblCellMar>
        </w:tblPrEx>
        <w:trPr>
          <w:trHeight w:val="572" w:hRule="atLeast"/>
          <w:jc w:val="center"/>
        </w:trPr>
        <w:tc>
          <w:tcPr>
            <w:tcW w:w="1074" w:type="dxa"/>
            <w:tcBorders>
              <w:top w:val="nil"/>
              <w:left w:val="single" w:color="auto" w:sz="4" w:space="0"/>
              <w:bottom w:val="single" w:color="auto" w:sz="4" w:space="0"/>
              <w:right w:val="single" w:color="auto" w:sz="4" w:space="0"/>
            </w:tcBorders>
            <w:vAlign w:val="center"/>
          </w:tcPr>
          <w:p w14:paraId="2FC81332">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5</w:t>
            </w:r>
          </w:p>
        </w:tc>
        <w:tc>
          <w:tcPr>
            <w:tcW w:w="2625" w:type="dxa"/>
            <w:gridSpan w:val="2"/>
            <w:tcBorders>
              <w:top w:val="single" w:color="auto" w:sz="4" w:space="0"/>
              <w:left w:val="nil"/>
              <w:bottom w:val="single" w:color="auto" w:sz="4" w:space="0"/>
              <w:right w:val="single" w:color="auto" w:sz="4" w:space="0"/>
            </w:tcBorders>
            <w:vAlign w:val="center"/>
          </w:tcPr>
          <w:p w14:paraId="57A4044F">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概算书及其电子文档</w:t>
            </w:r>
          </w:p>
        </w:tc>
        <w:tc>
          <w:tcPr>
            <w:tcW w:w="1276" w:type="dxa"/>
            <w:tcBorders>
              <w:top w:val="nil"/>
              <w:left w:val="nil"/>
              <w:bottom w:val="single" w:color="auto" w:sz="4" w:space="0"/>
              <w:right w:val="single" w:color="auto" w:sz="4" w:space="0"/>
            </w:tcBorders>
            <w:vAlign w:val="center"/>
          </w:tcPr>
          <w:p w14:paraId="04A1143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743CFF0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4D1CFDFF">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3940978F">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27F3330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5C88B0F7">
        <w:tblPrEx>
          <w:tblCellMar>
            <w:top w:w="0" w:type="dxa"/>
            <w:left w:w="108" w:type="dxa"/>
            <w:bottom w:w="0" w:type="dxa"/>
            <w:right w:w="108" w:type="dxa"/>
          </w:tblCellMar>
        </w:tblPrEx>
        <w:trPr>
          <w:trHeight w:val="730" w:hRule="atLeast"/>
          <w:jc w:val="center"/>
        </w:trPr>
        <w:tc>
          <w:tcPr>
            <w:tcW w:w="1074" w:type="dxa"/>
            <w:tcBorders>
              <w:top w:val="nil"/>
              <w:left w:val="single" w:color="auto" w:sz="4" w:space="0"/>
              <w:bottom w:val="single" w:color="auto" w:sz="4" w:space="0"/>
              <w:right w:val="single" w:color="auto" w:sz="4" w:space="0"/>
            </w:tcBorders>
            <w:vAlign w:val="center"/>
          </w:tcPr>
          <w:p w14:paraId="2870FC54">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6</w:t>
            </w:r>
          </w:p>
        </w:tc>
        <w:tc>
          <w:tcPr>
            <w:tcW w:w="2625" w:type="dxa"/>
            <w:gridSpan w:val="2"/>
            <w:tcBorders>
              <w:top w:val="single" w:color="auto" w:sz="4" w:space="0"/>
              <w:left w:val="nil"/>
              <w:bottom w:val="single" w:color="auto" w:sz="4" w:space="0"/>
              <w:right w:val="single" w:color="auto" w:sz="4" w:space="0"/>
            </w:tcBorders>
            <w:vAlign w:val="center"/>
          </w:tcPr>
          <w:p w14:paraId="005DED5B">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计划主管部门核发的基本建设投资计划</w:t>
            </w:r>
          </w:p>
        </w:tc>
        <w:tc>
          <w:tcPr>
            <w:tcW w:w="1276" w:type="dxa"/>
            <w:tcBorders>
              <w:top w:val="nil"/>
              <w:left w:val="nil"/>
              <w:bottom w:val="single" w:color="auto" w:sz="4" w:space="0"/>
              <w:right w:val="single" w:color="auto" w:sz="4" w:space="0"/>
            </w:tcBorders>
            <w:vAlign w:val="center"/>
          </w:tcPr>
          <w:p w14:paraId="20D01E7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1946955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40EB601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3CFCB61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6BC16271">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20E7C7A6">
        <w:tblPrEx>
          <w:tblCellMar>
            <w:top w:w="0" w:type="dxa"/>
            <w:left w:w="108" w:type="dxa"/>
            <w:bottom w:w="0" w:type="dxa"/>
            <w:right w:w="108" w:type="dxa"/>
          </w:tblCellMar>
        </w:tblPrEx>
        <w:trPr>
          <w:trHeight w:val="492" w:hRule="atLeast"/>
          <w:jc w:val="center"/>
        </w:trPr>
        <w:tc>
          <w:tcPr>
            <w:tcW w:w="1074" w:type="dxa"/>
            <w:tcBorders>
              <w:top w:val="nil"/>
              <w:left w:val="single" w:color="auto" w:sz="4" w:space="0"/>
              <w:bottom w:val="single" w:color="auto" w:sz="4" w:space="0"/>
              <w:right w:val="single" w:color="auto" w:sz="4" w:space="0"/>
            </w:tcBorders>
            <w:vAlign w:val="center"/>
          </w:tcPr>
          <w:p w14:paraId="38CA3189">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7</w:t>
            </w:r>
          </w:p>
        </w:tc>
        <w:tc>
          <w:tcPr>
            <w:tcW w:w="2625" w:type="dxa"/>
            <w:gridSpan w:val="2"/>
            <w:tcBorders>
              <w:top w:val="single" w:color="auto" w:sz="4" w:space="0"/>
              <w:left w:val="nil"/>
              <w:bottom w:val="single" w:color="auto" w:sz="4" w:space="0"/>
              <w:right w:val="single" w:color="auto" w:sz="4" w:space="0"/>
            </w:tcBorders>
            <w:vAlign w:val="center"/>
          </w:tcPr>
          <w:p w14:paraId="4D7007C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设备市场价格</w:t>
            </w:r>
          </w:p>
        </w:tc>
        <w:tc>
          <w:tcPr>
            <w:tcW w:w="1276" w:type="dxa"/>
            <w:tcBorders>
              <w:top w:val="nil"/>
              <w:left w:val="nil"/>
              <w:bottom w:val="single" w:color="auto" w:sz="4" w:space="0"/>
              <w:right w:val="single" w:color="auto" w:sz="4" w:space="0"/>
            </w:tcBorders>
            <w:vAlign w:val="center"/>
          </w:tcPr>
          <w:p w14:paraId="5A990F7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03D9471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0F7A8C6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456EECD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3FE2632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26DDB8D7">
        <w:tblPrEx>
          <w:tblCellMar>
            <w:top w:w="0" w:type="dxa"/>
            <w:left w:w="108" w:type="dxa"/>
            <w:bottom w:w="0" w:type="dxa"/>
            <w:right w:w="108" w:type="dxa"/>
          </w:tblCellMar>
        </w:tblPrEx>
        <w:trPr>
          <w:trHeight w:val="682" w:hRule="atLeast"/>
          <w:jc w:val="center"/>
        </w:trPr>
        <w:tc>
          <w:tcPr>
            <w:tcW w:w="1074" w:type="dxa"/>
            <w:tcBorders>
              <w:top w:val="nil"/>
              <w:left w:val="single" w:color="auto" w:sz="4" w:space="0"/>
              <w:bottom w:val="single" w:color="auto" w:sz="4" w:space="0"/>
              <w:right w:val="single" w:color="auto" w:sz="4" w:space="0"/>
            </w:tcBorders>
            <w:vAlign w:val="center"/>
          </w:tcPr>
          <w:p w14:paraId="5A349836">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8</w:t>
            </w:r>
          </w:p>
        </w:tc>
        <w:tc>
          <w:tcPr>
            <w:tcW w:w="2625" w:type="dxa"/>
            <w:gridSpan w:val="2"/>
            <w:tcBorders>
              <w:top w:val="single" w:color="auto" w:sz="4" w:space="0"/>
              <w:left w:val="nil"/>
              <w:bottom w:val="single" w:color="auto" w:sz="4" w:space="0"/>
              <w:right w:val="single" w:color="auto" w:sz="4" w:space="0"/>
            </w:tcBorders>
            <w:vAlign w:val="center"/>
          </w:tcPr>
          <w:p w14:paraId="2E41B37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建设地区自然、技术经济条件</w:t>
            </w:r>
          </w:p>
        </w:tc>
        <w:tc>
          <w:tcPr>
            <w:tcW w:w="1276" w:type="dxa"/>
            <w:tcBorders>
              <w:top w:val="nil"/>
              <w:left w:val="nil"/>
              <w:bottom w:val="single" w:color="auto" w:sz="4" w:space="0"/>
              <w:right w:val="single" w:color="auto" w:sz="4" w:space="0"/>
            </w:tcBorders>
            <w:vAlign w:val="center"/>
          </w:tcPr>
          <w:p w14:paraId="029F026F">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53DECE8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6335D87B">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015C2967">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442D0CE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7D1F41A2">
        <w:tblPrEx>
          <w:tblCellMar>
            <w:top w:w="0" w:type="dxa"/>
            <w:left w:w="108" w:type="dxa"/>
            <w:bottom w:w="0" w:type="dxa"/>
            <w:right w:w="108" w:type="dxa"/>
          </w:tblCellMar>
        </w:tblPrEx>
        <w:trPr>
          <w:trHeight w:val="873" w:hRule="atLeast"/>
          <w:jc w:val="center"/>
        </w:trPr>
        <w:tc>
          <w:tcPr>
            <w:tcW w:w="1074" w:type="dxa"/>
            <w:tcBorders>
              <w:top w:val="nil"/>
              <w:left w:val="single" w:color="auto" w:sz="4" w:space="0"/>
              <w:bottom w:val="single" w:color="auto" w:sz="4" w:space="0"/>
              <w:right w:val="single" w:color="auto" w:sz="4" w:space="0"/>
            </w:tcBorders>
            <w:vAlign w:val="center"/>
          </w:tcPr>
          <w:p w14:paraId="2CBD2E4A">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9</w:t>
            </w:r>
          </w:p>
        </w:tc>
        <w:tc>
          <w:tcPr>
            <w:tcW w:w="2625" w:type="dxa"/>
            <w:gridSpan w:val="2"/>
            <w:tcBorders>
              <w:top w:val="single" w:color="auto" w:sz="4" w:space="0"/>
              <w:left w:val="nil"/>
              <w:bottom w:val="single" w:color="auto" w:sz="4" w:space="0"/>
              <w:right w:val="single" w:color="auto" w:sz="4" w:space="0"/>
            </w:tcBorders>
            <w:vAlign w:val="center"/>
          </w:tcPr>
          <w:p w14:paraId="0A40CB9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当地技术经济条件下的概（预）算定额、取费标准</w:t>
            </w:r>
          </w:p>
        </w:tc>
        <w:tc>
          <w:tcPr>
            <w:tcW w:w="1276" w:type="dxa"/>
            <w:tcBorders>
              <w:top w:val="nil"/>
              <w:left w:val="nil"/>
              <w:bottom w:val="single" w:color="auto" w:sz="4" w:space="0"/>
              <w:right w:val="single" w:color="auto" w:sz="4" w:space="0"/>
            </w:tcBorders>
            <w:vAlign w:val="center"/>
          </w:tcPr>
          <w:p w14:paraId="004DCA5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11AEC937">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414646A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7145B76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305602DF">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6CBD8C70">
        <w:tblPrEx>
          <w:tblCellMar>
            <w:top w:w="0" w:type="dxa"/>
            <w:left w:w="108" w:type="dxa"/>
            <w:bottom w:w="0" w:type="dxa"/>
            <w:right w:w="108" w:type="dxa"/>
          </w:tblCellMar>
        </w:tblPrEx>
        <w:trPr>
          <w:trHeight w:val="572" w:hRule="atLeast"/>
          <w:jc w:val="center"/>
        </w:trPr>
        <w:tc>
          <w:tcPr>
            <w:tcW w:w="1074" w:type="dxa"/>
            <w:tcBorders>
              <w:top w:val="nil"/>
              <w:left w:val="single" w:color="auto" w:sz="4" w:space="0"/>
              <w:bottom w:val="single" w:color="auto" w:sz="4" w:space="0"/>
              <w:right w:val="single" w:color="auto" w:sz="4" w:space="0"/>
            </w:tcBorders>
            <w:vAlign w:val="center"/>
          </w:tcPr>
          <w:p w14:paraId="133B6E95">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10</w:t>
            </w:r>
          </w:p>
        </w:tc>
        <w:tc>
          <w:tcPr>
            <w:tcW w:w="2625" w:type="dxa"/>
            <w:gridSpan w:val="2"/>
            <w:tcBorders>
              <w:top w:val="single" w:color="auto" w:sz="4" w:space="0"/>
              <w:left w:val="nil"/>
              <w:bottom w:val="single" w:color="auto" w:sz="4" w:space="0"/>
              <w:right w:val="single" w:color="auto" w:sz="4" w:space="0"/>
            </w:tcBorders>
            <w:vAlign w:val="center"/>
          </w:tcPr>
          <w:p w14:paraId="0F139D8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编制概算的其他相关文件</w:t>
            </w:r>
          </w:p>
        </w:tc>
        <w:tc>
          <w:tcPr>
            <w:tcW w:w="1276" w:type="dxa"/>
            <w:tcBorders>
              <w:top w:val="nil"/>
              <w:left w:val="nil"/>
              <w:bottom w:val="single" w:color="auto" w:sz="4" w:space="0"/>
              <w:right w:val="single" w:color="auto" w:sz="4" w:space="0"/>
            </w:tcBorders>
            <w:vAlign w:val="center"/>
          </w:tcPr>
          <w:p w14:paraId="3B57ABF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432C8AF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49F7719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63D009F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1F5D345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6954975C">
        <w:tblPrEx>
          <w:tblCellMar>
            <w:top w:w="0" w:type="dxa"/>
            <w:left w:w="108" w:type="dxa"/>
            <w:bottom w:w="0" w:type="dxa"/>
            <w:right w:w="108" w:type="dxa"/>
          </w:tblCellMar>
        </w:tblPrEx>
        <w:trPr>
          <w:trHeight w:val="413" w:hRule="atLeast"/>
          <w:jc w:val="center"/>
        </w:trPr>
        <w:tc>
          <w:tcPr>
            <w:tcW w:w="1074" w:type="dxa"/>
            <w:tcBorders>
              <w:top w:val="nil"/>
              <w:left w:val="single" w:color="auto" w:sz="4" w:space="0"/>
              <w:bottom w:val="single" w:color="auto" w:sz="4" w:space="0"/>
              <w:right w:val="single" w:color="auto" w:sz="4" w:space="0"/>
            </w:tcBorders>
            <w:vAlign w:val="center"/>
          </w:tcPr>
          <w:p w14:paraId="75DB7E58">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11</w:t>
            </w:r>
          </w:p>
        </w:tc>
        <w:tc>
          <w:tcPr>
            <w:tcW w:w="2625" w:type="dxa"/>
            <w:gridSpan w:val="2"/>
            <w:tcBorders>
              <w:top w:val="single" w:color="auto" w:sz="4" w:space="0"/>
              <w:left w:val="nil"/>
              <w:bottom w:val="single" w:color="auto" w:sz="4" w:space="0"/>
              <w:right w:val="single" w:color="auto" w:sz="4" w:space="0"/>
            </w:tcBorders>
            <w:vAlign w:val="center"/>
          </w:tcPr>
          <w:p w14:paraId="32806957">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6" w:type="dxa"/>
            <w:tcBorders>
              <w:top w:val="nil"/>
              <w:left w:val="nil"/>
              <w:bottom w:val="single" w:color="auto" w:sz="4" w:space="0"/>
              <w:right w:val="single" w:color="auto" w:sz="4" w:space="0"/>
            </w:tcBorders>
            <w:vAlign w:val="center"/>
          </w:tcPr>
          <w:p w14:paraId="1FAE611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57736E4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4270A6D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369ED0B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3CB62C2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0F9B1A43">
        <w:tblPrEx>
          <w:tblCellMar>
            <w:top w:w="0" w:type="dxa"/>
            <w:left w:w="108" w:type="dxa"/>
            <w:bottom w:w="0" w:type="dxa"/>
            <w:right w:w="108" w:type="dxa"/>
          </w:tblCellMar>
        </w:tblPrEx>
        <w:trPr>
          <w:trHeight w:val="318" w:hRule="atLeast"/>
          <w:jc w:val="center"/>
        </w:trPr>
        <w:tc>
          <w:tcPr>
            <w:tcW w:w="1074" w:type="dxa"/>
            <w:tcBorders>
              <w:top w:val="nil"/>
              <w:left w:val="single" w:color="auto" w:sz="4" w:space="0"/>
              <w:bottom w:val="single" w:color="auto" w:sz="4" w:space="0"/>
              <w:right w:val="single" w:color="auto" w:sz="4" w:space="0"/>
            </w:tcBorders>
            <w:vAlign w:val="center"/>
          </w:tcPr>
          <w:p w14:paraId="1332C175">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12</w:t>
            </w:r>
          </w:p>
        </w:tc>
        <w:tc>
          <w:tcPr>
            <w:tcW w:w="2625" w:type="dxa"/>
            <w:gridSpan w:val="2"/>
            <w:tcBorders>
              <w:top w:val="single" w:color="auto" w:sz="4" w:space="0"/>
              <w:left w:val="nil"/>
              <w:bottom w:val="single" w:color="auto" w:sz="4" w:space="0"/>
              <w:right w:val="single" w:color="auto" w:sz="4" w:space="0"/>
            </w:tcBorders>
            <w:vAlign w:val="center"/>
          </w:tcPr>
          <w:p w14:paraId="477332FF">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6" w:type="dxa"/>
            <w:tcBorders>
              <w:top w:val="nil"/>
              <w:left w:val="nil"/>
              <w:bottom w:val="single" w:color="auto" w:sz="4" w:space="0"/>
              <w:right w:val="single" w:color="auto" w:sz="4" w:space="0"/>
            </w:tcBorders>
            <w:vAlign w:val="center"/>
          </w:tcPr>
          <w:p w14:paraId="2C81D7B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74BC7D3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70B6EA9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721B892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26ECE5A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330BBE4F">
        <w:tblPrEx>
          <w:tblCellMar>
            <w:top w:w="0" w:type="dxa"/>
            <w:left w:w="108" w:type="dxa"/>
            <w:bottom w:w="0" w:type="dxa"/>
            <w:right w:w="108" w:type="dxa"/>
          </w:tblCellMar>
        </w:tblPrEx>
        <w:trPr>
          <w:trHeight w:val="333" w:hRule="atLeast"/>
          <w:jc w:val="center"/>
        </w:trPr>
        <w:tc>
          <w:tcPr>
            <w:tcW w:w="1074" w:type="dxa"/>
            <w:tcBorders>
              <w:top w:val="nil"/>
              <w:left w:val="single" w:color="auto" w:sz="4" w:space="0"/>
              <w:bottom w:val="single" w:color="auto" w:sz="4" w:space="0"/>
              <w:right w:val="single" w:color="auto" w:sz="4" w:space="0"/>
            </w:tcBorders>
            <w:vAlign w:val="center"/>
          </w:tcPr>
          <w:p w14:paraId="648BEEAA">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13</w:t>
            </w:r>
          </w:p>
        </w:tc>
        <w:tc>
          <w:tcPr>
            <w:tcW w:w="2625" w:type="dxa"/>
            <w:gridSpan w:val="2"/>
            <w:tcBorders>
              <w:top w:val="single" w:color="auto" w:sz="4" w:space="0"/>
              <w:left w:val="nil"/>
              <w:bottom w:val="single" w:color="auto" w:sz="4" w:space="0"/>
              <w:right w:val="single" w:color="auto" w:sz="4" w:space="0"/>
            </w:tcBorders>
            <w:vAlign w:val="center"/>
          </w:tcPr>
          <w:p w14:paraId="262484C1">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6" w:type="dxa"/>
            <w:tcBorders>
              <w:top w:val="nil"/>
              <w:left w:val="nil"/>
              <w:bottom w:val="single" w:color="auto" w:sz="4" w:space="0"/>
              <w:right w:val="single" w:color="auto" w:sz="4" w:space="0"/>
            </w:tcBorders>
            <w:vAlign w:val="center"/>
          </w:tcPr>
          <w:p w14:paraId="3A06735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5A005E3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6CBC01A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7BD74B7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26482C7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1A8AB504">
        <w:tblPrEx>
          <w:tblCellMar>
            <w:top w:w="0" w:type="dxa"/>
            <w:left w:w="108" w:type="dxa"/>
            <w:bottom w:w="0" w:type="dxa"/>
            <w:right w:w="108" w:type="dxa"/>
          </w:tblCellMar>
        </w:tblPrEx>
        <w:trPr>
          <w:trHeight w:val="301" w:hRule="atLeast"/>
          <w:jc w:val="center"/>
        </w:trPr>
        <w:tc>
          <w:tcPr>
            <w:tcW w:w="1074" w:type="dxa"/>
            <w:tcBorders>
              <w:top w:val="nil"/>
              <w:left w:val="single" w:color="auto" w:sz="4" w:space="0"/>
              <w:bottom w:val="single" w:color="auto" w:sz="4" w:space="0"/>
              <w:right w:val="single" w:color="auto" w:sz="4" w:space="0"/>
            </w:tcBorders>
            <w:vAlign w:val="center"/>
          </w:tcPr>
          <w:p w14:paraId="393D5B6B">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14</w:t>
            </w:r>
          </w:p>
        </w:tc>
        <w:tc>
          <w:tcPr>
            <w:tcW w:w="2625" w:type="dxa"/>
            <w:gridSpan w:val="2"/>
            <w:tcBorders>
              <w:top w:val="single" w:color="auto" w:sz="4" w:space="0"/>
              <w:left w:val="nil"/>
              <w:bottom w:val="single" w:color="auto" w:sz="4" w:space="0"/>
              <w:right w:val="single" w:color="auto" w:sz="4" w:space="0"/>
            </w:tcBorders>
            <w:vAlign w:val="center"/>
          </w:tcPr>
          <w:p w14:paraId="312B45F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6" w:type="dxa"/>
            <w:tcBorders>
              <w:top w:val="nil"/>
              <w:left w:val="nil"/>
              <w:bottom w:val="single" w:color="auto" w:sz="4" w:space="0"/>
              <w:right w:val="single" w:color="auto" w:sz="4" w:space="0"/>
            </w:tcBorders>
            <w:vAlign w:val="center"/>
          </w:tcPr>
          <w:p w14:paraId="3FE5E8F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nil"/>
              <w:left w:val="nil"/>
              <w:bottom w:val="single" w:color="auto" w:sz="4" w:space="0"/>
              <w:right w:val="single" w:color="auto" w:sz="4" w:space="0"/>
            </w:tcBorders>
            <w:vAlign w:val="center"/>
          </w:tcPr>
          <w:p w14:paraId="18D9BAF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0EA7D88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nil"/>
              <w:left w:val="nil"/>
              <w:bottom w:val="single" w:color="auto" w:sz="4" w:space="0"/>
              <w:right w:val="single" w:color="auto" w:sz="4" w:space="0"/>
            </w:tcBorders>
            <w:vAlign w:val="center"/>
          </w:tcPr>
          <w:p w14:paraId="3C00150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nil"/>
              <w:left w:val="nil"/>
              <w:bottom w:val="single" w:color="auto" w:sz="4" w:space="0"/>
              <w:right w:val="single" w:color="auto" w:sz="4" w:space="0"/>
            </w:tcBorders>
            <w:vAlign w:val="center"/>
          </w:tcPr>
          <w:p w14:paraId="780AFD87">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7E1366F5">
        <w:tblPrEx>
          <w:tblCellMar>
            <w:top w:w="0" w:type="dxa"/>
            <w:left w:w="108" w:type="dxa"/>
            <w:bottom w:w="0" w:type="dxa"/>
            <w:right w:w="108" w:type="dxa"/>
          </w:tblCellMar>
        </w:tblPrEx>
        <w:trPr>
          <w:trHeight w:val="349" w:hRule="atLeast"/>
          <w:jc w:val="center"/>
        </w:trPr>
        <w:tc>
          <w:tcPr>
            <w:tcW w:w="1074" w:type="dxa"/>
            <w:tcBorders>
              <w:top w:val="nil"/>
              <w:left w:val="single" w:color="auto" w:sz="4" w:space="0"/>
              <w:bottom w:val="single" w:color="auto" w:sz="4" w:space="0"/>
              <w:right w:val="single" w:color="auto" w:sz="4" w:space="0"/>
            </w:tcBorders>
            <w:vAlign w:val="center"/>
          </w:tcPr>
          <w:p w14:paraId="759EF81A">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15</w:t>
            </w:r>
          </w:p>
        </w:tc>
        <w:tc>
          <w:tcPr>
            <w:tcW w:w="2625" w:type="dxa"/>
            <w:gridSpan w:val="2"/>
            <w:tcBorders>
              <w:top w:val="single" w:color="auto" w:sz="4" w:space="0"/>
              <w:left w:val="nil"/>
              <w:bottom w:val="single" w:color="auto" w:sz="4" w:space="0"/>
              <w:right w:val="single" w:color="auto" w:sz="4" w:space="0"/>
            </w:tcBorders>
            <w:vAlign w:val="center"/>
          </w:tcPr>
          <w:p w14:paraId="71E37371">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6" w:type="dxa"/>
            <w:tcBorders>
              <w:top w:val="single" w:color="auto" w:sz="4" w:space="0"/>
              <w:left w:val="single" w:color="auto" w:sz="4" w:space="0"/>
              <w:bottom w:val="single" w:color="auto" w:sz="4" w:space="0"/>
              <w:right w:val="single" w:color="auto" w:sz="4" w:space="0"/>
            </w:tcBorders>
            <w:vAlign w:val="center"/>
          </w:tcPr>
          <w:p w14:paraId="749746F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063" w:type="dxa"/>
            <w:tcBorders>
              <w:top w:val="single" w:color="auto" w:sz="4" w:space="0"/>
              <w:left w:val="nil"/>
              <w:bottom w:val="single" w:color="auto" w:sz="4" w:space="0"/>
              <w:right w:val="single" w:color="auto" w:sz="4" w:space="0"/>
            </w:tcBorders>
            <w:vAlign w:val="center"/>
          </w:tcPr>
          <w:p w14:paraId="0E0B2F2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single" w:color="auto" w:sz="4" w:space="0"/>
              <w:left w:val="nil"/>
              <w:bottom w:val="single" w:color="auto" w:sz="4" w:space="0"/>
              <w:right w:val="single" w:color="auto" w:sz="4" w:space="0"/>
            </w:tcBorders>
            <w:vAlign w:val="center"/>
          </w:tcPr>
          <w:p w14:paraId="376FCD0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596" w:type="dxa"/>
            <w:tcBorders>
              <w:top w:val="single" w:color="auto" w:sz="4" w:space="0"/>
              <w:left w:val="nil"/>
              <w:bottom w:val="single" w:color="auto" w:sz="4" w:space="0"/>
              <w:right w:val="single" w:color="auto" w:sz="4" w:space="0"/>
            </w:tcBorders>
            <w:vAlign w:val="center"/>
          </w:tcPr>
          <w:p w14:paraId="4518E99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single" w:color="auto" w:sz="4" w:space="0"/>
              <w:left w:val="nil"/>
              <w:bottom w:val="single" w:color="auto" w:sz="4" w:space="0"/>
              <w:right w:val="single" w:color="auto" w:sz="4" w:space="0"/>
            </w:tcBorders>
            <w:vAlign w:val="center"/>
          </w:tcPr>
          <w:p w14:paraId="0E2E63A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1317BE37">
        <w:tblPrEx>
          <w:tblCellMar>
            <w:top w:w="0" w:type="dxa"/>
            <w:left w:w="108" w:type="dxa"/>
            <w:bottom w:w="0" w:type="dxa"/>
            <w:right w:w="108" w:type="dxa"/>
          </w:tblCellMar>
        </w:tblPrEx>
        <w:trPr>
          <w:trHeight w:val="651"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49E647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移交单位</w:t>
            </w:r>
          </w:p>
        </w:tc>
        <w:tc>
          <w:tcPr>
            <w:tcW w:w="2625" w:type="dxa"/>
            <w:gridSpan w:val="2"/>
            <w:tcBorders>
              <w:top w:val="single" w:color="auto" w:sz="4" w:space="0"/>
              <w:left w:val="single" w:color="auto" w:sz="4" w:space="0"/>
              <w:bottom w:val="single" w:color="auto" w:sz="4" w:space="0"/>
              <w:right w:val="single" w:color="auto" w:sz="4" w:space="0"/>
            </w:tcBorders>
            <w:vAlign w:val="center"/>
          </w:tcPr>
          <w:p w14:paraId="58944559">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6" w:type="dxa"/>
            <w:tcBorders>
              <w:top w:val="single" w:color="auto" w:sz="4" w:space="0"/>
              <w:left w:val="single" w:color="auto" w:sz="4" w:space="0"/>
              <w:bottom w:val="single" w:color="auto" w:sz="4" w:space="0"/>
              <w:right w:val="single" w:color="auto" w:sz="4" w:space="0"/>
            </w:tcBorders>
            <w:vAlign w:val="center"/>
          </w:tcPr>
          <w:p w14:paraId="0E2EFC00">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经办人</w:t>
            </w:r>
          </w:p>
        </w:tc>
        <w:tc>
          <w:tcPr>
            <w:tcW w:w="1063" w:type="dxa"/>
            <w:tcBorders>
              <w:top w:val="single" w:color="auto" w:sz="4" w:space="0"/>
              <w:left w:val="single" w:color="auto" w:sz="4" w:space="0"/>
              <w:bottom w:val="single" w:color="auto" w:sz="4" w:space="0"/>
              <w:right w:val="single" w:color="auto" w:sz="4" w:space="0"/>
            </w:tcBorders>
            <w:vAlign w:val="center"/>
          </w:tcPr>
          <w:p w14:paraId="5F19521D">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single" w:color="auto" w:sz="4" w:space="0"/>
              <w:left w:val="single" w:color="auto" w:sz="4" w:space="0"/>
              <w:bottom w:val="single" w:color="auto" w:sz="4" w:space="0"/>
              <w:right w:val="single" w:color="auto" w:sz="4" w:space="0"/>
            </w:tcBorders>
            <w:vAlign w:val="center"/>
          </w:tcPr>
          <w:p w14:paraId="2F62AB37">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日期</w:t>
            </w:r>
          </w:p>
        </w:tc>
        <w:tc>
          <w:tcPr>
            <w:tcW w:w="1724" w:type="dxa"/>
            <w:gridSpan w:val="2"/>
            <w:tcBorders>
              <w:top w:val="single" w:color="auto" w:sz="4" w:space="0"/>
              <w:left w:val="single" w:color="auto" w:sz="4" w:space="0"/>
              <w:bottom w:val="single" w:color="auto" w:sz="4" w:space="0"/>
              <w:right w:val="single" w:color="auto" w:sz="4" w:space="0"/>
            </w:tcBorders>
            <w:vAlign w:val="center"/>
          </w:tcPr>
          <w:p w14:paraId="300E8AFD">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1ADC8413">
        <w:tblPrEx>
          <w:tblCellMar>
            <w:top w:w="0" w:type="dxa"/>
            <w:left w:w="108" w:type="dxa"/>
            <w:bottom w:w="0" w:type="dxa"/>
            <w:right w:w="108" w:type="dxa"/>
          </w:tblCellMar>
        </w:tblPrEx>
        <w:trPr>
          <w:trHeight w:val="651" w:hRule="atLeast"/>
          <w:jc w:val="center"/>
        </w:trPr>
        <w:tc>
          <w:tcPr>
            <w:tcW w:w="1074" w:type="dxa"/>
            <w:tcBorders>
              <w:top w:val="single" w:color="auto" w:sz="4" w:space="0"/>
              <w:left w:val="single" w:color="auto" w:sz="4" w:space="0"/>
              <w:bottom w:val="single" w:color="auto" w:sz="4" w:space="0"/>
              <w:right w:val="single" w:color="auto" w:sz="4" w:space="0"/>
            </w:tcBorders>
            <w:vAlign w:val="center"/>
          </w:tcPr>
          <w:p w14:paraId="24677F3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接收单位</w:t>
            </w:r>
          </w:p>
        </w:tc>
        <w:tc>
          <w:tcPr>
            <w:tcW w:w="2625" w:type="dxa"/>
            <w:gridSpan w:val="2"/>
            <w:tcBorders>
              <w:top w:val="single" w:color="auto" w:sz="4" w:space="0"/>
              <w:left w:val="single" w:color="auto" w:sz="4" w:space="0"/>
              <w:bottom w:val="single" w:color="auto" w:sz="4" w:space="0"/>
              <w:right w:val="single" w:color="auto" w:sz="4" w:space="0"/>
            </w:tcBorders>
            <w:vAlign w:val="center"/>
          </w:tcPr>
          <w:p w14:paraId="3548EBEF">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6" w:type="dxa"/>
            <w:tcBorders>
              <w:top w:val="single" w:color="auto" w:sz="4" w:space="0"/>
              <w:left w:val="single" w:color="auto" w:sz="4" w:space="0"/>
              <w:bottom w:val="single" w:color="auto" w:sz="4" w:space="0"/>
              <w:right w:val="single" w:color="auto" w:sz="4" w:space="0"/>
            </w:tcBorders>
            <w:vAlign w:val="center"/>
          </w:tcPr>
          <w:p w14:paraId="5AA13382">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签收人</w:t>
            </w:r>
          </w:p>
        </w:tc>
        <w:tc>
          <w:tcPr>
            <w:tcW w:w="1063" w:type="dxa"/>
            <w:tcBorders>
              <w:top w:val="single" w:color="auto" w:sz="4" w:space="0"/>
              <w:left w:val="single" w:color="auto" w:sz="4" w:space="0"/>
              <w:bottom w:val="single" w:color="auto" w:sz="4" w:space="0"/>
              <w:right w:val="single" w:color="auto" w:sz="4" w:space="0"/>
            </w:tcBorders>
            <w:vAlign w:val="center"/>
          </w:tcPr>
          <w:p w14:paraId="749AFA67">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8" w:type="dxa"/>
            <w:tcBorders>
              <w:top w:val="single" w:color="auto" w:sz="4" w:space="0"/>
              <w:left w:val="single" w:color="auto" w:sz="4" w:space="0"/>
              <w:bottom w:val="single" w:color="auto" w:sz="4" w:space="0"/>
              <w:right w:val="single" w:color="auto" w:sz="4" w:space="0"/>
            </w:tcBorders>
            <w:vAlign w:val="center"/>
          </w:tcPr>
          <w:p w14:paraId="608DD90D">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日期</w:t>
            </w:r>
          </w:p>
        </w:tc>
        <w:tc>
          <w:tcPr>
            <w:tcW w:w="1724" w:type="dxa"/>
            <w:gridSpan w:val="2"/>
            <w:tcBorders>
              <w:top w:val="single" w:color="auto" w:sz="4" w:space="0"/>
              <w:left w:val="single" w:color="auto" w:sz="4" w:space="0"/>
              <w:bottom w:val="single" w:color="auto" w:sz="4" w:space="0"/>
              <w:right w:val="single" w:color="auto" w:sz="4" w:space="0"/>
            </w:tcBorders>
            <w:vAlign w:val="center"/>
          </w:tcPr>
          <w:p w14:paraId="603ADA09">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4C64A687">
        <w:tblPrEx>
          <w:tblCellMar>
            <w:top w:w="0" w:type="dxa"/>
            <w:left w:w="108" w:type="dxa"/>
            <w:bottom w:w="0" w:type="dxa"/>
            <w:right w:w="108" w:type="dxa"/>
          </w:tblCellMar>
        </w:tblPrEx>
        <w:trPr>
          <w:trHeight w:val="301" w:hRule="atLeast"/>
          <w:jc w:val="center"/>
        </w:trPr>
        <w:tc>
          <w:tcPr>
            <w:tcW w:w="8890" w:type="dxa"/>
            <w:gridSpan w:val="8"/>
            <w:tcBorders>
              <w:top w:val="single" w:color="auto" w:sz="4" w:space="0"/>
              <w:left w:val="single" w:color="auto" w:sz="4" w:space="0"/>
              <w:bottom w:val="nil"/>
              <w:right w:val="single" w:color="000000" w:sz="4" w:space="0"/>
            </w:tcBorders>
            <w:vAlign w:val="center"/>
          </w:tcPr>
          <w:p w14:paraId="28933F4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说明：</w:t>
            </w:r>
          </w:p>
        </w:tc>
      </w:tr>
      <w:tr w14:paraId="79260674">
        <w:tblPrEx>
          <w:tblCellMar>
            <w:top w:w="0" w:type="dxa"/>
            <w:left w:w="108" w:type="dxa"/>
            <w:bottom w:w="0" w:type="dxa"/>
            <w:right w:w="108" w:type="dxa"/>
          </w:tblCellMar>
        </w:tblPrEx>
        <w:trPr>
          <w:trHeight w:val="4414" w:hRule="atLeast"/>
          <w:jc w:val="center"/>
        </w:trPr>
        <w:tc>
          <w:tcPr>
            <w:tcW w:w="8890" w:type="dxa"/>
            <w:gridSpan w:val="8"/>
            <w:tcBorders>
              <w:top w:val="nil"/>
              <w:left w:val="single" w:color="auto" w:sz="4" w:space="0"/>
              <w:bottom w:val="single" w:color="auto" w:sz="4" w:space="0"/>
              <w:right w:val="single" w:color="000000" w:sz="4" w:space="0"/>
            </w:tcBorders>
          </w:tcPr>
          <w:p w14:paraId="4D614CD5">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1、本表一式三份，一份送审单位留底、一份抄送广东省代建局相关处（室）、一份供随送审项目资料保存（并提供电子版）。</w:t>
            </w:r>
          </w:p>
          <w:p w14:paraId="40EB5350">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2、评审时间以被评审单位提供完整评审资料后，省代建局正式受理之日起计算，预受理及在评审过程中等待补充资料的时间，不作为评审时间计算。</w:t>
            </w:r>
          </w:p>
          <w:p w14:paraId="2B37EB84">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3、送审单位应在表格中用“√”明确是否原件。对报送资料中的所有复印件盖章确认：装钉成册的，可盖封面和骑缝；未装钉的，每页盖章。原件无章的，也须盖章。</w:t>
            </w:r>
          </w:p>
          <w:p w14:paraId="38BB2937">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4、各阶段的设计图纸应保证其合规性（签字、盖章手续齐备）；送审金额应是项目各方（发包方、监理、承包方）共同认可。</w:t>
            </w:r>
          </w:p>
          <w:p w14:paraId="1E1E4AC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5、各资料移交清单表内粗体部分（序号1-5）为必备的基本资料，基础资料不齐备的省代建局不予受理。送审资料有清单中未列举的，请按要求填写。</w:t>
            </w:r>
          </w:p>
        </w:tc>
      </w:tr>
    </w:tbl>
    <w:p w14:paraId="30138065">
      <w:pPr>
        <w:spacing w:after="120"/>
        <w:jc w:val="left"/>
        <w:rPr>
          <w:rFonts w:ascii="仿宋" w:hAnsi="仿宋" w:eastAsia="仿宋"/>
          <w:szCs w:val="24"/>
        </w:rPr>
      </w:pPr>
      <w:r>
        <w:rPr>
          <w:rFonts w:ascii="仿宋" w:hAnsi="仿宋" w:eastAsia="仿宋"/>
          <w:szCs w:val="24"/>
        </w:rPr>
        <w:br w:type="page"/>
      </w:r>
    </w:p>
    <w:tbl>
      <w:tblPr>
        <w:tblStyle w:val="55"/>
        <w:tblW w:w="9369" w:type="dxa"/>
        <w:jc w:val="center"/>
        <w:tblLayout w:type="fixed"/>
        <w:tblCellMar>
          <w:top w:w="0" w:type="dxa"/>
          <w:left w:w="108" w:type="dxa"/>
          <w:bottom w:w="0" w:type="dxa"/>
          <w:right w:w="108" w:type="dxa"/>
        </w:tblCellMar>
      </w:tblPr>
      <w:tblGrid>
        <w:gridCol w:w="864"/>
        <w:gridCol w:w="992"/>
        <w:gridCol w:w="248"/>
        <w:gridCol w:w="1170"/>
        <w:gridCol w:w="1275"/>
        <w:gridCol w:w="1266"/>
        <w:gridCol w:w="1120"/>
        <w:gridCol w:w="912"/>
        <w:gridCol w:w="1522"/>
      </w:tblGrid>
      <w:tr w14:paraId="7ABD403E">
        <w:tblPrEx>
          <w:tblCellMar>
            <w:top w:w="0" w:type="dxa"/>
            <w:left w:w="108" w:type="dxa"/>
            <w:bottom w:w="0" w:type="dxa"/>
            <w:right w:w="108" w:type="dxa"/>
          </w:tblCellMar>
        </w:tblPrEx>
        <w:trPr>
          <w:trHeight w:val="614" w:hRule="atLeast"/>
          <w:jc w:val="center"/>
        </w:trPr>
        <w:tc>
          <w:tcPr>
            <w:tcW w:w="9369" w:type="dxa"/>
            <w:gridSpan w:val="9"/>
            <w:tcBorders>
              <w:top w:val="nil"/>
              <w:left w:val="nil"/>
              <w:bottom w:val="nil"/>
              <w:right w:val="nil"/>
            </w:tcBorders>
            <w:vAlign w:val="center"/>
          </w:tcPr>
          <w:p w14:paraId="799E5879">
            <w:pPr>
              <w:wordWrap/>
              <w:spacing w:after="120"/>
              <w:ind w:firstLine="0" w:firstLineChars="0"/>
              <w:jc w:val="left"/>
              <w:rPr>
                <w:rFonts w:ascii="仿宋" w:hAnsi="仿宋" w:eastAsia="仿宋" w:cs="仿宋"/>
                <w:b/>
                <w:bCs/>
                <w:sz w:val="30"/>
                <w:szCs w:val="30"/>
              </w:rPr>
            </w:pPr>
            <w:r>
              <w:rPr>
                <w:rFonts w:hint="eastAsia" w:ascii="仿宋" w:hAnsi="仿宋" w:eastAsia="仿宋" w:cs="仿宋"/>
                <w:sz w:val="30"/>
                <w:szCs w:val="30"/>
              </w:rPr>
              <w:t xml:space="preserve">格式2 </w:t>
            </w:r>
          </w:p>
        </w:tc>
      </w:tr>
      <w:tr w14:paraId="6CDB1DCB">
        <w:tblPrEx>
          <w:tblCellMar>
            <w:top w:w="0" w:type="dxa"/>
            <w:left w:w="108" w:type="dxa"/>
            <w:bottom w:w="0" w:type="dxa"/>
            <w:right w:w="108" w:type="dxa"/>
          </w:tblCellMar>
        </w:tblPrEx>
        <w:trPr>
          <w:trHeight w:val="614" w:hRule="atLeast"/>
          <w:jc w:val="center"/>
        </w:trPr>
        <w:tc>
          <w:tcPr>
            <w:tcW w:w="9369" w:type="dxa"/>
            <w:gridSpan w:val="9"/>
            <w:tcBorders>
              <w:top w:val="nil"/>
              <w:left w:val="nil"/>
              <w:bottom w:val="nil"/>
              <w:right w:val="nil"/>
            </w:tcBorders>
            <w:vAlign w:val="center"/>
          </w:tcPr>
          <w:p w14:paraId="3492AEBA">
            <w:pPr>
              <w:wordWrap/>
              <w:spacing w:after="120"/>
              <w:ind w:left="480" w:firstLine="0" w:firstLineChars="0"/>
              <w:jc w:val="center"/>
              <w:rPr>
                <w:rFonts w:ascii="仿宋" w:hAnsi="仿宋" w:eastAsia="仿宋" w:cs="仿宋"/>
                <w:b/>
                <w:bCs/>
                <w:kern w:val="2"/>
                <w:sz w:val="30"/>
                <w:szCs w:val="30"/>
              </w:rPr>
            </w:pPr>
            <w:r>
              <w:rPr>
                <w:rFonts w:hint="eastAsia" w:ascii="仿宋" w:hAnsi="仿宋" w:eastAsia="仿宋" w:cs="仿宋"/>
                <w:b/>
                <w:bCs/>
                <w:sz w:val="30"/>
                <w:szCs w:val="30"/>
              </w:rPr>
              <w:t>评审项目资料接受（移交）清单——预算</w:t>
            </w:r>
          </w:p>
        </w:tc>
      </w:tr>
      <w:tr w14:paraId="1D74D823">
        <w:tblPrEx>
          <w:tblCellMar>
            <w:top w:w="0" w:type="dxa"/>
            <w:left w:w="108" w:type="dxa"/>
            <w:bottom w:w="0" w:type="dxa"/>
            <w:right w:w="108" w:type="dxa"/>
          </w:tblCellMar>
        </w:tblPrEx>
        <w:trPr>
          <w:trHeight w:val="488" w:hRule="atLeast"/>
          <w:jc w:val="center"/>
        </w:trPr>
        <w:tc>
          <w:tcPr>
            <w:tcW w:w="1856" w:type="dxa"/>
            <w:gridSpan w:val="2"/>
            <w:tcBorders>
              <w:top w:val="single" w:color="auto" w:sz="4" w:space="0"/>
              <w:left w:val="single" w:color="auto" w:sz="4" w:space="0"/>
              <w:bottom w:val="single" w:color="auto" w:sz="4" w:space="0"/>
              <w:right w:val="single" w:color="auto" w:sz="4" w:space="0"/>
            </w:tcBorders>
            <w:vAlign w:val="center"/>
          </w:tcPr>
          <w:p w14:paraId="42816B59">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项目名称</w:t>
            </w:r>
          </w:p>
        </w:tc>
        <w:tc>
          <w:tcPr>
            <w:tcW w:w="7513" w:type="dxa"/>
            <w:gridSpan w:val="7"/>
            <w:tcBorders>
              <w:top w:val="single" w:color="auto" w:sz="4" w:space="0"/>
              <w:left w:val="nil"/>
              <w:bottom w:val="single" w:color="auto" w:sz="4" w:space="0"/>
              <w:right w:val="single" w:color="auto" w:sz="4" w:space="0"/>
            </w:tcBorders>
            <w:vAlign w:val="center"/>
          </w:tcPr>
          <w:p w14:paraId="07C4951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02046572">
        <w:tblPrEx>
          <w:tblCellMar>
            <w:top w:w="0" w:type="dxa"/>
            <w:left w:w="108" w:type="dxa"/>
            <w:bottom w:w="0" w:type="dxa"/>
            <w:right w:w="108" w:type="dxa"/>
          </w:tblCellMar>
        </w:tblPrEx>
        <w:trPr>
          <w:trHeight w:val="488" w:hRule="atLeast"/>
          <w:jc w:val="center"/>
        </w:trPr>
        <w:tc>
          <w:tcPr>
            <w:tcW w:w="1856" w:type="dxa"/>
            <w:gridSpan w:val="2"/>
            <w:tcBorders>
              <w:top w:val="single" w:color="auto" w:sz="4" w:space="0"/>
              <w:left w:val="single" w:color="auto" w:sz="4" w:space="0"/>
              <w:bottom w:val="single" w:color="auto" w:sz="4" w:space="0"/>
              <w:right w:val="single" w:color="auto" w:sz="4" w:space="0"/>
            </w:tcBorders>
            <w:vAlign w:val="center"/>
          </w:tcPr>
          <w:p w14:paraId="62EC45E8">
            <w:pPr>
              <w:wordWrap/>
              <w:spacing w:after="120"/>
              <w:ind w:firstLine="0" w:firstLineChars="0"/>
              <w:rPr>
                <w:rFonts w:ascii="仿宋" w:hAnsi="仿宋" w:eastAsia="仿宋" w:cs="仿宋"/>
                <w:kern w:val="2"/>
                <w:sz w:val="30"/>
                <w:szCs w:val="30"/>
              </w:rPr>
            </w:pPr>
            <w:r>
              <w:rPr>
                <w:rFonts w:hint="eastAsia" w:ascii="仿宋" w:hAnsi="仿宋" w:eastAsia="仿宋" w:cs="仿宋"/>
                <w:sz w:val="30"/>
                <w:szCs w:val="30"/>
              </w:rPr>
              <w:t>建设单位</w:t>
            </w:r>
          </w:p>
        </w:tc>
        <w:tc>
          <w:tcPr>
            <w:tcW w:w="1418" w:type="dxa"/>
            <w:gridSpan w:val="2"/>
            <w:tcBorders>
              <w:top w:val="nil"/>
              <w:left w:val="nil"/>
              <w:bottom w:val="single" w:color="auto" w:sz="4" w:space="0"/>
              <w:right w:val="single" w:color="auto" w:sz="4" w:space="0"/>
            </w:tcBorders>
            <w:vAlign w:val="center"/>
          </w:tcPr>
          <w:p w14:paraId="78EC87E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5" w:type="dxa"/>
            <w:tcBorders>
              <w:top w:val="nil"/>
              <w:left w:val="nil"/>
              <w:bottom w:val="single" w:color="auto" w:sz="4" w:space="0"/>
              <w:right w:val="single" w:color="auto" w:sz="4" w:space="0"/>
            </w:tcBorders>
            <w:vAlign w:val="center"/>
          </w:tcPr>
          <w:p w14:paraId="1CF610B1">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联系人</w:t>
            </w:r>
          </w:p>
        </w:tc>
        <w:tc>
          <w:tcPr>
            <w:tcW w:w="1266" w:type="dxa"/>
            <w:tcBorders>
              <w:top w:val="nil"/>
              <w:left w:val="nil"/>
              <w:bottom w:val="single" w:color="auto" w:sz="4" w:space="0"/>
              <w:right w:val="single" w:color="auto" w:sz="4" w:space="0"/>
            </w:tcBorders>
            <w:vAlign w:val="center"/>
          </w:tcPr>
          <w:p w14:paraId="184B6A25">
            <w:pPr>
              <w:wordWrap/>
              <w:spacing w:after="120"/>
              <w:ind w:left="480" w:firstLine="0" w:firstLineChars="0"/>
              <w:jc w:val="center"/>
              <w:rPr>
                <w:rFonts w:ascii="仿宋" w:hAnsi="仿宋" w:eastAsia="仿宋" w:cs="仿宋"/>
                <w:kern w:val="2"/>
                <w:sz w:val="30"/>
                <w:szCs w:val="30"/>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7F6FE301">
            <w:pPr>
              <w:wordWrap/>
              <w:spacing w:after="120"/>
              <w:ind w:firstLine="0" w:firstLineChars="0"/>
              <w:rPr>
                <w:rFonts w:ascii="仿宋" w:hAnsi="仿宋" w:eastAsia="仿宋" w:cs="仿宋"/>
                <w:kern w:val="2"/>
                <w:sz w:val="30"/>
                <w:szCs w:val="30"/>
              </w:rPr>
            </w:pPr>
            <w:r>
              <w:rPr>
                <w:rFonts w:hint="eastAsia" w:ascii="仿宋" w:hAnsi="仿宋" w:eastAsia="仿宋" w:cs="仿宋"/>
                <w:sz w:val="30"/>
                <w:szCs w:val="30"/>
              </w:rPr>
              <w:t>电话</w:t>
            </w:r>
          </w:p>
        </w:tc>
        <w:tc>
          <w:tcPr>
            <w:tcW w:w="2434" w:type="dxa"/>
            <w:gridSpan w:val="2"/>
            <w:tcBorders>
              <w:top w:val="single" w:color="auto" w:sz="4" w:space="0"/>
              <w:left w:val="nil"/>
              <w:bottom w:val="single" w:color="auto" w:sz="4" w:space="0"/>
              <w:right w:val="single" w:color="000000" w:sz="4" w:space="0"/>
            </w:tcBorders>
            <w:vAlign w:val="center"/>
          </w:tcPr>
          <w:p w14:paraId="1CAA2BD9">
            <w:pPr>
              <w:wordWrap/>
              <w:spacing w:after="120"/>
              <w:ind w:left="480" w:firstLine="0" w:firstLineChars="0"/>
              <w:jc w:val="center"/>
              <w:rPr>
                <w:rFonts w:ascii="仿宋" w:hAnsi="仿宋" w:eastAsia="仿宋" w:cs="仿宋"/>
                <w:kern w:val="2"/>
                <w:sz w:val="30"/>
                <w:szCs w:val="30"/>
              </w:rPr>
            </w:pPr>
            <w:r>
              <w:rPr>
                <w:rFonts w:hint="eastAsia" w:ascii="仿宋" w:hAnsi="仿宋" w:eastAsia="仿宋" w:cs="仿宋"/>
                <w:sz w:val="30"/>
                <w:szCs w:val="30"/>
              </w:rPr>
              <w:t>　</w:t>
            </w:r>
          </w:p>
        </w:tc>
      </w:tr>
      <w:tr w14:paraId="3B7D4222">
        <w:tblPrEx>
          <w:tblCellMar>
            <w:top w:w="0" w:type="dxa"/>
            <w:left w:w="108" w:type="dxa"/>
            <w:bottom w:w="0" w:type="dxa"/>
            <w:right w:w="108" w:type="dxa"/>
          </w:tblCellMar>
        </w:tblPrEx>
        <w:trPr>
          <w:trHeight w:val="488" w:hRule="atLeast"/>
          <w:jc w:val="center"/>
        </w:trPr>
        <w:tc>
          <w:tcPr>
            <w:tcW w:w="1856" w:type="dxa"/>
            <w:gridSpan w:val="2"/>
            <w:tcBorders>
              <w:top w:val="single" w:color="auto" w:sz="4" w:space="0"/>
              <w:left w:val="single" w:color="auto" w:sz="4" w:space="0"/>
              <w:bottom w:val="single" w:color="auto" w:sz="4" w:space="0"/>
              <w:right w:val="single" w:color="auto" w:sz="4" w:space="0"/>
            </w:tcBorders>
            <w:vAlign w:val="center"/>
          </w:tcPr>
          <w:p w14:paraId="17C1AC54">
            <w:pPr>
              <w:wordWrap/>
              <w:spacing w:after="120"/>
              <w:ind w:firstLine="0" w:firstLineChars="0"/>
              <w:rPr>
                <w:rFonts w:ascii="仿宋" w:hAnsi="仿宋" w:eastAsia="仿宋" w:cs="仿宋"/>
                <w:kern w:val="2"/>
                <w:sz w:val="30"/>
                <w:szCs w:val="30"/>
              </w:rPr>
            </w:pPr>
            <w:r>
              <w:rPr>
                <w:rFonts w:hint="eastAsia" w:ascii="仿宋" w:hAnsi="仿宋" w:eastAsia="仿宋" w:cs="仿宋"/>
                <w:sz w:val="30"/>
                <w:szCs w:val="30"/>
              </w:rPr>
              <w:t>承建单位</w:t>
            </w:r>
          </w:p>
        </w:tc>
        <w:tc>
          <w:tcPr>
            <w:tcW w:w="1418" w:type="dxa"/>
            <w:gridSpan w:val="2"/>
            <w:tcBorders>
              <w:top w:val="nil"/>
              <w:left w:val="nil"/>
              <w:bottom w:val="single" w:color="auto" w:sz="4" w:space="0"/>
              <w:right w:val="single" w:color="auto" w:sz="4" w:space="0"/>
            </w:tcBorders>
            <w:vAlign w:val="center"/>
          </w:tcPr>
          <w:p w14:paraId="01B2200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5" w:type="dxa"/>
            <w:tcBorders>
              <w:top w:val="nil"/>
              <w:left w:val="nil"/>
              <w:bottom w:val="single" w:color="auto" w:sz="4" w:space="0"/>
              <w:right w:val="single" w:color="auto" w:sz="4" w:space="0"/>
            </w:tcBorders>
            <w:vAlign w:val="center"/>
          </w:tcPr>
          <w:p w14:paraId="3CFA7487">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联系人</w:t>
            </w:r>
          </w:p>
        </w:tc>
        <w:tc>
          <w:tcPr>
            <w:tcW w:w="1266" w:type="dxa"/>
            <w:tcBorders>
              <w:top w:val="nil"/>
              <w:left w:val="nil"/>
              <w:bottom w:val="single" w:color="auto" w:sz="4" w:space="0"/>
              <w:right w:val="single" w:color="auto" w:sz="4" w:space="0"/>
            </w:tcBorders>
            <w:vAlign w:val="center"/>
          </w:tcPr>
          <w:p w14:paraId="2DB5F683">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34E1FE45">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电话</w:t>
            </w:r>
          </w:p>
        </w:tc>
        <w:tc>
          <w:tcPr>
            <w:tcW w:w="2434" w:type="dxa"/>
            <w:gridSpan w:val="2"/>
            <w:tcBorders>
              <w:top w:val="single" w:color="auto" w:sz="4" w:space="0"/>
              <w:left w:val="nil"/>
              <w:bottom w:val="single" w:color="auto" w:sz="4" w:space="0"/>
              <w:right w:val="single" w:color="000000" w:sz="4" w:space="0"/>
            </w:tcBorders>
            <w:vAlign w:val="center"/>
          </w:tcPr>
          <w:p w14:paraId="04FC6476">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7656EEE8">
        <w:tblPrEx>
          <w:tblCellMar>
            <w:top w:w="0" w:type="dxa"/>
            <w:left w:w="108" w:type="dxa"/>
            <w:bottom w:w="0" w:type="dxa"/>
            <w:right w:w="108" w:type="dxa"/>
          </w:tblCellMar>
        </w:tblPrEx>
        <w:trPr>
          <w:trHeight w:val="488" w:hRule="atLeast"/>
          <w:jc w:val="center"/>
        </w:trPr>
        <w:tc>
          <w:tcPr>
            <w:tcW w:w="864" w:type="dxa"/>
            <w:vMerge w:val="restart"/>
            <w:tcBorders>
              <w:top w:val="nil"/>
              <w:left w:val="single" w:color="auto" w:sz="4" w:space="0"/>
              <w:bottom w:val="single" w:color="auto" w:sz="4" w:space="0"/>
              <w:right w:val="single" w:color="auto" w:sz="4" w:space="0"/>
            </w:tcBorders>
            <w:textDirection w:val="tbRlV"/>
            <w:vAlign w:val="center"/>
          </w:tcPr>
          <w:p w14:paraId="486553EC">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序号</w:t>
            </w:r>
          </w:p>
        </w:tc>
        <w:tc>
          <w:tcPr>
            <w:tcW w:w="2410" w:type="dxa"/>
            <w:gridSpan w:val="3"/>
            <w:vMerge w:val="restart"/>
            <w:tcBorders>
              <w:top w:val="single" w:color="auto" w:sz="4" w:space="0"/>
              <w:left w:val="single" w:color="auto" w:sz="4" w:space="0"/>
              <w:bottom w:val="single" w:color="auto" w:sz="4" w:space="0"/>
              <w:right w:val="single" w:color="auto" w:sz="4" w:space="0"/>
            </w:tcBorders>
            <w:vAlign w:val="center"/>
          </w:tcPr>
          <w:p w14:paraId="066AE060">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资料名称</w:t>
            </w:r>
          </w:p>
        </w:tc>
        <w:tc>
          <w:tcPr>
            <w:tcW w:w="1275" w:type="dxa"/>
            <w:vMerge w:val="restart"/>
            <w:tcBorders>
              <w:top w:val="nil"/>
              <w:left w:val="single" w:color="auto" w:sz="4" w:space="0"/>
              <w:bottom w:val="single" w:color="auto" w:sz="4" w:space="0"/>
              <w:right w:val="single" w:color="auto" w:sz="4" w:space="0"/>
            </w:tcBorders>
            <w:vAlign w:val="center"/>
          </w:tcPr>
          <w:p w14:paraId="5EAFD53F">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单位</w:t>
            </w:r>
          </w:p>
        </w:tc>
        <w:tc>
          <w:tcPr>
            <w:tcW w:w="1266" w:type="dxa"/>
            <w:vMerge w:val="restart"/>
            <w:tcBorders>
              <w:top w:val="nil"/>
              <w:left w:val="single" w:color="auto" w:sz="4" w:space="0"/>
              <w:bottom w:val="single" w:color="auto" w:sz="4" w:space="0"/>
              <w:right w:val="single" w:color="auto" w:sz="4" w:space="0"/>
            </w:tcBorders>
            <w:vAlign w:val="center"/>
          </w:tcPr>
          <w:p w14:paraId="17F79387">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数量</w:t>
            </w:r>
          </w:p>
        </w:tc>
        <w:tc>
          <w:tcPr>
            <w:tcW w:w="2032" w:type="dxa"/>
            <w:gridSpan w:val="2"/>
            <w:tcBorders>
              <w:top w:val="single" w:color="auto" w:sz="4" w:space="0"/>
              <w:left w:val="nil"/>
              <w:bottom w:val="single" w:color="auto" w:sz="4" w:space="0"/>
              <w:right w:val="single" w:color="auto" w:sz="4" w:space="0"/>
            </w:tcBorders>
            <w:vAlign w:val="center"/>
          </w:tcPr>
          <w:p w14:paraId="440ECD9C">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是否原件</w:t>
            </w:r>
          </w:p>
        </w:tc>
        <w:tc>
          <w:tcPr>
            <w:tcW w:w="1522" w:type="dxa"/>
            <w:vMerge w:val="restart"/>
            <w:tcBorders>
              <w:top w:val="nil"/>
              <w:left w:val="single" w:color="auto" w:sz="4" w:space="0"/>
              <w:bottom w:val="single" w:color="000000" w:sz="4" w:space="0"/>
              <w:right w:val="single" w:color="auto" w:sz="4" w:space="0"/>
            </w:tcBorders>
            <w:vAlign w:val="center"/>
          </w:tcPr>
          <w:p w14:paraId="4D9833D0">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备注</w:t>
            </w:r>
          </w:p>
        </w:tc>
      </w:tr>
      <w:tr w14:paraId="0D298005">
        <w:tblPrEx>
          <w:tblCellMar>
            <w:top w:w="0" w:type="dxa"/>
            <w:left w:w="108" w:type="dxa"/>
            <w:bottom w:w="0" w:type="dxa"/>
            <w:right w:w="108" w:type="dxa"/>
          </w:tblCellMar>
        </w:tblPrEx>
        <w:trPr>
          <w:trHeight w:val="488" w:hRule="atLeast"/>
          <w:jc w:val="center"/>
        </w:trPr>
        <w:tc>
          <w:tcPr>
            <w:tcW w:w="864" w:type="dxa"/>
            <w:vMerge w:val="continue"/>
            <w:tcBorders>
              <w:top w:val="nil"/>
              <w:left w:val="single" w:color="auto" w:sz="4" w:space="0"/>
              <w:bottom w:val="single" w:color="auto" w:sz="4" w:space="0"/>
              <w:right w:val="single" w:color="auto" w:sz="4" w:space="0"/>
            </w:tcBorders>
            <w:vAlign w:val="center"/>
          </w:tcPr>
          <w:p w14:paraId="7612700D">
            <w:pPr>
              <w:wordWrap/>
              <w:spacing w:after="120"/>
              <w:ind w:firstLine="0" w:firstLineChars="0"/>
              <w:jc w:val="left"/>
              <w:rPr>
                <w:rFonts w:ascii="仿宋" w:hAnsi="仿宋" w:eastAsia="仿宋" w:cs="仿宋"/>
                <w:sz w:val="30"/>
                <w:szCs w:val="30"/>
              </w:rPr>
            </w:pPr>
          </w:p>
        </w:tc>
        <w:tc>
          <w:tcPr>
            <w:tcW w:w="2410" w:type="dxa"/>
            <w:gridSpan w:val="3"/>
            <w:vMerge w:val="continue"/>
            <w:tcBorders>
              <w:top w:val="single" w:color="auto" w:sz="4" w:space="0"/>
              <w:left w:val="single" w:color="auto" w:sz="4" w:space="0"/>
              <w:bottom w:val="single" w:color="auto" w:sz="4" w:space="0"/>
              <w:right w:val="single" w:color="auto" w:sz="4" w:space="0"/>
            </w:tcBorders>
            <w:vAlign w:val="center"/>
          </w:tcPr>
          <w:p w14:paraId="140EB11D">
            <w:pPr>
              <w:wordWrap/>
              <w:spacing w:after="120"/>
              <w:ind w:firstLine="0" w:firstLineChars="0"/>
              <w:jc w:val="left"/>
              <w:rPr>
                <w:rFonts w:ascii="仿宋" w:hAnsi="仿宋" w:eastAsia="仿宋" w:cs="仿宋"/>
                <w:sz w:val="30"/>
                <w:szCs w:val="30"/>
              </w:rPr>
            </w:pPr>
          </w:p>
        </w:tc>
        <w:tc>
          <w:tcPr>
            <w:tcW w:w="1275" w:type="dxa"/>
            <w:vMerge w:val="continue"/>
            <w:tcBorders>
              <w:top w:val="nil"/>
              <w:left w:val="single" w:color="auto" w:sz="4" w:space="0"/>
              <w:bottom w:val="single" w:color="auto" w:sz="4" w:space="0"/>
              <w:right w:val="single" w:color="auto" w:sz="4" w:space="0"/>
            </w:tcBorders>
            <w:vAlign w:val="center"/>
          </w:tcPr>
          <w:p w14:paraId="541A5274">
            <w:pPr>
              <w:wordWrap/>
              <w:spacing w:after="120"/>
              <w:ind w:firstLine="0" w:firstLineChars="0"/>
              <w:jc w:val="left"/>
              <w:rPr>
                <w:rFonts w:ascii="仿宋" w:hAnsi="仿宋" w:eastAsia="仿宋" w:cs="仿宋"/>
                <w:sz w:val="30"/>
                <w:szCs w:val="30"/>
              </w:rPr>
            </w:pPr>
          </w:p>
        </w:tc>
        <w:tc>
          <w:tcPr>
            <w:tcW w:w="1266" w:type="dxa"/>
            <w:vMerge w:val="continue"/>
            <w:tcBorders>
              <w:top w:val="nil"/>
              <w:left w:val="single" w:color="auto" w:sz="4" w:space="0"/>
              <w:bottom w:val="single" w:color="auto" w:sz="4" w:space="0"/>
              <w:right w:val="single" w:color="auto" w:sz="4" w:space="0"/>
            </w:tcBorders>
            <w:vAlign w:val="center"/>
          </w:tcPr>
          <w:p w14:paraId="41FB6FAE">
            <w:pPr>
              <w:wordWrap/>
              <w:spacing w:after="120"/>
              <w:ind w:firstLine="0" w:firstLineChars="0"/>
              <w:jc w:val="left"/>
              <w:rPr>
                <w:rFonts w:ascii="仿宋" w:hAnsi="仿宋" w:eastAsia="仿宋" w:cs="仿宋"/>
                <w:sz w:val="30"/>
                <w:szCs w:val="30"/>
              </w:rPr>
            </w:pPr>
          </w:p>
        </w:tc>
        <w:tc>
          <w:tcPr>
            <w:tcW w:w="1120" w:type="dxa"/>
            <w:tcBorders>
              <w:top w:val="nil"/>
              <w:left w:val="nil"/>
              <w:bottom w:val="single" w:color="auto" w:sz="4" w:space="0"/>
              <w:right w:val="single" w:color="auto" w:sz="4" w:space="0"/>
            </w:tcBorders>
            <w:vAlign w:val="center"/>
          </w:tcPr>
          <w:p w14:paraId="08B4EA40">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是</w:t>
            </w:r>
          </w:p>
        </w:tc>
        <w:tc>
          <w:tcPr>
            <w:tcW w:w="912" w:type="dxa"/>
            <w:tcBorders>
              <w:top w:val="nil"/>
              <w:left w:val="nil"/>
              <w:bottom w:val="single" w:color="auto" w:sz="4" w:space="0"/>
              <w:right w:val="single" w:color="auto" w:sz="4" w:space="0"/>
            </w:tcBorders>
            <w:vAlign w:val="center"/>
          </w:tcPr>
          <w:p w14:paraId="1E03B5A7">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否</w:t>
            </w:r>
          </w:p>
        </w:tc>
        <w:tc>
          <w:tcPr>
            <w:tcW w:w="1522" w:type="dxa"/>
            <w:vMerge w:val="continue"/>
            <w:tcBorders>
              <w:top w:val="nil"/>
              <w:left w:val="single" w:color="auto" w:sz="4" w:space="0"/>
              <w:bottom w:val="single" w:color="000000" w:sz="4" w:space="0"/>
              <w:right w:val="single" w:color="auto" w:sz="4" w:space="0"/>
            </w:tcBorders>
            <w:vAlign w:val="center"/>
          </w:tcPr>
          <w:p w14:paraId="7242BC8F">
            <w:pPr>
              <w:wordWrap/>
              <w:spacing w:after="120"/>
              <w:ind w:firstLine="0" w:firstLineChars="0"/>
              <w:jc w:val="left"/>
              <w:rPr>
                <w:rFonts w:ascii="仿宋" w:hAnsi="仿宋" w:eastAsia="仿宋" w:cs="仿宋"/>
                <w:sz w:val="30"/>
                <w:szCs w:val="30"/>
              </w:rPr>
            </w:pPr>
          </w:p>
        </w:tc>
      </w:tr>
      <w:tr w14:paraId="207A63AA">
        <w:tblPrEx>
          <w:tblCellMar>
            <w:top w:w="0" w:type="dxa"/>
            <w:left w:w="108" w:type="dxa"/>
            <w:bottom w:w="0" w:type="dxa"/>
            <w:right w:w="108" w:type="dxa"/>
          </w:tblCellMar>
        </w:tblPrEx>
        <w:trPr>
          <w:trHeight w:val="709" w:hRule="atLeast"/>
          <w:jc w:val="center"/>
        </w:trPr>
        <w:tc>
          <w:tcPr>
            <w:tcW w:w="864" w:type="dxa"/>
            <w:tcBorders>
              <w:top w:val="nil"/>
              <w:left w:val="single" w:color="auto" w:sz="4" w:space="0"/>
              <w:bottom w:val="single" w:color="auto" w:sz="4" w:space="0"/>
              <w:right w:val="single" w:color="auto" w:sz="4" w:space="0"/>
            </w:tcBorders>
            <w:vAlign w:val="center"/>
          </w:tcPr>
          <w:p w14:paraId="3C7C555C">
            <w:pPr>
              <w:wordWrap/>
              <w:spacing w:after="120"/>
              <w:ind w:firstLine="300" w:firstLineChars="100"/>
              <w:rPr>
                <w:rFonts w:ascii="仿宋" w:hAnsi="仿宋" w:eastAsia="仿宋" w:cs="仿宋"/>
                <w:kern w:val="2"/>
                <w:sz w:val="30"/>
                <w:szCs w:val="30"/>
              </w:rPr>
            </w:pPr>
            <w:r>
              <w:rPr>
                <w:rFonts w:hint="eastAsia" w:ascii="仿宋" w:hAnsi="仿宋" w:eastAsia="仿宋" w:cs="仿宋"/>
                <w:sz w:val="30"/>
                <w:szCs w:val="30"/>
              </w:rPr>
              <w:t>1</w:t>
            </w:r>
          </w:p>
        </w:tc>
        <w:tc>
          <w:tcPr>
            <w:tcW w:w="2410" w:type="dxa"/>
            <w:gridSpan w:val="3"/>
            <w:tcBorders>
              <w:top w:val="single" w:color="auto" w:sz="4" w:space="0"/>
              <w:left w:val="nil"/>
              <w:bottom w:val="single" w:color="auto" w:sz="4" w:space="0"/>
              <w:right w:val="single" w:color="auto" w:sz="4" w:space="0"/>
            </w:tcBorders>
            <w:vAlign w:val="center"/>
          </w:tcPr>
          <w:p w14:paraId="78AF2E7B">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项目可行性研究报告及其批准（立项）文件（或项目建议书及其批准文件）</w:t>
            </w:r>
          </w:p>
        </w:tc>
        <w:tc>
          <w:tcPr>
            <w:tcW w:w="1275" w:type="dxa"/>
            <w:tcBorders>
              <w:top w:val="nil"/>
              <w:left w:val="nil"/>
              <w:bottom w:val="single" w:color="auto" w:sz="4" w:space="0"/>
              <w:right w:val="single" w:color="auto" w:sz="4" w:space="0"/>
            </w:tcBorders>
            <w:vAlign w:val="center"/>
          </w:tcPr>
          <w:p w14:paraId="6B1F706B">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340F33ED">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7CD4CF1F">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2E7BAD9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4D5ACD62">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6CAB109A">
        <w:tblPrEx>
          <w:tblCellMar>
            <w:top w:w="0" w:type="dxa"/>
            <w:left w:w="108" w:type="dxa"/>
            <w:bottom w:w="0" w:type="dxa"/>
            <w:right w:w="108" w:type="dxa"/>
          </w:tblCellMar>
        </w:tblPrEx>
        <w:trPr>
          <w:trHeight w:val="630" w:hRule="atLeast"/>
          <w:jc w:val="center"/>
        </w:trPr>
        <w:tc>
          <w:tcPr>
            <w:tcW w:w="864" w:type="dxa"/>
            <w:tcBorders>
              <w:top w:val="nil"/>
              <w:left w:val="single" w:color="auto" w:sz="4" w:space="0"/>
              <w:bottom w:val="single" w:color="auto" w:sz="4" w:space="0"/>
              <w:right w:val="single" w:color="auto" w:sz="4" w:space="0"/>
            </w:tcBorders>
            <w:vAlign w:val="center"/>
          </w:tcPr>
          <w:p w14:paraId="4740C26C">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2</w:t>
            </w:r>
          </w:p>
        </w:tc>
        <w:tc>
          <w:tcPr>
            <w:tcW w:w="2410" w:type="dxa"/>
            <w:gridSpan w:val="3"/>
            <w:tcBorders>
              <w:top w:val="single" w:color="auto" w:sz="4" w:space="0"/>
              <w:left w:val="nil"/>
              <w:bottom w:val="single" w:color="auto" w:sz="4" w:space="0"/>
              <w:right w:val="single" w:color="auto" w:sz="4" w:space="0"/>
            </w:tcBorders>
            <w:vAlign w:val="center"/>
          </w:tcPr>
          <w:p w14:paraId="01FA4B3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年度投资计划文件和项目资金预算下达文件</w:t>
            </w:r>
          </w:p>
        </w:tc>
        <w:tc>
          <w:tcPr>
            <w:tcW w:w="1275" w:type="dxa"/>
            <w:tcBorders>
              <w:top w:val="nil"/>
              <w:left w:val="nil"/>
              <w:bottom w:val="single" w:color="auto" w:sz="4" w:space="0"/>
              <w:right w:val="single" w:color="auto" w:sz="4" w:space="0"/>
            </w:tcBorders>
            <w:vAlign w:val="center"/>
          </w:tcPr>
          <w:p w14:paraId="2F4D086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01557311">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1C66515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673F6BC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727803D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0BAE2A9F">
        <w:tblPrEx>
          <w:tblCellMar>
            <w:top w:w="0" w:type="dxa"/>
            <w:left w:w="108" w:type="dxa"/>
            <w:bottom w:w="0" w:type="dxa"/>
            <w:right w:w="108" w:type="dxa"/>
          </w:tblCellMar>
        </w:tblPrEx>
        <w:trPr>
          <w:trHeight w:val="473" w:hRule="atLeast"/>
          <w:jc w:val="center"/>
        </w:trPr>
        <w:tc>
          <w:tcPr>
            <w:tcW w:w="864" w:type="dxa"/>
            <w:tcBorders>
              <w:top w:val="nil"/>
              <w:left w:val="single" w:color="auto" w:sz="4" w:space="0"/>
              <w:bottom w:val="single" w:color="auto" w:sz="4" w:space="0"/>
              <w:right w:val="single" w:color="auto" w:sz="4" w:space="0"/>
            </w:tcBorders>
            <w:vAlign w:val="center"/>
          </w:tcPr>
          <w:p w14:paraId="6DCA65FC">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3</w:t>
            </w:r>
          </w:p>
        </w:tc>
        <w:tc>
          <w:tcPr>
            <w:tcW w:w="2410" w:type="dxa"/>
            <w:gridSpan w:val="3"/>
            <w:tcBorders>
              <w:top w:val="single" w:color="auto" w:sz="4" w:space="0"/>
              <w:left w:val="nil"/>
              <w:bottom w:val="single" w:color="auto" w:sz="4" w:space="0"/>
              <w:right w:val="single" w:color="auto" w:sz="4" w:space="0"/>
            </w:tcBorders>
            <w:vAlign w:val="center"/>
          </w:tcPr>
          <w:p w14:paraId="2D2EEC7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初步设计、概算资料</w:t>
            </w:r>
          </w:p>
        </w:tc>
        <w:tc>
          <w:tcPr>
            <w:tcW w:w="1275" w:type="dxa"/>
            <w:tcBorders>
              <w:top w:val="nil"/>
              <w:left w:val="nil"/>
              <w:bottom w:val="single" w:color="auto" w:sz="4" w:space="0"/>
              <w:right w:val="single" w:color="auto" w:sz="4" w:space="0"/>
            </w:tcBorders>
            <w:vAlign w:val="center"/>
          </w:tcPr>
          <w:p w14:paraId="3C96B58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74C8105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415F8CC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67543BB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4133E87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2909D8E9">
        <w:tblPrEx>
          <w:tblCellMar>
            <w:top w:w="0" w:type="dxa"/>
            <w:left w:w="108" w:type="dxa"/>
            <w:bottom w:w="0" w:type="dxa"/>
            <w:right w:w="108" w:type="dxa"/>
          </w:tblCellMar>
        </w:tblPrEx>
        <w:trPr>
          <w:trHeight w:val="473" w:hRule="atLeast"/>
          <w:jc w:val="center"/>
        </w:trPr>
        <w:tc>
          <w:tcPr>
            <w:tcW w:w="864" w:type="dxa"/>
            <w:tcBorders>
              <w:top w:val="nil"/>
              <w:left w:val="single" w:color="auto" w:sz="4" w:space="0"/>
              <w:bottom w:val="single" w:color="auto" w:sz="4" w:space="0"/>
              <w:right w:val="single" w:color="auto" w:sz="4" w:space="0"/>
            </w:tcBorders>
            <w:vAlign w:val="center"/>
          </w:tcPr>
          <w:p w14:paraId="3FCFC874">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4</w:t>
            </w:r>
          </w:p>
        </w:tc>
        <w:tc>
          <w:tcPr>
            <w:tcW w:w="2410" w:type="dxa"/>
            <w:gridSpan w:val="3"/>
            <w:tcBorders>
              <w:top w:val="single" w:color="auto" w:sz="4" w:space="0"/>
              <w:left w:val="nil"/>
              <w:bottom w:val="single" w:color="auto" w:sz="4" w:space="0"/>
              <w:right w:val="single" w:color="auto" w:sz="4" w:space="0"/>
            </w:tcBorders>
            <w:vAlign w:val="center"/>
          </w:tcPr>
          <w:p w14:paraId="7ED14751">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合同、协议</w:t>
            </w:r>
          </w:p>
        </w:tc>
        <w:tc>
          <w:tcPr>
            <w:tcW w:w="1275" w:type="dxa"/>
            <w:tcBorders>
              <w:top w:val="nil"/>
              <w:left w:val="nil"/>
              <w:bottom w:val="single" w:color="auto" w:sz="4" w:space="0"/>
              <w:right w:val="single" w:color="auto" w:sz="4" w:space="0"/>
            </w:tcBorders>
            <w:vAlign w:val="center"/>
          </w:tcPr>
          <w:p w14:paraId="17DF3701">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58F15E3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4E88A57B">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14A1B30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1C4B73C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6F24DD9B">
        <w:tblPrEx>
          <w:tblCellMar>
            <w:top w:w="0" w:type="dxa"/>
            <w:left w:w="108" w:type="dxa"/>
            <w:bottom w:w="0" w:type="dxa"/>
            <w:right w:w="108" w:type="dxa"/>
          </w:tblCellMar>
        </w:tblPrEx>
        <w:trPr>
          <w:trHeight w:val="473" w:hRule="atLeast"/>
          <w:jc w:val="center"/>
        </w:trPr>
        <w:tc>
          <w:tcPr>
            <w:tcW w:w="864" w:type="dxa"/>
            <w:tcBorders>
              <w:top w:val="nil"/>
              <w:left w:val="single" w:color="auto" w:sz="4" w:space="0"/>
              <w:bottom w:val="single" w:color="auto" w:sz="4" w:space="0"/>
              <w:right w:val="single" w:color="auto" w:sz="4" w:space="0"/>
            </w:tcBorders>
            <w:vAlign w:val="center"/>
          </w:tcPr>
          <w:p w14:paraId="2B27C48C">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5</w:t>
            </w:r>
          </w:p>
        </w:tc>
        <w:tc>
          <w:tcPr>
            <w:tcW w:w="2410" w:type="dxa"/>
            <w:gridSpan w:val="3"/>
            <w:tcBorders>
              <w:top w:val="single" w:color="auto" w:sz="4" w:space="0"/>
              <w:left w:val="nil"/>
              <w:bottom w:val="single" w:color="auto" w:sz="4" w:space="0"/>
              <w:right w:val="single" w:color="auto" w:sz="4" w:space="0"/>
            </w:tcBorders>
            <w:vAlign w:val="center"/>
          </w:tcPr>
          <w:p w14:paraId="471DBF0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工程预算书及其电子文档</w:t>
            </w:r>
          </w:p>
        </w:tc>
        <w:tc>
          <w:tcPr>
            <w:tcW w:w="1275" w:type="dxa"/>
            <w:tcBorders>
              <w:top w:val="nil"/>
              <w:left w:val="nil"/>
              <w:bottom w:val="single" w:color="auto" w:sz="4" w:space="0"/>
              <w:right w:val="single" w:color="auto" w:sz="4" w:space="0"/>
            </w:tcBorders>
            <w:vAlign w:val="center"/>
          </w:tcPr>
          <w:p w14:paraId="142059A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7ED408C7">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54B7344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5629B23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77C0FED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03278F4D">
        <w:tblPrEx>
          <w:tblCellMar>
            <w:top w:w="0" w:type="dxa"/>
            <w:left w:w="108" w:type="dxa"/>
            <w:bottom w:w="0" w:type="dxa"/>
            <w:right w:w="108" w:type="dxa"/>
          </w:tblCellMar>
        </w:tblPrEx>
        <w:trPr>
          <w:trHeight w:val="47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14:paraId="4BD03FBE">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6</w:t>
            </w:r>
          </w:p>
        </w:tc>
        <w:tc>
          <w:tcPr>
            <w:tcW w:w="2410" w:type="dxa"/>
            <w:gridSpan w:val="3"/>
            <w:tcBorders>
              <w:top w:val="single" w:color="auto" w:sz="4" w:space="0"/>
              <w:left w:val="single" w:color="auto" w:sz="4" w:space="0"/>
              <w:bottom w:val="single" w:color="auto" w:sz="4" w:space="0"/>
              <w:right w:val="single" w:color="auto" w:sz="4" w:space="0"/>
            </w:tcBorders>
            <w:vAlign w:val="center"/>
          </w:tcPr>
          <w:p w14:paraId="452EDF2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工程量计算书及其电子文档</w:t>
            </w:r>
          </w:p>
        </w:tc>
        <w:tc>
          <w:tcPr>
            <w:tcW w:w="1275" w:type="dxa"/>
            <w:tcBorders>
              <w:top w:val="single" w:color="auto" w:sz="4" w:space="0"/>
              <w:left w:val="single" w:color="auto" w:sz="4" w:space="0"/>
              <w:bottom w:val="single" w:color="auto" w:sz="4" w:space="0"/>
              <w:right w:val="single" w:color="auto" w:sz="4" w:space="0"/>
            </w:tcBorders>
            <w:vAlign w:val="center"/>
          </w:tcPr>
          <w:p w14:paraId="5332400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single" w:color="auto" w:sz="4" w:space="0"/>
              <w:left w:val="single" w:color="auto" w:sz="4" w:space="0"/>
              <w:bottom w:val="single" w:color="auto" w:sz="4" w:space="0"/>
              <w:right w:val="single" w:color="auto" w:sz="4" w:space="0"/>
            </w:tcBorders>
            <w:vAlign w:val="center"/>
          </w:tcPr>
          <w:p w14:paraId="5188713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single" w:color="auto" w:sz="4" w:space="0"/>
              <w:left w:val="single" w:color="auto" w:sz="4" w:space="0"/>
              <w:bottom w:val="single" w:color="auto" w:sz="4" w:space="0"/>
              <w:right w:val="single" w:color="auto" w:sz="4" w:space="0"/>
            </w:tcBorders>
            <w:vAlign w:val="center"/>
          </w:tcPr>
          <w:p w14:paraId="47453F2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single" w:color="auto" w:sz="4" w:space="0"/>
              <w:left w:val="single" w:color="auto" w:sz="4" w:space="0"/>
              <w:bottom w:val="single" w:color="auto" w:sz="4" w:space="0"/>
              <w:right w:val="single" w:color="auto" w:sz="4" w:space="0"/>
            </w:tcBorders>
            <w:vAlign w:val="center"/>
          </w:tcPr>
          <w:p w14:paraId="39F681E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single" w:color="auto" w:sz="4" w:space="0"/>
              <w:left w:val="single" w:color="auto" w:sz="4" w:space="0"/>
              <w:bottom w:val="single" w:color="auto" w:sz="4" w:space="0"/>
              <w:right w:val="single" w:color="auto" w:sz="4" w:space="0"/>
            </w:tcBorders>
            <w:vAlign w:val="center"/>
          </w:tcPr>
          <w:p w14:paraId="25CA00A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7BD20685">
        <w:tblPrEx>
          <w:tblCellMar>
            <w:top w:w="0" w:type="dxa"/>
            <w:left w:w="108" w:type="dxa"/>
            <w:bottom w:w="0" w:type="dxa"/>
            <w:right w:w="108" w:type="dxa"/>
          </w:tblCellMar>
        </w:tblPrEx>
        <w:trPr>
          <w:trHeight w:val="47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14:paraId="601E12F7">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7</w:t>
            </w:r>
          </w:p>
        </w:tc>
        <w:tc>
          <w:tcPr>
            <w:tcW w:w="2410" w:type="dxa"/>
            <w:gridSpan w:val="3"/>
            <w:tcBorders>
              <w:top w:val="single" w:color="auto" w:sz="4" w:space="0"/>
              <w:left w:val="nil"/>
              <w:bottom w:val="single" w:color="auto" w:sz="4" w:space="0"/>
              <w:right w:val="single" w:color="auto" w:sz="4" w:space="0"/>
            </w:tcBorders>
            <w:vAlign w:val="center"/>
          </w:tcPr>
          <w:p w14:paraId="39FE3BF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施工图设计图纸</w:t>
            </w:r>
          </w:p>
        </w:tc>
        <w:tc>
          <w:tcPr>
            <w:tcW w:w="1275" w:type="dxa"/>
            <w:tcBorders>
              <w:top w:val="single" w:color="auto" w:sz="4" w:space="0"/>
              <w:left w:val="nil"/>
              <w:bottom w:val="single" w:color="auto" w:sz="4" w:space="0"/>
              <w:right w:val="single" w:color="auto" w:sz="4" w:space="0"/>
            </w:tcBorders>
            <w:vAlign w:val="center"/>
          </w:tcPr>
          <w:p w14:paraId="6A2584E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single" w:color="auto" w:sz="4" w:space="0"/>
              <w:left w:val="nil"/>
              <w:bottom w:val="single" w:color="auto" w:sz="4" w:space="0"/>
              <w:right w:val="single" w:color="auto" w:sz="4" w:space="0"/>
            </w:tcBorders>
            <w:vAlign w:val="center"/>
          </w:tcPr>
          <w:p w14:paraId="671CD69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single" w:color="auto" w:sz="4" w:space="0"/>
              <w:left w:val="nil"/>
              <w:bottom w:val="single" w:color="auto" w:sz="4" w:space="0"/>
              <w:right w:val="single" w:color="auto" w:sz="4" w:space="0"/>
            </w:tcBorders>
            <w:vAlign w:val="center"/>
          </w:tcPr>
          <w:p w14:paraId="512B075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single" w:color="auto" w:sz="4" w:space="0"/>
              <w:left w:val="nil"/>
              <w:bottom w:val="single" w:color="auto" w:sz="4" w:space="0"/>
              <w:right w:val="single" w:color="auto" w:sz="4" w:space="0"/>
            </w:tcBorders>
            <w:vAlign w:val="center"/>
          </w:tcPr>
          <w:p w14:paraId="286C975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single" w:color="auto" w:sz="4" w:space="0"/>
              <w:left w:val="nil"/>
              <w:bottom w:val="single" w:color="auto" w:sz="4" w:space="0"/>
              <w:right w:val="single" w:color="auto" w:sz="4" w:space="0"/>
            </w:tcBorders>
            <w:vAlign w:val="center"/>
          </w:tcPr>
          <w:p w14:paraId="757DD36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0C399930">
        <w:tblPrEx>
          <w:tblCellMar>
            <w:top w:w="0" w:type="dxa"/>
            <w:left w:w="108" w:type="dxa"/>
            <w:bottom w:w="0" w:type="dxa"/>
            <w:right w:w="108" w:type="dxa"/>
          </w:tblCellMar>
        </w:tblPrEx>
        <w:trPr>
          <w:trHeight w:val="473" w:hRule="atLeast"/>
          <w:jc w:val="center"/>
        </w:trPr>
        <w:tc>
          <w:tcPr>
            <w:tcW w:w="864" w:type="dxa"/>
            <w:tcBorders>
              <w:top w:val="nil"/>
              <w:left w:val="single" w:color="auto" w:sz="4" w:space="0"/>
              <w:bottom w:val="single" w:color="auto" w:sz="4" w:space="0"/>
              <w:right w:val="single" w:color="auto" w:sz="4" w:space="0"/>
            </w:tcBorders>
            <w:vAlign w:val="center"/>
          </w:tcPr>
          <w:p w14:paraId="57563B6A">
            <w:pPr>
              <w:wordWrap/>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8</w:t>
            </w:r>
          </w:p>
        </w:tc>
        <w:tc>
          <w:tcPr>
            <w:tcW w:w="2410" w:type="dxa"/>
            <w:gridSpan w:val="3"/>
            <w:tcBorders>
              <w:top w:val="single" w:color="auto" w:sz="4" w:space="0"/>
              <w:left w:val="nil"/>
              <w:bottom w:val="single" w:color="auto" w:sz="4" w:space="0"/>
              <w:right w:val="single" w:color="auto" w:sz="4" w:space="0"/>
            </w:tcBorders>
            <w:vAlign w:val="center"/>
          </w:tcPr>
          <w:p w14:paraId="01BF1291">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施工图审查意见</w:t>
            </w:r>
          </w:p>
        </w:tc>
        <w:tc>
          <w:tcPr>
            <w:tcW w:w="1275" w:type="dxa"/>
            <w:tcBorders>
              <w:top w:val="nil"/>
              <w:left w:val="nil"/>
              <w:bottom w:val="single" w:color="auto" w:sz="4" w:space="0"/>
              <w:right w:val="single" w:color="auto" w:sz="4" w:space="0"/>
            </w:tcBorders>
            <w:vAlign w:val="center"/>
          </w:tcPr>
          <w:p w14:paraId="0742B19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78DA163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2CECEEA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25B5BB9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1952C6D7">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49CAF787">
        <w:tblPrEx>
          <w:tblCellMar>
            <w:top w:w="0" w:type="dxa"/>
            <w:left w:w="108" w:type="dxa"/>
            <w:bottom w:w="0" w:type="dxa"/>
            <w:right w:w="108" w:type="dxa"/>
          </w:tblCellMar>
        </w:tblPrEx>
        <w:trPr>
          <w:trHeight w:val="473" w:hRule="atLeast"/>
          <w:jc w:val="center"/>
        </w:trPr>
        <w:tc>
          <w:tcPr>
            <w:tcW w:w="864" w:type="dxa"/>
            <w:tcBorders>
              <w:top w:val="nil"/>
              <w:left w:val="single" w:color="auto" w:sz="4" w:space="0"/>
              <w:bottom w:val="single" w:color="auto" w:sz="4" w:space="0"/>
              <w:right w:val="single" w:color="auto" w:sz="4" w:space="0"/>
            </w:tcBorders>
            <w:vAlign w:val="center"/>
          </w:tcPr>
          <w:p w14:paraId="4B09F9FC">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9</w:t>
            </w:r>
          </w:p>
        </w:tc>
        <w:tc>
          <w:tcPr>
            <w:tcW w:w="2410" w:type="dxa"/>
            <w:gridSpan w:val="3"/>
            <w:tcBorders>
              <w:top w:val="single" w:color="auto" w:sz="4" w:space="0"/>
              <w:left w:val="nil"/>
              <w:bottom w:val="single" w:color="auto" w:sz="4" w:space="0"/>
              <w:right w:val="single" w:color="auto" w:sz="4" w:space="0"/>
            </w:tcBorders>
            <w:vAlign w:val="center"/>
          </w:tcPr>
          <w:p w14:paraId="7FD07FF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招标、投标文件及中标通知书</w:t>
            </w:r>
          </w:p>
        </w:tc>
        <w:tc>
          <w:tcPr>
            <w:tcW w:w="1275" w:type="dxa"/>
            <w:tcBorders>
              <w:top w:val="nil"/>
              <w:left w:val="nil"/>
              <w:bottom w:val="single" w:color="auto" w:sz="4" w:space="0"/>
              <w:right w:val="single" w:color="auto" w:sz="4" w:space="0"/>
            </w:tcBorders>
            <w:vAlign w:val="center"/>
          </w:tcPr>
          <w:p w14:paraId="14FD596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4760771B">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2989D11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2DB61F73">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124F59A7">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5EFA4A0C">
        <w:tblPrEx>
          <w:tblCellMar>
            <w:top w:w="0" w:type="dxa"/>
            <w:left w:w="108" w:type="dxa"/>
            <w:bottom w:w="0" w:type="dxa"/>
            <w:right w:w="108" w:type="dxa"/>
          </w:tblCellMar>
        </w:tblPrEx>
        <w:trPr>
          <w:trHeight w:val="646" w:hRule="atLeast"/>
          <w:jc w:val="center"/>
        </w:trPr>
        <w:tc>
          <w:tcPr>
            <w:tcW w:w="864" w:type="dxa"/>
            <w:tcBorders>
              <w:top w:val="nil"/>
              <w:left w:val="single" w:color="auto" w:sz="4" w:space="0"/>
              <w:bottom w:val="single" w:color="auto" w:sz="4" w:space="0"/>
              <w:right w:val="single" w:color="auto" w:sz="4" w:space="0"/>
            </w:tcBorders>
            <w:vAlign w:val="center"/>
          </w:tcPr>
          <w:p w14:paraId="13616918">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10</w:t>
            </w:r>
          </w:p>
        </w:tc>
        <w:tc>
          <w:tcPr>
            <w:tcW w:w="2410" w:type="dxa"/>
            <w:gridSpan w:val="3"/>
            <w:tcBorders>
              <w:top w:val="single" w:color="auto" w:sz="4" w:space="0"/>
              <w:left w:val="nil"/>
              <w:bottom w:val="single" w:color="auto" w:sz="4" w:space="0"/>
              <w:right w:val="single" w:color="auto" w:sz="4" w:space="0"/>
            </w:tcBorders>
            <w:vAlign w:val="center"/>
          </w:tcPr>
          <w:p w14:paraId="43C0C7D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人工机械材料分析表、钢筋耗用量实抽表（含电子版）</w:t>
            </w:r>
          </w:p>
        </w:tc>
        <w:tc>
          <w:tcPr>
            <w:tcW w:w="1275" w:type="dxa"/>
            <w:tcBorders>
              <w:top w:val="nil"/>
              <w:left w:val="nil"/>
              <w:bottom w:val="single" w:color="auto" w:sz="4" w:space="0"/>
              <w:right w:val="single" w:color="auto" w:sz="4" w:space="0"/>
            </w:tcBorders>
            <w:vAlign w:val="center"/>
          </w:tcPr>
          <w:p w14:paraId="47A36A9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28961C4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0EABC83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16B5A26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6B55FB1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12A86990">
        <w:tblPrEx>
          <w:tblCellMar>
            <w:top w:w="0" w:type="dxa"/>
            <w:left w:w="108" w:type="dxa"/>
            <w:bottom w:w="0" w:type="dxa"/>
            <w:right w:w="108" w:type="dxa"/>
          </w:tblCellMar>
        </w:tblPrEx>
        <w:trPr>
          <w:trHeight w:val="1008" w:hRule="atLeast"/>
          <w:jc w:val="center"/>
        </w:trPr>
        <w:tc>
          <w:tcPr>
            <w:tcW w:w="864" w:type="dxa"/>
            <w:tcBorders>
              <w:top w:val="nil"/>
              <w:left w:val="single" w:color="auto" w:sz="4" w:space="0"/>
              <w:bottom w:val="single" w:color="auto" w:sz="4" w:space="0"/>
              <w:right w:val="single" w:color="auto" w:sz="4" w:space="0"/>
            </w:tcBorders>
            <w:vAlign w:val="center"/>
          </w:tcPr>
          <w:p w14:paraId="040F5083">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11</w:t>
            </w:r>
          </w:p>
        </w:tc>
        <w:tc>
          <w:tcPr>
            <w:tcW w:w="2410" w:type="dxa"/>
            <w:gridSpan w:val="3"/>
            <w:tcBorders>
              <w:top w:val="single" w:color="auto" w:sz="4" w:space="0"/>
              <w:left w:val="nil"/>
              <w:bottom w:val="single" w:color="auto" w:sz="4" w:space="0"/>
              <w:right w:val="single" w:color="auto" w:sz="4" w:space="0"/>
            </w:tcBorders>
            <w:vAlign w:val="center"/>
          </w:tcPr>
          <w:p w14:paraId="2286B5F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工程预算等额、取费标准、材料的名称、型号、规格品牌、生产厂家名称、价格表及行业主管部门制定的相关专业定额</w:t>
            </w:r>
          </w:p>
        </w:tc>
        <w:tc>
          <w:tcPr>
            <w:tcW w:w="1275" w:type="dxa"/>
            <w:tcBorders>
              <w:top w:val="nil"/>
              <w:left w:val="nil"/>
              <w:bottom w:val="single" w:color="auto" w:sz="4" w:space="0"/>
              <w:right w:val="single" w:color="auto" w:sz="4" w:space="0"/>
            </w:tcBorders>
            <w:vAlign w:val="center"/>
          </w:tcPr>
          <w:p w14:paraId="00F4ED4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1647D30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49E1AB61">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1DD5697B">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1D63C4D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097D6047">
        <w:tblPrEx>
          <w:tblCellMar>
            <w:top w:w="0" w:type="dxa"/>
            <w:left w:w="108" w:type="dxa"/>
            <w:bottom w:w="0" w:type="dxa"/>
            <w:right w:w="108" w:type="dxa"/>
          </w:tblCellMar>
        </w:tblPrEx>
        <w:trPr>
          <w:trHeight w:val="473" w:hRule="atLeast"/>
          <w:jc w:val="center"/>
        </w:trPr>
        <w:tc>
          <w:tcPr>
            <w:tcW w:w="864" w:type="dxa"/>
            <w:tcBorders>
              <w:top w:val="nil"/>
              <w:left w:val="single" w:color="auto" w:sz="4" w:space="0"/>
              <w:bottom w:val="single" w:color="auto" w:sz="4" w:space="0"/>
              <w:right w:val="single" w:color="auto" w:sz="4" w:space="0"/>
            </w:tcBorders>
            <w:vAlign w:val="center"/>
          </w:tcPr>
          <w:p w14:paraId="4ED27642">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12</w:t>
            </w:r>
          </w:p>
        </w:tc>
        <w:tc>
          <w:tcPr>
            <w:tcW w:w="2410" w:type="dxa"/>
            <w:gridSpan w:val="3"/>
            <w:tcBorders>
              <w:top w:val="single" w:color="auto" w:sz="4" w:space="0"/>
              <w:left w:val="nil"/>
              <w:bottom w:val="single" w:color="auto" w:sz="4" w:space="0"/>
              <w:right w:val="single" w:color="auto" w:sz="4" w:space="0"/>
            </w:tcBorders>
            <w:vAlign w:val="center"/>
          </w:tcPr>
          <w:p w14:paraId="710BB24D">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施工组织设计及说明</w:t>
            </w:r>
          </w:p>
        </w:tc>
        <w:tc>
          <w:tcPr>
            <w:tcW w:w="1275" w:type="dxa"/>
            <w:tcBorders>
              <w:top w:val="nil"/>
              <w:left w:val="nil"/>
              <w:bottom w:val="single" w:color="auto" w:sz="4" w:space="0"/>
              <w:right w:val="single" w:color="auto" w:sz="4" w:space="0"/>
            </w:tcBorders>
            <w:vAlign w:val="center"/>
          </w:tcPr>
          <w:p w14:paraId="3AAE1D7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nil"/>
              <w:left w:val="nil"/>
              <w:bottom w:val="single" w:color="auto" w:sz="4" w:space="0"/>
              <w:right w:val="single" w:color="auto" w:sz="4" w:space="0"/>
            </w:tcBorders>
            <w:vAlign w:val="center"/>
          </w:tcPr>
          <w:p w14:paraId="4B637E1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nil"/>
              <w:left w:val="nil"/>
              <w:bottom w:val="single" w:color="auto" w:sz="4" w:space="0"/>
              <w:right w:val="single" w:color="auto" w:sz="4" w:space="0"/>
            </w:tcBorders>
            <w:vAlign w:val="center"/>
          </w:tcPr>
          <w:p w14:paraId="1A9206D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nil"/>
              <w:left w:val="nil"/>
              <w:bottom w:val="single" w:color="auto" w:sz="4" w:space="0"/>
              <w:right w:val="single" w:color="auto" w:sz="4" w:space="0"/>
            </w:tcBorders>
            <w:vAlign w:val="center"/>
          </w:tcPr>
          <w:p w14:paraId="17BFF23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nil"/>
              <w:left w:val="nil"/>
              <w:bottom w:val="single" w:color="auto" w:sz="4" w:space="0"/>
              <w:right w:val="single" w:color="auto" w:sz="4" w:space="0"/>
            </w:tcBorders>
            <w:vAlign w:val="center"/>
          </w:tcPr>
          <w:p w14:paraId="6D6C4F25">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6F96E7A1">
        <w:tblPrEx>
          <w:tblCellMar>
            <w:top w:w="0" w:type="dxa"/>
            <w:left w:w="108" w:type="dxa"/>
            <w:bottom w:w="0" w:type="dxa"/>
            <w:right w:w="108" w:type="dxa"/>
          </w:tblCellMar>
        </w:tblPrEx>
        <w:trPr>
          <w:trHeight w:val="47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14:paraId="2E18F92D">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13</w:t>
            </w:r>
          </w:p>
        </w:tc>
        <w:tc>
          <w:tcPr>
            <w:tcW w:w="2410" w:type="dxa"/>
            <w:gridSpan w:val="3"/>
            <w:tcBorders>
              <w:top w:val="single" w:color="auto" w:sz="4" w:space="0"/>
              <w:left w:val="nil"/>
              <w:bottom w:val="single" w:color="auto" w:sz="4" w:space="0"/>
              <w:right w:val="single" w:color="auto" w:sz="4" w:space="0"/>
            </w:tcBorders>
            <w:vAlign w:val="center"/>
          </w:tcPr>
          <w:p w14:paraId="097C38F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编制工程预算的其他相关资料</w:t>
            </w:r>
          </w:p>
        </w:tc>
        <w:tc>
          <w:tcPr>
            <w:tcW w:w="1275" w:type="dxa"/>
            <w:tcBorders>
              <w:top w:val="single" w:color="auto" w:sz="4" w:space="0"/>
              <w:left w:val="nil"/>
              <w:bottom w:val="single" w:color="auto" w:sz="4" w:space="0"/>
              <w:right w:val="single" w:color="auto" w:sz="4" w:space="0"/>
            </w:tcBorders>
            <w:vAlign w:val="center"/>
          </w:tcPr>
          <w:p w14:paraId="072350E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single" w:color="auto" w:sz="4" w:space="0"/>
              <w:left w:val="nil"/>
              <w:bottom w:val="single" w:color="auto" w:sz="4" w:space="0"/>
              <w:right w:val="single" w:color="auto" w:sz="4" w:space="0"/>
            </w:tcBorders>
            <w:vAlign w:val="center"/>
          </w:tcPr>
          <w:p w14:paraId="13199BE7">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single" w:color="auto" w:sz="4" w:space="0"/>
              <w:left w:val="nil"/>
              <w:bottom w:val="single" w:color="auto" w:sz="4" w:space="0"/>
              <w:right w:val="single" w:color="auto" w:sz="4" w:space="0"/>
            </w:tcBorders>
            <w:vAlign w:val="center"/>
          </w:tcPr>
          <w:p w14:paraId="659A9B1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single" w:color="auto" w:sz="4" w:space="0"/>
              <w:left w:val="nil"/>
              <w:bottom w:val="single" w:color="auto" w:sz="4" w:space="0"/>
              <w:right w:val="single" w:color="auto" w:sz="4" w:space="0"/>
            </w:tcBorders>
            <w:vAlign w:val="center"/>
          </w:tcPr>
          <w:p w14:paraId="55A9625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single" w:color="auto" w:sz="4" w:space="0"/>
              <w:left w:val="nil"/>
              <w:bottom w:val="single" w:color="auto" w:sz="4" w:space="0"/>
              <w:right w:val="single" w:color="auto" w:sz="4" w:space="0"/>
            </w:tcBorders>
            <w:vAlign w:val="center"/>
          </w:tcPr>
          <w:p w14:paraId="60467E5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254882BD">
        <w:tblPrEx>
          <w:tblCellMar>
            <w:top w:w="0" w:type="dxa"/>
            <w:left w:w="108" w:type="dxa"/>
            <w:bottom w:w="0" w:type="dxa"/>
            <w:right w:w="108" w:type="dxa"/>
          </w:tblCellMar>
        </w:tblPrEx>
        <w:trPr>
          <w:trHeight w:val="47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14:paraId="4CA843D2">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14</w:t>
            </w:r>
          </w:p>
        </w:tc>
        <w:tc>
          <w:tcPr>
            <w:tcW w:w="2410" w:type="dxa"/>
            <w:gridSpan w:val="3"/>
            <w:tcBorders>
              <w:top w:val="single" w:color="auto" w:sz="4" w:space="0"/>
              <w:left w:val="nil"/>
              <w:bottom w:val="single" w:color="auto" w:sz="4" w:space="0"/>
              <w:right w:val="single" w:color="auto" w:sz="4" w:space="0"/>
            </w:tcBorders>
            <w:vAlign w:val="center"/>
          </w:tcPr>
          <w:p w14:paraId="0F7AF2E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5" w:type="dxa"/>
            <w:tcBorders>
              <w:top w:val="single" w:color="auto" w:sz="4" w:space="0"/>
              <w:left w:val="nil"/>
              <w:bottom w:val="single" w:color="auto" w:sz="4" w:space="0"/>
              <w:right w:val="single" w:color="auto" w:sz="4" w:space="0"/>
            </w:tcBorders>
            <w:vAlign w:val="center"/>
          </w:tcPr>
          <w:p w14:paraId="790F1C3C">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single" w:color="auto" w:sz="4" w:space="0"/>
              <w:left w:val="nil"/>
              <w:bottom w:val="single" w:color="auto" w:sz="4" w:space="0"/>
              <w:right w:val="single" w:color="auto" w:sz="4" w:space="0"/>
            </w:tcBorders>
            <w:vAlign w:val="center"/>
          </w:tcPr>
          <w:p w14:paraId="188928D6">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single" w:color="auto" w:sz="4" w:space="0"/>
              <w:left w:val="nil"/>
              <w:bottom w:val="single" w:color="auto" w:sz="4" w:space="0"/>
              <w:right w:val="single" w:color="auto" w:sz="4" w:space="0"/>
            </w:tcBorders>
            <w:vAlign w:val="center"/>
          </w:tcPr>
          <w:p w14:paraId="61500CE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single" w:color="auto" w:sz="4" w:space="0"/>
              <w:left w:val="nil"/>
              <w:bottom w:val="single" w:color="auto" w:sz="4" w:space="0"/>
              <w:right w:val="single" w:color="auto" w:sz="4" w:space="0"/>
            </w:tcBorders>
            <w:vAlign w:val="center"/>
          </w:tcPr>
          <w:p w14:paraId="649838F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single" w:color="auto" w:sz="4" w:space="0"/>
              <w:left w:val="nil"/>
              <w:bottom w:val="single" w:color="auto" w:sz="4" w:space="0"/>
              <w:right w:val="single" w:color="auto" w:sz="4" w:space="0"/>
            </w:tcBorders>
            <w:vAlign w:val="center"/>
          </w:tcPr>
          <w:p w14:paraId="37FB1930">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7098BB82">
        <w:tblPrEx>
          <w:tblCellMar>
            <w:top w:w="0" w:type="dxa"/>
            <w:left w:w="108" w:type="dxa"/>
            <w:bottom w:w="0" w:type="dxa"/>
            <w:right w:w="108" w:type="dxa"/>
          </w:tblCellMar>
        </w:tblPrEx>
        <w:trPr>
          <w:trHeight w:val="47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14:paraId="286B44BE">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15</w:t>
            </w:r>
          </w:p>
        </w:tc>
        <w:tc>
          <w:tcPr>
            <w:tcW w:w="2410" w:type="dxa"/>
            <w:gridSpan w:val="3"/>
            <w:tcBorders>
              <w:top w:val="single" w:color="auto" w:sz="4" w:space="0"/>
              <w:left w:val="nil"/>
              <w:bottom w:val="single" w:color="auto" w:sz="4" w:space="0"/>
              <w:right w:val="single" w:color="auto" w:sz="4" w:space="0"/>
            </w:tcBorders>
            <w:vAlign w:val="center"/>
          </w:tcPr>
          <w:p w14:paraId="63A518F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5" w:type="dxa"/>
            <w:tcBorders>
              <w:top w:val="single" w:color="auto" w:sz="4" w:space="0"/>
              <w:left w:val="nil"/>
              <w:bottom w:val="single" w:color="auto" w:sz="4" w:space="0"/>
              <w:right w:val="single" w:color="auto" w:sz="4" w:space="0"/>
            </w:tcBorders>
            <w:vAlign w:val="center"/>
          </w:tcPr>
          <w:p w14:paraId="346978DB">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66" w:type="dxa"/>
            <w:tcBorders>
              <w:top w:val="single" w:color="auto" w:sz="4" w:space="0"/>
              <w:left w:val="nil"/>
              <w:bottom w:val="single" w:color="auto" w:sz="4" w:space="0"/>
              <w:right w:val="single" w:color="auto" w:sz="4" w:space="0"/>
            </w:tcBorders>
            <w:vAlign w:val="center"/>
          </w:tcPr>
          <w:p w14:paraId="68A7101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single" w:color="auto" w:sz="4" w:space="0"/>
              <w:left w:val="nil"/>
              <w:bottom w:val="single" w:color="auto" w:sz="4" w:space="0"/>
              <w:right w:val="single" w:color="auto" w:sz="4" w:space="0"/>
            </w:tcBorders>
            <w:vAlign w:val="center"/>
          </w:tcPr>
          <w:p w14:paraId="4486B9AE">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912" w:type="dxa"/>
            <w:tcBorders>
              <w:top w:val="single" w:color="auto" w:sz="4" w:space="0"/>
              <w:left w:val="nil"/>
              <w:bottom w:val="single" w:color="auto" w:sz="4" w:space="0"/>
              <w:right w:val="single" w:color="auto" w:sz="4" w:space="0"/>
            </w:tcBorders>
            <w:vAlign w:val="center"/>
          </w:tcPr>
          <w:p w14:paraId="3F42D99A">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522" w:type="dxa"/>
            <w:tcBorders>
              <w:top w:val="single" w:color="auto" w:sz="4" w:space="0"/>
              <w:left w:val="nil"/>
              <w:bottom w:val="single" w:color="auto" w:sz="4" w:space="0"/>
              <w:right w:val="single" w:color="auto" w:sz="4" w:space="0"/>
            </w:tcBorders>
            <w:vAlign w:val="center"/>
          </w:tcPr>
          <w:p w14:paraId="76D3F6C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44A8E883">
        <w:tblPrEx>
          <w:tblCellMar>
            <w:top w:w="0" w:type="dxa"/>
            <w:left w:w="108" w:type="dxa"/>
            <w:bottom w:w="0" w:type="dxa"/>
            <w:right w:w="108" w:type="dxa"/>
          </w:tblCellMar>
        </w:tblPrEx>
        <w:trPr>
          <w:trHeight w:val="58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14:paraId="519C9442">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移交单位</w:t>
            </w:r>
          </w:p>
        </w:tc>
        <w:tc>
          <w:tcPr>
            <w:tcW w:w="1240" w:type="dxa"/>
            <w:gridSpan w:val="2"/>
            <w:tcBorders>
              <w:top w:val="single" w:color="auto" w:sz="4" w:space="0"/>
              <w:left w:val="nil"/>
              <w:bottom w:val="single" w:color="auto" w:sz="4" w:space="0"/>
              <w:right w:val="single" w:color="auto" w:sz="4" w:space="0"/>
            </w:tcBorders>
            <w:vAlign w:val="center"/>
          </w:tcPr>
          <w:p w14:paraId="6A1D9CFC">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70" w:type="dxa"/>
            <w:tcBorders>
              <w:top w:val="single" w:color="auto" w:sz="4" w:space="0"/>
              <w:left w:val="nil"/>
              <w:bottom w:val="single" w:color="auto" w:sz="4" w:space="0"/>
              <w:right w:val="single" w:color="auto" w:sz="4" w:space="0"/>
            </w:tcBorders>
            <w:vAlign w:val="center"/>
          </w:tcPr>
          <w:p w14:paraId="258B4E93">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5" w:type="dxa"/>
            <w:tcBorders>
              <w:top w:val="single" w:color="auto" w:sz="4" w:space="0"/>
              <w:left w:val="nil"/>
              <w:bottom w:val="single" w:color="auto" w:sz="4" w:space="0"/>
              <w:right w:val="single" w:color="auto" w:sz="4" w:space="0"/>
            </w:tcBorders>
            <w:vAlign w:val="center"/>
          </w:tcPr>
          <w:p w14:paraId="421ED601">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经办人</w:t>
            </w:r>
          </w:p>
        </w:tc>
        <w:tc>
          <w:tcPr>
            <w:tcW w:w="1266" w:type="dxa"/>
            <w:tcBorders>
              <w:top w:val="single" w:color="auto" w:sz="4" w:space="0"/>
              <w:left w:val="nil"/>
              <w:bottom w:val="single" w:color="auto" w:sz="4" w:space="0"/>
              <w:right w:val="single" w:color="auto" w:sz="4" w:space="0"/>
            </w:tcBorders>
            <w:vAlign w:val="center"/>
          </w:tcPr>
          <w:p w14:paraId="10B3B58B">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single" w:color="auto" w:sz="4" w:space="0"/>
              <w:left w:val="nil"/>
              <w:bottom w:val="single" w:color="auto" w:sz="4" w:space="0"/>
              <w:right w:val="single" w:color="auto" w:sz="4" w:space="0"/>
            </w:tcBorders>
            <w:vAlign w:val="center"/>
          </w:tcPr>
          <w:p w14:paraId="4F8E424D">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日期</w:t>
            </w:r>
          </w:p>
        </w:tc>
        <w:tc>
          <w:tcPr>
            <w:tcW w:w="2434" w:type="dxa"/>
            <w:gridSpan w:val="2"/>
            <w:tcBorders>
              <w:top w:val="single" w:color="auto" w:sz="4" w:space="0"/>
              <w:left w:val="nil"/>
              <w:bottom w:val="single" w:color="auto" w:sz="4" w:space="0"/>
              <w:right w:val="single" w:color="auto" w:sz="4" w:space="0"/>
            </w:tcBorders>
            <w:vAlign w:val="center"/>
          </w:tcPr>
          <w:p w14:paraId="34773E86">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014AC6EF">
        <w:tblPrEx>
          <w:tblCellMar>
            <w:top w:w="0" w:type="dxa"/>
            <w:left w:w="108" w:type="dxa"/>
            <w:bottom w:w="0" w:type="dxa"/>
            <w:right w:w="108" w:type="dxa"/>
          </w:tblCellMar>
        </w:tblPrEx>
        <w:trPr>
          <w:trHeight w:val="583" w:hRule="atLeast"/>
          <w:jc w:val="center"/>
        </w:trPr>
        <w:tc>
          <w:tcPr>
            <w:tcW w:w="864" w:type="dxa"/>
            <w:tcBorders>
              <w:top w:val="single" w:color="auto" w:sz="4" w:space="0"/>
              <w:left w:val="single" w:color="auto" w:sz="4" w:space="0"/>
              <w:bottom w:val="single" w:color="auto" w:sz="4" w:space="0"/>
              <w:right w:val="single" w:color="auto" w:sz="4" w:space="0"/>
            </w:tcBorders>
            <w:vAlign w:val="center"/>
          </w:tcPr>
          <w:p w14:paraId="7ED40369">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接收单位</w:t>
            </w:r>
          </w:p>
        </w:tc>
        <w:tc>
          <w:tcPr>
            <w:tcW w:w="1240" w:type="dxa"/>
            <w:gridSpan w:val="2"/>
            <w:tcBorders>
              <w:top w:val="single" w:color="auto" w:sz="4" w:space="0"/>
              <w:left w:val="nil"/>
              <w:bottom w:val="single" w:color="auto" w:sz="4" w:space="0"/>
              <w:right w:val="single" w:color="auto" w:sz="4" w:space="0"/>
            </w:tcBorders>
            <w:vAlign w:val="center"/>
          </w:tcPr>
          <w:p w14:paraId="69711A75">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70" w:type="dxa"/>
            <w:tcBorders>
              <w:top w:val="single" w:color="auto" w:sz="4" w:space="0"/>
              <w:left w:val="nil"/>
              <w:bottom w:val="single" w:color="auto" w:sz="4" w:space="0"/>
              <w:right w:val="single" w:color="auto" w:sz="4" w:space="0"/>
            </w:tcBorders>
            <w:vAlign w:val="center"/>
          </w:tcPr>
          <w:p w14:paraId="5EE16484">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275" w:type="dxa"/>
            <w:tcBorders>
              <w:top w:val="single" w:color="auto" w:sz="4" w:space="0"/>
              <w:left w:val="nil"/>
              <w:bottom w:val="single" w:color="auto" w:sz="4" w:space="0"/>
              <w:right w:val="single" w:color="auto" w:sz="4" w:space="0"/>
            </w:tcBorders>
            <w:vAlign w:val="center"/>
          </w:tcPr>
          <w:p w14:paraId="69E2E549">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签收人</w:t>
            </w:r>
          </w:p>
        </w:tc>
        <w:tc>
          <w:tcPr>
            <w:tcW w:w="1266" w:type="dxa"/>
            <w:tcBorders>
              <w:top w:val="single" w:color="auto" w:sz="4" w:space="0"/>
              <w:left w:val="nil"/>
              <w:bottom w:val="single" w:color="auto" w:sz="4" w:space="0"/>
              <w:right w:val="single" w:color="auto" w:sz="4" w:space="0"/>
            </w:tcBorders>
            <w:vAlign w:val="center"/>
          </w:tcPr>
          <w:p w14:paraId="67CAA6E5">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c>
          <w:tcPr>
            <w:tcW w:w="1120" w:type="dxa"/>
            <w:tcBorders>
              <w:top w:val="single" w:color="auto" w:sz="4" w:space="0"/>
              <w:left w:val="nil"/>
              <w:bottom w:val="single" w:color="auto" w:sz="4" w:space="0"/>
              <w:right w:val="single" w:color="auto" w:sz="4" w:space="0"/>
            </w:tcBorders>
            <w:vAlign w:val="center"/>
          </w:tcPr>
          <w:p w14:paraId="466424BB">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日期</w:t>
            </w:r>
          </w:p>
        </w:tc>
        <w:tc>
          <w:tcPr>
            <w:tcW w:w="2434" w:type="dxa"/>
            <w:gridSpan w:val="2"/>
            <w:tcBorders>
              <w:top w:val="single" w:color="auto" w:sz="4" w:space="0"/>
              <w:left w:val="nil"/>
              <w:bottom w:val="single" w:color="auto" w:sz="4" w:space="0"/>
              <w:right w:val="single" w:color="auto" w:sz="4" w:space="0"/>
            </w:tcBorders>
            <w:vAlign w:val="center"/>
          </w:tcPr>
          <w:p w14:paraId="58755CA6">
            <w:pPr>
              <w:wordWrap/>
              <w:spacing w:after="120"/>
              <w:ind w:firstLine="0" w:firstLineChars="0"/>
              <w:jc w:val="center"/>
              <w:rPr>
                <w:rFonts w:ascii="仿宋" w:hAnsi="仿宋" w:eastAsia="仿宋" w:cs="仿宋"/>
                <w:b/>
                <w:bCs/>
                <w:kern w:val="44"/>
                <w:sz w:val="30"/>
                <w:szCs w:val="30"/>
                <w:lang w:val="zh-CN"/>
              </w:rPr>
            </w:pPr>
            <w:r>
              <w:rPr>
                <w:rFonts w:hint="eastAsia" w:ascii="仿宋" w:hAnsi="仿宋" w:eastAsia="仿宋" w:cs="仿宋"/>
                <w:sz w:val="30"/>
                <w:szCs w:val="30"/>
              </w:rPr>
              <w:t>　</w:t>
            </w:r>
          </w:p>
        </w:tc>
      </w:tr>
      <w:tr w14:paraId="6256B47D">
        <w:tblPrEx>
          <w:tblCellMar>
            <w:top w:w="0" w:type="dxa"/>
            <w:left w:w="108" w:type="dxa"/>
            <w:bottom w:w="0" w:type="dxa"/>
            <w:right w:w="108" w:type="dxa"/>
          </w:tblCellMar>
        </w:tblPrEx>
        <w:trPr>
          <w:trHeight w:val="394" w:hRule="atLeast"/>
          <w:jc w:val="center"/>
        </w:trPr>
        <w:tc>
          <w:tcPr>
            <w:tcW w:w="9369" w:type="dxa"/>
            <w:gridSpan w:val="9"/>
            <w:tcBorders>
              <w:top w:val="single" w:color="auto" w:sz="4" w:space="0"/>
              <w:left w:val="single" w:color="auto" w:sz="4" w:space="0"/>
              <w:bottom w:val="single" w:color="auto" w:sz="4" w:space="0"/>
              <w:right w:val="single" w:color="auto" w:sz="4" w:space="0"/>
            </w:tcBorders>
            <w:vAlign w:val="center"/>
          </w:tcPr>
          <w:p w14:paraId="61BB2068">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说明：</w:t>
            </w:r>
          </w:p>
        </w:tc>
      </w:tr>
      <w:tr w14:paraId="6B012001">
        <w:tblPrEx>
          <w:tblCellMar>
            <w:top w:w="0" w:type="dxa"/>
            <w:left w:w="108" w:type="dxa"/>
            <w:bottom w:w="0" w:type="dxa"/>
            <w:right w:w="108" w:type="dxa"/>
          </w:tblCellMar>
        </w:tblPrEx>
        <w:trPr>
          <w:trHeight w:val="3828" w:hRule="atLeast"/>
          <w:jc w:val="center"/>
        </w:trPr>
        <w:tc>
          <w:tcPr>
            <w:tcW w:w="9369" w:type="dxa"/>
            <w:gridSpan w:val="9"/>
            <w:tcBorders>
              <w:top w:val="single" w:color="auto" w:sz="4" w:space="0"/>
              <w:left w:val="single" w:color="auto" w:sz="4" w:space="0"/>
              <w:bottom w:val="single" w:color="auto" w:sz="4" w:space="0"/>
              <w:right w:val="single" w:color="auto" w:sz="4" w:space="0"/>
            </w:tcBorders>
          </w:tcPr>
          <w:p w14:paraId="2185EEAD">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1、本表一式三份，一份送审单位留底、一份抄送广东省代建局相关处（室）、一份供随送审项目资料保存（并提供电子版）。</w:t>
            </w:r>
          </w:p>
          <w:p w14:paraId="4E813707">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2、评审时间以被评审单位提供完整评审资料后，省代建局正式受理之日起计算，预受理及在评审过程中等待补充资料的时间，不作为评审时间计算。</w:t>
            </w:r>
          </w:p>
          <w:p w14:paraId="13BBB67F">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3、送审单位应在表格中用“√”明确是否原件。对报送资料中的所有复印件盖章确认：装钉成册的，可盖封面和骑缝；未装钉的，每页盖章。原件无章的，也须盖章。</w:t>
            </w:r>
          </w:p>
          <w:p w14:paraId="67EF3358">
            <w:pPr>
              <w:wordWrap/>
              <w:spacing w:after="120"/>
              <w:ind w:firstLine="0" w:firstLineChars="0"/>
              <w:jc w:val="left"/>
              <w:rPr>
                <w:rFonts w:ascii="仿宋" w:hAnsi="仿宋" w:eastAsia="仿宋" w:cs="仿宋"/>
                <w:sz w:val="30"/>
                <w:szCs w:val="30"/>
              </w:rPr>
            </w:pPr>
            <w:r>
              <w:rPr>
                <w:rFonts w:hint="eastAsia" w:ascii="仿宋" w:hAnsi="仿宋" w:eastAsia="仿宋" w:cs="仿宋"/>
                <w:sz w:val="30"/>
                <w:szCs w:val="30"/>
              </w:rPr>
              <w:t>4、各阶段的设计图纸应保证其合规性（签字、盖章手续齐备）；送审金额应是项目各方（发包方、监理、承包方）共同认可。</w:t>
            </w:r>
          </w:p>
          <w:p w14:paraId="07132804">
            <w:pPr>
              <w:wordWrap/>
              <w:spacing w:after="120"/>
              <w:ind w:firstLine="0" w:firstLineChars="0"/>
              <w:jc w:val="left"/>
              <w:rPr>
                <w:rFonts w:ascii="仿宋" w:hAnsi="仿宋" w:eastAsia="仿宋" w:cs="仿宋"/>
                <w:b/>
                <w:bCs/>
                <w:kern w:val="44"/>
                <w:sz w:val="30"/>
                <w:szCs w:val="30"/>
                <w:lang w:val="zh-CN"/>
              </w:rPr>
            </w:pPr>
            <w:r>
              <w:rPr>
                <w:rFonts w:hint="eastAsia" w:ascii="仿宋" w:hAnsi="仿宋" w:eastAsia="仿宋" w:cs="仿宋"/>
                <w:sz w:val="30"/>
                <w:szCs w:val="30"/>
              </w:rPr>
              <w:t>5、各资料移交清单表内粗体部分（序号1-9）为必备的基本资料，基础资料不齐备的省代建局不予受理。送审资料有清单中未列举的，请按要求填写。</w:t>
            </w:r>
          </w:p>
        </w:tc>
      </w:tr>
    </w:tbl>
    <w:p w14:paraId="33D0A6AC">
      <w:pPr>
        <w:spacing w:after="120" w:line="440" w:lineRule="exact"/>
        <w:ind w:firstLine="0" w:firstLineChars="0"/>
        <w:jc w:val="left"/>
        <w:rPr>
          <w:rFonts w:ascii="仿宋" w:hAnsi="仿宋" w:eastAsia="仿宋" w:cs="仿宋_GB2312"/>
          <w:b/>
          <w:szCs w:val="24"/>
        </w:rPr>
      </w:pPr>
    </w:p>
    <w:p w14:paraId="1E04ADED">
      <w:pPr>
        <w:spacing w:after="120"/>
        <w:ind w:firstLine="0" w:firstLineChars="0"/>
        <w:outlineLvl w:val="1"/>
        <w:rPr>
          <w:rFonts w:ascii="仿宋" w:hAnsi="仿宋" w:eastAsia="仿宋" w:cs="仿宋"/>
          <w:b/>
          <w:bCs/>
          <w:sz w:val="32"/>
          <w:szCs w:val="32"/>
        </w:rPr>
      </w:pPr>
      <w:bookmarkStart w:id="1159" w:name="_Toc20730"/>
      <w:bookmarkStart w:id="1160" w:name="_Toc25439"/>
      <w:bookmarkStart w:id="1161" w:name="_Toc16609"/>
      <w:bookmarkStart w:id="1162" w:name="_Toc4765"/>
      <w:bookmarkStart w:id="1163" w:name="_Toc26376"/>
      <w:bookmarkStart w:id="1164" w:name="_Toc4583"/>
      <w:bookmarkStart w:id="1165" w:name="_Toc31292"/>
      <w:bookmarkStart w:id="1166" w:name="_Toc4601"/>
      <w:bookmarkStart w:id="1167" w:name="_Toc9160"/>
      <w:r>
        <w:rPr>
          <w:rFonts w:hint="eastAsia" w:ascii="仿宋" w:hAnsi="仿宋" w:eastAsia="仿宋" w:cs="仿宋"/>
          <w:b/>
          <w:bCs/>
          <w:sz w:val="32"/>
          <w:szCs w:val="32"/>
        </w:rPr>
        <w:t>附件</w:t>
      </w:r>
      <w:bookmarkEnd w:id="1159"/>
      <w:r>
        <w:rPr>
          <w:rFonts w:hint="eastAsia" w:ascii="仿宋" w:hAnsi="仿宋" w:eastAsia="仿宋" w:cs="仿宋"/>
          <w:b/>
          <w:bCs/>
          <w:sz w:val="32"/>
          <w:szCs w:val="32"/>
        </w:rPr>
        <w:t>17 施工图预算审核方案</w:t>
      </w:r>
      <w:bookmarkEnd w:id="1160"/>
      <w:bookmarkEnd w:id="1161"/>
      <w:bookmarkEnd w:id="1162"/>
      <w:bookmarkEnd w:id="1163"/>
      <w:bookmarkEnd w:id="1164"/>
      <w:bookmarkEnd w:id="1165"/>
      <w:bookmarkEnd w:id="1166"/>
      <w:bookmarkEnd w:id="1167"/>
    </w:p>
    <w:p w14:paraId="43E867C4">
      <w:pPr>
        <w:spacing w:after="120" w:line="560" w:lineRule="exact"/>
        <w:ind w:firstLine="440" w:firstLineChars="100"/>
        <w:jc w:val="center"/>
        <w:rPr>
          <w:rFonts w:ascii="华文中宋" w:hAnsi="华文中宋" w:eastAsia="华文中宋"/>
          <w:sz w:val="44"/>
          <w:szCs w:val="44"/>
        </w:rPr>
      </w:pPr>
      <w:r>
        <w:rPr>
          <w:rFonts w:hint="eastAsia" w:ascii="华文中宋" w:hAnsi="华文中宋" w:eastAsia="华文中宋"/>
          <w:sz w:val="44"/>
          <w:szCs w:val="44"/>
        </w:rPr>
        <w:t>省代建局工程总承包施工图预算编制</w:t>
      </w:r>
    </w:p>
    <w:p w14:paraId="3625FE97">
      <w:pPr>
        <w:spacing w:after="120" w:line="560" w:lineRule="exact"/>
        <w:ind w:firstLine="440" w:firstLineChars="100"/>
        <w:jc w:val="center"/>
        <w:rPr>
          <w:rFonts w:ascii="华文中宋" w:hAnsi="华文中宋" w:eastAsia="华文中宋"/>
          <w:sz w:val="44"/>
          <w:szCs w:val="44"/>
        </w:rPr>
      </w:pPr>
      <w:r>
        <w:rPr>
          <w:rFonts w:hint="eastAsia" w:ascii="华文中宋" w:hAnsi="华文中宋" w:eastAsia="华文中宋"/>
          <w:sz w:val="44"/>
          <w:szCs w:val="44"/>
        </w:rPr>
        <w:t>审核办法</w:t>
      </w:r>
    </w:p>
    <w:p w14:paraId="272943A2">
      <w:pPr>
        <w:spacing w:after="120" w:line="560" w:lineRule="exact"/>
        <w:jc w:val="center"/>
        <w:rPr>
          <w:rFonts w:ascii="华文中宋" w:hAnsi="华文中宋" w:eastAsia="华文中宋"/>
        </w:rPr>
      </w:pPr>
    </w:p>
    <w:p w14:paraId="2BD886F8">
      <w:pPr>
        <w:spacing w:after="120" w:line="560" w:lineRule="exact"/>
        <w:jc w:val="center"/>
        <w:rPr>
          <w:rFonts w:ascii="黑体" w:hAnsi="黑体" w:eastAsia="黑体" w:cs="黑体"/>
        </w:rPr>
      </w:pPr>
      <w:r>
        <w:rPr>
          <w:rFonts w:hint="eastAsia" w:ascii="黑体" w:hAnsi="黑体" w:eastAsia="黑体" w:cs="黑体"/>
        </w:rPr>
        <w:t>第一章  总  则</w:t>
      </w:r>
    </w:p>
    <w:p w14:paraId="5AC8F09B">
      <w:pPr>
        <w:spacing w:after="120" w:line="560" w:lineRule="exact"/>
        <w:jc w:val="center"/>
        <w:rPr>
          <w:rFonts w:ascii="黑体" w:hAnsi="黑体" w:eastAsia="黑体"/>
        </w:rPr>
      </w:pPr>
    </w:p>
    <w:p w14:paraId="211758C2">
      <w:pPr>
        <w:spacing w:after="120" w:line="560" w:lineRule="exact"/>
        <w:ind w:firstLine="482"/>
        <w:jc w:val="left"/>
        <w:rPr>
          <w:rFonts w:ascii="仿宋_GB2312" w:hAnsi="华文中宋"/>
        </w:rPr>
      </w:pPr>
      <w:r>
        <w:rPr>
          <w:rFonts w:hint="eastAsia" w:ascii="仿宋_GB2312" w:eastAsia="仿宋_GB2312" w:cs="宋体"/>
          <w:b/>
          <w:bCs/>
        </w:rPr>
        <w:t>第一条</w:t>
      </w:r>
      <w:r>
        <w:rPr>
          <w:rFonts w:hint="eastAsia" w:ascii="仿宋_GB2312" w:hAnsi="华文中宋"/>
        </w:rPr>
        <w:t>为规范省代建局工程总承包管理模式下的施工图预算计价行为，根据《广东省政府投资省属非经营性项目建设管理办法》（粤府〔2022〕12号），结合省代建局实际制定本办法。</w:t>
      </w:r>
    </w:p>
    <w:p w14:paraId="4088620D">
      <w:pPr>
        <w:spacing w:after="120" w:line="560" w:lineRule="exact"/>
        <w:ind w:firstLine="482"/>
        <w:jc w:val="left"/>
        <w:rPr>
          <w:rFonts w:ascii="仿宋_GB2312" w:hAnsi="华文中宋"/>
        </w:rPr>
      </w:pPr>
      <w:r>
        <w:rPr>
          <w:rFonts w:hint="eastAsia" w:ascii="仿宋_GB2312" w:eastAsia="仿宋_GB2312" w:cs="宋体"/>
          <w:b/>
          <w:bCs/>
        </w:rPr>
        <w:t>第二条</w:t>
      </w:r>
      <w:r>
        <w:rPr>
          <w:rFonts w:hint="eastAsia" w:ascii="仿宋_GB2312" w:hAnsi="华文中宋"/>
        </w:rPr>
        <w:t xml:space="preserve">  本办法适用于省代建局建设项目采用工程总承包模式的计价活动。</w:t>
      </w:r>
    </w:p>
    <w:p w14:paraId="3FC2101F">
      <w:pPr>
        <w:spacing w:after="120" w:line="560" w:lineRule="exact"/>
        <w:ind w:firstLine="482"/>
        <w:jc w:val="left"/>
        <w:rPr>
          <w:rFonts w:ascii="仿宋_GB2312" w:hAnsi="华文中宋"/>
        </w:rPr>
      </w:pPr>
      <w:r>
        <w:rPr>
          <w:rFonts w:hint="eastAsia" w:ascii="仿宋_GB2312" w:eastAsia="仿宋_GB2312" w:cs="宋体"/>
          <w:b/>
          <w:bCs/>
        </w:rPr>
        <w:t xml:space="preserve">第三条 </w:t>
      </w:r>
      <w:r>
        <w:rPr>
          <w:rFonts w:hint="eastAsia" w:ascii="仿宋_GB2312" w:hAnsi="华文中宋"/>
        </w:rPr>
        <w:t>建设项目施工图预算的编制应由相应专业资质的单位和造价专业人员完成。编制单位应在预算成果文件上加盖公章和资质专用章，对成果文件质量承担相应责任；注册造价工程师和造价员应在预算文件上签署执业（从业）印章，并承担相应责任。</w:t>
      </w:r>
    </w:p>
    <w:p w14:paraId="21744C1C">
      <w:pPr>
        <w:spacing w:after="120" w:line="560" w:lineRule="exact"/>
        <w:ind w:firstLine="482"/>
        <w:jc w:val="left"/>
        <w:rPr>
          <w:rFonts w:ascii="仿宋_GB2312" w:hAnsi="华文中宋"/>
        </w:rPr>
      </w:pPr>
      <w:r>
        <w:rPr>
          <w:rFonts w:hint="eastAsia" w:ascii="仿宋_GB2312" w:eastAsia="仿宋_GB2312" w:cs="宋体"/>
          <w:b/>
          <w:bCs/>
        </w:rPr>
        <w:t>第四条</w:t>
      </w:r>
      <w:r>
        <w:rPr>
          <w:rFonts w:hint="eastAsia" w:ascii="仿宋_GB2312" w:hAnsi="华文中宋"/>
        </w:rPr>
        <w:t xml:space="preserve">  建设项目施工图预算的计价活动除应遵守本办法外，尚应符合国家现行有关标准的规定。</w:t>
      </w:r>
    </w:p>
    <w:p w14:paraId="42641317">
      <w:pPr>
        <w:spacing w:after="120" w:line="560" w:lineRule="exact"/>
        <w:jc w:val="center"/>
        <w:rPr>
          <w:rFonts w:ascii="仿宋_GB2312" w:hAnsi="黑体" w:eastAsia="仿宋_GB2312" w:cs="黑体"/>
        </w:rPr>
      </w:pPr>
    </w:p>
    <w:p w14:paraId="3A6B64CF">
      <w:pPr>
        <w:spacing w:after="120" w:line="560" w:lineRule="exact"/>
        <w:jc w:val="center"/>
        <w:rPr>
          <w:rFonts w:ascii="黑体" w:hAnsi="黑体" w:eastAsia="黑体" w:cs="黑体"/>
        </w:rPr>
      </w:pPr>
      <w:r>
        <w:rPr>
          <w:rFonts w:hint="eastAsia" w:ascii="黑体" w:hAnsi="黑体" w:eastAsia="黑体" w:cs="黑体"/>
        </w:rPr>
        <w:t>第二章  招标清单</w:t>
      </w:r>
    </w:p>
    <w:p w14:paraId="2BA6442C">
      <w:pPr>
        <w:spacing w:after="120" w:line="560" w:lineRule="exact"/>
        <w:jc w:val="left"/>
        <w:rPr>
          <w:rFonts w:ascii="仿宋_GB2312" w:hAnsi="华文中宋"/>
        </w:rPr>
      </w:pPr>
    </w:p>
    <w:p w14:paraId="73C0EB22">
      <w:pPr>
        <w:spacing w:after="120" w:line="560" w:lineRule="exact"/>
        <w:ind w:firstLine="482"/>
        <w:jc w:val="left"/>
        <w:rPr>
          <w:rFonts w:ascii="仿宋_GB2312" w:hAnsi="华文中宋"/>
        </w:rPr>
      </w:pPr>
      <w:r>
        <w:rPr>
          <w:rFonts w:hint="eastAsia" w:ascii="仿宋_GB2312" w:eastAsia="仿宋_GB2312" w:cs="宋体"/>
          <w:b/>
          <w:bCs/>
        </w:rPr>
        <w:t>第五条</w:t>
      </w:r>
      <w:r>
        <w:rPr>
          <w:rFonts w:hint="eastAsia" w:ascii="仿宋_GB2312" w:hAnsi="华文中宋"/>
        </w:rPr>
        <w:t>招标清单列出的工程量不作为实施工程的实际或准确的数量，不作为结算依据。</w:t>
      </w:r>
    </w:p>
    <w:p w14:paraId="53DD22B5">
      <w:pPr>
        <w:spacing w:after="120" w:line="560" w:lineRule="exact"/>
        <w:ind w:firstLine="482"/>
        <w:jc w:val="left"/>
        <w:rPr>
          <w:rFonts w:ascii="仿宋_GB2312" w:hAnsi="华文中宋"/>
        </w:rPr>
      </w:pPr>
      <w:r>
        <w:rPr>
          <w:rFonts w:hint="eastAsia" w:ascii="仿宋_GB2312" w:eastAsia="仿宋_GB2312" w:cs="宋体"/>
          <w:b/>
          <w:bCs/>
        </w:rPr>
        <w:t>第六条</w:t>
      </w:r>
      <w:r>
        <w:rPr>
          <w:rFonts w:hint="eastAsia" w:ascii="仿宋_GB2312" w:hAnsi="华文中宋"/>
        </w:rPr>
        <w:t>招标公告发布的初步设计图纸和招标清单已确定的特征项不得随意修改调整，根据工程实际需要，需修改的，需报省代建局审批。</w:t>
      </w:r>
    </w:p>
    <w:p w14:paraId="5A139BDE">
      <w:pPr>
        <w:spacing w:after="120" w:line="560" w:lineRule="exact"/>
        <w:jc w:val="left"/>
        <w:rPr>
          <w:rFonts w:ascii="仿宋_GB2312" w:hAnsi="华文中宋"/>
        </w:rPr>
      </w:pPr>
    </w:p>
    <w:p w14:paraId="31F1A51A">
      <w:pPr>
        <w:spacing w:after="120" w:line="560" w:lineRule="exact"/>
        <w:jc w:val="center"/>
        <w:rPr>
          <w:rFonts w:ascii="黑体" w:hAnsi="黑体" w:eastAsia="黑体" w:cs="黑体"/>
        </w:rPr>
      </w:pPr>
      <w:r>
        <w:rPr>
          <w:rFonts w:hint="eastAsia" w:ascii="黑体" w:hAnsi="黑体" w:eastAsia="黑体" w:cs="黑体"/>
        </w:rPr>
        <w:t>第三章  施工图预算</w:t>
      </w:r>
    </w:p>
    <w:p w14:paraId="73B10479">
      <w:pPr>
        <w:spacing w:after="120" w:line="560" w:lineRule="exact"/>
        <w:jc w:val="left"/>
        <w:rPr>
          <w:rFonts w:ascii="黑体" w:hAnsi="黑体" w:eastAsia="黑体"/>
        </w:rPr>
      </w:pPr>
    </w:p>
    <w:p w14:paraId="2645E7D2">
      <w:pPr>
        <w:spacing w:after="120" w:line="560" w:lineRule="exact"/>
        <w:ind w:firstLine="482"/>
        <w:jc w:val="left"/>
        <w:rPr>
          <w:rFonts w:ascii="仿宋_GB2312" w:hAnsi="黑体" w:eastAsia="仿宋_GB2312"/>
        </w:rPr>
      </w:pPr>
      <w:r>
        <w:rPr>
          <w:rFonts w:hint="eastAsia" w:ascii="仿宋_GB2312" w:eastAsia="仿宋_GB2312" w:cs="宋体"/>
          <w:b/>
          <w:bCs/>
        </w:rPr>
        <w:t>第七条</w:t>
      </w:r>
      <w:r>
        <w:rPr>
          <w:rFonts w:hint="eastAsia" w:ascii="仿宋_GB2312" w:hAnsi="华文中宋"/>
        </w:rPr>
        <w:t xml:space="preserve">  施工图预算的编制应保证编制依据的合法性、全面性和有效性，以及预算编制成果文件的准确性。</w:t>
      </w:r>
    </w:p>
    <w:p w14:paraId="4A3A6811">
      <w:pPr>
        <w:spacing w:after="120" w:line="560" w:lineRule="exact"/>
        <w:ind w:firstLine="482"/>
        <w:rPr>
          <w:rFonts w:ascii="仿宋_GB2312" w:hAnsi="仿宋" w:eastAsia="仿宋_GB2312" w:cs="仿宋"/>
        </w:rPr>
      </w:pPr>
      <w:r>
        <w:rPr>
          <w:rFonts w:hint="eastAsia" w:ascii="仿宋_GB2312" w:eastAsia="仿宋_GB2312" w:cs="宋体"/>
          <w:b/>
          <w:bCs/>
        </w:rPr>
        <w:t>第八条</w:t>
      </w:r>
      <w:r>
        <w:rPr>
          <w:rFonts w:hint="eastAsia" w:ascii="仿宋_GB2312" w:hAnsi="仿宋" w:eastAsia="仿宋_GB2312" w:cs="仿宋"/>
        </w:rPr>
        <w:t>工程总承包单位应配备专业能力强的造价团队，省代建局对工程总承包单位及造价单位的造价负责人进行考核、考勤。</w:t>
      </w:r>
    </w:p>
    <w:p w14:paraId="745B114D">
      <w:pPr>
        <w:spacing w:after="120" w:line="560" w:lineRule="exact"/>
        <w:rPr>
          <w:rFonts w:ascii="仿宋_GB2312" w:hAnsi="仿宋" w:eastAsia="仿宋_GB2312" w:cs="仿宋"/>
        </w:rPr>
      </w:pPr>
      <w:r>
        <w:rPr>
          <w:rFonts w:hint="eastAsia" w:ascii="仿宋_GB2312" w:hAnsi="仿宋" w:eastAsia="仿宋_GB2312" w:cs="仿宋"/>
        </w:rPr>
        <w:t>考核是指由我局对造价负责人造价资质、工作业绩及工作能力进行考核，考勤是指我局授权现场项目组对造价工作人员是否参加工地现场会议或赴现场协调解决问题的到位出勤率进行考勤。具体细则以施工合同、造价合同或省代建局另行制定的约定为准。</w:t>
      </w:r>
    </w:p>
    <w:p w14:paraId="2E0C74DE">
      <w:pPr>
        <w:spacing w:after="120" w:line="560" w:lineRule="exact"/>
        <w:rPr>
          <w:rFonts w:ascii="仿宋_GB2312" w:hAnsi="黑体" w:eastAsia="仿宋_GB2312"/>
        </w:rPr>
      </w:pPr>
      <w:r>
        <w:rPr>
          <w:rFonts w:hint="eastAsia" w:ascii="仿宋_GB2312" w:hAnsi="仿宋" w:eastAsia="仿宋_GB2312" w:cs="仿宋"/>
        </w:rPr>
        <w:t>工程总承包单位的造价负责人未经监理工程师及省代建局同意随意更换的，省代建局将依照合同约定和违约情节对工程总承包单位进行违约查处。</w:t>
      </w:r>
    </w:p>
    <w:p w14:paraId="6DCE8E5C">
      <w:pPr>
        <w:spacing w:after="120" w:line="560" w:lineRule="exact"/>
        <w:ind w:firstLine="482"/>
        <w:jc w:val="left"/>
        <w:rPr>
          <w:rFonts w:ascii="仿宋_GB2312" w:hAnsi="华文中宋"/>
        </w:rPr>
      </w:pPr>
      <w:r>
        <w:rPr>
          <w:rFonts w:hint="eastAsia" w:ascii="仿宋_GB2312" w:eastAsia="仿宋_GB2312" w:cs="宋体"/>
          <w:b/>
          <w:bCs/>
        </w:rPr>
        <w:t>第九条</w:t>
      </w:r>
      <w:r>
        <w:rPr>
          <w:rFonts w:hint="eastAsia" w:ascii="仿宋_GB2312" w:hAnsi="华文中宋"/>
        </w:rPr>
        <w:t>凡作为施工图预算编制依据的设计图纸，工程</w:t>
      </w:r>
      <w:r>
        <w:rPr>
          <w:rFonts w:hint="eastAsia" w:ascii="仿宋_GB2312" w:hAnsi="仿宋"/>
        </w:rPr>
        <w:t>总承包单位应</w:t>
      </w:r>
      <w:r>
        <w:rPr>
          <w:rFonts w:hint="eastAsia" w:ascii="仿宋_GB2312" w:hAnsi="华文中宋"/>
        </w:rPr>
        <w:t>以书面形式</w:t>
      </w:r>
      <w:r>
        <w:rPr>
          <w:rFonts w:hint="eastAsia" w:ascii="仿宋_GB2312" w:hAnsi="仿宋"/>
        </w:rPr>
        <w:t>承诺并保证图纸的设计深度</w:t>
      </w:r>
      <w:r>
        <w:rPr>
          <w:rFonts w:hint="eastAsia" w:ascii="仿宋_GB2312" w:hAnsi="华文中宋"/>
        </w:rPr>
        <w:t>满足施工图预算的编制要求。</w:t>
      </w:r>
    </w:p>
    <w:p w14:paraId="611D0284">
      <w:pPr>
        <w:spacing w:after="120" w:line="560" w:lineRule="exact"/>
        <w:rPr>
          <w:rFonts w:ascii="仿宋_GB2312" w:hAnsi="华文中宋"/>
        </w:rPr>
      </w:pPr>
      <w:r>
        <w:rPr>
          <w:rFonts w:hint="eastAsia" w:ascii="仿宋_GB2312" w:hAnsi="华文中宋"/>
        </w:rPr>
        <w:t>未满足施工图预算编制要求的设计图纸，工程总承包单位应按照省代建局审批同意的投资分解金额以暂估价形式履行限额设计职责，后续根据完善的图纸确定暂估部分预算，如暂估部分预算超出暂估价，超出部分不纳入施工图预算，由工程总承包单位自行优化或承担超出暂估价部分的费用。</w:t>
      </w:r>
    </w:p>
    <w:p w14:paraId="35F19B52">
      <w:pPr>
        <w:spacing w:after="120" w:line="560" w:lineRule="exact"/>
        <w:ind w:firstLine="482"/>
        <w:jc w:val="left"/>
        <w:rPr>
          <w:rFonts w:ascii="仿宋_GB2312" w:hAnsi="华文中宋"/>
        </w:rPr>
      </w:pPr>
      <w:r>
        <w:rPr>
          <w:rFonts w:hint="eastAsia" w:ascii="仿宋_GB2312" w:eastAsia="仿宋_GB2312" w:cs="宋体"/>
          <w:b/>
          <w:bCs/>
        </w:rPr>
        <w:t>第十条</w:t>
      </w:r>
      <w:r>
        <w:rPr>
          <w:rFonts w:hint="eastAsia" w:ascii="仿宋_GB2312" w:hAnsi="华文中宋"/>
        </w:rPr>
        <w:tab/>
      </w:r>
      <w:r>
        <w:rPr>
          <w:rFonts w:hint="eastAsia" w:ascii="仿宋_GB2312" w:hAnsi="华文中宋"/>
        </w:rPr>
        <w:t xml:space="preserve"> 施工图预算根据建设项目实际情况和合同约定采用分阶段编报方式的，应依据施工图出图计划按照合同约定编制施工图预算报审计划，其每阶段编报或审核施工图预算不得超过省发展改革委批复概算中的对应工程费用或省代建局批准的投资控制分解所对应金额。</w:t>
      </w:r>
    </w:p>
    <w:p w14:paraId="03075608">
      <w:pPr>
        <w:spacing w:after="120" w:line="560" w:lineRule="exact"/>
        <w:ind w:firstLine="482"/>
        <w:jc w:val="left"/>
        <w:rPr>
          <w:rFonts w:ascii="仿宋_GB2312" w:hAnsi="华文中宋"/>
        </w:rPr>
      </w:pPr>
      <w:r>
        <w:rPr>
          <w:rFonts w:hint="eastAsia" w:ascii="仿宋_GB2312" w:eastAsia="仿宋_GB2312" w:cs="宋体"/>
          <w:b/>
          <w:bCs/>
        </w:rPr>
        <w:t>第十一条</w:t>
      </w:r>
      <w:r>
        <w:rPr>
          <w:rFonts w:hint="eastAsia" w:ascii="仿宋_GB2312" w:hAnsi="华文中宋"/>
        </w:rPr>
        <w:t>施工图预算应考虑施工现场实际情况，并结合拟建建设项目合理的施工组织设计进行编制。施工组织设计方案审批工作应在报审施工图预算之前完成。</w:t>
      </w:r>
    </w:p>
    <w:p w14:paraId="64E2B689">
      <w:pPr>
        <w:spacing w:after="120" w:line="560" w:lineRule="exact"/>
        <w:rPr>
          <w:rFonts w:ascii="仿宋_GB2312" w:hAnsi="华文中宋"/>
        </w:rPr>
      </w:pPr>
      <w:r>
        <w:rPr>
          <w:rFonts w:hint="eastAsia" w:ascii="仿宋_GB2312" w:hAnsi="华文中宋"/>
        </w:rPr>
        <w:t>部分工作内容无法通过设计图纸体现，需要以施工组织设计方案作为计算依据的，其施工组织设计方案经省代建局批准后，以施工图设计文件形式出具，可以纳入施工图预算审核范围。</w:t>
      </w:r>
    </w:p>
    <w:p w14:paraId="1D9DB6C7">
      <w:pPr>
        <w:spacing w:after="120" w:line="560" w:lineRule="exact"/>
        <w:rPr>
          <w:rFonts w:ascii="仿宋_GB2312" w:hAnsi="华文中宋"/>
        </w:rPr>
      </w:pPr>
      <w:r>
        <w:rPr>
          <w:rFonts w:hint="eastAsia" w:ascii="仿宋_GB2312" w:hAnsi="华文中宋"/>
        </w:rPr>
        <w:t>经批准的施工组织设计方案后期调整的，按工程变更审批程序处理。</w:t>
      </w:r>
    </w:p>
    <w:p w14:paraId="1C9E62CE">
      <w:pPr>
        <w:spacing w:after="120" w:line="560" w:lineRule="exact"/>
        <w:ind w:firstLine="482"/>
        <w:jc w:val="left"/>
        <w:rPr>
          <w:rFonts w:ascii="仿宋_GB2312" w:hAnsi="华文中宋"/>
        </w:rPr>
      </w:pPr>
      <w:r>
        <w:rPr>
          <w:rFonts w:hint="eastAsia" w:ascii="仿宋_GB2312" w:eastAsia="仿宋_GB2312" w:cs="宋体"/>
          <w:b/>
          <w:bCs/>
        </w:rPr>
        <w:t>第十二条</w:t>
      </w:r>
      <w:r>
        <w:rPr>
          <w:rFonts w:hint="eastAsia" w:ascii="仿宋_GB2312" w:hAnsi="华文中宋"/>
        </w:rPr>
        <w:t>工程总承包单位按照经省代建局批准的施工设计图纸，结合招标工程量清单以及招标文件、投标文件和《建设项目工程总承包合同》有关规定编制施工图预算并报省代建局，省代建局组织第三方造价咨询单位审核施工图预算并经省代建局批准同意后以补充协议形式确定为合同价，做为工程款支付、变更和结算的依据。</w:t>
      </w:r>
    </w:p>
    <w:p w14:paraId="4832280D">
      <w:pPr>
        <w:spacing w:after="120" w:line="560" w:lineRule="exact"/>
        <w:ind w:firstLine="482"/>
        <w:jc w:val="left"/>
        <w:rPr>
          <w:rFonts w:ascii="仿宋_GB2312" w:hAnsi="华文中宋"/>
        </w:rPr>
      </w:pPr>
      <w:r>
        <w:rPr>
          <w:rFonts w:hint="eastAsia" w:ascii="仿宋_GB2312" w:eastAsia="仿宋_GB2312" w:cs="宋体"/>
          <w:b/>
          <w:bCs/>
        </w:rPr>
        <w:t>第十三条</w:t>
      </w:r>
      <w:r>
        <w:rPr>
          <w:rFonts w:hint="eastAsia" w:ascii="仿宋_GB2312" w:hAnsi="华文中宋"/>
        </w:rPr>
        <w:t>工程总承包单位逾期未提交预算文件，经省代建局书面催促后7日内未提交预算文件的，除承担1次严重违约责任外，省代建局有权直接采用其委托的第三方造价咨询机构编制的预算文件组织对数，总承包单位应提供相关资料及积极配合施工图预算的审定工作，如工程总承包单位不配合相关工作，省代建局有权直接以其委托的第三方造价咨询机构编制的预算文件作为审定预算，工程总承包单位应予以认可。</w:t>
      </w:r>
    </w:p>
    <w:p w14:paraId="7427E3C1">
      <w:pPr>
        <w:spacing w:after="120" w:line="560" w:lineRule="exact"/>
        <w:ind w:firstLine="482"/>
        <w:jc w:val="left"/>
        <w:rPr>
          <w:rFonts w:ascii="仿宋_GB2312" w:hAnsi="华文中宋"/>
        </w:rPr>
      </w:pPr>
      <w:r>
        <w:rPr>
          <w:rFonts w:hint="eastAsia" w:ascii="仿宋_GB2312" w:eastAsia="仿宋_GB2312" w:cs="宋体"/>
          <w:b/>
          <w:bCs/>
        </w:rPr>
        <w:t>第十四条</w:t>
      </w:r>
      <w:r>
        <w:rPr>
          <w:rFonts w:hint="eastAsia" w:ascii="仿宋_GB2312" w:hAnsi="华文中宋"/>
        </w:rPr>
        <w:t>施工图预算应控制在已批复的初步设计概算中所对应的建筑安装工程费用以内。</w:t>
      </w:r>
    </w:p>
    <w:p w14:paraId="40945BEA">
      <w:pPr>
        <w:spacing w:after="120" w:line="560" w:lineRule="exact"/>
        <w:ind w:firstLine="482"/>
        <w:jc w:val="left"/>
        <w:rPr>
          <w:rFonts w:ascii="仿宋_GB2312" w:hAnsi="华文中宋"/>
        </w:rPr>
      </w:pPr>
      <w:r>
        <w:rPr>
          <w:rFonts w:hint="eastAsia" w:ascii="仿宋_GB2312" w:eastAsia="仿宋_GB2312" w:cs="宋体"/>
          <w:b/>
          <w:bCs/>
        </w:rPr>
        <w:t>第十五条</w:t>
      </w:r>
      <w:r>
        <w:rPr>
          <w:rFonts w:hint="eastAsia" w:ascii="仿宋_GB2312" w:hAnsi="华文中宋"/>
        </w:rPr>
        <w:t xml:space="preserve">  工程总承包单位与省代建局委托的第三方造价咨询单位对数后仍然存在异议的，暂按省代建局委托的第三方造价咨询机构审核意见为准调整工程费合同价并签订补充协议，异议部分造价在工程结算时以项目主管部门财政评审为准。</w:t>
      </w:r>
    </w:p>
    <w:p w14:paraId="1FD73C02">
      <w:pPr>
        <w:spacing w:after="120" w:line="560" w:lineRule="exact"/>
        <w:ind w:firstLine="482"/>
        <w:jc w:val="left"/>
        <w:rPr>
          <w:rFonts w:ascii="仿宋_GB2312" w:hAnsi="华文中宋"/>
        </w:rPr>
      </w:pPr>
      <w:r>
        <w:rPr>
          <w:rFonts w:hint="eastAsia" w:ascii="仿宋_GB2312" w:eastAsia="仿宋_GB2312" w:cs="宋体"/>
          <w:b/>
          <w:bCs/>
        </w:rPr>
        <w:t xml:space="preserve">第十六条 </w:t>
      </w:r>
      <w:r>
        <w:rPr>
          <w:rFonts w:hint="eastAsia" w:ascii="仿宋_GB2312" w:hAnsi="华文中宋"/>
        </w:rPr>
        <w:t xml:space="preserve"> 因工程总承包单位送审预算延迟、核对预算延迟，或对数延迟产生的后果由工程总承包单位承担。</w:t>
      </w:r>
    </w:p>
    <w:p w14:paraId="27F49981">
      <w:pPr>
        <w:spacing w:after="120" w:line="560" w:lineRule="exact"/>
        <w:jc w:val="left"/>
        <w:rPr>
          <w:rFonts w:ascii="仿宋_GB2312" w:hAnsi="华文中宋"/>
        </w:rPr>
      </w:pPr>
    </w:p>
    <w:p w14:paraId="6DEE15F3">
      <w:pPr>
        <w:spacing w:after="120" w:line="560" w:lineRule="exact"/>
        <w:jc w:val="center"/>
        <w:rPr>
          <w:rFonts w:ascii="黑体" w:hAnsi="黑体" w:eastAsia="黑体" w:cs="黑体"/>
        </w:rPr>
      </w:pPr>
      <w:r>
        <w:rPr>
          <w:rFonts w:hint="eastAsia" w:ascii="黑体" w:hAnsi="黑体" w:eastAsia="黑体" w:cs="黑体"/>
        </w:rPr>
        <w:t>第四章  审核内容</w:t>
      </w:r>
    </w:p>
    <w:p w14:paraId="1D21E6D2">
      <w:pPr>
        <w:spacing w:after="120" w:line="560" w:lineRule="exact"/>
        <w:jc w:val="center"/>
        <w:rPr>
          <w:rFonts w:ascii="黑体" w:hAnsi="黑体" w:eastAsia="黑体"/>
        </w:rPr>
      </w:pPr>
    </w:p>
    <w:p w14:paraId="6FD5DC69">
      <w:pPr>
        <w:spacing w:after="120" w:line="560" w:lineRule="exact"/>
        <w:ind w:firstLine="482"/>
        <w:jc w:val="left"/>
        <w:rPr>
          <w:rFonts w:ascii="仿宋_GB2312" w:hAnsi="华文中宋"/>
        </w:rPr>
      </w:pPr>
      <w:r>
        <w:rPr>
          <w:rFonts w:hint="eastAsia" w:ascii="仿宋_GB2312" w:eastAsia="仿宋_GB2312" w:cs="宋体"/>
          <w:b/>
          <w:bCs/>
        </w:rPr>
        <w:t>第十七条</w:t>
      </w:r>
      <w:r>
        <w:rPr>
          <w:rFonts w:hint="eastAsia" w:ascii="仿宋_GB2312" w:hAnsi="华文中宋"/>
        </w:rPr>
        <w:t xml:space="preserve"> 审核施工图预算的编制是否符合现行国家、行业、地方政府有关法律、法规和规定要求，是否符合合同约定的计价依据、编制要求，审核所提供的审核材料是否按《工程总承包施工图预算审查资料清单》提供。</w:t>
      </w:r>
    </w:p>
    <w:p w14:paraId="3E6B59BF">
      <w:pPr>
        <w:spacing w:after="120" w:line="560" w:lineRule="exact"/>
        <w:ind w:firstLine="482"/>
        <w:jc w:val="left"/>
        <w:rPr>
          <w:rFonts w:ascii="仿宋_GB2312" w:hAnsi="华文中宋"/>
        </w:rPr>
      </w:pPr>
      <w:r>
        <w:rPr>
          <w:rFonts w:hint="eastAsia" w:ascii="仿宋_GB2312" w:eastAsia="仿宋_GB2312" w:cs="宋体"/>
          <w:b/>
          <w:bCs/>
        </w:rPr>
        <w:t>第十八条</w:t>
      </w:r>
      <w:r>
        <w:rPr>
          <w:rFonts w:hint="eastAsia" w:ascii="仿宋_GB2312" w:hAnsi="华文中宋"/>
        </w:rPr>
        <w:t xml:space="preserve">  审核工程量计算的准确性、工程量计算规则与计价规范规则或定额、规定的一致性。</w:t>
      </w:r>
    </w:p>
    <w:p w14:paraId="64FC6BCD">
      <w:pPr>
        <w:spacing w:after="120" w:line="560" w:lineRule="exact"/>
        <w:ind w:firstLine="482"/>
        <w:jc w:val="left"/>
        <w:rPr>
          <w:rFonts w:ascii="仿宋_GB2312" w:hAnsi="华文中宋"/>
        </w:rPr>
      </w:pPr>
      <w:r>
        <w:rPr>
          <w:rFonts w:hint="eastAsia" w:ascii="仿宋_GB2312" w:eastAsia="仿宋_GB2312" w:cs="宋体"/>
          <w:b/>
          <w:bCs/>
        </w:rPr>
        <w:t>第十九条</w:t>
      </w:r>
      <w:r>
        <w:rPr>
          <w:rFonts w:hint="eastAsia" w:ascii="仿宋_GB2312" w:hAnsi="华文中宋"/>
        </w:rPr>
        <w:t>审核在施工图预算的编制过程中，各种计价依据使用是否恰当。各项费率计取是否正确；审核依据主要有合同、协议、施工图设计资料、有关定额、施工组织设计、有关造价文件规定和技术规范、规程等。</w:t>
      </w:r>
    </w:p>
    <w:p w14:paraId="41B45596">
      <w:pPr>
        <w:spacing w:after="120" w:line="560" w:lineRule="exact"/>
        <w:ind w:firstLine="482"/>
        <w:jc w:val="left"/>
        <w:rPr>
          <w:rFonts w:ascii="仿宋_GB2312" w:hAnsi="华文中宋"/>
        </w:rPr>
      </w:pPr>
      <w:r>
        <w:rPr>
          <w:rFonts w:hint="eastAsia" w:ascii="仿宋_GB2312" w:eastAsia="仿宋_GB2312" w:cs="宋体"/>
          <w:b/>
          <w:bCs/>
        </w:rPr>
        <w:t>第二十条</w:t>
      </w:r>
      <w:r>
        <w:rPr>
          <w:rFonts w:hint="eastAsia" w:ascii="仿宋_GB2312" w:hAnsi="华文中宋"/>
        </w:rPr>
        <w:t xml:space="preserve">  审核材料设备价格选用是否合理，是否满足合同及规范要求。选用市场询价的材料设备询价依据是否合理。</w:t>
      </w:r>
    </w:p>
    <w:p w14:paraId="049E170D">
      <w:pPr>
        <w:spacing w:after="120" w:line="560" w:lineRule="exact"/>
        <w:ind w:firstLine="482"/>
        <w:jc w:val="left"/>
        <w:rPr>
          <w:rFonts w:ascii="仿宋_GB2312" w:hAnsi="华文中宋"/>
        </w:rPr>
      </w:pPr>
      <w:r>
        <w:rPr>
          <w:rFonts w:hint="eastAsia" w:ascii="仿宋_GB2312" w:eastAsia="仿宋_GB2312" w:cs="宋体"/>
          <w:b/>
          <w:bCs/>
        </w:rPr>
        <w:t>第二十一条</w:t>
      </w:r>
      <w:r>
        <w:rPr>
          <w:rFonts w:hint="eastAsia" w:ascii="仿宋_GB2312" w:hAnsi="华文中宋"/>
        </w:rPr>
        <w:t>审核施工图预算是否超过概算以及进行偏差分析。</w:t>
      </w:r>
    </w:p>
    <w:p w14:paraId="166B4D02">
      <w:pPr>
        <w:spacing w:after="120" w:line="560" w:lineRule="exact"/>
        <w:jc w:val="center"/>
        <w:rPr>
          <w:rFonts w:ascii="黑体" w:hAnsi="黑体" w:eastAsia="黑体"/>
        </w:rPr>
      </w:pPr>
    </w:p>
    <w:p w14:paraId="116B58F0">
      <w:pPr>
        <w:spacing w:after="120" w:line="560" w:lineRule="exact"/>
        <w:jc w:val="center"/>
        <w:rPr>
          <w:rFonts w:ascii="黑体" w:hAnsi="黑体" w:eastAsia="黑体" w:cs="黑体"/>
        </w:rPr>
      </w:pPr>
      <w:r>
        <w:rPr>
          <w:rFonts w:hint="eastAsia" w:ascii="黑体" w:hAnsi="黑体" w:eastAsia="黑体" w:cs="黑体"/>
        </w:rPr>
        <w:t>第五章  预算调整</w:t>
      </w:r>
    </w:p>
    <w:p w14:paraId="2D92A2A3">
      <w:pPr>
        <w:spacing w:after="120" w:line="560" w:lineRule="exact"/>
        <w:jc w:val="center"/>
        <w:rPr>
          <w:rFonts w:ascii="黑体" w:hAnsi="黑体" w:eastAsia="黑体"/>
        </w:rPr>
      </w:pPr>
    </w:p>
    <w:p w14:paraId="6117D582">
      <w:pPr>
        <w:spacing w:after="120" w:line="560" w:lineRule="exact"/>
        <w:ind w:firstLine="482"/>
        <w:jc w:val="left"/>
        <w:rPr>
          <w:rFonts w:ascii="仿宋_GB2312" w:hAnsi="华文中宋"/>
        </w:rPr>
      </w:pPr>
      <w:r>
        <w:rPr>
          <w:rFonts w:hint="eastAsia" w:ascii="仿宋_GB2312" w:eastAsia="仿宋_GB2312" w:cs="宋体"/>
          <w:b/>
          <w:bCs/>
        </w:rPr>
        <w:t>第二十二条</w:t>
      </w:r>
      <w:r>
        <w:rPr>
          <w:rFonts w:hint="eastAsia" w:ascii="仿宋_GB2312" w:hAnsi="华文中宋"/>
        </w:rPr>
        <w:t>施工图预算审定后，一般情况下不得调整。由于重大设计变更、政策性调整及不可抗力等原因造成的按照合同约定进行调整。</w:t>
      </w:r>
    </w:p>
    <w:p w14:paraId="23D0C051">
      <w:pPr>
        <w:spacing w:after="120" w:line="560" w:lineRule="exact"/>
        <w:ind w:firstLine="482"/>
        <w:jc w:val="left"/>
        <w:rPr>
          <w:rFonts w:ascii="仿宋_GB2312" w:hAnsi="华文中宋"/>
        </w:rPr>
      </w:pPr>
      <w:r>
        <w:rPr>
          <w:rFonts w:hint="eastAsia" w:ascii="仿宋_GB2312" w:eastAsia="仿宋_GB2312" w:cs="宋体"/>
          <w:b/>
          <w:bCs/>
        </w:rPr>
        <w:t>第二十三条</w:t>
      </w:r>
      <w:r>
        <w:rPr>
          <w:rFonts w:hint="eastAsia" w:ascii="仿宋_GB2312" w:hAnsi="华文中宋"/>
        </w:rPr>
        <w:t xml:space="preserve"> 调整预算编制深度与要求、文件组成及表格形式同原施工图预算。调整预算还应对工程预算调整的原因做详尽分析说明，所调整的内容在调整预算总说明中要逐项与原批准预算对比，并编制调整前后预算对比表，分析主要变更原因。在上报调整预算时，应同时提供有关文件和调整依据。</w:t>
      </w:r>
    </w:p>
    <w:p w14:paraId="14610994">
      <w:pPr>
        <w:spacing w:after="120" w:line="560" w:lineRule="exact"/>
        <w:jc w:val="center"/>
        <w:rPr>
          <w:rFonts w:ascii="华文中宋" w:hAnsi="华文中宋" w:eastAsia="华文中宋"/>
        </w:rPr>
      </w:pPr>
    </w:p>
    <w:p w14:paraId="24451A59">
      <w:pPr>
        <w:spacing w:after="120" w:line="560" w:lineRule="exact"/>
        <w:jc w:val="center"/>
        <w:rPr>
          <w:rFonts w:ascii="黑体" w:hAnsi="黑体" w:eastAsia="黑体" w:cs="黑体"/>
        </w:rPr>
      </w:pPr>
      <w:r>
        <w:rPr>
          <w:rFonts w:hint="eastAsia" w:ascii="黑体" w:hAnsi="黑体" w:eastAsia="黑体" w:cs="黑体"/>
        </w:rPr>
        <w:t>第六章  施工图预算文件</w:t>
      </w:r>
    </w:p>
    <w:p w14:paraId="6E6A68CC">
      <w:pPr>
        <w:spacing w:after="120" w:line="560" w:lineRule="exact"/>
        <w:jc w:val="center"/>
        <w:rPr>
          <w:rFonts w:ascii="黑体" w:hAnsi="黑体" w:eastAsia="黑体"/>
        </w:rPr>
      </w:pPr>
    </w:p>
    <w:p w14:paraId="771BED66">
      <w:pPr>
        <w:spacing w:after="120" w:line="560" w:lineRule="exact"/>
        <w:ind w:firstLine="482"/>
        <w:jc w:val="left"/>
        <w:rPr>
          <w:rFonts w:ascii="仿宋_GB2312" w:hAnsi="华文中宋"/>
        </w:rPr>
      </w:pPr>
      <w:r>
        <w:rPr>
          <w:rFonts w:hint="eastAsia" w:ascii="仿宋_GB2312" w:eastAsia="仿宋_GB2312" w:cs="宋体"/>
          <w:b/>
          <w:bCs/>
        </w:rPr>
        <w:t>第二十四条</w:t>
      </w:r>
      <w:r>
        <w:rPr>
          <w:rFonts w:hint="eastAsia" w:ascii="仿宋_GB2312" w:hAnsi="华文中宋"/>
        </w:rPr>
        <w:t xml:space="preserve">  施工图预算文件组成如下：</w:t>
      </w:r>
    </w:p>
    <w:p w14:paraId="23484AE8">
      <w:pPr>
        <w:spacing w:after="120" w:line="560" w:lineRule="exact"/>
        <w:jc w:val="left"/>
        <w:rPr>
          <w:rFonts w:ascii="仿宋_GB2312" w:hAnsi="华文中宋"/>
        </w:rPr>
      </w:pPr>
      <w:r>
        <w:rPr>
          <w:rFonts w:hint="eastAsia" w:ascii="仿宋_GB2312" w:hAnsi="华文中宋"/>
        </w:rPr>
        <w:t>（一）承诺函</w:t>
      </w:r>
    </w:p>
    <w:p w14:paraId="5382D811">
      <w:pPr>
        <w:spacing w:after="120" w:line="560" w:lineRule="exact"/>
        <w:rPr>
          <w:rFonts w:ascii="仿宋_GB2312" w:hAnsi="华文中宋"/>
        </w:rPr>
      </w:pPr>
      <w:r>
        <w:rPr>
          <w:rFonts w:hint="eastAsia" w:ascii="仿宋_GB2312" w:hAnsi="华文中宋"/>
        </w:rPr>
        <w:t>总承包单位需对送审预算文件做出承诺，承诺送审的资料完整，真实、符合合同约定的有效资料。</w:t>
      </w:r>
    </w:p>
    <w:p w14:paraId="68AFB0B9">
      <w:pPr>
        <w:spacing w:after="120" w:line="560" w:lineRule="exact"/>
        <w:jc w:val="left"/>
        <w:rPr>
          <w:rFonts w:ascii="仿宋_GB2312" w:hAnsi="华文中宋"/>
        </w:rPr>
      </w:pPr>
      <w:r>
        <w:rPr>
          <w:rFonts w:hint="eastAsia" w:ascii="仿宋_GB2312" w:hAnsi="华文中宋"/>
        </w:rPr>
        <w:t>（二）编制报告</w:t>
      </w:r>
    </w:p>
    <w:p w14:paraId="24918A7D">
      <w:pPr>
        <w:spacing w:after="120" w:line="560" w:lineRule="exact"/>
        <w:rPr>
          <w:rFonts w:ascii="仿宋_GB2312" w:hAnsi="华文中宋"/>
        </w:rPr>
      </w:pPr>
      <w:r>
        <w:rPr>
          <w:rFonts w:hint="eastAsia" w:ascii="仿宋_GB2312" w:hAnsi="华文中宋"/>
        </w:rPr>
        <w:t>总承包单位提交施工图及预算编制报告，主要分析施工图设计及预算编制的相关情况，对照招标投文件设计任务书、合同约定的合规性自检，分析施工图建设内容与设计任务书差异性分析、施工图及预算与初步设计文件差异性分析（主要从投资额、建设规模、建设范围、建设标准进行分析）。</w:t>
      </w:r>
    </w:p>
    <w:p w14:paraId="52621168">
      <w:pPr>
        <w:spacing w:after="120" w:line="560" w:lineRule="exact"/>
        <w:rPr>
          <w:rFonts w:ascii="仿宋_GB2312" w:hAnsi="华文中宋"/>
        </w:rPr>
      </w:pPr>
      <w:r>
        <w:rPr>
          <w:rFonts w:hint="eastAsia" w:ascii="仿宋_GB2312" w:hAnsi="华文中宋"/>
        </w:rPr>
        <w:t>（三）国家、行业、地方政府发布的计价依据、有关法律法规、规定。</w:t>
      </w:r>
    </w:p>
    <w:p w14:paraId="3CD32301">
      <w:pPr>
        <w:spacing w:after="120" w:line="560" w:lineRule="exact"/>
        <w:rPr>
          <w:rFonts w:ascii="仿宋_GB2312" w:hAnsi="华文中宋"/>
        </w:rPr>
      </w:pPr>
      <w:r>
        <w:rPr>
          <w:rFonts w:hint="eastAsia" w:ascii="仿宋_GB2312" w:hAnsi="华文中宋"/>
        </w:rPr>
        <w:t>（四）建设项目招投标文件、合同、协议等。</w:t>
      </w:r>
    </w:p>
    <w:p w14:paraId="45798F9E">
      <w:pPr>
        <w:spacing w:after="120" w:line="560" w:lineRule="exact"/>
        <w:rPr>
          <w:rFonts w:ascii="仿宋_GB2312" w:hAnsi="华文中宋"/>
        </w:rPr>
      </w:pPr>
      <w:r>
        <w:rPr>
          <w:rFonts w:hint="eastAsia" w:ascii="仿宋_GB2312" w:hAnsi="华文中宋"/>
        </w:rPr>
        <w:t>（五）省发展改革部门批准的设计概算（或省代建局批准的建设项目投资控制分解）。</w:t>
      </w:r>
    </w:p>
    <w:p w14:paraId="332247CD">
      <w:pPr>
        <w:spacing w:after="120" w:line="560" w:lineRule="exact"/>
        <w:rPr>
          <w:rFonts w:ascii="仿宋_GB2312" w:hAnsi="华文中宋"/>
        </w:rPr>
      </w:pPr>
      <w:r>
        <w:rPr>
          <w:rFonts w:hint="eastAsia" w:ascii="仿宋_GB2312" w:hAnsi="华文中宋"/>
        </w:rPr>
        <w:t>（六）施工图预算文件</w:t>
      </w:r>
    </w:p>
    <w:p w14:paraId="209230E0">
      <w:pPr>
        <w:spacing w:after="120" w:line="560" w:lineRule="exact"/>
        <w:rPr>
          <w:rFonts w:ascii="仿宋_GB2312" w:hAnsi="华文中宋"/>
        </w:rPr>
      </w:pPr>
      <w:r>
        <w:rPr>
          <w:rFonts w:hint="eastAsia" w:ascii="仿宋_GB2312" w:hAnsi="华文中宋"/>
        </w:rPr>
        <w:t>1．经省代建局批准的完整的施工图纸文件及对应的电子文件，施工图审查意见文件。</w:t>
      </w:r>
    </w:p>
    <w:p w14:paraId="7F233A07">
      <w:pPr>
        <w:spacing w:after="120" w:line="560" w:lineRule="exact"/>
        <w:rPr>
          <w:rFonts w:ascii="仿宋_GB2312" w:hAnsi="华文中宋"/>
        </w:rPr>
      </w:pPr>
      <w:r>
        <w:rPr>
          <w:rFonts w:hint="eastAsia" w:ascii="仿宋_GB2312" w:hAnsi="华文中宋"/>
        </w:rPr>
        <w:t>2． 经省代建局批准的施工组织设计方案。</w:t>
      </w:r>
    </w:p>
    <w:p w14:paraId="56DAB93A">
      <w:pPr>
        <w:spacing w:after="120" w:line="560" w:lineRule="exact"/>
        <w:rPr>
          <w:rFonts w:ascii="仿宋_GB2312" w:hAnsi="华文中宋"/>
        </w:rPr>
      </w:pPr>
      <w:r>
        <w:rPr>
          <w:rFonts w:hint="eastAsia" w:ascii="仿宋_GB2312" w:hAnsi="华文中宋"/>
        </w:rPr>
        <w:t>3．施工图预算纸质文件及对应的电子文件、工程量计算书及对应的电子文档、计算底稿（含计量计价软件版资料、建模文件、EXCEL版文件）。</w:t>
      </w:r>
    </w:p>
    <w:p w14:paraId="3BC4933E">
      <w:pPr>
        <w:spacing w:after="120" w:line="560" w:lineRule="exact"/>
        <w:rPr>
          <w:rFonts w:ascii="仿宋_GB2312" w:hAnsi="华文中宋"/>
        </w:rPr>
      </w:pPr>
      <w:r>
        <w:rPr>
          <w:rFonts w:hint="eastAsia" w:ascii="仿宋_GB2312" w:hAnsi="华文中宋"/>
        </w:rPr>
        <w:t>总承包单位报送的施工图预算文件须总承包单位（若为联合体，指联合体各方）盖章确认。</w:t>
      </w:r>
    </w:p>
    <w:p w14:paraId="2F972210">
      <w:pPr>
        <w:spacing w:after="120" w:line="560" w:lineRule="exact"/>
        <w:rPr>
          <w:rFonts w:ascii="仿宋_GB2312" w:hAnsi="华文中宋"/>
        </w:rPr>
      </w:pPr>
      <w:r>
        <w:rPr>
          <w:rFonts w:hint="eastAsia" w:ascii="仿宋_GB2312" w:hAnsi="华文中宋"/>
        </w:rPr>
        <w:t>4．项目建筑主材品牌、设备选型及品牌书面批准同意资料。</w:t>
      </w:r>
    </w:p>
    <w:p w14:paraId="0CA74CBE">
      <w:pPr>
        <w:spacing w:after="120" w:line="560" w:lineRule="exact"/>
        <w:rPr>
          <w:rFonts w:ascii="仿宋_GB2312" w:hAnsi="华文中宋"/>
        </w:rPr>
      </w:pPr>
      <w:r>
        <w:rPr>
          <w:rFonts w:hint="eastAsia" w:ascii="仿宋_GB2312" w:hAnsi="华文中宋"/>
        </w:rPr>
        <w:t>需要市场询价的主要材料或安装设备应对应招标时提供的主材推荐品牌表，提交询价记录单。询价记录单应详细列明询价材料的品牌、厂家、参数等，附上联系人及联系方式，并加盖报价单位公章。</w:t>
      </w:r>
    </w:p>
    <w:p w14:paraId="4C34694A">
      <w:pPr>
        <w:spacing w:after="120" w:line="560" w:lineRule="exact"/>
        <w:ind w:firstLine="360" w:firstLineChars="150"/>
        <w:rPr>
          <w:rFonts w:ascii="仿宋_GB2312" w:hAnsi="华文中宋"/>
        </w:rPr>
      </w:pPr>
      <w:r>
        <w:rPr>
          <w:rFonts w:hint="eastAsia" w:ascii="仿宋_GB2312" w:hAnsi="华文中宋"/>
        </w:rPr>
        <w:t>（七）造价咨询单位所需的其他资料。</w:t>
      </w:r>
    </w:p>
    <w:p w14:paraId="5E88B0AE">
      <w:pPr>
        <w:spacing w:after="120" w:line="560" w:lineRule="exact"/>
        <w:jc w:val="center"/>
        <w:rPr>
          <w:rFonts w:ascii="黑体" w:hAnsi="黑体" w:eastAsia="黑体"/>
        </w:rPr>
      </w:pPr>
    </w:p>
    <w:p w14:paraId="35BA1647">
      <w:pPr>
        <w:spacing w:after="120" w:line="560" w:lineRule="exact"/>
        <w:jc w:val="center"/>
        <w:rPr>
          <w:rFonts w:ascii="黑体" w:hAnsi="黑体" w:eastAsia="黑体" w:cs="黑体"/>
        </w:rPr>
      </w:pPr>
      <w:r>
        <w:rPr>
          <w:rFonts w:hint="eastAsia" w:ascii="黑体" w:hAnsi="黑体" w:eastAsia="黑体" w:cs="黑体"/>
        </w:rPr>
        <w:t>第七章  深化设计和工程变更</w:t>
      </w:r>
    </w:p>
    <w:p w14:paraId="16727019">
      <w:pPr>
        <w:spacing w:after="120" w:line="560" w:lineRule="exact"/>
        <w:jc w:val="left"/>
        <w:rPr>
          <w:rFonts w:ascii="黑体" w:hAnsi="黑体" w:eastAsia="黑体"/>
        </w:rPr>
      </w:pPr>
    </w:p>
    <w:p w14:paraId="731175A6">
      <w:pPr>
        <w:spacing w:after="120" w:line="560" w:lineRule="exact"/>
        <w:ind w:firstLine="482"/>
        <w:jc w:val="left"/>
        <w:rPr>
          <w:rFonts w:ascii="仿宋_GB2312" w:hAnsi="华文中宋"/>
        </w:rPr>
      </w:pPr>
      <w:r>
        <w:rPr>
          <w:rFonts w:hint="eastAsia" w:ascii="仿宋_GB2312" w:eastAsia="仿宋_GB2312" w:cs="宋体"/>
          <w:b/>
          <w:bCs/>
        </w:rPr>
        <w:t xml:space="preserve">第二十五条 </w:t>
      </w:r>
      <w:r>
        <w:rPr>
          <w:rFonts w:hint="eastAsia" w:ascii="仿宋_GB2312" w:hAnsi="华文中宋"/>
        </w:rPr>
        <w:t>总承包单位对省代建局确认的设计文件进行细化、补充和完善，满足设计的施工性要求的深化，不纳入施工图预算。</w:t>
      </w:r>
    </w:p>
    <w:p w14:paraId="340EF686">
      <w:pPr>
        <w:spacing w:after="120" w:line="560" w:lineRule="exact"/>
        <w:jc w:val="left"/>
        <w:rPr>
          <w:rFonts w:ascii="仿宋_GB2312" w:hAnsi="华文中宋"/>
        </w:rPr>
      </w:pPr>
      <w:r>
        <w:rPr>
          <w:rFonts w:hint="eastAsia" w:ascii="仿宋_GB2312" w:hAnsi="华文中宋"/>
        </w:rPr>
        <w:t>深化部分与预算对应图纸涉及内容增减的，按照设计变更审批程序办理。</w:t>
      </w:r>
    </w:p>
    <w:p w14:paraId="069F68AD">
      <w:pPr>
        <w:spacing w:after="120" w:line="560" w:lineRule="exact"/>
        <w:ind w:firstLine="482"/>
        <w:jc w:val="left"/>
        <w:rPr>
          <w:rFonts w:ascii="黑体" w:hAnsi="黑体" w:eastAsia="黑体" w:cs="黑体"/>
        </w:rPr>
      </w:pPr>
      <w:r>
        <w:rPr>
          <w:rFonts w:hint="eastAsia" w:ascii="仿宋_GB2312" w:eastAsia="仿宋_GB2312" w:cs="宋体"/>
          <w:b/>
          <w:bCs/>
        </w:rPr>
        <w:t>第二十六条</w:t>
      </w:r>
      <w:r>
        <w:rPr>
          <w:rFonts w:hint="eastAsia" w:ascii="仿宋_GB2312" w:hAnsi="华文中宋"/>
        </w:rPr>
        <w:t>工程变更和签证技术审查按照《省代建局直接管理项目施工阶段工程变更和签证管理细则》执行，预算造价审核参照此办法办理。</w:t>
      </w:r>
    </w:p>
    <w:p w14:paraId="4F8E56C7">
      <w:pPr>
        <w:spacing w:after="120" w:line="560" w:lineRule="exact"/>
        <w:jc w:val="center"/>
        <w:rPr>
          <w:rFonts w:ascii="黑体" w:hAnsi="黑体" w:eastAsia="黑体" w:cs="黑体"/>
        </w:rPr>
      </w:pPr>
      <w:r>
        <w:rPr>
          <w:rFonts w:hint="eastAsia" w:ascii="黑体" w:hAnsi="黑体" w:eastAsia="黑体" w:cs="黑体"/>
        </w:rPr>
        <w:t>第八章  附  则</w:t>
      </w:r>
    </w:p>
    <w:p w14:paraId="2C064CE7">
      <w:pPr>
        <w:spacing w:after="120" w:line="560" w:lineRule="exact"/>
        <w:jc w:val="center"/>
        <w:rPr>
          <w:rFonts w:ascii="华文中宋" w:hAnsi="华文中宋" w:eastAsia="华文中宋"/>
        </w:rPr>
      </w:pPr>
    </w:p>
    <w:p w14:paraId="7780686B">
      <w:pPr>
        <w:spacing w:after="120" w:line="560" w:lineRule="exact"/>
        <w:ind w:firstLine="482"/>
        <w:jc w:val="left"/>
        <w:rPr>
          <w:rFonts w:ascii="仿宋_GB2312" w:hAnsi="华文中宋"/>
        </w:rPr>
      </w:pPr>
      <w:r>
        <w:rPr>
          <w:rFonts w:hint="eastAsia" w:ascii="仿宋_GB2312" w:eastAsia="仿宋_GB2312" w:cs="宋体"/>
          <w:b/>
          <w:bCs/>
        </w:rPr>
        <w:t>第二十七条</w:t>
      </w:r>
      <w:r>
        <w:rPr>
          <w:rFonts w:hint="eastAsia" w:ascii="仿宋_GB2312" w:hAnsi="华文中宋"/>
        </w:rPr>
        <w:t>本办法由省代建局计划财务部负责解释。</w:t>
      </w:r>
    </w:p>
    <w:p w14:paraId="6B7A10BE">
      <w:pPr>
        <w:spacing w:after="120" w:line="560" w:lineRule="exact"/>
        <w:ind w:firstLine="482"/>
        <w:jc w:val="left"/>
        <w:rPr>
          <w:rFonts w:ascii="仿宋_GB2312" w:hAnsi="华文中宋"/>
        </w:rPr>
      </w:pPr>
      <w:r>
        <w:rPr>
          <w:rFonts w:hint="eastAsia" w:ascii="仿宋_GB2312" w:eastAsia="仿宋_GB2312" w:cs="宋体"/>
          <w:b/>
          <w:bCs/>
        </w:rPr>
        <w:t>第二十八条</w:t>
      </w:r>
      <w:r>
        <w:rPr>
          <w:rFonts w:hint="eastAsia" w:ascii="仿宋_GB2312" w:hAnsi="华文中宋"/>
        </w:rPr>
        <w:t>如本文与合同约定不一致之处，以合同约定为准。</w:t>
      </w:r>
    </w:p>
    <w:p w14:paraId="13D90F0E">
      <w:pPr>
        <w:spacing w:after="120" w:line="560" w:lineRule="exact"/>
        <w:ind w:firstLine="482"/>
        <w:jc w:val="left"/>
        <w:rPr>
          <w:rFonts w:ascii="仿宋_GB2312" w:hAnsi="华文中宋"/>
        </w:rPr>
      </w:pPr>
      <w:r>
        <w:rPr>
          <w:rFonts w:hint="eastAsia" w:ascii="仿宋_GB2312" w:eastAsia="仿宋_GB2312" w:cs="宋体"/>
          <w:b/>
          <w:bCs/>
        </w:rPr>
        <w:t>第二十九条</w:t>
      </w:r>
      <w:r>
        <w:rPr>
          <w:rFonts w:hint="eastAsia" w:ascii="仿宋_GB2312" w:hAnsi="华文中宋"/>
        </w:rPr>
        <w:t>本办法自省代建局印发之日起试行一年，原《省代建项目管理局勘察设计施工总承包管理模式项目施工图预算审核方案（修订）》同时废止。</w:t>
      </w:r>
    </w:p>
    <w:p w14:paraId="3AA8F994">
      <w:pPr>
        <w:spacing w:after="120" w:line="560" w:lineRule="exact"/>
        <w:jc w:val="left"/>
        <w:rPr>
          <w:rFonts w:ascii="仿宋_GB2312" w:hAnsi="华文中宋"/>
        </w:rPr>
      </w:pPr>
    </w:p>
    <w:p w14:paraId="54A4673B">
      <w:pPr>
        <w:spacing w:after="120"/>
        <w:ind w:firstLine="0" w:firstLineChars="0"/>
        <w:jc w:val="left"/>
        <w:rPr>
          <w:rFonts w:ascii="仿宋" w:hAnsi="仿宋" w:eastAsia="仿宋"/>
          <w:b/>
          <w:bCs/>
          <w:szCs w:val="24"/>
        </w:rPr>
      </w:pPr>
    </w:p>
    <w:p w14:paraId="7C643ECA">
      <w:pPr>
        <w:spacing w:after="120"/>
        <w:ind w:firstLine="0" w:firstLineChars="0"/>
        <w:jc w:val="left"/>
        <w:rPr>
          <w:rFonts w:ascii="仿宋" w:hAnsi="仿宋" w:eastAsia="仿宋"/>
          <w:b/>
          <w:bCs/>
          <w:szCs w:val="24"/>
        </w:rPr>
      </w:pPr>
    </w:p>
    <w:p w14:paraId="7F1448F7">
      <w:pPr>
        <w:spacing w:after="120"/>
        <w:ind w:firstLine="0" w:firstLineChars="0"/>
        <w:jc w:val="left"/>
        <w:rPr>
          <w:rFonts w:ascii="仿宋" w:hAnsi="仿宋" w:eastAsia="仿宋"/>
          <w:b/>
          <w:bCs/>
          <w:szCs w:val="24"/>
        </w:rPr>
      </w:pPr>
    </w:p>
    <w:p w14:paraId="4D1BC5D3">
      <w:pPr>
        <w:spacing w:after="120"/>
        <w:ind w:firstLine="0" w:firstLineChars="0"/>
        <w:jc w:val="left"/>
        <w:rPr>
          <w:rFonts w:ascii="仿宋" w:hAnsi="仿宋" w:eastAsia="仿宋"/>
          <w:b/>
          <w:bCs/>
          <w:szCs w:val="24"/>
        </w:rPr>
      </w:pPr>
    </w:p>
    <w:p w14:paraId="430C3FD2">
      <w:pPr>
        <w:spacing w:after="120"/>
        <w:ind w:firstLine="0" w:firstLineChars="0"/>
        <w:jc w:val="left"/>
        <w:rPr>
          <w:rFonts w:ascii="仿宋" w:hAnsi="仿宋" w:eastAsia="仿宋"/>
          <w:b/>
          <w:bCs/>
          <w:szCs w:val="24"/>
        </w:rPr>
      </w:pPr>
    </w:p>
    <w:p w14:paraId="03685718">
      <w:pPr>
        <w:spacing w:after="120"/>
        <w:ind w:firstLine="0" w:firstLineChars="0"/>
        <w:jc w:val="left"/>
        <w:rPr>
          <w:rFonts w:ascii="仿宋" w:hAnsi="仿宋" w:eastAsia="仿宋"/>
          <w:b/>
          <w:bCs/>
          <w:szCs w:val="24"/>
        </w:rPr>
      </w:pPr>
    </w:p>
    <w:p w14:paraId="513852F0">
      <w:pPr>
        <w:spacing w:after="120" w:line="560" w:lineRule="exact"/>
        <w:ind w:left="1320" w:leftChars="200" w:hanging="840" w:hangingChars="350"/>
        <w:rPr>
          <w:rFonts w:ascii="仿宋_GB2312" w:hAnsi="华文中宋"/>
        </w:rPr>
        <w:sectPr>
          <w:pgSz w:w="11906" w:h="16838"/>
          <w:pgMar w:top="1440" w:right="1800" w:bottom="1440" w:left="1800" w:header="720" w:footer="998" w:gutter="0"/>
          <w:cols w:space="720" w:num="1"/>
          <w:docGrid w:linePitch="326" w:charSpace="0"/>
        </w:sectPr>
      </w:pPr>
    </w:p>
    <w:p w14:paraId="122E71DF">
      <w:pPr>
        <w:spacing w:after="120" w:line="560" w:lineRule="exact"/>
        <w:ind w:firstLine="0" w:firstLineChars="0"/>
        <w:rPr>
          <w:rFonts w:ascii="仿宋_GB2312" w:hAnsi="仿宋" w:cs="仿宋_GB2312"/>
        </w:rPr>
      </w:pPr>
      <w:r>
        <w:rPr>
          <w:rFonts w:hint="eastAsia" w:ascii="仿宋_GB2312" w:hAnsi="华文中宋"/>
        </w:rPr>
        <w:t>附件：工程总承包施工图预算审查资料清单</w:t>
      </w:r>
    </w:p>
    <w:p w14:paraId="2EBF0404">
      <w:pPr>
        <w:spacing w:after="120"/>
        <w:ind w:firstLine="0" w:firstLineChars="0"/>
        <w:jc w:val="left"/>
        <w:rPr>
          <w:rFonts w:ascii="仿宋" w:hAnsi="仿宋" w:eastAsia="仿宋"/>
          <w:b/>
          <w:bCs/>
          <w:szCs w:val="24"/>
        </w:rPr>
      </w:pPr>
    </w:p>
    <w:p w14:paraId="13DA4608">
      <w:pPr>
        <w:spacing w:after="120"/>
        <w:ind w:firstLine="0" w:firstLineChars="0"/>
        <w:jc w:val="left"/>
        <w:rPr>
          <w:rFonts w:ascii="仿宋" w:hAnsi="仿宋" w:eastAsia="仿宋"/>
          <w:b/>
          <w:bCs/>
          <w:szCs w:val="24"/>
        </w:rPr>
      </w:pPr>
    </w:p>
    <w:tbl>
      <w:tblPr>
        <w:tblStyle w:val="55"/>
        <w:tblW w:w="14071" w:type="dxa"/>
        <w:tblInd w:w="93" w:type="dxa"/>
        <w:tblLayout w:type="fixed"/>
        <w:tblCellMar>
          <w:top w:w="0" w:type="dxa"/>
          <w:left w:w="108" w:type="dxa"/>
          <w:bottom w:w="0" w:type="dxa"/>
          <w:right w:w="108" w:type="dxa"/>
        </w:tblCellMar>
      </w:tblPr>
      <w:tblGrid>
        <w:gridCol w:w="611"/>
        <w:gridCol w:w="1239"/>
        <w:gridCol w:w="496"/>
        <w:gridCol w:w="915"/>
        <w:gridCol w:w="883"/>
        <w:gridCol w:w="4336"/>
        <w:gridCol w:w="1931"/>
        <w:gridCol w:w="1294"/>
        <w:gridCol w:w="1044"/>
        <w:gridCol w:w="1322"/>
      </w:tblGrid>
      <w:tr w14:paraId="2F9EA78A">
        <w:tblPrEx>
          <w:tblCellMar>
            <w:top w:w="0" w:type="dxa"/>
            <w:left w:w="108" w:type="dxa"/>
            <w:bottom w:w="0" w:type="dxa"/>
            <w:right w:w="108" w:type="dxa"/>
          </w:tblCellMar>
        </w:tblPrEx>
        <w:trPr>
          <w:trHeight w:val="435" w:hRule="atLeast"/>
        </w:trPr>
        <w:tc>
          <w:tcPr>
            <w:tcW w:w="14071" w:type="dxa"/>
            <w:gridSpan w:val="10"/>
            <w:tcBorders>
              <w:top w:val="nil"/>
              <w:left w:val="nil"/>
              <w:bottom w:val="nil"/>
              <w:right w:val="nil"/>
            </w:tcBorders>
            <w:shd w:val="clear" w:color="auto" w:fill="auto"/>
            <w:noWrap/>
            <w:vAlign w:val="center"/>
          </w:tcPr>
          <w:p w14:paraId="32907DB5">
            <w:pPr>
              <w:spacing w:after="120"/>
              <w:ind w:firstLine="643"/>
              <w:jc w:val="center"/>
              <w:textAlignment w:val="center"/>
              <w:rPr>
                <w:rFonts w:cs="宋体"/>
                <w:b/>
                <w:bCs/>
                <w:color w:val="000000"/>
                <w:sz w:val="32"/>
                <w:szCs w:val="32"/>
              </w:rPr>
            </w:pPr>
            <w:r>
              <w:rPr>
                <w:rFonts w:hint="eastAsia" w:cs="宋体"/>
                <w:b/>
                <w:bCs/>
                <w:color w:val="000000"/>
                <w:sz w:val="32"/>
                <w:szCs w:val="32"/>
              </w:rPr>
              <w:t>省代建项目管理局</w:t>
            </w:r>
          </w:p>
        </w:tc>
      </w:tr>
      <w:tr w14:paraId="59349D95">
        <w:tblPrEx>
          <w:tblCellMar>
            <w:top w:w="0" w:type="dxa"/>
            <w:left w:w="108" w:type="dxa"/>
            <w:bottom w:w="0" w:type="dxa"/>
            <w:right w:w="108" w:type="dxa"/>
          </w:tblCellMar>
        </w:tblPrEx>
        <w:trPr>
          <w:trHeight w:val="435" w:hRule="atLeast"/>
        </w:trPr>
        <w:tc>
          <w:tcPr>
            <w:tcW w:w="14071" w:type="dxa"/>
            <w:gridSpan w:val="10"/>
            <w:tcBorders>
              <w:top w:val="nil"/>
              <w:left w:val="nil"/>
              <w:bottom w:val="nil"/>
              <w:right w:val="nil"/>
            </w:tcBorders>
            <w:shd w:val="clear" w:color="auto" w:fill="auto"/>
            <w:noWrap/>
            <w:vAlign w:val="center"/>
          </w:tcPr>
          <w:p w14:paraId="72565C83">
            <w:pPr>
              <w:spacing w:after="120"/>
              <w:ind w:firstLine="643"/>
              <w:jc w:val="center"/>
              <w:textAlignment w:val="center"/>
              <w:rPr>
                <w:rFonts w:cs="宋体"/>
                <w:b/>
                <w:bCs/>
                <w:color w:val="000000"/>
                <w:sz w:val="32"/>
                <w:szCs w:val="32"/>
              </w:rPr>
            </w:pPr>
            <w:r>
              <w:rPr>
                <w:rFonts w:hint="eastAsia" w:cs="宋体"/>
                <w:b/>
                <w:bCs/>
                <w:color w:val="000000"/>
                <w:sz w:val="32"/>
                <w:szCs w:val="32"/>
              </w:rPr>
              <w:t>工程总承包施工图预算审查资料清单</w:t>
            </w:r>
          </w:p>
        </w:tc>
      </w:tr>
      <w:tr w14:paraId="551D5208">
        <w:tblPrEx>
          <w:tblCellMar>
            <w:top w:w="0" w:type="dxa"/>
            <w:left w:w="108" w:type="dxa"/>
            <w:bottom w:w="0" w:type="dxa"/>
            <w:right w:w="108" w:type="dxa"/>
          </w:tblCellMar>
        </w:tblPrEx>
        <w:trPr>
          <w:trHeight w:val="435" w:hRule="atLeast"/>
        </w:trPr>
        <w:tc>
          <w:tcPr>
            <w:tcW w:w="18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5FED0">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项目名称</w:t>
            </w:r>
          </w:p>
        </w:tc>
        <w:tc>
          <w:tcPr>
            <w:tcW w:w="12221"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1AB23">
            <w:pPr>
              <w:spacing w:after="120"/>
              <w:ind w:firstLine="440"/>
              <w:jc w:val="left"/>
              <w:rPr>
                <w:rFonts w:cs="宋体"/>
                <w:color w:val="000000"/>
                <w:sz w:val="22"/>
                <w:szCs w:val="22"/>
              </w:rPr>
            </w:pPr>
          </w:p>
        </w:tc>
      </w:tr>
      <w:tr w14:paraId="04F6C626">
        <w:tblPrEx>
          <w:tblCellMar>
            <w:top w:w="0" w:type="dxa"/>
            <w:left w:w="108" w:type="dxa"/>
            <w:bottom w:w="0" w:type="dxa"/>
            <w:right w:w="108" w:type="dxa"/>
          </w:tblCellMar>
        </w:tblPrEx>
        <w:trPr>
          <w:trHeight w:val="639" w:hRule="atLeast"/>
        </w:trPr>
        <w:tc>
          <w:tcPr>
            <w:tcW w:w="18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283C6">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建设单位</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998C3">
            <w:pPr>
              <w:spacing w:after="120"/>
              <w:ind w:firstLine="440"/>
              <w:jc w:val="left"/>
              <w:rPr>
                <w:rFonts w:ascii="等线" w:hAnsi="等线" w:eastAsia="等线" w:cs="等线"/>
                <w:color w:val="000000"/>
                <w:sz w:val="22"/>
                <w:szCs w:val="22"/>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CEB4E">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联系人</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2B538">
            <w:pPr>
              <w:spacing w:after="120"/>
              <w:ind w:firstLine="440"/>
              <w:jc w:val="center"/>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8044">
            <w:pPr>
              <w:spacing w:after="120"/>
              <w:ind w:firstLine="440"/>
              <w:jc w:val="center"/>
              <w:rPr>
                <w:rFonts w:ascii="等线" w:hAnsi="等线" w:eastAsia="等线" w:cs="等线"/>
                <w:color w:val="000000"/>
                <w:sz w:val="22"/>
                <w:szCs w:val="22"/>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9FF9">
            <w:pPr>
              <w:spacing w:after="120"/>
              <w:ind w:firstLine="440"/>
              <w:jc w:val="center"/>
              <w:rPr>
                <w:rFonts w:ascii="等线" w:hAnsi="等线" w:eastAsia="等线" w:cs="等线"/>
                <w:color w:val="000000"/>
                <w:sz w:val="22"/>
                <w:szCs w:val="22"/>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9D0E4">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电话</w:t>
            </w:r>
          </w:p>
        </w:tc>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47024">
            <w:pPr>
              <w:spacing w:after="120"/>
              <w:ind w:firstLine="440"/>
              <w:jc w:val="center"/>
              <w:rPr>
                <w:rFonts w:ascii="等线" w:hAnsi="等线" w:eastAsia="等线" w:cs="等线"/>
                <w:color w:val="000000"/>
                <w:sz w:val="22"/>
                <w:szCs w:val="22"/>
              </w:rPr>
            </w:pPr>
          </w:p>
        </w:tc>
      </w:tr>
      <w:tr w14:paraId="232D8612">
        <w:tblPrEx>
          <w:tblCellMar>
            <w:top w:w="0" w:type="dxa"/>
            <w:left w:w="108" w:type="dxa"/>
            <w:bottom w:w="0" w:type="dxa"/>
            <w:right w:w="108" w:type="dxa"/>
          </w:tblCellMar>
        </w:tblPrEx>
        <w:trPr>
          <w:trHeight w:val="435" w:hRule="atLeast"/>
        </w:trPr>
        <w:tc>
          <w:tcPr>
            <w:tcW w:w="185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6B902">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承建单位</w:t>
            </w:r>
          </w:p>
        </w:tc>
        <w:tc>
          <w:tcPr>
            <w:tcW w:w="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EDFD3">
            <w:pPr>
              <w:spacing w:after="120"/>
              <w:ind w:firstLine="440"/>
              <w:jc w:val="left"/>
              <w:rPr>
                <w:rFonts w:ascii="等线" w:hAnsi="等线" w:eastAsia="等线" w:cs="等线"/>
                <w:color w:val="000000"/>
                <w:sz w:val="22"/>
                <w:szCs w:val="22"/>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B4884">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联系人</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BAEE0">
            <w:pPr>
              <w:spacing w:after="120"/>
              <w:ind w:firstLine="440"/>
              <w:jc w:val="center"/>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ECDAF">
            <w:pPr>
              <w:spacing w:after="120"/>
              <w:ind w:firstLine="440"/>
              <w:jc w:val="center"/>
              <w:rPr>
                <w:rFonts w:ascii="等线" w:hAnsi="等线" w:eastAsia="等线" w:cs="等线"/>
                <w:color w:val="000000"/>
                <w:sz w:val="22"/>
                <w:szCs w:val="22"/>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A70A">
            <w:pPr>
              <w:spacing w:after="120"/>
              <w:ind w:firstLine="440"/>
              <w:jc w:val="center"/>
              <w:rPr>
                <w:rFonts w:ascii="等线" w:hAnsi="等线" w:eastAsia="等线" w:cs="等线"/>
                <w:color w:val="000000"/>
                <w:sz w:val="22"/>
                <w:szCs w:val="22"/>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983F6">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电话</w:t>
            </w:r>
          </w:p>
        </w:tc>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9EEC6">
            <w:pPr>
              <w:spacing w:after="120"/>
              <w:ind w:firstLine="440"/>
              <w:jc w:val="center"/>
              <w:rPr>
                <w:rFonts w:ascii="等线" w:hAnsi="等线" w:eastAsia="等线" w:cs="等线"/>
                <w:color w:val="000000"/>
                <w:sz w:val="22"/>
                <w:szCs w:val="22"/>
              </w:rPr>
            </w:pPr>
          </w:p>
        </w:tc>
      </w:tr>
      <w:tr w14:paraId="71AB1ADE">
        <w:tblPrEx>
          <w:tblCellMar>
            <w:top w:w="0" w:type="dxa"/>
            <w:left w:w="108" w:type="dxa"/>
            <w:bottom w:w="0" w:type="dxa"/>
            <w:right w:w="108" w:type="dxa"/>
          </w:tblCellMar>
        </w:tblPrEx>
        <w:trPr>
          <w:trHeight w:val="375" w:hRule="atLeast"/>
        </w:trPr>
        <w:tc>
          <w:tcPr>
            <w:tcW w:w="611"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0823447C">
            <w:pPr>
              <w:spacing w:after="120"/>
              <w:ind w:firstLine="400"/>
              <w:jc w:val="center"/>
              <w:textAlignment w:val="center"/>
              <w:rPr>
                <w:rFonts w:ascii="等线" w:hAnsi="等线" w:eastAsia="等线" w:cs="等线"/>
                <w:b/>
                <w:bCs/>
                <w:color w:val="000000"/>
                <w:sz w:val="20"/>
              </w:rPr>
            </w:pPr>
            <w:r>
              <w:rPr>
                <w:rFonts w:ascii="等线" w:hAnsi="等线" w:eastAsia="等线" w:cs="等线"/>
                <w:b/>
                <w:bCs/>
                <w:color w:val="000000"/>
                <w:sz w:val="20"/>
              </w:rPr>
              <w:t>序号</w:t>
            </w:r>
          </w:p>
        </w:tc>
        <w:tc>
          <w:tcPr>
            <w:tcW w:w="173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DE04">
            <w:pPr>
              <w:spacing w:after="120"/>
              <w:ind w:firstLine="0" w:firstLineChars="0"/>
              <w:textAlignment w:val="center"/>
              <w:rPr>
                <w:rFonts w:ascii="等线" w:hAnsi="等线" w:eastAsia="等线" w:cs="等线"/>
                <w:b/>
                <w:bCs/>
                <w:color w:val="000000"/>
                <w:sz w:val="20"/>
              </w:rPr>
            </w:pPr>
            <w:r>
              <w:rPr>
                <w:rFonts w:ascii="等线" w:hAnsi="等线" w:eastAsia="等线" w:cs="等线"/>
                <w:b/>
                <w:bCs/>
                <w:color w:val="000000"/>
                <w:sz w:val="20"/>
              </w:rPr>
              <w:t>资料名称</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C103">
            <w:pPr>
              <w:spacing w:after="120"/>
              <w:ind w:firstLine="0" w:firstLineChars="0"/>
              <w:textAlignment w:val="center"/>
              <w:rPr>
                <w:rFonts w:ascii="等线" w:hAnsi="等线" w:eastAsia="等线" w:cs="等线"/>
                <w:b/>
                <w:bCs/>
                <w:color w:val="000000"/>
                <w:sz w:val="20"/>
              </w:rPr>
            </w:pPr>
            <w:r>
              <w:rPr>
                <w:rFonts w:ascii="等线" w:hAnsi="等线" w:eastAsia="等线" w:cs="等线"/>
                <w:b/>
                <w:bCs/>
                <w:color w:val="000000"/>
                <w:sz w:val="20"/>
              </w:rPr>
              <w:t>单位</w:t>
            </w:r>
          </w:p>
        </w:tc>
        <w:tc>
          <w:tcPr>
            <w:tcW w:w="88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05D0">
            <w:pPr>
              <w:spacing w:after="120"/>
              <w:ind w:firstLine="0" w:firstLineChars="0"/>
              <w:textAlignment w:val="center"/>
              <w:rPr>
                <w:rFonts w:ascii="等线" w:hAnsi="等线" w:eastAsia="等线" w:cs="等线"/>
                <w:b/>
                <w:bCs/>
                <w:color w:val="000000"/>
                <w:sz w:val="20"/>
              </w:rPr>
            </w:pPr>
            <w:r>
              <w:rPr>
                <w:rFonts w:ascii="等线" w:hAnsi="等线" w:eastAsia="等线" w:cs="等线"/>
                <w:b/>
                <w:bCs/>
                <w:color w:val="000000"/>
                <w:sz w:val="20"/>
              </w:rPr>
              <w:t>数量</w:t>
            </w:r>
          </w:p>
        </w:tc>
        <w:tc>
          <w:tcPr>
            <w:tcW w:w="43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CCFBC">
            <w:pPr>
              <w:spacing w:after="120"/>
              <w:ind w:firstLine="400"/>
              <w:jc w:val="center"/>
              <w:textAlignment w:val="center"/>
              <w:rPr>
                <w:rFonts w:ascii="等线" w:hAnsi="等线" w:eastAsia="等线" w:cs="等线"/>
                <w:b/>
                <w:bCs/>
                <w:color w:val="000000"/>
                <w:sz w:val="20"/>
              </w:rPr>
            </w:pPr>
            <w:r>
              <w:rPr>
                <w:rFonts w:ascii="等线" w:hAnsi="等线" w:eastAsia="等线" w:cs="等线"/>
                <w:b/>
                <w:bCs/>
                <w:color w:val="000000"/>
                <w:sz w:val="20"/>
              </w:rPr>
              <w:t>基本要求</w:t>
            </w:r>
          </w:p>
        </w:tc>
        <w:tc>
          <w:tcPr>
            <w:tcW w:w="193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7256D">
            <w:pPr>
              <w:spacing w:after="120"/>
              <w:ind w:firstLine="400"/>
              <w:jc w:val="center"/>
              <w:textAlignment w:val="center"/>
              <w:rPr>
                <w:rFonts w:ascii="等线" w:hAnsi="等线" w:eastAsia="等线" w:cs="等线"/>
                <w:b/>
                <w:bCs/>
                <w:color w:val="000000"/>
                <w:sz w:val="20"/>
              </w:rPr>
            </w:pPr>
            <w:r>
              <w:rPr>
                <w:rFonts w:ascii="等线" w:hAnsi="等线" w:eastAsia="等线" w:cs="等线"/>
                <w:b/>
                <w:bCs/>
                <w:color w:val="000000"/>
                <w:sz w:val="20"/>
              </w:rPr>
              <w:t>格式要求</w:t>
            </w:r>
          </w:p>
        </w:tc>
        <w:tc>
          <w:tcPr>
            <w:tcW w:w="233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90E7">
            <w:pPr>
              <w:spacing w:after="120"/>
              <w:ind w:firstLine="440"/>
              <w:jc w:val="center"/>
              <w:textAlignment w:val="center"/>
              <w:rPr>
                <w:rFonts w:ascii="等线" w:hAnsi="等线" w:eastAsia="等线" w:cs="等线"/>
                <w:b/>
                <w:bCs/>
                <w:color w:val="000000"/>
                <w:sz w:val="22"/>
                <w:szCs w:val="22"/>
              </w:rPr>
            </w:pPr>
            <w:r>
              <w:rPr>
                <w:rFonts w:ascii="等线" w:hAnsi="等线" w:eastAsia="等线" w:cs="等线"/>
                <w:b/>
                <w:bCs/>
                <w:color w:val="000000"/>
                <w:sz w:val="22"/>
                <w:szCs w:val="22"/>
              </w:rPr>
              <w:t>是否原件</w:t>
            </w:r>
          </w:p>
        </w:tc>
        <w:tc>
          <w:tcPr>
            <w:tcW w:w="13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A33DC">
            <w:pPr>
              <w:spacing w:after="120"/>
              <w:ind w:firstLine="440"/>
              <w:jc w:val="center"/>
              <w:textAlignment w:val="center"/>
              <w:rPr>
                <w:rFonts w:ascii="等线" w:hAnsi="等线" w:eastAsia="等线" w:cs="等线"/>
                <w:b/>
                <w:bCs/>
                <w:color w:val="000000"/>
                <w:sz w:val="22"/>
                <w:szCs w:val="22"/>
              </w:rPr>
            </w:pPr>
            <w:r>
              <w:rPr>
                <w:rFonts w:ascii="等线" w:hAnsi="等线" w:eastAsia="等线" w:cs="等线"/>
                <w:b/>
                <w:bCs/>
                <w:color w:val="000000"/>
                <w:sz w:val="22"/>
                <w:szCs w:val="22"/>
              </w:rPr>
              <w:t>备注</w:t>
            </w:r>
          </w:p>
        </w:tc>
      </w:tr>
      <w:tr w14:paraId="53DA230E">
        <w:tblPrEx>
          <w:tblCellMar>
            <w:top w:w="0" w:type="dxa"/>
            <w:left w:w="108" w:type="dxa"/>
            <w:bottom w:w="0" w:type="dxa"/>
            <w:right w:w="108" w:type="dxa"/>
          </w:tblCellMar>
        </w:tblPrEx>
        <w:trPr>
          <w:trHeight w:val="375" w:hRule="atLeast"/>
        </w:trPr>
        <w:tc>
          <w:tcPr>
            <w:tcW w:w="611" w:type="dxa"/>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6C9C131">
            <w:pPr>
              <w:spacing w:after="120"/>
              <w:ind w:firstLine="400"/>
              <w:jc w:val="center"/>
              <w:rPr>
                <w:rFonts w:ascii="等线" w:hAnsi="等线" w:eastAsia="等线" w:cs="等线"/>
                <w:b/>
                <w:bCs/>
                <w:color w:val="000000"/>
                <w:sz w:val="20"/>
              </w:rPr>
            </w:pPr>
          </w:p>
        </w:tc>
        <w:tc>
          <w:tcPr>
            <w:tcW w:w="173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B2852">
            <w:pPr>
              <w:spacing w:after="120"/>
              <w:ind w:firstLine="400"/>
              <w:jc w:val="center"/>
              <w:rPr>
                <w:rFonts w:ascii="等线" w:hAnsi="等线" w:eastAsia="等线" w:cs="等线"/>
                <w:b/>
                <w:bCs/>
                <w:color w:val="000000"/>
                <w:sz w:val="20"/>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87DAF">
            <w:pPr>
              <w:spacing w:after="120"/>
              <w:ind w:firstLine="400"/>
              <w:jc w:val="center"/>
              <w:rPr>
                <w:rFonts w:ascii="等线" w:hAnsi="等线" w:eastAsia="等线" w:cs="等线"/>
                <w:b/>
                <w:bCs/>
                <w:color w:val="000000"/>
                <w:sz w:val="20"/>
              </w:rPr>
            </w:pPr>
          </w:p>
        </w:tc>
        <w:tc>
          <w:tcPr>
            <w:tcW w:w="88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E8D18">
            <w:pPr>
              <w:spacing w:after="120"/>
              <w:ind w:firstLine="400"/>
              <w:jc w:val="center"/>
              <w:rPr>
                <w:rFonts w:ascii="等线" w:hAnsi="等线" w:eastAsia="等线" w:cs="等线"/>
                <w:b/>
                <w:bCs/>
                <w:color w:val="000000"/>
                <w:sz w:val="20"/>
              </w:rPr>
            </w:pPr>
          </w:p>
        </w:tc>
        <w:tc>
          <w:tcPr>
            <w:tcW w:w="43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C68F5">
            <w:pPr>
              <w:spacing w:after="120"/>
              <w:ind w:firstLine="400"/>
              <w:jc w:val="center"/>
              <w:rPr>
                <w:rFonts w:ascii="等线" w:hAnsi="等线" w:eastAsia="等线" w:cs="等线"/>
                <w:b/>
                <w:bCs/>
                <w:color w:val="000000"/>
                <w:sz w:val="20"/>
              </w:rPr>
            </w:pPr>
          </w:p>
        </w:tc>
        <w:tc>
          <w:tcPr>
            <w:tcW w:w="193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B7757">
            <w:pPr>
              <w:spacing w:after="120"/>
              <w:ind w:firstLine="400"/>
              <w:jc w:val="center"/>
              <w:rPr>
                <w:rFonts w:ascii="等线" w:hAnsi="等线" w:eastAsia="等线" w:cs="等线"/>
                <w:b/>
                <w:bCs/>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F8CE0">
            <w:pPr>
              <w:spacing w:after="120"/>
              <w:ind w:firstLine="440"/>
              <w:jc w:val="center"/>
              <w:textAlignment w:val="center"/>
              <w:rPr>
                <w:rFonts w:ascii="等线" w:hAnsi="等线" w:eastAsia="等线" w:cs="等线"/>
                <w:b/>
                <w:bCs/>
                <w:color w:val="000000"/>
                <w:sz w:val="22"/>
                <w:szCs w:val="22"/>
              </w:rPr>
            </w:pPr>
            <w:r>
              <w:rPr>
                <w:rFonts w:ascii="等线" w:hAnsi="等线" w:eastAsia="等线" w:cs="等线"/>
                <w:b/>
                <w:bCs/>
                <w:color w:val="000000"/>
                <w:sz w:val="22"/>
                <w:szCs w:val="22"/>
              </w:rPr>
              <w:t>是</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E9308">
            <w:pPr>
              <w:spacing w:after="120"/>
              <w:ind w:firstLine="440"/>
              <w:jc w:val="center"/>
              <w:textAlignment w:val="center"/>
              <w:rPr>
                <w:rFonts w:ascii="等线" w:hAnsi="等线" w:eastAsia="等线" w:cs="等线"/>
                <w:b/>
                <w:bCs/>
                <w:color w:val="000000"/>
                <w:sz w:val="22"/>
                <w:szCs w:val="22"/>
              </w:rPr>
            </w:pPr>
            <w:r>
              <w:rPr>
                <w:rFonts w:ascii="等线" w:hAnsi="等线" w:eastAsia="等线" w:cs="等线"/>
                <w:b/>
                <w:bCs/>
                <w:color w:val="000000"/>
                <w:sz w:val="22"/>
                <w:szCs w:val="22"/>
              </w:rPr>
              <w:t>否</w:t>
            </w:r>
          </w:p>
        </w:tc>
        <w:tc>
          <w:tcPr>
            <w:tcW w:w="13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B4A93">
            <w:pPr>
              <w:spacing w:after="120"/>
              <w:ind w:firstLine="440"/>
              <w:jc w:val="center"/>
              <w:rPr>
                <w:rFonts w:ascii="等线" w:hAnsi="等线" w:eastAsia="等线" w:cs="等线"/>
                <w:b/>
                <w:bCs/>
                <w:color w:val="000000"/>
                <w:sz w:val="22"/>
                <w:szCs w:val="22"/>
              </w:rPr>
            </w:pPr>
          </w:p>
        </w:tc>
      </w:tr>
      <w:tr w14:paraId="4D30A165">
        <w:tblPrEx>
          <w:tblCellMar>
            <w:top w:w="0" w:type="dxa"/>
            <w:left w:w="108" w:type="dxa"/>
            <w:bottom w:w="0" w:type="dxa"/>
            <w:right w:w="108" w:type="dxa"/>
          </w:tblCellMar>
        </w:tblPrEx>
        <w:trPr>
          <w:trHeight w:val="507"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B697">
            <w:pPr>
              <w:spacing w:after="120"/>
              <w:ind w:firstLine="0" w:firstLineChars="0"/>
              <w:textAlignment w:val="center"/>
              <w:rPr>
                <w:rFonts w:ascii="等线" w:hAnsi="等线" w:eastAsia="等线" w:cs="等线"/>
                <w:b/>
                <w:bCs/>
                <w:color w:val="000000"/>
                <w:sz w:val="20"/>
              </w:rPr>
            </w:pPr>
            <w:r>
              <w:rPr>
                <w:rFonts w:ascii="等线" w:hAnsi="等线" w:eastAsia="等线" w:cs="等线"/>
                <w:b/>
                <w:bCs/>
                <w:color w:val="000000"/>
                <w:sz w:val="20"/>
              </w:rPr>
              <w:t>1</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1675">
            <w:pPr>
              <w:spacing w:after="120"/>
              <w:ind w:firstLine="0" w:firstLineChars="0"/>
              <w:jc w:val="left"/>
              <w:textAlignment w:val="center"/>
              <w:rPr>
                <w:rFonts w:ascii="等线" w:hAnsi="等线" w:eastAsia="等线" w:cs="等线"/>
                <w:b/>
                <w:bCs/>
                <w:color w:val="000000"/>
                <w:sz w:val="20"/>
              </w:rPr>
            </w:pPr>
            <w:r>
              <w:rPr>
                <w:rFonts w:ascii="等线" w:hAnsi="等线" w:eastAsia="等线" w:cs="等线"/>
                <w:b/>
                <w:bCs/>
                <w:color w:val="000000"/>
                <w:sz w:val="20"/>
              </w:rPr>
              <w:t>承诺函</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618EE">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DF40">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64DA">
            <w:pPr>
              <w:spacing w:after="120"/>
              <w:ind w:firstLine="400"/>
              <w:jc w:val="center"/>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EE52">
            <w:pPr>
              <w:spacing w:after="120"/>
              <w:ind w:firstLine="400"/>
              <w:jc w:val="center"/>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04822">
            <w:pPr>
              <w:spacing w:after="120"/>
              <w:ind w:firstLine="440"/>
              <w:jc w:val="center"/>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6D3F1">
            <w:pPr>
              <w:spacing w:after="120"/>
              <w:ind w:firstLine="440"/>
              <w:jc w:val="center"/>
              <w:rPr>
                <w:rFonts w:ascii="等线" w:hAnsi="等线" w:eastAsia="等线" w:cs="等线"/>
                <w:color w:val="000000"/>
                <w:sz w:val="22"/>
                <w:szCs w:val="22"/>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72F8B375">
            <w:pPr>
              <w:spacing w:after="120"/>
              <w:ind w:firstLine="440"/>
              <w:jc w:val="center"/>
              <w:rPr>
                <w:rFonts w:ascii="等线" w:hAnsi="等线" w:eastAsia="等线" w:cs="等线"/>
                <w:color w:val="000000"/>
                <w:sz w:val="22"/>
                <w:szCs w:val="22"/>
              </w:rPr>
            </w:pPr>
          </w:p>
        </w:tc>
      </w:tr>
      <w:tr w14:paraId="1E04A082">
        <w:tblPrEx>
          <w:tblCellMar>
            <w:top w:w="0" w:type="dxa"/>
            <w:left w:w="108" w:type="dxa"/>
            <w:bottom w:w="0" w:type="dxa"/>
            <w:right w:w="108" w:type="dxa"/>
          </w:tblCellMar>
        </w:tblPrEx>
        <w:trPr>
          <w:trHeight w:val="513"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B8F2">
            <w:pPr>
              <w:spacing w:after="120"/>
              <w:ind w:firstLine="0" w:firstLineChars="0"/>
              <w:textAlignment w:val="center"/>
              <w:rPr>
                <w:rFonts w:ascii="等线" w:hAnsi="等线" w:eastAsia="等线" w:cs="等线"/>
                <w:b/>
                <w:bCs/>
                <w:color w:val="000000"/>
                <w:sz w:val="20"/>
              </w:rPr>
            </w:pPr>
            <w:r>
              <w:rPr>
                <w:rFonts w:ascii="等线" w:hAnsi="等线" w:eastAsia="等线" w:cs="等线"/>
                <w:b/>
                <w:bCs/>
                <w:color w:val="000000"/>
                <w:sz w:val="20"/>
              </w:rPr>
              <w:t>2</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E2EBE1">
            <w:pPr>
              <w:spacing w:after="120"/>
              <w:ind w:firstLine="0" w:firstLineChars="0"/>
              <w:jc w:val="left"/>
              <w:textAlignment w:val="center"/>
              <w:rPr>
                <w:rFonts w:ascii="等线" w:hAnsi="等线" w:eastAsia="等线" w:cs="等线"/>
                <w:b/>
                <w:bCs/>
                <w:color w:val="000000"/>
                <w:sz w:val="20"/>
              </w:rPr>
            </w:pPr>
            <w:r>
              <w:rPr>
                <w:rFonts w:ascii="等线" w:hAnsi="等线" w:eastAsia="等线" w:cs="等线"/>
                <w:b/>
                <w:bCs/>
                <w:color w:val="000000"/>
                <w:sz w:val="20"/>
              </w:rPr>
              <w:t>施工图预算书</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3279">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156C9">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4836">
            <w:pPr>
              <w:spacing w:after="120"/>
              <w:ind w:firstLine="400"/>
              <w:jc w:val="center"/>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D2D59">
            <w:pPr>
              <w:spacing w:after="120"/>
              <w:ind w:firstLine="400"/>
              <w:jc w:val="center"/>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A254B">
            <w:pPr>
              <w:spacing w:after="120"/>
              <w:ind w:firstLine="440"/>
              <w:jc w:val="center"/>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1701C">
            <w:pPr>
              <w:spacing w:after="120"/>
              <w:ind w:firstLine="440"/>
              <w:jc w:val="center"/>
              <w:rPr>
                <w:rFonts w:ascii="等线" w:hAnsi="等线" w:eastAsia="等线" w:cs="等线"/>
                <w:color w:val="000000"/>
                <w:sz w:val="22"/>
                <w:szCs w:val="22"/>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15D519DF">
            <w:pPr>
              <w:spacing w:after="120"/>
              <w:ind w:firstLine="440"/>
              <w:jc w:val="center"/>
              <w:rPr>
                <w:rFonts w:ascii="等线" w:hAnsi="等线" w:eastAsia="等线" w:cs="等线"/>
                <w:color w:val="000000"/>
                <w:sz w:val="22"/>
                <w:szCs w:val="22"/>
              </w:rPr>
            </w:pPr>
          </w:p>
        </w:tc>
      </w:tr>
      <w:tr w14:paraId="076560FF">
        <w:tblPrEx>
          <w:tblCellMar>
            <w:top w:w="0" w:type="dxa"/>
            <w:left w:w="108" w:type="dxa"/>
            <w:bottom w:w="0" w:type="dxa"/>
            <w:right w:w="108" w:type="dxa"/>
          </w:tblCellMar>
        </w:tblPrEx>
        <w:trPr>
          <w:trHeight w:val="252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EA2CB">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2.1</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E6EA6">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预算文本</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B0FE7">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F6459">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B4EB">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1.预算书应由相应专业资质的单位和造价专业人员完成。编制单位应在预算成果文件上加盖公章和资质专用章；</w:t>
            </w:r>
          </w:p>
          <w:p w14:paraId="59B25F70">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 xml:space="preserve"> 2.预算内容完整，项目齐全，应包括项目建设所需全部费用(建筑安装工程费、设备及工器具购置费、工程建设其它费、预备费)。其中建安工程费用的计价方法应符合省市建设工程造价管理有关规定；</w:t>
            </w:r>
          </w:p>
          <w:p w14:paraId="02F7FDB9">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3.预算书内容与报审的设计图纸内容必须一致。</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F52E7">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34ACD">
            <w:pPr>
              <w:spacing w:after="120"/>
              <w:ind w:firstLine="440"/>
              <w:jc w:val="center"/>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6665">
            <w:pPr>
              <w:spacing w:after="120"/>
              <w:ind w:firstLine="440"/>
              <w:jc w:val="center"/>
              <w:rPr>
                <w:rFonts w:ascii="等线" w:hAnsi="等线" w:eastAsia="等线" w:cs="等线"/>
                <w:color w:val="000000"/>
                <w:sz w:val="22"/>
                <w:szCs w:val="22"/>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43618E8A">
            <w:pPr>
              <w:spacing w:after="120"/>
              <w:ind w:firstLine="440"/>
              <w:jc w:val="center"/>
              <w:rPr>
                <w:rFonts w:ascii="等线" w:hAnsi="等线" w:eastAsia="等线" w:cs="等线"/>
                <w:color w:val="000000"/>
                <w:sz w:val="22"/>
                <w:szCs w:val="22"/>
              </w:rPr>
            </w:pPr>
          </w:p>
        </w:tc>
      </w:tr>
      <w:tr w14:paraId="6516B5BA">
        <w:tblPrEx>
          <w:tblCellMar>
            <w:top w:w="0" w:type="dxa"/>
            <w:left w:w="108" w:type="dxa"/>
            <w:bottom w:w="0" w:type="dxa"/>
            <w:right w:w="108" w:type="dxa"/>
          </w:tblCellMar>
        </w:tblPrEx>
        <w:trPr>
          <w:trHeight w:val="106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74B4">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2.2</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1C1CB3">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编制说明</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77817">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33785">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8906">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内容包括:项目概况、项目特点、编制依据（执行最新发布相关规定）、编制范围及界面划分、各专业主要设计内容、主要技术经济指标。</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7FD6F">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65CC5">
            <w:pPr>
              <w:spacing w:after="120"/>
              <w:ind w:firstLine="440"/>
              <w:jc w:val="center"/>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E06A5">
            <w:pPr>
              <w:spacing w:after="120"/>
              <w:ind w:firstLine="440"/>
              <w:jc w:val="center"/>
              <w:rPr>
                <w:rFonts w:ascii="等线" w:hAnsi="等线" w:eastAsia="等线" w:cs="等线"/>
                <w:color w:val="000000"/>
                <w:sz w:val="22"/>
                <w:szCs w:val="22"/>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014640A0">
            <w:pPr>
              <w:spacing w:after="120"/>
              <w:ind w:firstLine="440"/>
              <w:jc w:val="center"/>
              <w:rPr>
                <w:rFonts w:ascii="等线" w:hAnsi="等线" w:eastAsia="等线" w:cs="等线"/>
                <w:color w:val="000000"/>
                <w:sz w:val="22"/>
                <w:szCs w:val="22"/>
              </w:rPr>
            </w:pPr>
          </w:p>
        </w:tc>
      </w:tr>
      <w:tr w14:paraId="488D97B1">
        <w:tblPrEx>
          <w:tblCellMar>
            <w:top w:w="0" w:type="dxa"/>
            <w:left w:w="108" w:type="dxa"/>
            <w:bottom w:w="0" w:type="dxa"/>
            <w:right w:w="108" w:type="dxa"/>
          </w:tblCellMar>
        </w:tblPrEx>
        <w:trPr>
          <w:trHeight w:val="795"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870E">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2.3</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FC7D5D">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施工图预算书纸质版文件及对应的电子文件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07E1F">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F1AC">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164A">
            <w:pPr>
              <w:spacing w:after="120"/>
              <w:ind w:firstLine="400"/>
              <w:jc w:val="left"/>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E238">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软件版资料、EXCEL文件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39FC6">
            <w:pPr>
              <w:spacing w:after="120"/>
              <w:ind w:firstLine="440"/>
              <w:jc w:val="center"/>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4EFE">
            <w:pPr>
              <w:spacing w:after="120"/>
              <w:ind w:firstLine="440"/>
              <w:jc w:val="center"/>
              <w:rPr>
                <w:rFonts w:ascii="等线" w:hAnsi="等线" w:eastAsia="等线" w:cs="等线"/>
                <w:color w:val="000000"/>
                <w:sz w:val="22"/>
                <w:szCs w:val="22"/>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3CD05227">
            <w:pPr>
              <w:spacing w:after="120"/>
              <w:ind w:firstLine="440"/>
              <w:jc w:val="center"/>
              <w:rPr>
                <w:rFonts w:ascii="等线" w:hAnsi="等线" w:eastAsia="等线" w:cs="等线"/>
                <w:color w:val="000000"/>
                <w:sz w:val="22"/>
                <w:szCs w:val="22"/>
              </w:rPr>
            </w:pPr>
          </w:p>
        </w:tc>
      </w:tr>
      <w:tr w14:paraId="0B3C5BDC">
        <w:tblPrEx>
          <w:tblCellMar>
            <w:top w:w="0" w:type="dxa"/>
            <w:left w:w="108" w:type="dxa"/>
            <w:bottom w:w="0" w:type="dxa"/>
            <w:right w:w="108" w:type="dxa"/>
          </w:tblCellMar>
        </w:tblPrEx>
        <w:trPr>
          <w:trHeight w:val="66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EEF1">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2.4</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0F79E7">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施工图预算计算底稿文件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EEBB6">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47F18">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BF5A">
            <w:pPr>
              <w:spacing w:after="120"/>
              <w:ind w:firstLine="400"/>
              <w:jc w:val="left"/>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AAAC">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建模文件、EXCEL文件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3FB2">
            <w:pPr>
              <w:spacing w:after="120"/>
              <w:ind w:firstLine="440"/>
              <w:jc w:val="center"/>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14FAC">
            <w:pPr>
              <w:spacing w:after="120"/>
              <w:ind w:firstLine="440"/>
              <w:jc w:val="center"/>
              <w:rPr>
                <w:rFonts w:ascii="等线" w:hAnsi="等线" w:eastAsia="等线" w:cs="等线"/>
                <w:color w:val="000000"/>
                <w:sz w:val="22"/>
                <w:szCs w:val="22"/>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7507DB55">
            <w:pPr>
              <w:spacing w:after="120"/>
              <w:ind w:firstLine="440"/>
              <w:jc w:val="center"/>
              <w:rPr>
                <w:rFonts w:ascii="等线" w:hAnsi="等线" w:eastAsia="等线" w:cs="等线"/>
                <w:color w:val="000000"/>
                <w:sz w:val="22"/>
                <w:szCs w:val="22"/>
              </w:rPr>
            </w:pPr>
          </w:p>
        </w:tc>
      </w:tr>
      <w:tr w14:paraId="6B48D53B">
        <w:tblPrEx>
          <w:tblCellMar>
            <w:top w:w="0" w:type="dxa"/>
            <w:left w:w="108" w:type="dxa"/>
            <w:bottom w:w="0" w:type="dxa"/>
            <w:right w:w="108" w:type="dxa"/>
          </w:tblCellMar>
        </w:tblPrEx>
        <w:trPr>
          <w:trHeight w:val="72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0E7B">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2.5</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A097D8">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主材品牌、设备品牌书面确认资料</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98D1A">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D39EB">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A7C9">
            <w:pPr>
              <w:spacing w:after="120"/>
              <w:ind w:firstLine="400"/>
              <w:jc w:val="left"/>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9676">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5BE2E">
            <w:pPr>
              <w:spacing w:after="120"/>
              <w:ind w:firstLine="440"/>
              <w:jc w:val="center"/>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4860C">
            <w:pPr>
              <w:spacing w:after="120"/>
              <w:ind w:firstLine="440"/>
              <w:jc w:val="center"/>
              <w:rPr>
                <w:rFonts w:ascii="等线" w:hAnsi="等线" w:eastAsia="等线" w:cs="等线"/>
                <w:color w:val="000000"/>
                <w:sz w:val="22"/>
                <w:szCs w:val="22"/>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499F79D1">
            <w:pPr>
              <w:spacing w:after="120"/>
              <w:ind w:firstLine="440"/>
              <w:jc w:val="center"/>
              <w:rPr>
                <w:rFonts w:ascii="等线" w:hAnsi="等线" w:eastAsia="等线" w:cs="等线"/>
                <w:color w:val="000000"/>
                <w:sz w:val="22"/>
                <w:szCs w:val="22"/>
              </w:rPr>
            </w:pPr>
          </w:p>
        </w:tc>
      </w:tr>
      <w:tr w14:paraId="5452FFF6">
        <w:tblPrEx>
          <w:tblCellMar>
            <w:top w:w="0" w:type="dxa"/>
            <w:left w:w="108" w:type="dxa"/>
            <w:bottom w:w="0" w:type="dxa"/>
            <w:right w:w="108" w:type="dxa"/>
          </w:tblCellMar>
        </w:tblPrEx>
        <w:trPr>
          <w:trHeight w:val="70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DC7B">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2.6</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430C79">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询价单</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3E624">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2643">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38D0">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1.不少于三家报价单,加盖日期\公章;</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9C5E4">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B2CD1">
            <w:pPr>
              <w:spacing w:after="120"/>
              <w:ind w:firstLine="440"/>
              <w:jc w:val="center"/>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00A7">
            <w:pPr>
              <w:spacing w:after="120"/>
              <w:ind w:firstLine="440"/>
              <w:jc w:val="center"/>
              <w:rPr>
                <w:rFonts w:ascii="等线" w:hAnsi="等线" w:eastAsia="等线" w:cs="等线"/>
                <w:color w:val="000000"/>
                <w:sz w:val="22"/>
                <w:szCs w:val="22"/>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5EE069E3">
            <w:pPr>
              <w:spacing w:after="120"/>
              <w:ind w:firstLine="440"/>
              <w:jc w:val="center"/>
              <w:rPr>
                <w:rFonts w:ascii="等线" w:hAnsi="等线" w:eastAsia="等线" w:cs="等线"/>
                <w:color w:val="000000"/>
                <w:sz w:val="22"/>
                <w:szCs w:val="22"/>
              </w:rPr>
            </w:pPr>
          </w:p>
        </w:tc>
      </w:tr>
      <w:tr w14:paraId="4CED2170">
        <w:tblPrEx>
          <w:tblCellMar>
            <w:top w:w="0" w:type="dxa"/>
            <w:left w:w="108" w:type="dxa"/>
            <w:bottom w:w="0" w:type="dxa"/>
            <w:right w:w="108" w:type="dxa"/>
          </w:tblCellMar>
        </w:tblPrEx>
        <w:trPr>
          <w:trHeight w:val="100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CF99">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2.7</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9DE99D">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工艺设备报价（如医疗设备、实验室设备、智能化设备、厨房设备、家私家具等）</w:t>
            </w:r>
          </w:p>
        </w:tc>
        <w:tc>
          <w:tcPr>
            <w:tcW w:w="915" w:type="dxa"/>
            <w:tcBorders>
              <w:top w:val="nil"/>
              <w:left w:val="nil"/>
              <w:bottom w:val="nil"/>
              <w:right w:val="nil"/>
            </w:tcBorders>
            <w:shd w:val="clear" w:color="auto" w:fill="auto"/>
            <w:noWrap/>
            <w:vAlign w:val="center"/>
          </w:tcPr>
          <w:p w14:paraId="22410097">
            <w:pPr>
              <w:spacing w:after="120"/>
              <w:ind w:firstLine="400"/>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BF705">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BDDB">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1.按工程量清单详细报价；</w:t>
            </w:r>
          </w:p>
          <w:p w14:paraId="57350D26">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2.需要提供不少于3 家询价单（需盖公章）。</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16457">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B79C">
            <w:pPr>
              <w:spacing w:after="120"/>
              <w:ind w:firstLine="440"/>
              <w:jc w:val="center"/>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16C05">
            <w:pPr>
              <w:spacing w:after="120"/>
              <w:ind w:firstLine="440"/>
              <w:jc w:val="center"/>
              <w:rPr>
                <w:rFonts w:ascii="等线" w:hAnsi="等线" w:eastAsia="等线" w:cs="等线"/>
                <w:color w:val="000000"/>
                <w:sz w:val="22"/>
                <w:szCs w:val="22"/>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3AF19231">
            <w:pPr>
              <w:spacing w:after="120"/>
              <w:ind w:firstLine="440"/>
              <w:jc w:val="center"/>
              <w:rPr>
                <w:rFonts w:ascii="等线" w:hAnsi="等线" w:eastAsia="等线" w:cs="等线"/>
                <w:color w:val="000000"/>
                <w:sz w:val="22"/>
                <w:szCs w:val="22"/>
              </w:rPr>
            </w:pPr>
          </w:p>
        </w:tc>
      </w:tr>
      <w:tr w14:paraId="2F67B0BD">
        <w:tblPrEx>
          <w:tblCellMar>
            <w:top w:w="0" w:type="dxa"/>
            <w:left w:w="108" w:type="dxa"/>
            <w:bottom w:w="0" w:type="dxa"/>
            <w:right w:w="108" w:type="dxa"/>
          </w:tblCellMar>
        </w:tblPrEx>
        <w:trPr>
          <w:trHeight w:val="720" w:hRule="atLeast"/>
        </w:trPr>
        <w:tc>
          <w:tcPr>
            <w:tcW w:w="611" w:type="dxa"/>
            <w:tcBorders>
              <w:top w:val="nil"/>
              <w:left w:val="single" w:color="000000" w:sz="4" w:space="0"/>
              <w:bottom w:val="nil"/>
              <w:right w:val="single" w:color="000000" w:sz="4" w:space="0"/>
            </w:tcBorders>
            <w:shd w:val="clear" w:color="auto" w:fill="auto"/>
            <w:vAlign w:val="center"/>
          </w:tcPr>
          <w:p w14:paraId="3F4D0D35">
            <w:pPr>
              <w:spacing w:after="120"/>
              <w:ind w:firstLine="0" w:firstLineChars="0"/>
              <w:textAlignment w:val="center"/>
              <w:rPr>
                <w:rFonts w:ascii="等线" w:hAnsi="等线" w:eastAsia="等线" w:cs="等线"/>
                <w:b/>
                <w:bCs/>
                <w:color w:val="000000"/>
                <w:sz w:val="20"/>
              </w:rPr>
            </w:pPr>
            <w:r>
              <w:rPr>
                <w:rFonts w:ascii="等线" w:hAnsi="等线" w:eastAsia="等线" w:cs="等线"/>
                <w:b/>
                <w:bCs/>
                <w:color w:val="000000"/>
                <w:sz w:val="20"/>
              </w:rPr>
              <w:t>3</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F55B5C">
            <w:pPr>
              <w:spacing w:after="120"/>
              <w:ind w:firstLine="0" w:firstLineChars="0"/>
              <w:jc w:val="left"/>
              <w:textAlignment w:val="center"/>
              <w:rPr>
                <w:rFonts w:ascii="等线" w:hAnsi="等线" w:eastAsia="等线" w:cs="等线"/>
                <w:b/>
                <w:bCs/>
                <w:color w:val="000000"/>
                <w:sz w:val="20"/>
              </w:rPr>
            </w:pPr>
            <w:r>
              <w:rPr>
                <w:rFonts w:ascii="等线" w:hAnsi="等线" w:eastAsia="等线" w:cs="等线"/>
                <w:b/>
                <w:bCs/>
                <w:color w:val="000000"/>
                <w:sz w:val="20"/>
              </w:rPr>
              <w:t>图纸要求</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9E07E">
            <w:pPr>
              <w:spacing w:after="120"/>
              <w:ind w:firstLine="400"/>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D6A2">
            <w:pPr>
              <w:spacing w:after="120"/>
              <w:ind w:firstLine="400"/>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ED47">
            <w:pPr>
              <w:spacing w:after="120"/>
              <w:ind w:firstLine="400"/>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0234A">
            <w:pPr>
              <w:spacing w:after="120"/>
              <w:ind w:firstLine="400"/>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ABEFC">
            <w:pPr>
              <w:spacing w:after="120"/>
              <w:ind w:firstLine="400"/>
              <w:rPr>
                <w:rFonts w:ascii="等线" w:hAnsi="等线" w:eastAsia="等线" w:cs="等线"/>
                <w:color w:val="000000"/>
                <w:sz w:val="20"/>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540B">
            <w:pPr>
              <w:spacing w:after="120"/>
              <w:ind w:firstLine="400"/>
              <w:rPr>
                <w:rFonts w:ascii="等线" w:hAnsi="等线" w:eastAsia="等线" w:cs="等线"/>
                <w:color w:val="000000"/>
                <w:sz w:val="20"/>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E7062">
            <w:pPr>
              <w:spacing w:after="120"/>
              <w:ind w:firstLine="400"/>
              <w:rPr>
                <w:rFonts w:ascii="等线" w:hAnsi="等线" w:eastAsia="等线" w:cs="等线"/>
                <w:color w:val="000000"/>
                <w:sz w:val="20"/>
              </w:rPr>
            </w:pPr>
          </w:p>
        </w:tc>
      </w:tr>
      <w:tr w14:paraId="2AE6DEDD">
        <w:tblPrEx>
          <w:tblCellMar>
            <w:top w:w="0" w:type="dxa"/>
            <w:left w:w="108" w:type="dxa"/>
            <w:bottom w:w="0" w:type="dxa"/>
            <w:right w:w="108" w:type="dxa"/>
          </w:tblCellMar>
        </w:tblPrEx>
        <w:trPr>
          <w:trHeight w:val="72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84977">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3.1</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2244A3">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完整的施工图纸质版文件及对应的CAD电子文件</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B0FA">
            <w:pPr>
              <w:spacing w:after="120"/>
              <w:ind w:firstLine="400"/>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028B">
            <w:pPr>
              <w:spacing w:after="120"/>
              <w:ind w:firstLine="400"/>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8E04">
            <w:pPr>
              <w:spacing w:after="120"/>
              <w:ind w:firstLine="400"/>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21E5">
            <w:pPr>
              <w:spacing w:after="120"/>
              <w:ind w:firstLine="400"/>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AD63">
            <w:pPr>
              <w:spacing w:after="120"/>
              <w:ind w:firstLine="400"/>
              <w:rPr>
                <w:rFonts w:ascii="等线" w:hAnsi="等线" w:eastAsia="等线" w:cs="等线"/>
                <w:color w:val="000000"/>
                <w:sz w:val="20"/>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D0F0">
            <w:pPr>
              <w:spacing w:after="120"/>
              <w:ind w:firstLine="400"/>
              <w:rPr>
                <w:rFonts w:ascii="等线" w:hAnsi="等线" w:eastAsia="等线" w:cs="等线"/>
                <w:color w:val="000000"/>
                <w:sz w:val="20"/>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8D56">
            <w:pPr>
              <w:spacing w:after="120"/>
              <w:ind w:firstLine="400"/>
              <w:rPr>
                <w:rFonts w:ascii="等线" w:hAnsi="等线" w:eastAsia="等线" w:cs="等线"/>
                <w:color w:val="000000"/>
                <w:sz w:val="20"/>
              </w:rPr>
            </w:pPr>
          </w:p>
        </w:tc>
      </w:tr>
      <w:tr w14:paraId="5A590716">
        <w:tblPrEx>
          <w:tblCellMar>
            <w:top w:w="0" w:type="dxa"/>
            <w:left w:w="108" w:type="dxa"/>
            <w:bottom w:w="0" w:type="dxa"/>
            <w:right w:w="108" w:type="dxa"/>
          </w:tblCellMar>
        </w:tblPrEx>
        <w:trPr>
          <w:trHeight w:val="51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D4B0">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3.2</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E3CB36">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施工图审查意见</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794D">
            <w:pPr>
              <w:spacing w:after="120"/>
              <w:ind w:firstLine="400"/>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FE758">
            <w:pPr>
              <w:spacing w:after="120"/>
              <w:ind w:firstLine="400"/>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2F6D">
            <w:pPr>
              <w:spacing w:after="120"/>
              <w:ind w:firstLine="400"/>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06F66">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2399">
            <w:pPr>
              <w:spacing w:after="120"/>
              <w:ind w:firstLine="400"/>
              <w:rPr>
                <w:rFonts w:ascii="等线" w:hAnsi="等线" w:eastAsia="等线" w:cs="等线"/>
                <w:color w:val="000000"/>
                <w:sz w:val="20"/>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A0F37">
            <w:pPr>
              <w:spacing w:after="120"/>
              <w:ind w:firstLine="400"/>
              <w:rPr>
                <w:rFonts w:ascii="等线" w:hAnsi="等线" w:eastAsia="等线" w:cs="等线"/>
                <w:color w:val="000000"/>
                <w:sz w:val="20"/>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466A">
            <w:pPr>
              <w:spacing w:after="120"/>
              <w:ind w:firstLine="400"/>
              <w:rPr>
                <w:rFonts w:ascii="等线" w:hAnsi="等线" w:eastAsia="等线" w:cs="等线"/>
                <w:color w:val="000000"/>
                <w:sz w:val="20"/>
              </w:rPr>
            </w:pPr>
          </w:p>
        </w:tc>
      </w:tr>
      <w:tr w14:paraId="4FA2568C">
        <w:tblPrEx>
          <w:tblCellMar>
            <w:top w:w="0" w:type="dxa"/>
            <w:left w:w="108" w:type="dxa"/>
            <w:bottom w:w="0" w:type="dxa"/>
            <w:right w:w="108" w:type="dxa"/>
          </w:tblCellMar>
        </w:tblPrEx>
        <w:trPr>
          <w:trHeight w:val="56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E618">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3.3</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AEE192">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专项设计优化专家意见(如有)</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2290A">
            <w:pPr>
              <w:spacing w:after="120"/>
              <w:ind w:firstLine="400"/>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0F15">
            <w:pPr>
              <w:spacing w:after="120"/>
              <w:ind w:firstLine="400"/>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E070">
            <w:pPr>
              <w:spacing w:after="120"/>
              <w:ind w:firstLine="400"/>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9C07D">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DEE0">
            <w:pPr>
              <w:spacing w:after="120"/>
              <w:ind w:firstLine="400"/>
              <w:rPr>
                <w:rFonts w:ascii="等线" w:hAnsi="等线" w:eastAsia="等线" w:cs="等线"/>
                <w:color w:val="000000"/>
                <w:sz w:val="20"/>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43EA">
            <w:pPr>
              <w:spacing w:after="120"/>
              <w:ind w:firstLine="400"/>
              <w:rPr>
                <w:rFonts w:ascii="等线" w:hAnsi="等线" w:eastAsia="等线" w:cs="等线"/>
                <w:color w:val="000000"/>
                <w:sz w:val="20"/>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321DD">
            <w:pPr>
              <w:spacing w:after="120"/>
              <w:ind w:firstLine="400"/>
              <w:rPr>
                <w:rFonts w:ascii="等线" w:hAnsi="等线" w:eastAsia="等线" w:cs="等线"/>
                <w:color w:val="000000"/>
                <w:sz w:val="20"/>
              </w:rPr>
            </w:pPr>
          </w:p>
        </w:tc>
      </w:tr>
      <w:tr w14:paraId="03388ABE">
        <w:tblPrEx>
          <w:tblCellMar>
            <w:top w:w="0" w:type="dxa"/>
            <w:left w:w="108" w:type="dxa"/>
            <w:bottom w:w="0" w:type="dxa"/>
            <w:right w:w="108" w:type="dxa"/>
          </w:tblCellMar>
        </w:tblPrEx>
        <w:trPr>
          <w:trHeight w:val="585" w:hRule="atLeast"/>
        </w:trPr>
        <w:tc>
          <w:tcPr>
            <w:tcW w:w="611" w:type="dxa"/>
            <w:tcBorders>
              <w:top w:val="single" w:color="000000" w:sz="4" w:space="0"/>
              <w:left w:val="single" w:color="000000" w:sz="4" w:space="0"/>
              <w:bottom w:val="nil"/>
              <w:right w:val="single" w:color="000000" w:sz="4" w:space="0"/>
            </w:tcBorders>
            <w:shd w:val="clear" w:color="auto" w:fill="auto"/>
            <w:vAlign w:val="center"/>
          </w:tcPr>
          <w:p w14:paraId="235746BC">
            <w:pPr>
              <w:spacing w:after="120"/>
              <w:ind w:firstLine="0" w:firstLineChars="0"/>
              <w:textAlignment w:val="center"/>
              <w:rPr>
                <w:rFonts w:ascii="等线" w:hAnsi="等线" w:eastAsia="等线" w:cs="等线"/>
                <w:b/>
                <w:bCs/>
                <w:color w:val="000000"/>
                <w:sz w:val="20"/>
              </w:rPr>
            </w:pPr>
            <w:r>
              <w:rPr>
                <w:rFonts w:ascii="等线" w:hAnsi="等线" w:eastAsia="等线" w:cs="等线"/>
                <w:b/>
                <w:bCs/>
                <w:color w:val="000000"/>
                <w:sz w:val="20"/>
              </w:rPr>
              <w:t>4</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2B1AE4">
            <w:pPr>
              <w:spacing w:after="120"/>
              <w:ind w:firstLine="0" w:firstLineChars="0"/>
              <w:jc w:val="left"/>
              <w:textAlignment w:val="center"/>
              <w:rPr>
                <w:rFonts w:ascii="等线" w:hAnsi="等线" w:eastAsia="等线" w:cs="等线"/>
                <w:b/>
                <w:bCs/>
                <w:color w:val="000000"/>
                <w:sz w:val="20"/>
              </w:rPr>
            </w:pPr>
            <w:r>
              <w:rPr>
                <w:rFonts w:ascii="等线" w:hAnsi="等线" w:eastAsia="等线" w:cs="等线"/>
                <w:b/>
                <w:bCs/>
                <w:color w:val="000000"/>
                <w:sz w:val="20"/>
              </w:rPr>
              <w:t>合同类文件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00C8">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1FD57">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7AB3">
            <w:pPr>
              <w:spacing w:after="120"/>
              <w:ind w:firstLine="400"/>
              <w:jc w:val="left"/>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7C830">
            <w:pPr>
              <w:spacing w:after="120"/>
              <w:ind w:firstLine="400"/>
              <w:jc w:val="center"/>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C0B8">
            <w:pPr>
              <w:spacing w:after="120"/>
              <w:ind w:firstLine="400"/>
              <w:jc w:val="center"/>
              <w:rPr>
                <w:rFonts w:ascii="等线" w:hAnsi="等线" w:eastAsia="等线" w:cs="等线"/>
                <w:color w:val="000000"/>
                <w:sz w:val="20"/>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AE24">
            <w:pPr>
              <w:spacing w:after="120"/>
              <w:ind w:firstLine="400"/>
              <w:jc w:val="center"/>
              <w:rPr>
                <w:rFonts w:ascii="等线" w:hAnsi="等线" w:eastAsia="等线" w:cs="等线"/>
                <w:color w:val="000000"/>
                <w:sz w:val="20"/>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15AB5DDE">
            <w:pPr>
              <w:spacing w:after="120"/>
              <w:ind w:firstLine="400"/>
              <w:jc w:val="center"/>
              <w:rPr>
                <w:rFonts w:ascii="等线" w:hAnsi="等线" w:eastAsia="等线" w:cs="等线"/>
                <w:color w:val="000000"/>
                <w:sz w:val="20"/>
              </w:rPr>
            </w:pPr>
          </w:p>
        </w:tc>
      </w:tr>
      <w:tr w14:paraId="0C56076A">
        <w:tblPrEx>
          <w:tblCellMar>
            <w:top w:w="0" w:type="dxa"/>
            <w:left w:w="108" w:type="dxa"/>
            <w:bottom w:w="0" w:type="dxa"/>
            <w:right w:w="108" w:type="dxa"/>
          </w:tblCellMar>
        </w:tblPrEx>
        <w:trPr>
          <w:trHeight w:val="435"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DA6D5">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4.1</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45B0FE">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中标通知书</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112D5">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C9CE">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607EF">
            <w:pPr>
              <w:spacing w:after="120"/>
              <w:ind w:firstLine="400"/>
              <w:jc w:val="center"/>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A00D7">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388C">
            <w:pPr>
              <w:spacing w:after="120"/>
              <w:ind w:firstLine="400"/>
              <w:jc w:val="center"/>
              <w:rPr>
                <w:rFonts w:ascii="等线" w:hAnsi="等线" w:eastAsia="等线" w:cs="等线"/>
                <w:color w:val="000000"/>
                <w:sz w:val="20"/>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634A">
            <w:pPr>
              <w:spacing w:after="120"/>
              <w:ind w:firstLine="400"/>
              <w:jc w:val="center"/>
              <w:rPr>
                <w:rFonts w:ascii="等线" w:hAnsi="等线" w:eastAsia="等线" w:cs="等线"/>
                <w:color w:val="000000"/>
                <w:sz w:val="20"/>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555C3DA0">
            <w:pPr>
              <w:spacing w:after="120"/>
              <w:ind w:firstLine="400"/>
              <w:jc w:val="center"/>
              <w:rPr>
                <w:rFonts w:ascii="等线" w:hAnsi="等线" w:eastAsia="等线" w:cs="等线"/>
                <w:color w:val="000000"/>
                <w:sz w:val="20"/>
              </w:rPr>
            </w:pPr>
          </w:p>
        </w:tc>
      </w:tr>
      <w:tr w14:paraId="6A82FA32">
        <w:tblPrEx>
          <w:tblCellMar>
            <w:top w:w="0" w:type="dxa"/>
            <w:left w:w="108" w:type="dxa"/>
            <w:bottom w:w="0" w:type="dxa"/>
            <w:right w:w="108" w:type="dxa"/>
          </w:tblCellMar>
        </w:tblPrEx>
        <w:trPr>
          <w:trHeight w:val="64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10E5">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4.</w:t>
            </w:r>
            <w:r>
              <w:rPr>
                <w:rFonts w:hint="eastAsia" w:ascii="等线" w:hAnsi="等线" w:eastAsia="等线" w:cs="等线"/>
                <w:color w:val="000000"/>
                <w:sz w:val="20"/>
              </w:rPr>
              <w:t>2</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591FF">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勘察设计施工总承包合同（协议书）</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21B09">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BFA9C">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0BAB">
            <w:pPr>
              <w:spacing w:after="120"/>
              <w:ind w:firstLine="400"/>
              <w:jc w:val="center"/>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B4E1D">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EC80B">
            <w:pPr>
              <w:spacing w:after="120"/>
              <w:ind w:firstLine="400"/>
              <w:jc w:val="center"/>
              <w:rPr>
                <w:rFonts w:ascii="等线" w:hAnsi="等线" w:eastAsia="等线" w:cs="等线"/>
                <w:color w:val="000000"/>
                <w:sz w:val="20"/>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E30E">
            <w:pPr>
              <w:spacing w:after="120"/>
              <w:ind w:firstLine="400"/>
              <w:jc w:val="center"/>
              <w:rPr>
                <w:rFonts w:ascii="等线" w:hAnsi="等线" w:eastAsia="等线" w:cs="等线"/>
                <w:color w:val="000000"/>
                <w:sz w:val="20"/>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10F3C54F">
            <w:pPr>
              <w:spacing w:after="120"/>
              <w:ind w:firstLine="400"/>
              <w:jc w:val="center"/>
              <w:rPr>
                <w:rFonts w:ascii="等线" w:hAnsi="等线" w:eastAsia="等线" w:cs="等线"/>
                <w:color w:val="000000"/>
                <w:sz w:val="20"/>
              </w:rPr>
            </w:pPr>
          </w:p>
        </w:tc>
      </w:tr>
      <w:tr w14:paraId="77902C48">
        <w:tblPrEx>
          <w:tblCellMar>
            <w:top w:w="0" w:type="dxa"/>
            <w:left w:w="108" w:type="dxa"/>
            <w:bottom w:w="0" w:type="dxa"/>
            <w:right w:w="108" w:type="dxa"/>
          </w:tblCellMar>
        </w:tblPrEx>
        <w:trPr>
          <w:trHeight w:val="66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095E">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4.</w:t>
            </w:r>
            <w:r>
              <w:rPr>
                <w:rFonts w:hint="eastAsia" w:ascii="等线" w:hAnsi="等线" w:eastAsia="等线" w:cs="等线"/>
                <w:color w:val="000000"/>
                <w:sz w:val="20"/>
              </w:rPr>
              <w:t>3</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309F10">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勘察设计施工总承包招投标文件</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9049">
            <w:pPr>
              <w:spacing w:after="120"/>
              <w:ind w:firstLine="400"/>
              <w:jc w:val="center"/>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2CFB4">
            <w:pPr>
              <w:spacing w:after="120"/>
              <w:ind w:firstLine="400"/>
              <w:jc w:val="center"/>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D8197">
            <w:pPr>
              <w:spacing w:after="120"/>
              <w:ind w:firstLine="400"/>
              <w:jc w:val="center"/>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80BEB">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26EA">
            <w:pPr>
              <w:spacing w:after="120"/>
              <w:ind w:firstLine="400"/>
              <w:jc w:val="center"/>
              <w:rPr>
                <w:rFonts w:ascii="等线" w:hAnsi="等线" w:eastAsia="等线" w:cs="等线"/>
                <w:color w:val="000000"/>
                <w:sz w:val="20"/>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BBD8F">
            <w:pPr>
              <w:spacing w:after="120"/>
              <w:ind w:firstLine="400"/>
              <w:jc w:val="center"/>
              <w:rPr>
                <w:rFonts w:ascii="等线" w:hAnsi="等线" w:eastAsia="等线" w:cs="等线"/>
                <w:color w:val="000000"/>
                <w:sz w:val="20"/>
              </w:rPr>
            </w:pPr>
          </w:p>
        </w:tc>
        <w:tc>
          <w:tcPr>
            <w:tcW w:w="1322" w:type="dxa"/>
            <w:tcBorders>
              <w:top w:val="nil"/>
              <w:left w:val="single" w:color="000000" w:sz="4" w:space="0"/>
              <w:bottom w:val="single" w:color="000000" w:sz="4" w:space="0"/>
              <w:right w:val="single" w:color="000000" w:sz="4" w:space="0"/>
            </w:tcBorders>
            <w:shd w:val="clear" w:color="auto" w:fill="auto"/>
            <w:noWrap/>
            <w:vAlign w:val="center"/>
          </w:tcPr>
          <w:p w14:paraId="0A5D2A51">
            <w:pPr>
              <w:spacing w:after="120"/>
              <w:ind w:firstLine="400"/>
              <w:jc w:val="center"/>
              <w:rPr>
                <w:rFonts w:ascii="等线" w:hAnsi="等线" w:eastAsia="等线" w:cs="等线"/>
                <w:color w:val="000000"/>
                <w:sz w:val="20"/>
              </w:rPr>
            </w:pPr>
          </w:p>
        </w:tc>
      </w:tr>
      <w:tr w14:paraId="72571DA6">
        <w:tblPrEx>
          <w:tblCellMar>
            <w:top w:w="0" w:type="dxa"/>
            <w:left w:w="108" w:type="dxa"/>
            <w:bottom w:w="0" w:type="dxa"/>
            <w:right w:w="108" w:type="dxa"/>
          </w:tblCellMar>
        </w:tblPrEx>
        <w:trPr>
          <w:trHeight w:val="72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CFD0">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4.</w:t>
            </w:r>
            <w:r>
              <w:rPr>
                <w:rFonts w:hint="eastAsia" w:ascii="等线" w:hAnsi="等线" w:eastAsia="等线" w:cs="等线"/>
                <w:color w:val="000000"/>
                <w:sz w:val="20"/>
              </w:rPr>
              <w:t>4</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AEE913">
            <w:pPr>
              <w:spacing w:after="120"/>
              <w:ind w:firstLine="0" w:firstLineChars="0"/>
              <w:textAlignment w:val="center"/>
              <w:rPr>
                <w:rFonts w:ascii="等线" w:hAnsi="等线" w:eastAsia="等线" w:cs="等线"/>
                <w:color w:val="000000"/>
                <w:sz w:val="20"/>
              </w:rPr>
            </w:pPr>
            <w:r>
              <w:rPr>
                <w:rFonts w:ascii="等线" w:hAnsi="等线" w:eastAsia="等线" w:cs="等线"/>
                <w:color w:val="000000"/>
                <w:sz w:val="20"/>
              </w:rPr>
              <w:t>概算书纸质版文件及电子版文件</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1265">
            <w:pPr>
              <w:spacing w:after="120"/>
              <w:ind w:firstLine="400"/>
              <w:rPr>
                <w:rFonts w:ascii="等线" w:hAnsi="等线" w:eastAsia="等线" w:cs="等线"/>
                <w:color w:val="000000"/>
                <w:sz w:val="20"/>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FCDD">
            <w:pPr>
              <w:spacing w:after="120"/>
              <w:ind w:firstLine="400"/>
              <w:rPr>
                <w:rFonts w:ascii="等线" w:hAnsi="等线" w:eastAsia="等线" w:cs="等线"/>
                <w:color w:val="000000"/>
                <w:sz w:val="20"/>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7A15">
            <w:pPr>
              <w:spacing w:after="120"/>
              <w:ind w:firstLine="400"/>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5DEC">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6797">
            <w:pPr>
              <w:spacing w:after="120"/>
              <w:ind w:firstLine="400"/>
              <w:rPr>
                <w:rFonts w:ascii="等线" w:hAnsi="等线" w:eastAsia="等线" w:cs="等线"/>
                <w:color w:val="000000"/>
                <w:sz w:val="20"/>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F058">
            <w:pPr>
              <w:spacing w:after="120"/>
              <w:ind w:firstLine="400"/>
              <w:rPr>
                <w:rFonts w:ascii="等线" w:hAnsi="等线" w:eastAsia="等线" w:cs="等线"/>
                <w:color w:val="000000"/>
                <w:sz w:val="20"/>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8F63">
            <w:pPr>
              <w:spacing w:after="120"/>
              <w:ind w:firstLine="400"/>
              <w:rPr>
                <w:rFonts w:ascii="等线" w:hAnsi="等线" w:eastAsia="等线" w:cs="等线"/>
                <w:color w:val="000000"/>
                <w:sz w:val="20"/>
              </w:rPr>
            </w:pPr>
          </w:p>
        </w:tc>
      </w:tr>
      <w:tr w14:paraId="27183065">
        <w:tblPrEx>
          <w:tblCellMar>
            <w:top w:w="0" w:type="dxa"/>
            <w:left w:w="108" w:type="dxa"/>
            <w:bottom w:w="0" w:type="dxa"/>
            <w:right w:w="108" w:type="dxa"/>
          </w:tblCellMar>
        </w:tblPrEx>
        <w:trPr>
          <w:trHeight w:val="78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8B1E">
            <w:pPr>
              <w:spacing w:after="120"/>
              <w:ind w:firstLine="0" w:firstLineChars="0"/>
              <w:textAlignment w:val="center"/>
              <w:rPr>
                <w:rFonts w:ascii="等线" w:hAnsi="等线" w:eastAsia="等线" w:cs="等线"/>
                <w:b/>
                <w:bCs/>
                <w:color w:val="000000"/>
                <w:sz w:val="22"/>
                <w:szCs w:val="22"/>
              </w:rPr>
            </w:pPr>
            <w:r>
              <w:rPr>
                <w:rFonts w:ascii="等线" w:hAnsi="等线" w:eastAsia="等线" w:cs="等线"/>
                <w:b/>
                <w:bCs/>
                <w:color w:val="000000"/>
                <w:sz w:val="22"/>
                <w:szCs w:val="22"/>
              </w:rPr>
              <w:t>5</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B66D5">
            <w:pPr>
              <w:spacing w:after="120"/>
              <w:ind w:firstLine="0" w:firstLineChars="0"/>
              <w:jc w:val="left"/>
              <w:textAlignment w:val="center"/>
              <w:rPr>
                <w:rFonts w:ascii="等线" w:hAnsi="等线" w:eastAsia="等线" w:cs="等线"/>
                <w:b/>
                <w:bCs/>
                <w:color w:val="000000"/>
                <w:sz w:val="20"/>
              </w:rPr>
            </w:pPr>
            <w:r>
              <w:rPr>
                <w:rFonts w:ascii="等线" w:hAnsi="等线" w:eastAsia="等线" w:cs="等线"/>
                <w:b/>
                <w:bCs/>
                <w:color w:val="000000"/>
                <w:sz w:val="20"/>
              </w:rPr>
              <w:t>与概算批复对比分析</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B5F0">
            <w:pPr>
              <w:spacing w:after="120"/>
              <w:ind w:firstLine="440"/>
              <w:rPr>
                <w:rFonts w:ascii="等线" w:hAnsi="等线" w:eastAsia="等线" w:cs="等线"/>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B547">
            <w:pPr>
              <w:spacing w:after="120"/>
              <w:ind w:firstLine="440"/>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1A104">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按建筑规模变化、新增内容、建设标准、价格变化等方面进行投资对比分析。</w:t>
            </w: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73BEE">
            <w:pPr>
              <w:spacing w:after="120"/>
              <w:ind w:firstLine="400"/>
              <w:jc w:val="center"/>
              <w:textAlignment w:val="center"/>
              <w:rPr>
                <w:rFonts w:ascii="等线" w:hAnsi="等线" w:eastAsia="等线" w:cs="等线"/>
                <w:color w:val="000000"/>
                <w:sz w:val="20"/>
              </w:rPr>
            </w:pPr>
            <w:r>
              <w:rPr>
                <w:rFonts w:ascii="等线" w:hAnsi="等线" w:eastAsia="等线" w:cs="等线"/>
                <w:color w:val="000000"/>
                <w:sz w:val="20"/>
              </w:rPr>
              <w:t>纸质版文件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FBA2">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B07C">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0FBA">
            <w:pPr>
              <w:spacing w:after="120"/>
              <w:ind w:firstLine="440"/>
              <w:rPr>
                <w:rFonts w:ascii="等线" w:hAnsi="等线" w:eastAsia="等线" w:cs="等线"/>
                <w:color w:val="000000"/>
                <w:sz w:val="22"/>
                <w:szCs w:val="22"/>
              </w:rPr>
            </w:pPr>
          </w:p>
        </w:tc>
      </w:tr>
      <w:tr w14:paraId="577355FE">
        <w:tblPrEx>
          <w:tblCellMar>
            <w:top w:w="0" w:type="dxa"/>
            <w:left w:w="108" w:type="dxa"/>
            <w:bottom w:w="0" w:type="dxa"/>
            <w:right w:w="108" w:type="dxa"/>
          </w:tblCellMar>
        </w:tblPrEx>
        <w:trPr>
          <w:trHeight w:val="57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B31D">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5.1</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4B3300">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建筑规模变化</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7C53">
            <w:pPr>
              <w:spacing w:after="120"/>
              <w:ind w:firstLine="440"/>
              <w:rPr>
                <w:rFonts w:ascii="等线" w:hAnsi="等线" w:eastAsia="等线" w:cs="等线"/>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B111">
            <w:pPr>
              <w:spacing w:after="120"/>
              <w:ind w:firstLine="440"/>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543E">
            <w:pPr>
              <w:spacing w:after="120"/>
              <w:ind w:firstLine="400"/>
              <w:jc w:val="left"/>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A7EF">
            <w:pPr>
              <w:spacing w:after="120"/>
              <w:ind w:firstLine="400"/>
              <w:jc w:val="center"/>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F9584">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CB2A6">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4C93">
            <w:pPr>
              <w:spacing w:after="120"/>
              <w:ind w:firstLine="440"/>
              <w:rPr>
                <w:rFonts w:ascii="等线" w:hAnsi="等线" w:eastAsia="等线" w:cs="等线"/>
                <w:color w:val="000000"/>
                <w:sz w:val="22"/>
                <w:szCs w:val="22"/>
              </w:rPr>
            </w:pPr>
          </w:p>
        </w:tc>
      </w:tr>
      <w:tr w14:paraId="7471B442">
        <w:tblPrEx>
          <w:tblCellMar>
            <w:top w:w="0" w:type="dxa"/>
            <w:left w:w="108" w:type="dxa"/>
            <w:bottom w:w="0" w:type="dxa"/>
            <w:right w:w="108" w:type="dxa"/>
          </w:tblCellMar>
        </w:tblPrEx>
        <w:trPr>
          <w:trHeight w:val="57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B84A">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5.2</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8691F">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地质情况变化</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5286">
            <w:pPr>
              <w:spacing w:after="120"/>
              <w:ind w:firstLine="440"/>
              <w:rPr>
                <w:rFonts w:ascii="等线" w:hAnsi="等线" w:eastAsia="等线" w:cs="等线"/>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225B5">
            <w:pPr>
              <w:spacing w:after="120"/>
              <w:ind w:firstLine="440"/>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980F">
            <w:pPr>
              <w:spacing w:after="120"/>
              <w:ind w:firstLine="400"/>
              <w:jc w:val="left"/>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C812">
            <w:pPr>
              <w:spacing w:after="120"/>
              <w:ind w:firstLine="400"/>
              <w:jc w:val="center"/>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4506">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50A7">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EF33">
            <w:pPr>
              <w:spacing w:after="120"/>
              <w:ind w:firstLine="440"/>
              <w:rPr>
                <w:rFonts w:ascii="等线" w:hAnsi="等线" w:eastAsia="等线" w:cs="等线"/>
                <w:color w:val="000000"/>
                <w:sz w:val="22"/>
                <w:szCs w:val="22"/>
              </w:rPr>
            </w:pPr>
          </w:p>
        </w:tc>
      </w:tr>
      <w:tr w14:paraId="3E6D937E">
        <w:tblPrEx>
          <w:tblCellMar>
            <w:top w:w="0" w:type="dxa"/>
            <w:left w:w="108" w:type="dxa"/>
            <w:bottom w:w="0" w:type="dxa"/>
            <w:right w:w="108" w:type="dxa"/>
          </w:tblCellMar>
        </w:tblPrEx>
        <w:trPr>
          <w:trHeight w:val="57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1EC5">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5.3</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DCEB8">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新增内容</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83F4A">
            <w:pPr>
              <w:spacing w:after="120"/>
              <w:ind w:firstLine="440"/>
              <w:rPr>
                <w:rFonts w:ascii="等线" w:hAnsi="等线" w:eastAsia="等线" w:cs="等线"/>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DA0E">
            <w:pPr>
              <w:spacing w:after="120"/>
              <w:ind w:firstLine="440"/>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D19BD">
            <w:pPr>
              <w:spacing w:after="120"/>
              <w:ind w:firstLine="400"/>
              <w:jc w:val="left"/>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5CA87">
            <w:pPr>
              <w:spacing w:after="120"/>
              <w:ind w:firstLine="400"/>
              <w:jc w:val="center"/>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187FA">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A8A4">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6918D">
            <w:pPr>
              <w:spacing w:after="120"/>
              <w:ind w:firstLine="440"/>
              <w:rPr>
                <w:rFonts w:ascii="等线" w:hAnsi="等线" w:eastAsia="等线" w:cs="等线"/>
                <w:color w:val="000000"/>
                <w:sz w:val="22"/>
                <w:szCs w:val="22"/>
              </w:rPr>
            </w:pPr>
          </w:p>
        </w:tc>
      </w:tr>
      <w:tr w14:paraId="2233055E">
        <w:tblPrEx>
          <w:tblCellMar>
            <w:top w:w="0" w:type="dxa"/>
            <w:left w:w="108" w:type="dxa"/>
            <w:bottom w:w="0" w:type="dxa"/>
            <w:right w:w="108" w:type="dxa"/>
          </w:tblCellMar>
        </w:tblPrEx>
        <w:trPr>
          <w:trHeight w:val="57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47DF">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5.4</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54F96">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深化设计</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4B981">
            <w:pPr>
              <w:spacing w:after="120"/>
              <w:ind w:firstLine="440"/>
              <w:rPr>
                <w:rFonts w:ascii="等线" w:hAnsi="等线" w:eastAsia="等线" w:cs="等线"/>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E665">
            <w:pPr>
              <w:spacing w:after="120"/>
              <w:ind w:firstLine="440"/>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B620">
            <w:pPr>
              <w:spacing w:after="120"/>
              <w:ind w:firstLine="400"/>
              <w:jc w:val="left"/>
              <w:rPr>
                <w:rFonts w:ascii="等线" w:hAnsi="等线" w:eastAsia="等线" w:cs="等线"/>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A08C3">
            <w:pPr>
              <w:spacing w:after="120"/>
              <w:ind w:firstLine="400"/>
              <w:jc w:val="center"/>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5C40">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E279C">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5DED3">
            <w:pPr>
              <w:spacing w:after="120"/>
              <w:ind w:firstLine="440"/>
              <w:rPr>
                <w:rFonts w:ascii="等线" w:hAnsi="等线" w:eastAsia="等线" w:cs="等线"/>
                <w:color w:val="000000"/>
                <w:sz w:val="22"/>
                <w:szCs w:val="22"/>
              </w:rPr>
            </w:pPr>
          </w:p>
        </w:tc>
      </w:tr>
      <w:tr w14:paraId="290B244D">
        <w:tblPrEx>
          <w:tblCellMar>
            <w:top w:w="0" w:type="dxa"/>
            <w:left w:w="108" w:type="dxa"/>
            <w:bottom w:w="0" w:type="dxa"/>
            <w:right w:w="108" w:type="dxa"/>
          </w:tblCellMar>
        </w:tblPrEx>
        <w:trPr>
          <w:trHeight w:val="585"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9E85">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5.5</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0205F5">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品质提升</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B96B">
            <w:pPr>
              <w:spacing w:after="120"/>
              <w:ind w:firstLine="440"/>
              <w:rPr>
                <w:rFonts w:ascii="等线" w:hAnsi="等线" w:eastAsia="等线" w:cs="等线"/>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55FE">
            <w:pPr>
              <w:spacing w:after="120"/>
              <w:ind w:firstLine="440"/>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0F03">
            <w:pPr>
              <w:spacing w:after="120"/>
              <w:ind w:firstLine="440"/>
              <w:rPr>
                <w:rFonts w:ascii="等线" w:hAnsi="等线" w:eastAsia="等线" w:cs="等线"/>
                <w:color w:val="000000"/>
                <w:sz w:val="22"/>
                <w:szCs w:val="22"/>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D7778">
            <w:pPr>
              <w:spacing w:after="120"/>
              <w:ind w:firstLine="400"/>
              <w:jc w:val="center"/>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C27E">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74A2">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7C05">
            <w:pPr>
              <w:spacing w:after="120"/>
              <w:ind w:firstLine="440"/>
              <w:rPr>
                <w:rFonts w:ascii="等线" w:hAnsi="等线" w:eastAsia="等线" w:cs="等线"/>
                <w:color w:val="000000"/>
                <w:sz w:val="22"/>
                <w:szCs w:val="22"/>
              </w:rPr>
            </w:pPr>
          </w:p>
        </w:tc>
      </w:tr>
      <w:tr w14:paraId="0F8FFE82">
        <w:tblPrEx>
          <w:tblCellMar>
            <w:top w:w="0" w:type="dxa"/>
            <w:left w:w="108" w:type="dxa"/>
            <w:bottom w:w="0" w:type="dxa"/>
            <w:right w:w="108" w:type="dxa"/>
          </w:tblCellMar>
        </w:tblPrEx>
        <w:trPr>
          <w:trHeight w:val="585"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33722">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5.6</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0A2B9F">
            <w:pPr>
              <w:spacing w:after="120"/>
              <w:ind w:firstLine="360"/>
              <w:jc w:val="left"/>
              <w:textAlignment w:val="center"/>
              <w:rPr>
                <w:rFonts w:ascii="等线" w:hAnsi="等线" w:eastAsia="等线" w:cs="等线"/>
                <w:color w:val="000000"/>
                <w:sz w:val="20"/>
              </w:rPr>
            </w:pPr>
            <w:r>
              <w:rPr>
                <w:rFonts w:ascii="等线" w:hAnsi="等线" w:eastAsia="等线" w:cs="等线"/>
                <w:color w:val="000000"/>
                <w:sz w:val="18"/>
                <w:szCs w:val="18"/>
              </w:rPr>
              <w:t>工料机</w:t>
            </w:r>
            <w:r>
              <w:rPr>
                <w:rFonts w:ascii="等线" w:hAnsi="等线" w:eastAsia="等线" w:cs="等线"/>
                <w:color w:val="000000"/>
                <w:sz w:val="20"/>
              </w:rPr>
              <w:t>上涨</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2F65">
            <w:pPr>
              <w:spacing w:after="120"/>
              <w:ind w:firstLine="440"/>
              <w:rPr>
                <w:rFonts w:ascii="等线" w:hAnsi="等线" w:eastAsia="等线" w:cs="等线"/>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6575">
            <w:pPr>
              <w:spacing w:after="120"/>
              <w:ind w:firstLine="440"/>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9FFD9">
            <w:pPr>
              <w:spacing w:after="120"/>
              <w:ind w:firstLine="440"/>
              <w:rPr>
                <w:rFonts w:ascii="等线" w:hAnsi="等线" w:eastAsia="等线" w:cs="等线"/>
                <w:color w:val="000000"/>
                <w:sz w:val="22"/>
                <w:szCs w:val="22"/>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5D831">
            <w:pPr>
              <w:spacing w:after="120"/>
              <w:ind w:firstLine="400"/>
              <w:jc w:val="center"/>
              <w:rPr>
                <w:rFonts w:ascii="等线" w:hAnsi="等线" w:eastAsia="等线" w:cs="等线"/>
                <w:color w:val="000000"/>
                <w:sz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6664">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E9DC6">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712D">
            <w:pPr>
              <w:spacing w:after="120"/>
              <w:ind w:firstLine="440"/>
              <w:rPr>
                <w:rFonts w:ascii="等线" w:hAnsi="等线" w:eastAsia="等线" w:cs="等线"/>
                <w:color w:val="000000"/>
                <w:sz w:val="22"/>
                <w:szCs w:val="22"/>
              </w:rPr>
            </w:pPr>
          </w:p>
        </w:tc>
      </w:tr>
      <w:tr w14:paraId="28F4CA06">
        <w:tblPrEx>
          <w:tblCellMar>
            <w:top w:w="0" w:type="dxa"/>
            <w:left w:w="108" w:type="dxa"/>
            <w:bottom w:w="0" w:type="dxa"/>
            <w:right w:w="108" w:type="dxa"/>
          </w:tblCellMar>
        </w:tblPrEx>
        <w:trPr>
          <w:trHeight w:val="60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D236">
            <w:pPr>
              <w:spacing w:after="120"/>
              <w:ind w:firstLine="0" w:firstLineChars="0"/>
              <w:textAlignment w:val="center"/>
              <w:rPr>
                <w:rFonts w:ascii="等线" w:hAnsi="等线" w:eastAsia="等线" w:cs="等线"/>
                <w:b/>
                <w:bCs/>
                <w:color w:val="000000"/>
                <w:sz w:val="22"/>
                <w:szCs w:val="22"/>
              </w:rPr>
            </w:pPr>
            <w:r>
              <w:rPr>
                <w:rFonts w:ascii="等线" w:hAnsi="等线" w:eastAsia="等线" w:cs="等线"/>
                <w:b/>
                <w:bCs/>
                <w:color w:val="000000"/>
                <w:sz w:val="22"/>
                <w:szCs w:val="22"/>
              </w:rPr>
              <w:t>6</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AC44B">
            <w:pPr>
              <w:spacing w:after="120"/>
              <w:ind w:firstLine="0" w:firstLineChars="0"/>
              <w:jc w:val="left"/>
              <w:textAlignment w:val="center"/>
              <w:rPr>
                <w:rFonts w:ascii="等线" w:hAnsi="等线" w:eastAsia="等线" w:cs="等线"/>
                <w:b/>
                <w:bCs/>
                <w:color w:val="000000"/>
                <w:sz w:val="20"/>
              </w:rPr>
            </w:pPr>
            <w:r>
              <w:rPr>
                <w:rFonts w:ascii="等线" w:hAnsi="等线" w:eastAsia="等线" w:cs="等线"/>
                <w:b/>
                <w:bCs/>
                <w:color w:val="000000"/>
                <w:sz w:val="20"/>
              </w:rPr>
              <w:t xml:space="preserve">造价指标分析 </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994D">
            <w:pPr>
              <w:spacing w:after="120"/>
              <w:ind w:firstLine="440"/>
              <w:rPr>
                <w:rFonts w:ascii="等线" w:hAnsi="等线" w:eastAsia="等线" w:cs="等线"/>
                <w:b/>
                <w:bCs/>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0A36">
            <w:pPr>
              <w:spacing w:after="120"/>
              <w:ind w:firstLine="440"/>
              <w:rPr>
                <w:rFonts w:ascii="等线" w:hAnsi="等线" w:eastAsia="等线" w:cs="等线"/>
                <w:b/>
                <w:bCs/>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2B2D">
            <w:pPr>
              <w:spacing w:after="120"/>
              <w:ind w:firstLine="400"/>
              <w:jc w:val="left"/>
              <w:rPr>
                <w:rFonts w:ascii="等线" w:hAnsi="等线" w:eastAsia="等线" w:cs="等线"/>
                <w:b/>
                <w:bCs/>
                <w:color w:val="000000"/>
                <w:sz w:val="20"/>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6F39">
            <w:pPr>
              <w:spacing w:after="120"/>
              <w:ind w:firstLine="440"/>
              <w:rPr>
                <w:rFonts w:ascii="等线" w:hAnsi="等线" w:eastAsia="等线" w:cs="等线"/>
                <w:color w:val="000000"/>
                <w:sz w:val="22"/>
                <w:szCs w:val="22"/>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396C">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972D">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C539D">
            <w:pPr>
              <w:spacing w:after="120"/>
              <w:ind w:firstLine="440"/>
              <w:rPr>
                <w:rFonts w:ascii="等线" w:hAnsi="等线" w:eastAsia="等线" w:cs="等线"/>
                <w:color w:val="000000"/>
                <w:sz w:val="22"/>
                <w:szCs w:val="22"/>
              </w:rPr>
            </w:pPr>
          </w:p>
        </w:tc>
      </w:tr>
      <w:tr w14:paraId="6C8054E3">
        <w:tblPrEx>
          <w:tblCellMar>
            <w:top w:w="0" w:type="dxa"/>
            <w:left w:w="108" w:type="dxa"/>
            <w:bottom w:w="0" w:type="dxa"/>
            <w:right w:w="108" w:type="dxa"/>
          </w:tblCellMar>
        </w:tblPrEx>
        <w:trPr>
          <w:trHeight w:val="555"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CEDD5">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6.1</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724B3B">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分项指标</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C27D">
            <w:pPr>
              <w:spacing w:after="120"/>
              <w:ind w:firstLine="440"/>
              <w:rPr>
                <w:rFonts w:ascii="等线" w:hAnsi="等线" w:eastAsia="等线" w:cs="等线"/>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FE3F">
            <w:pPr>
              <w:spacing w:after="120"/>
              <w:ind w:firstLine="440"/>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84DB">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土建按单项工程,分地上\地下部分的钢筋\砼\模板指标;</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3CC3">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EXCEL文件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82371">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AD09">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61E6">
            <w:pPr>
              <w:spacing w:after="120"/>
              <w:ind w:firstLine="440"/>
              <w:rPr>
                <w:rFonts w:ascii="等线" w:hAnsi="等线" w:eastAsia="等线" w:cs="等线"/>
                <w:color w:val="000000"/>
                <w:sz w:val="22"/>
                <w:szCs w:val="22"/>
              </w:rPr>
            </w:pPr>
          </w:p>
        </w:tc>
      </w:tr>
      <w:tr w14:paraId="6DBBC566">
        <w:tblPrEx>
          <w:tblCellMar>
            <w:top w:w="0" w:type="dxa"/>
            <w:left w:w="108" w:type="dxa"/>
            <w:bottom w:w="0" w:type="dxa"/>
            <w:right w:w="108" w:type="dxa"/>
          </w:tblCellMar>
        </w:tblPrEx>
        <w:trPr>
          <w:trHeight w:val="48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C049">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6.2</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20A74">
            <w:pPr>
              <w:spacing w:after="120"/>
              <w:ind w:firstLine="0" w:firstLineChars="0"/>
              <w:jc w:val="left"/>
              <w:textAlignment w:val="center"/>
              <w:rPr>
                <w:rFonts w:ascii="等线" w:hAnsi="等线" w:eastAsia="等线" w:cs="等线"/>
                <w:color w:val="000000"/>
                <w:sz w:val="20"/>
              </w:rPr>
            </w:pPr>
            <w:r>
              <w:rPr>
                <w:rFonts w:ascii="等线" w:hAnsi="等线" w:eastAsia="等线" w:cs="等线"/>
                <w:color w:val="000000"/>
                <w:sz w:val="20"/>
              </w:rPr>
              <w:t>与概算指标对比表</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BF5C">
            <w:pPr>
              <w:spacing w:after="120"/>
              <w:ind w:firstLine="440"/>
              <w:rPr>
                <w:rFonts w:ascii="等线" w:hAnsi="等线" w:eastAsia="等线" w:cs="等线"/>
                <w:b/>
                <w:bCs/>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B06BB">
            <w:pPr>
              <w:spacing w:after="120"/>
              <w:ind w:firstLine="440"/>
              <w:rPr>
                <w:rFonts w:ascii="等线" w:hAnsi="等线" w:eastAsia="等线" w:cs="等线"/>
                <w:b/>
                <w:bCs/>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462D">
            <w:pPr>
              <w:spacing w:after="120"/>
              <w:ind w:firstLine="400"/>
              <w:jc w:val="left"/>
              <w:textAlignment w:val="center"/>
              <w:rPr>
                <w:rFonts w:ascii="等线" w:hAnsi="等线" w:eastAsia="等线" w:cs="等线"/>
                <w:color w:val="000000"/>
                <w:sz w:val="20"/>
              </w:rPr>
            </w:pPr>
            <w:r>
              <w:rPr>
                <w:rFonts w:ascii="等线" w:hAnsi="等线" w:eastAsia="等线" w:cs="等线"/>
                <w:color w:val="000000"/>
                <w:sz w:val="20"/>
              </w:rPr>
              <w:t>包括总指标、建安总指标、分专业指标、同类项目指标。</w:t>
            </w: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7E25">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EXCEL文件</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2333C">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3C15">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206A">
            <w:pPr>
              <w:spacing w:after="120"/>
              <w:ind w:firstLine="440"/>
              <w:rPr>
                <w:rFonts w:ascii="等线" w:hAnsi="等线" w:eastAsia="等线" w:cs="等线"/>
                <w:color w:val="000000"/>
                <w:sz w:val="22"/>
                <w:szCs w:val="22"/>
              </w:rPr>
            </w:pPr>
          </w:p>
        </w:tc>
      </w:tr>
      <w:tr w14:paraId="6D2982D0">
        <w:tblPrEx>
          <w:tblCellMar>
            <w:top w:w="0" w:type="dxa"/>
            <w:left w:w="108" w:type="dxa"/>
            <w:bottom w:w="0" w:type="dxa"/>
            <w:right w:w="108" w:type="dxa"/>
          </w:tblCellMar>
        </w:tblPrEx>
        <w:trPr>
          <w:trHeight w:val="780" w:hRule="atLeast"/>
        </w:trPr>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0F0A">
            <w:pPr>
              <w:spacing w:after="120"/>
              <w:ind w:firstLine="0" w:firstLineChars="0"/>
              <w:textAlignment w:val="center"/>
              <w:rPr>
                <w:rFonts w:ascii="等线" w:hAnsi="等线" w:eastAsia="等线" w:cs="等线"/>
                <w:b/>
                <w:bCs/>
                <w:color w:val="000000"/>
                <w:sz w:val="22"/>
                <w:szCs w:val="22"/>
              </w:rPr>
            </w:pPr>
            <w:r>
              <w:rPr>
                <w:rFonts w:ascii="等线" w:hAnsi="等线" w:eastAsia="等线" w:cs="等线"/>
                <w:b/>
                <w:bCs/>
                <w:color w:val="000000"/>
                <w:sz w:val="22"/>
                <w:szCs w:val="22"/>
              </w:rPr>
              <w:t>7</w:t>
            </w:r>
          </w:p>
        </w:tc>
        <w:tc>
          <w:tcPr>
            <w:tcW w:w="1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B1C56F">
            <w:pPr>
              <w:spacing w:after="120"/>
              <w:ind w:firstLine="440"/>
              <w:jc w:val="left"/>
              <w:textAlignment w:val="center"/>
              <w:rPr>
                <w:rFonts w:ascii="等线" w:hAnsi="等线" w:eastAsia="等线" w:cs="等线"/>
                <w:b/>
                <w:bCs/>
                <w:color w:val="000000"/>
                <w:sz w:val="22"/>
                <w:szCs w:val="22"/>
              </w:rPr>
            </w:pPr>
            <w:r>
              <w:rPr>
                <w:rFonts w:ascii="等线" w:hAnsi="等线" w:eastAsia="等线" w:cs="等线"/>
                <w:b/>
                <w:bCs/>
                <w:color w:val="000000"/>
                <w:sz w:val="22"/>
                <w:szCs w:val="22"/>
              </w:rPr>
              <w:t>甲方及第三方造价咨询单位所需其他资料</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7A86">
            <w:pPr>
              <w:spacing w:after="120"/>
              <w:ind w:firstLine="440"/>
              <w:rPr>
                <w:rFonts w:ascii="等线" w:hAnsi="等线" w:eastAsia="等线" w:cs="等线"/>
                <w:color w:val="000000"/>
                <w:sz w:val="22"/>
                <w:szCs w:val="22"/>
              </w:rPr>
            </w:pP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B4BD">
            <w:pPr>
              <w:spacing w:after="120"/>
              <w:ind w:firstLine="440"/>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8A84">
            <w:pPr>
              <w:spacing w:after="120"/>
              <w:ind w:firstLine="440"/>
              <w:rPr>
                <w:rFonts w:ascii="等线" w:hAnsi="等线" w:eastAsia="等线" w:cs="等线"/>
                <w:color w:val="000000"/>
                <w:sz w:val="22"/>
                <w:szCs w:val="22"/>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F107">
            <w:pPr>
              <w:spacing w:after="120"/>
              <w:ind w:firstLine="440"/>
              <w:rPr>
                <w:rFonts w:ascii="等线" w:hAnsi="等线" w:eastAsia="等线" w:cs="等线"/>
                <w:color w:val="000000"/>
                <w:sz w:val="22"/>
                <w:szCs w:val="22"/>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EFF1">
            <w:pPr>
              <w:spacing w:after="120"/>
              <w:ind w:firstLine="440"/>
              <w:rPr>
                <w:rFonts w:ascii="等线" w:hAnsi="等线" w:eastAsia="等线" w:cs="等线"/>
                <w:color w:val="000000"/>
                <w:sz w:val="22"/>
                <w:szCs w:val="22"/>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4956">
            <w:pPr>
              <w:spacing w:after="120"/>
              <w:ind w:firstLine="440"/>
              <w:rPr>
                <w:rFonts w:ascii="等线" w:hAnsi="等线" w:eastAsia="等线" w:cs="等线"/>
                <w:color w:val="000000"/>
                <w:sz w:val="22"/>
                <w:szCs w:val="22"/>
              </w:rPr>
            </w:pPr>
          </w:p>
        </w:tc>
        <w:tc>
          <w:tcPr>
            <w:tcW w:w="13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BDF76">
            <w:pPr>
              <w:spacing w:after="120"/>
              <w:ind w:firstLine="440"/>
              <w:rPr>
                <w:rFonts w:ascii="等线" w:hAnsi="等线" w:eastAsia="等线" w:cs="等线"/>
                <w:color w:val="000000"/>
                <w:sz w:val="22"/>
                <w:szCs w:val="22"/>
              </w:rPr>
            </w:pPr>
          </w:p>
        </w:tc>
      </w:tr>
      <w:tr w14:paraId="03D890E9">
        <w:tblPrEx>
          <w:tblCellMar>
            <w:top w:w="0" w:type="dxa"/>
            <w:left w:w="108" w:type="dxa"/>
            <w:bottom w:w="0" w:type="dxa"/>
            <w:right w:w="108" w:type="dxa"/>
          </w:tblCellMar>
        </w:tblPrEx>
        <w:trPr>
          <w:trHeight w:val="450" w:hRule="atLeast"/>
        </w:trPr>
        <w:tc>
          <w:tcPr>
            <w:tcW w:w="23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0AFF">
            <w:pPr>
              <w:spacing w:after="120"/>
              <w:ind w:firstLine="440"/>
              <w:jc w:val="center"/>
              <w:rPr>
                <w:rFonts w:ascii="等线" w:hAnsi="等线" w:eastAsia="等线" w:cs="等线"/>
                <w:color w:val="000000"/>
                <w:sz w:val="22"/>
                <w:szCs w:val="22"/>
              </w:rPr>
            </w:pPr>
            <w:r>
              <w:rPr>
                <w:rFonts w:ascii="等线" w:hAnsi="等线" w:eastAsia="等线" w:cs="等线"/>
                <w:color w:val="000000"/>
                <w:sz w:val="22"/>
                <w:szCs w:val="22"/>
              </w:rPr>
              <w:t>移交单位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BC10F">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经办人</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577D2">
            <w:pPr>
              <w:spacing w:after="120"/>
              <w:ind w:firstLine="440"/>
              <w:jc w:val="center"/>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DA444">
            <w:pPr>
              <w:spacing w:after="120"/>
              <w:ind w:firstLine="440"/>
              <w:jc w:val="center"/>
              <w:rPr>
                <w:rFonts w:ascii="等线" w:hAnsi="等线" w:eastAsia="等线" w:cs="等线"/>
                <w:color w:val="000000"/>
                <w:sz w:val="22"/>
                <w:szCs w:val="22"/>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6B505">
            <w:pPr>
              <w:spacing w:after="120"/>
              <w:ind w:firstLine="440"/>
              <w:jc w:val="center"/>
              <w:rPr>
                <w:rFonts w:ascii="等线" w:hAnsi="等线" w:eastAsia="等线" w:cs="等线"/>
                <w:color w:val="000000"/>
                <w:sz w:val="22"/>
                <w:szCs w:val="22"/>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CE0A">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日期</w:t>
            </w:r>
          </w:p>
        </w:tc>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B183">
            <w:pPr>
              <w:spacing w:after="120"/>
              <w:ind w:firstLine="440"/>
              <w:jc w:val="center"/>
              <w:rPr>
                <w:rFonts w:ascii="等线" w:hAnsi="等线" w:eastAsia="等线" w:cs="等线"/>
                <w:color w:val="000000"/>
                <w:sz w:val="22"/>
                <w:szCs w:val="22"/>
              </w:rPr>
            </w:pPr>
          </w:p>
        </w:tc>
      </w:tr>
      <w:tr w14:paraId="29A83419">
        <w:tblPrEx>
          <w:tblCellMar>
            <w:top w:w="0" w:type="dxa"/>
            <w:left w:w="108" w:type="dxa"/>
            <w:bottom w:w="0" w:type="dxa"/>
            <w:right w:w="108" w:type="dxa"/>
          </w:tblCellMar>
        </w:tblPrEx>
        <w:trPr>
          <w:trHeight w:val="450" w:hRule="atLeast"/>
        </w:trPr>
        <w:tc>
          <w:tcPr>
            <w:tcW w:w="23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42AD2">
            <w:pPr>
              <w:spacing w:after="120"/>
              <w:ind w:firstLine="440"/>
              <w:jc w:val="center"/>
              <w:rPr>
                <w:rFonts w:ascii="等线" w:hAnsi="等线" w:eastAsia="等线" w:cs="等线"/>
                <w:color w:val="000000"/>
                <w:sz w:val="22"/>
                <w:szCs w:val="22"/>
              </w:rPr>
            </w:pPr>
            <w:r>
              <w:rPr>
                <w:rFonts w:ascii="等线" w:hAnsi="等线" w:eastAsia="等线" w:cs="等线"/>
                <w:color w:val="000000"/>
                <w:sz w:val="22"/>
                <w:szCs w:val="22"/>
              </w:rPr>
              <w:t>接收单位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22F52">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签收人</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561D3">
            <w:pPr>
              <w:spacing w:after="120"/>
              <w:ind w:firstLine="440"/>
              <w:jc w:val="center"/>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1DB8B">
            <w:pPr>
              <w:spacing w:after="120"/>
              <w:ind w:firstLine="440"/>
              <w:jc w:val="center"/>
              <w:rPr>
                <w:rFonts w:ascii="等线" w:hAnsi="等线" w:eastAsia="等线" w:cs="等线"/>
                <w:color w:val="000000"/>
                <w:sz w:val="22"/>
                <w:szCs w:val="22"/>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9E1DA">
            <w:pPr>
              <w:spacing w:after="120"/>
              <w:ind w:firstLine="440"/>
              <w:jc w:val="center"/>
              <w:rPr>
                <w:rFonts w:ascii="等线" w:hAnsi="等线" w:eastAsia="等线" w:cs="等线"/>
                <w:color w:val="000000"/>
                <w:sz w:val="22"/>
                <w:szCs w:val="22"/>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6FCAB">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日期</w:t>
            </w:r>
          </w:p>
        </w:tc>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CB409">
            <w:pPr>
              <w:spacing w:after="120"/>
              <w:ind w:firstLine="440"/>
              <w:jc w:val="center"/>
              <w:rPr>
                <w:rFonts w:ascii="等线" w:hAnsi="等线" w:eastAsia="等线" w:cs="等线"/>
                <w:color w:val="000000"/>
                <w:sz w:val="22"/>
                <w:szCs w:val="22"/>
              </w:rPr>
            </w:pPr>
          </w:p>
        </w:tc>
      </w:tr>
      <w:tr w14:paraId="7F2DC1D2">
        <w:tblPrEx>
          <w:tblCellMar>
            <w:top w:w="0" w:type="dxa"/>
            <w:left w:w="108" w:type="dxa"/>
            <w:bottom w:w="0" w:type="dxa"/>
            <w:right w:w="108" w:type="dxa"/>
          </w:tblCellMar>
        </w:tblPrEx>
        <w:trPr>
          <w:trHeight w:val="450" w:hRule="atLeast"/>
        </w:trPr>
        <w:tc>
          <w:tcPr>
            <w:tcW w:w="23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91D9A">
            <w:pPr>
              <w:spacing w:after="120"/>
              <w:ind w:firstLine="440"/>
              <w:jc w:val="center"/>
              <w:rPr>
                <w:rFonts w:ascii="等线" w:hAnsi="等线" w:eastAsia="等线" w:cs="等线"/>
                <w:color w:val="000000"/>
                <w:sz w:val="22"/>
                <w:szCs w:val="22"/>
              </w:rPr>
            </w:pPr>
            <w:r>
              <w:rPr>
                <w:rFonts w:ascii="等线" w:hAnsi="等线" w:eastAsia="等线" w:cs="等线"/>
                <w:color w:val="000000"/>
                <w:sz w:val="22"/>
                <w:szCs w:val="22"/>
              </w:rPr>
              <w:t>见证单位</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2568">
            <w:pPr>
              <w:spacing w:after="120"/>
              <w:ind w:firstLine="0" w:firstLineChars="0"/>
              <w:textAlignment w:val="center"/>
              <w:rPr>
                <w:rFonts w:ascii="等线" w:hAnsi="等线" w:eastAsia="等线" w:cs="等线"/>
                <w:color w:val="000000"/>
                <w:sz w:val="22"/>
                <w:szCs w:val="22"/>
              </w:rPr>
            </w:pPr>
            <w:r>
              <w:rPr>
                <w:rFonts w:ascii="等线" w:hAnsi="等线" w:eastAsia="等线" w:cs="等线"/>
                <w:color w:val="000000"/>
                <w:sz w:val="22"/>
                <w:szCs w:val="22"/>
              </w:rPr>
              <w:t>签收人</w:t>
            </w:r>
          </w:p>
        </w:tc>
        <w:tc>
          <w:tcPr>
            <w:tcW w:w="8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9716F">
            <w:pPr>
              <w:spacing w:after="120"/>
              <w:ind w:firstLine="440"/>
              <w:jc w:val="center"/>
              <w:rPr>
                <w:rFonts w:ascii="等线" w:hAnsi="等线" w:eastAsia="等线" w:cs="等线"/>
                <w:color w:val="000000"/>
                <w:sz w:val="22"/>
                <w:szCs w:val="22"/>
              </w:rPr>
            </w:pPr>
          </w:p>
        </w:tc>
        <w:tc>
          <w:tcPr>
            <w:tcW w:w="43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0348">
            <w:pPr>
              <w:spacing w:after="120"/>
              <w:ind w:firstLine="440"/>
              <w:jc w:val="center"/>
              <w:rPr>
                <w:rFonts w:ascii="等线" w:hAnsi="等线" w:eastAsia="等线" w:cs="等线"/>
                <w:color w:val="000000"/>
                <w:sz w:val="22"/>
                <w:szCs w:val="22"/>
              </w:rPr>
            </w:pPr>
          </w:p>
        </w:tc>
        <w:tc>
          <w:tcPr>
            <w:tcW w:w="19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EEC3">
            <w:pPr>
              <w:spacing w:after="120"/>
              <w:ind w:firstLine="440"/>
              <w:jc w:val="center"/>
              <w:rPr>
                <w:rFonts w:ascii="等线" w:hAnsi="等线" w:eastAsia="等线" w:cs="等线"/>
                <w:color w:val="000000"/>
                <w:sz w:val="22"/>
                <w:szCs w:val="22"/>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652B">
            <w:pPr>
              <w:spacing w:after="120"/>
              <w:ind w:firstLine="440"/>
              <w:jc w:val="center"/>
              <w:textAlignment w:val="center"/>
              <w:rPr>
                <w:rFonts w:ascii="等线" w:hAnsi="等线" w:eastAsia="等线" w:cs="等线"/>
                <w:color w:val="000000"/>
                <w:sz w:val="22"/>
                <w:szCs w:val="22"/>
              </w:rPr>
            </w:pPr>
            <w:r>
              <w:rPr>
                <w:rFonts w:ascii="等线" w:hAnsi="等线" w:eastAsia="等线" w:cs="等线"/>
                <w:color w:val="000000"/>
                <w:sz w:val="22"/>
                <w:szCs w:val="22"/>
              </w:rPr>
              <w:t>日期</w:t>
            </w:r>
          </w:p>
        </w:tc>
        <w:tc>
          <w:tcPr>
            <w:tcW w:w="236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0120E">
            <w:pPr>
              <w:spacing w:after="120"/>
              <w:ind w:firstLine="440"/>
              <w:jc w:val="center"/>
              <w:rPr>
                <w:rFonts w:ascii="等线" w:hAnsi="等线" w:eastAsia="等线" w:cs="等线"/>
                <w:color w:val="000000"/>
                <w:sz w:val="22"/>
                <w:szCs w:val="22"/>
              </w:rPr>
            </w:pPr>
          </w:p>
        </w:tc>
      </w:tr>
      <w:tr w14:paraId="2659CA32">
        <w:tblPrEx>
          <w:tblCellMar>
            <w:top w:w="0" w:type="dxa"/>
            <w:left w:w="108" w:type="dxa"/>
            <w:bottom w:w="0" w:type="dxa"/>
            <w:right w:w="108" w:type="dxa"/>
          </w:tblCellMar>
        </w:tblPrEx>
        <w:trPr>
          <w:trHeight w:val="3015" w:hRule="atLeast"/>
        </w:trPr>
        <w:tc>
          <w:tcPr>
            <w:tcW w:w="14071"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ABB55E">
            <w:pPr>
              <w:spacing w:after="120"/>
              <w:ind w:firstLine="440"/>
              <w:jc w:val="left"/>
              <w:textAlignment w:val="center"/>
              <w:rPr>
                <w:rFonts w:ascii="等线" w:hAnsi="等线" w:eastAsia="等线" w:cs="等线"/>
                <w:color w:val="000000"/>
                <w:sz w:val="22"/>
                <w:szCs w:val="22"/>
              </w:rPr>
            </w:pPr>
            <w:r>
              <w:rPr>
                <w:rFonts w:ascii="等线" w:hAnsi="等线" w:eastAsia="等线" w:cs="等线"/>
                <w:color w:val="000000"/>
                <w:sz w:val="22"/>
                <w:szCs w:val="22"/>
              </w:rPr>
              <w:t>说明：1、本表一式三份，一份送审单位留底、一份抄送广东省代建局相关处（室）、一份供随送审项目资料保存（并提供电子版）。</w:t>
            </w:r>
          </w:p>
          <w:p w14:paraId="1E5F1BB9">
            <w:pPr>
              <w:spacing w:after="120"/>
              <w:ind w:firstLine="440"/>
              <w:jc w:val="left"/>
              <w:textAlignment w:val="center"/>
              <w:rPr>
                <w:rFonts w:ascii="等线" w:hAnsi="等线" w:eastAsia="等线" w:cs="等线"/>
                <w:color w:val="000000"/>
                <w:sz w:val="22"/>
                <w:szCs w:val="22"/>
              </w:rPr>
            </w:pPr>
            <w:r>
              <w:rPr>
                <w:rFonts w:ascii="等线" w:hAnsi="等线" w:eastAsia="等线" w:cs="等线"/>
                <w:color w:val="000000"/>
                <w:sz w:val="22"/>
                <w:szCs w:val="22"/>
              </w:rPr>
              <w:t>2、评审时间以被评审单位提供完整评审资料后，省代建局正式受理之日起计算，预受理及在评审过程中等待补充资料的时间，不作为评审时间计算。</w:t>
            </w:r>
          </w:p>
          <w:p w14:paraId="2E83E5A4">
            <w:pPr>
              <w:spacing w:after="120"/>
              <w:ind w:firstLine="440"/>
              <w:jc w:val="left"/>
              <w:textAlignment w:val="center"/>
              <w:rPr>
                <w:rFonts w:ascii="等线" w:hAnsi="等线" w:eastAsia="等线" w:cs="等线"/>
                <w:color w:val="000000"/>
                <w:sz w:val="22"/>
                <w:szCs w:val="22"/>
              </w:rPr>
            </w:pPr>
            <w:r>
              <w:rPr>
                <w:rFonts w:ascii="等线" w:hAnsi="等线" w:eastAsia="等线" w:cs="等线"/>
                <w:color w:val="000000"/>
                <w:sz w:val="22"/>
                <w:szCs w:val="22"/>
              </w:rPr>
              <w:t>3、送审单位应在表格中用“√”明确是否原件。对报送资料中的所有复印件盖章确认：装钉成册的，可盖封面和骑缝；未装钉的，每页盖章。原件无章的，也须盖章。</w:t>
            </w:r>
          </w:p>
          <w:p w14:paraId="106F82DD">
            <w:pPr>
              <w:spacing w:after="120"/>
              <w:ind w:firstLine="440"/>
              <w:jc w:val="left"/>
              <w:textAlignment w:val="center"/>
              <w:rPr>
                <w:rFonts w:ascii="等线" w:hAnsi="等线" w:eastAsia="等线" w:cs="等线"/>
                <w:color w:val="000000"/>
                <w:sz w:val="22"/>
                <w:szCs w:val="22"/>
              </w:rPr>
            </w:pPr>
            <w:r>
              <w:rPr>
                <w:rFonts w:ascii="等线" w:hAnsi="等线" w:eastAsia="等线" w:cs="等线"/>
                <w:color w:val="000000"/>
                <w:sz w:val="22"/>
                <w:szCs w:val="22"/>
              </w:rPr>
              <w:t>4、各阶段的设计图纸应保证其合规性（签字、盖章手续齐备）；送审金额应是项目各方（发包方、监理、承包方）共同认可。</w:t>
            </w:r>
          </w:p>
          <w:p w14:paraId="3101F850">
            <w:pPr>
              <w:spacing w:after="120"/>
              <w:ind w:firstLine="440"/>
              <w:jc w:val="left"/>
              <w:textAlignment w:val="center"/>
              <w:rPr>
                <w:rFonts w:ascii="等线" w:hAnsi="等线" w:eastAsia="等线" w:cs="等线"/>
                <w:color w:val="000000"/>
                <w:sz w:val="22"/>
                <w:szCs w:val="22"/>
              </w:rPr>
            </w:pPr>
            <w:r>
              <w:rPr>
                <w:rFonts w:ascii="等线" w:hAnsi="等线" w:eastAsia="等线" w:cs="等线"/>
                <w:color w:val="000000"/>
                <w:sz w:val="22"/>
                <w:szCs w:val="22"/>
              </w:rPr>
              <w:t>5、各资料移交清单表内为必备的基本资料，基础资料不齐备的省代建局有权不予受理。送审资料有清单中未列举的，请按要求填写。</w:t>
            </w:r>
          </w:p>
        </w:tc>
      </w:tr>
    </w:tbl>
    <w:p w14:paraId="74DA8027">
      <w:pPr>
        <w:spacing w:after="120"/>
        <w:ind w:firstLine="0" w:firstLineChars="0"/>
        <w:jc w:val="left"/>
        <w:rPr>
          <w:rFonts w:ascii="仿宋" w:hAnsi="仿宋" w:eastAsia="仿宋"/>
          <w:b/>
          <w:bCs/>
          <w:szCs w:val="24"/>
        </w:rPr>
      </w:pPr>
    </w:p>
    <w:p w14:paraId="190CC42D">
      <w:pPr>
        <w:spacing w:after="120"/>
        <w:ind w:left="2400" w:firstLine="482"/>
        <w:jc w:val="left"/>
        <w:rPr>
          <w:rFonts w:ascii="仿宋" w:hAnsi="仿宋" w:eastAsia="仿宋"/>
          <w:b/>
          <w:bCs/>
          <w:szCs w:val="24"/>
        </w:rPr>
      </w:pPr>
    </w:p>
    <w:p w14:paraId="0D9F4234">
      <w:pPr>
        <w:spacing w:after="120" w:line="440" w:lineRule="exact"/>
        <w:ind w:left="-567"/>
        <w:jc w:val="left"/>
        <w:rPr>
          <w:rFonts w:ascii="仿宋" w:hAnsi="仿宋" w:eastAsia="仿宋"/>
          <w:szCs w:val="24"/>
        </w:rPr>
      </w:pPr>
    </w:p>
    <w:p w14:paraId="133ABD5A">
      <w:pPr>
        <w:spacing w:after="120"/>
        <w:jc w:val="left"/>
        <w:rPr>
          <w:rFonts w:ascii="仿宋" w:hAnsi="仿宋" w:eastAsia="仿宋"/>
          <w:szCs w:val="24"/>
        </w:rPr>
        <w:sectPr>
          <w:pgSz w:w="16838" w:h="11906" w:orient="landscape"/>
          <w:pgMar w:top="1800" w:right="1440" w:bottom="1800" w:left="1440" w:header="720" w:footer="998" w:gutter="0"/>
          <w:cols w:space="720" w:num="1"/>
          <w:docGrid w:linePitch="326" w:charSpace="0"/>
        </w:sectPr>
      </w:pPr>
      <w:r>
        <w:rPr>
          <w:rFonts w:ascii="仿宋" w:hAnsi="仿宋" w:eastAsia="仿宋"/>
          <w:szCs w:val="24"/>
        </w:rPr>
        <w:br w:type="page"/>
      </w:r>
    </w:p>
    <w:p w14:paraId="271B1AC1">
      <w:pPr>
        <w:spacing w:after="120"/>
        <w:jc w:val="left"/>
        <w:rPr>
          <w:rFonts w:ascii="仿宋" w:hAnsi="仿宋" w:eastAsia="仿宋"/>
          <w:szCs w:val="24"/>
        </w:rPr>
      </w:pPr>
    </w:p>
    <w:p w14:paraId="5E52442D">
      <w:pPr>
        <w:spacing w:after="120"/>
        <w:ind w:firstLine="0" w:firstLineChars="0"/>
        <w:jc w:val="center"/>
        <w:outlineLvl w:val="1"/>
        <w:rPr>
          <w:rFonts w:ascii="仿宋" w:hAnsi="仿宋" w:eastAsia="仿宋" w:cs="仿宋"/>
          <w:b/>
          <w:bCs/>
          <w:sz w:val="32"/>
          <w:szCs w:val="32"/>
        </w:rPr>
      </w:pPr>
      <w:bookmarkStart w:id="1168" w:name="_Toc23128"/>
      <w:bookmarkStart w:id="1169" w:name="_Toc30437"/>
      <w:bookmarkStart w:id="1170" w:name="_Toc27052"/>
      <w:bookmarkStart w:id="1171" w:name="_Toc4609"/>
      <w:bookmarkStart w:id="1172" w:name="_Toc15428"/>
      <w:bookmarkStart w:id="1173" w:name="_Toc26764"/>
      <w:bookmarkStart w:id="1174" w:name="_Toc13510"/>
      <w:bookmarkStart w:id="1175" w:name="_Toc22099"/>
      <w:r>
        <w:rPr>
          <w:rFonts w:hint="eastAsia" w:ascii="仿宋" w:hAnsi="仿宋" w:eastAsia="仿宋" w:cs="仿宋"/>
          <w:b/>
          <w:bCs/>
          <w:sz w:val="32"/>
          <w:szCs w:val="32"/>
        </w:rPr>
        <w:t>附件18材料设备品牌选定表</w:t>
      </w:r>
      <w:bookmarkEnd w:id="1168"/>
      <w:bookmarkEnd w:id="1169"/>
      <w:bookmarkEnd w:id="1170"/>
      <w:bookmarkEnd w:id="1171"/>
      <w:bookmarkEnd w:id="1172"/>
      <w:bookmarkEnd w:id="1173"/>
      <w:bookmarkEnd w:id="1174"/>
      <w:bookmarkEnd w:id="1175"/>
    </w:p>
    <w:p w14:paraId="7898EA2E">
      <w:pPr>
        <w:spacing w:after="120" w:line="440" w:lineRule="exact"/>
        <w:ind w:left="-567"/>
        <w:jc w:val="left"/>
        <w:rPr>
          <w:rFonts w:ascii="仿宋" w:hAnsi="仿宋" w:eastAsia="仿宋" w:cs="宋体"/>
          <w:bCs/>
          <w:szCs w:val="24"/>
        </w:rPr>
      </w:pPr>
    </w:p>
    <w:p w14:paraId="07694AA6">
      <w:pPr>
        <w:spacing w:after="120"/>
        <w:jc w:val="left"/>
        <w:rPr>
          <w:rFonts w:ascii="仿宋" w:hAnsi="仿宋" w:eastAsia="仿宋" w:cs="宋体"/>
          <w:bCs/>
          <w:szCs w:val="24"/>
        </w:rPr>
      </w:pPr>
      <w:r>
        <w:rPr>
          <w:rFonts w:ascii="仿宋" w:hAnsi="仿宋" w:eastAsia="仿宋" w:cs="宋体"/>
          <w:bCs/>
          <w:szCs w:val="24"/>
        </w:rPr>
        <w:br w:type="page"/>
      </w:r>
    </w:p>
    <w:p w14:paraId="7ECA32F5">
      <w:pPr>
        <w:spacing w:after="120"/>
        <w:ind w:firstLine="0" w:firstLineChars="0"/>
        <w:jc w:val="center"/>
        <w:outlineLvl w:val="1"/>
        <w:rPr>
          <w:rFonts w:ascii="仿宋" w:hAnsi="仿宋" w:eastAsia="仿宋" w:cs="仿宋"/>
          <w:b/>
          <w:bCs/>
          <w:sz w:val="32"/>
          <w:szCs w:val="32"/>
        </w:rPr>
      </w:pPr>
      <w:bookmarkStart w:id="1176" w:name="_Toc8574"/>
      <w:bookmarkStart w:id="1177" w:name="_Toc30946"/>
      <w:bookmarkStart w:id="1178" w:name="_Toc5052"/>
      <w:bookmarkStart w:id="1179" w:name="_Toc19320"/>
      <w:bookmarkStart w:id="1180" w:name="_Toc25594"/>
      <w:bookmarkStart w:id="1181" w:name="_Toc14618"/>
      <w:bookmarkStart w:id="1182" w:name="_Toc4669"/>
      <w:bookmarkStart w:id="1183" w:name="_Toc695"/>
      <w:r>
        <w:rPr>
          <w:rFonts w:hint="eastAsia" w:ascii="仿宋" w:hAnsi="仿宋" w:eastAsia="仿宋" w:cs="仿宋"/>
          <w:b/>
          <w:bCs/>
          <w:sz w:val="32"/>
          <w:szCs w:val="32"/>
        </w:rPr>
        <w:t>附件19 工程结算管理规程</w:t>
      </w:r>
      <w:bookmarkEnd w:id="1176"/>
      <w:bookmarkEnd w:id="1177"/>
      <w:bookmarkEnd w:id="1178"/>
      <w:bookmarkEnd w:id="1179"/>
      <w:bookmarkEnd w:id="1180"/>
      <w:bookmarkEnd w:id="1181"/>
      <w:bookmarkEnd w:id="1182"/>
      <w:bookmarkEnd w:id="1183"/>
    </w:p>
    <w:p w14:paraId="53A407D1">
      <w:pPr>
        <w:spacing w:after="120"/>
        <w:ind w:firstLine="0" w:firstLineChars="0"/>
        <w:jc w:val="center"/>
        <w:rPr>
          <w:rFonts w:ascii="仿宋" w:hAnsi="仿宋" w:eastAsia="仿宋" w:cs="仿宋"/>
          <w:sz w:val="30"/>
          <w:szCs w:val="30"/>
        </w:rPr>
      </w:pPr>
      <w:r>
        <w:rPr>
          <w:rFonts w:hint="eastAsia" w:ascii="仿宋" w:hAnsi="仿宋" w:eastAsia="仿宋" w:cs="仿宋"/>
          <w:sz w:val="30"/>
          <w:szCs w:val="30"/>
        </w:rPr>
        <w:t>省代建局直接管理项目工程结算管理规程（试行）</w:t>
      </w:r>
    </w:p>
    <w:p w14:paraId="47BAA587">
      <w:pPr>
        <w:widowControl w:val="0"/>
        <w:numPr>
          <w:ilvl w:val="0"/>
          <w:numId w:val="35"/>
        </w:numPr>
        <w:wordWrap/>
        <w:topLinePunct w:val="0"/>
        <w:adjustRightInd/>
        <w:snapToGrid/>
        <w:spacing w:afterLines="0"/>
        <w:ind w:firstLine="600"/>
        <w:rPr>
          <w:rFonts w:ascii="仿宋" w:hAnsi="仿宋" w:eastAsia="仿宋" w:cs="仿宋"/>
          <w:sz w:val="30"/>
          <w:szCs w:val="30"/>
        </w:rPr>
      </w:pPr>
      <w:r>
        <w:rPr>
          <w:rFonts w:hint="eastAsia" w:ascii="仿宋" w:hAnsi="仿宋" w:eastAsia="仿宋" w:cs="仿宋"/>
          <w:sz w:val="30"/>
          <w:szCs w:val="30"/>
        </w:rPr>
        <w:t>为规范直接管理项目工程结算编审程序，加强工程造价控制管理，根据《建设工程价款结算暂行办法》、《广东省建设工程造价管理规定》以及广东省财政厅《省级财政性投资项目送审事项须知》及《关于印发&lt;广东省财政厅关于基本建设财务管理的实施办法&gt;及配套制度的通知》的有关规定，结合省代建局直接管理项目建设的实际，制定本办法。</w:t>
      </w:r>
    </w:p>
    <w:p w14:paraId="5168E129">
      <w:pPr>
        <w:widowControl w:val="0"/>
        <w:numPr>
          <w:ilvl w:val="0"/>
          <w:numId w:val="35"/>
        </w:numPr>
        <w:wordWrap/>
        <w:topLinePunct w:val="0"/>
        <w:adjustRightInd/>
        <w:snapToGrid/>
        <w:spacing w:afterLines="0"/>
        <w:ind w:firstLine="600"/>
        <w:rPr>
          <w:rFonts w:ascii="仿宋" w:hAnsi="仿宋" w:eastAsia="仿宋" w:cs="仿宋"/>
          <w:sz w:val="30"/>
          <w:szCs w:val="30"/>
        </w:rPr>
      </w:pPr>
      <w:r>
        <w:rPr>
          <w:rFonts w:hint="eastAsia" w:ascii="仿宋" w:hAnsi="仿宋" w:eastAsia="仿宋" w:cs="仿宋"/>
          <w:sz w:val="30"/>
          <w:szCs w:val="30"/>
        </w:rPr>
        <w:t>工程结算工作由计划财务部负责统筹办理并跟踪协调结算审查情况，建安工程结算资料由计划财务部会同项目建设管理部项目组督促承包单位限期提供。服务类合同结算资料由合同执行部门负责整理提交计划财务部。</w:t>
      </w:r>
    </w:p>
    <w:p w14:paraId="2B62BF76">
      <w:pPr>
        <w:wordWrap/>
        <w:spacing w:after="120"/>
        <w:ind w:firstLine="590" w:firstLineChars="196"/>
        <w:rPr>
          <w:rFonts w:ascii="仿宋" w:hAnsi="仿宋" w:eastAsia="仿宋" w:cs="仿宋"/>
          <w:sz w:val="30"/>
          <w:szCs w:val="30"/>
        </w:rPr>
      </w:pPr>
      <w:r>
        <w:rPr>
          <w:rFonts w:hint="eastAsia" w:ascii="仿宋" w:hAnsi="仿宋" w:eastAsia="仿宋" w:cs="仿宋"/>
          <w:b/>
          <w:sz w:val="30"/>
          <w:szCs w:val="30"/>
        </w:rPr>
        <w:t>第三条</w:t>
      </w:r>
      <w:r>
        <w:rPr>
          <w:rFonts w:hint="eastAsia" w:ascii="仿宋" w:hAnsi="仿宋" w:eastAsia="仿宋" w:cs="仿宋"/>
          <w:sz w:val="30"/>
          <w:szCs w:val="30"/>
        </w:rPr>
        <w:t xml:space="preserve"> 工程结算以每个施工合同为结算对象，并在合同约定期限内按照下列规定办理：</w:t>
      </w:r>
    </w:p>
    <w:p w14:paraId="274748FB">
      <w:pPr>
        <w:spacing w:after="120"/>
        <w:ind w:firstLine="588" w:firstLineChars="196"/>
        <w:rPr>
          <w:rFonts w:ascii="仿宋" w:hAnsi="仿宋" w:eastAsia="仿宋" w:cs="仿宋"/>
          <w:sz w:val="30"/>
          <w:szCs w:val="30"/>
        </w:rPr>
      </w:pPr>
      <w:r>
        <w:rPr>
          <w:rFonts w:hint="eastAsia" w:ascii="仿宋" w:hAnsi="仿宋" w:eastAsia="仿宋" w:cs="仿宋"/>
          <w:sz w:val="30"/>
          <w:szCs w:val="30"/>
        </w:rPr>
        <w:t>（一）施工单位(设计施工总承包单位)应按合同约定编制结算文件，并按合同约定的时限（合同无约定时按省府205号令执行）提交完整的结算文件。</w:t>
      </w:r>
    </w:p>
    <w:p w14:paraId="7D85A7E2">
      <w:pPr>
        <w:spacing w:after="120"/>
        <w:ind w:firstLine="588" w:firstLineChars="196"/>
        <w:rPr>
          <w:rFonts w:ascii="仿宋" w:hAnsi="仿宋" w:eastAsia="仿宋" w:cs="仿宋"/>
          <w:sz w:val="30"/>
          <w:szCs w:val="30"/>
        </w:rPr>
      </w:pPr>
      <w:r>
        <w:rPr>
          <w:rFonts w:hint="eastAsia" w:ascii="仿宋" w:hAnsi="仿宋" w:eastAsia="仿宋" w:cs="仿宋"/>
          <w:sz w:val="30"/>
          <w:szCs w:val="30"/>
        </w:rPr>
        <w:t>（二）接收施工单位(设计施工总承包单位)的结算文件后，由全过程造价咨询企业核对结算文件，并向施工单位(设计施工总承包单位)提交结算文件核对意见。</w:t>
      </w:r>
    </w:p>
    <w:p w14:paraId="795BBBF7">
      <w:pPr>
        <w:spacing w:after="120"/>
        <w:ind w:firstLine="588" w:firstLineChars="196"/>
        <w:rPr>
          <w:rFonts w:ascii="仿宋" w:hAnsi="仿宋" w:eastAsia="仿宋" w:cs="仿宋"/>
          <w:sz w:val="30"/>
          <w:szCs w:val="30"/>
        </w:rPr>
      </w:pPr>
      <w:r>
        <w:rPr>
          <w:rFonts w:hint="eastAsia" w:ascii="仿宋" w:hAnsi="仿宋" w:eastAsia="仿宋" w:cs="仿宋"/>
          <w:sz w:val="30"/>
          <w:szCs w:val="30"/>
        </w:rPr>
        <w:t>（三）需要施工单位(设计施工总承包单位)补充资料和修改结算文件的，全过程造价咨询单位在核对意见中一次性提出，施工单位(设计施工总承包单位)应当按要求补充完善结算资料并再次提交。计划财务部收到施工单位(设计施工总承包单位)佐证资料后，应当通知全过程造价咨询企业完成复核，将复核结果签报分管局领导。</w:t>
      </w:r>
    </w:p>
    <w:p w14:paraId="699A95EB">
      <w:pPr>
        <w:spacing w:after="120"/>
        <w:ind w:firstLine="588" w:firstLineChars="196"/>
        <w:rPr>
          <w:rFonts w:ascii="仿宋" w:hAnsi="仿宋" w:eastAsia="仿宋" w:cs="仿宋"/>
          <w:sz w:val="30"/>
          <w:szCs w:val="30"/>
        </w:rPr>
      </w:pPr>
      <w:r>
        <w:rPr>
          <w:rFonts w:hint="eastAsia" w:ascii="仿宋" w:hAnsi="仿宋" w:eastAsia="仿宋" w:cs="仿宋"/>
          <w:sz w:val="30"/>
          <w:szCs w:val="30"/>
        </w:rPr>
        <w:t>（四）计划财务部将复核结果书面通知施工单位。施工单位(设计施工总承包单位)对核对或者复核结果无异议的，应当在7日内按照省、市有关规定签章、确认结算文件。</w:t>
      </w:r>
    </w:p>
    <w:p w14:paraId="6CE5FE94">
      <w:pPr>
        <w:spacing w:after="120"/>
        <w:ind w:firstLine="588" w:firstLineChars="196"/>
        <w:rPr>
          <w:rFonts w:ascii="仿宋" w:hAnsi="仿宋" w:eastAsia="仿宋" w:cs="仿宋"/>
          <w:sz w:val="30"/>
          <w:szCs w:val="30"/>
        </w:rPr>
      </w:pPr>
      <w:r>
        <w:rPr>
          <w:rFonts w:hint="eastAsia" w:ascii="仿宋" w:hAnsi="仿宋" w:eastAsia="仿宋" w:cs="仿宋"/>
          <w:sz w:val="30"/>
          <w:szCs w:val="30"/>
        </w:rPr>
        <w:t xml:space="preserve">对核对或者复核结果部分有异议的，计划财务部可以对无异议部分办理不完全结算，施工单位(设计施工总承包单位)须予以配合；有异议部分协商不成的，可在接到核对或者复核结果之日起30日内向工程所在地工程造价主管机构申请调解，或者按照合同约定解决争议。 </w:t>
      </w:r>
    </w:p>
    <w:p w14:paraId="7405F987">
      <w:pPr>
        <w:spacing w:after="120"/>
        <w:ind w:firstLine="600"/>
        <w:rPr>
          <w:rFonts w:ascii="仿宋" w:hAnsi="仿宋" w:eastAsia="仿宋" w:cs="仿宋"/>
          <w:sz w:val="30"/>
          <w:szCs w:val="30"/>
        </w:rPr>
      </w:pPr>
      <w:r>
        <w:rPr>
          <w:rFonts w:hint="eastAsia" w:ascii="仿宋" w:hAnsi="仿宋" w:eastAsia="仿宋" w:cs="仿宋"/>
          <w:sz w:val="30"/>
          <w:szCs w:val="30"/>
        </w:rPr>
        <w:t>合同未约定的，第（一）、（二）、（三）项办理时限为28日。</w:t>
      </w:r>
    </w:p>
    <w:p w14:paraId="6B3FE1C0">
      <w:pPr>
        <w:spacing w:after="120"/>
        <w:ind w:firstLine="590" w:firstLineChars="196"/>
        <w:rPr>
          <w:rFonts w:ascii="仿宋" w:hAnsi="仿宋" w:eastAsia="仿宋" w:cs="仿宋"/>
          <w:sz w:val="30"/>
          <w:szCs w:val="30"/>
        </w:rPr>
      </w:pPr>
      <w:r>
        <w:rPr>
          <w:rFonts w:hint="eastAsia" w:ascii="仿宋" w:hAnsi="仿宋" w:eastAsia="仿宋" w:cs="仿宋"/>
          <w:b/>
          <w:bCs/>
          <w:sz w:val="30"/>
          <w:szCs w:val="30"/>
        </w:rPr>
        <w:t>第四条　</w:t>
      </w:r>
      <w:r>
        <w:rPr>
          <w:rFonts w:hint="eastAsia" w:ascii="仿宋" w:hAnsi="仿宋" w:eastAsia="仿宋" w:cs="仿宋"/>
          <w:sz w:val="30"/>
          <w:szCs w:val="30"/>
        </w:rPr>
        <w:t>办理项目结算期间，施工单位(设计施工总承包单位)可以提出补充资料和修改结算文件的要求，且需一次性提交完毕，在规定时限内未提交，全过程造价咨询企业可据现有资料出具结算意见，施工单位(设计施工总承包单位)应当认可。</w:t>
      </w:r>
    </w:p>
    <w:p w14:paraId="732ECB51">
      <w:pPr>
        <w:spacing w:after="120"/>
        <w:ind w:firstLine="588" w:firstLineChars="196"/>
        <w:rPr>
          <w:rFonts w:ascii="仿宋" w:hAnsi="仿宋" w:eastAsia="仿宋" w:cs="仿宋"/>
          <w:sz w:val="30"/>
          <w:szCs w:val="30"/>
        </w:rPr>
      </w:pPr>
      <w:r>
        <w:rPr>
          <w:rFonts w:hint="eastAsia" w:ascii="仿宋" w:hAnsi="仿宋" w:eastAsia="仿宋" w:cs="仿宋"/>
          <w:sz w:val="30"/>
          <w:szCs w:val="30"/>
        </w:rPr>
        <w:t>未按照第三条规定办理工程结算的处理办法：</w:t>
      </w:r>
    </w:p>
    <w:p w14:paraId="7392933E">
      <w:pPr>
        <w:spacing w:after="120"/>
        <w:ind w:firstLine="588" w:firstLineChars="196"/>
        <w:rPr>
          <w:rFonts w:ascii="仿宋" w:hAnsi="仿宋" w:eastAsia="仿宋" w:cs="仿宋"/>
          <w:sz w:val="30"/>
          <w:szCs w:val="30"/>
        </w:rPr>
      </w:pPr>
      <w:r>
        <w:rPr>
          <w:rFonts w:hint="eastAsia" w:ascii="仿宋" w:hAnsi="仿宋" w:eastAsia="仿宋" w:cs="仿宋"/>
          <w:sz w:val="30"/>
          <w:szCs w:val="30"/>
        </w:rPr>
        <w:t xml:space="preserve">（一）施工单位(设计施工总承包单位)逾期未提交结算文件，经书面催促后14日内未做出书面答复的，计划财务部可以要求全过程造价咨询企业根据已有资料编制结算文件，并将结算结果书面通知施工单位(设计施工总承包单位)，施工单位(设计施工总承包单位)应当认可。 </w:t>
      </w:r>
    </w:p>
    <w:p w14:paraId="7F96A46B">
      <w:pPr>
        <w:spacing w:after="120"/>
        <w:ind w:firstLine="588" w:firstLineChars="196"/>
        <w:rPr>
          <w:rFonts w:ascii="仿宋" w:hAnsi="仿宋" w:eastAsia="仿宋" w:cs="仿宋"/>
          <w:sz w:val="30"/>
          <w:szCs w:val="30"/>
        </w:rPr>
      </w:pPr>
      <w:r>
        <w:rPr>
          <w:rFonts w:hint="eastAsia" w:ascii="仿宋" w:hAnsi="仿宋" w:eastAsia="仿宋" w:cs="仿宋"/>
          <w:sz w:val="30"/>
          <w:szCs w:val="30"/>
        </w:rPr>
        <w:t>（二）全过程造价咨询企业收到结算文件应在规定的时间内提出核对意见的，逾期未能提出核对的意见经省代建局确认逾期原因和计划完成时限后，计划财务部将相关事项书面通知施工单位(设计施工总承包单位)。</w:t>
      </w:r>
    </w:p>
    <w:p w14:paraId="70860A56">
      <w:pPr>
        <w:spacing w:after="120"/>
        <w:ind w:firstLine="588" w:firstLineChars="196"/>
        <w:rPr>
          <w:rFonts w:ascii="仿宋" w:hAnsi="仿宋" w:eastAsia="仿宋" w:cs="仿宋"/>
          <w:sz w:val="30"/>
          <w:szCs w:val="30"/>
        </w:rPr>
      </w:pPr>
      <w:r>
        <w:rPr>
          <w:rFonts w:hint="eastAsia" w:ascii="仿宋" w:hAnsi="仿宋" w:eastAsia="仿宋" w:cs="仿宋"/>
          <w:sz w:val="30"/>
          <w:szCs w:val="30"/>
        </w:rPr>
        <w:t xml:space="preserve">（三）施工单位(设计施工总承包单位)收到结算文件核对意见逾期未提出异议的，视为认可。 </w:t>
      </w:r>
    </w:p>
    <w:p w14:paraId="0571E1DB">
      <w:pPr>
        <w:spacing w:after="120"/>
        <w:ind w:firstLine="602"/>
        <w:rPr>
          <w:rFonts w:ascii="仿宋" w:hAnsi="仿宋" w:eastAsia="仿宋" w:cs="仿宋"/>
          <w:sz w:val="30"/>
          <w:szCs w:val="30"/>
        </w:rPr>
      </w:pPr>
      <w:r>
        <w:rPr>
          <w:rFonts w:hint="eastAsia" w:ascii="仿宋" w:hAnsi="仿宋" w:eastAsia="仿宋" w:cs="仿宋"/>
          <w:b/>
          <w:sz w:val="30"/>
          <w:szCs w:val="30"/>
        </w:rPr>
        <w:t>第五条</w:t>
      </w:r>
      <w:r>
        <w:rPr>
          <w:rFonts w:hint="eastAsia" w:ascii="仿宋" w:hAnsi="仿宋" w:eastAsia="仿宋" w:cs="仿宋"/>
          <w:sz w:val="30"/>
          <w:szCs w:val="30"/>
        </w:rPr>
        <w:t xml:space="preserve">  直接管理代建项目实行分部结算初审，分部工程结算初审金额超出概算批复子项金额的，则分析原因，厘清责任，根据分部工程结算初审情况调整造价控制目标。项目整体工程结算初审金额超出初步设计概算批复工程建设费用和预备费余额之和，应向省投资主管部门申请调整概算，调整概算批复后才能向省投资评审或省有权终审部门申请工程结算。</w:t>
      </w:r>
    </w:p>
    <w:p w14:paraId="7E480597">
      <w:pPr>
        <w:spacing w:after="120"/>
        <w:ind w:firstLine="602"/>
        <w:rPr>
          <w:rFonts w:ascii="仿宋" w:hAnsi="仿宋" w:eastAsia="仿宋" w:cs="仿宋"/>
          <w:sz w:val="30"/>
          <w:szCs w:val="30"/>
        </w:rPr>
      </w:pPr>
      <w:r>
        <w:rPr>
          <w:rFonts w:hint="eastAsia" w:ascii="仿宋" w:hAnsi="仿宋" w:eastAsia="仿宋" w:cs="仿宋"/>
          <w:b/>
          <w:sz w:val="30"/>
          <w:szCs w:val="30"/>
        </w:rPr>
        <w:t>第六条</w:t>
      </w:r>
      <w:r>
        <w:rPr>
          <w:rFonts w:hint="eastAsia" w:ascii="仿宋" w:hAnsi="仿宋" w:eastAsia="仿宋" w:cs="仿宋"/>
          <w:sz w:val="30"/>
          <w:szCs w:val="30"/>
        </w:rPr>
        <w:t>工程结算文件的真实性和完整性由施工单位负责。施工单位应按合同要求提交工程结算文件，并对工程结算文件的真实性和完整性负责，工程结算文件的完整性经监理单位（全过程工程咨询单位）、全过程造价咨询单位确认后，由计划财务部委托的全过程造价咨询单位进行评审并出具评审结论，项目评审结论经各方确认之日起30日内报送省财政厅或项目省级主管部门进行审核。省财政厅或项目省级主管部门出具审核结论性文书为项目最终合同价款结算依据。</w:t>
      </w:r>
    </w:p>
    <w:p w14:paraId="008B7594">
      <w:pPr>
        <w:spacing w:after="120"/>
        <w:ind w:firstLine="599" w:firstLineChars="199"/>
        <w:rPr>
          <w:rFonts w:ascii="仿宋" w:hAnsi="仿宋" w:eastAsia="仿宋" w:cs="仿宋"/>
          <w:sz w:val="30"/>
          <w:szCs w:val="30"/>
        </w:rPr>
      </w:pPr>
      <w:r>
        <w:rPr>
          <w:rFonts w:hint="eastAsia" w:ascii="仿宋" w:hAnsi="仿宋" w:eastAsia="仿宋" w:cs="仿宋"/>
          <w:b/>
          <w:sz w:val="30"/>
          <w:szCs w:val="30"/>
        </w:rPr>
        <w:t>第七条</w:t>
      </w:r>
      <w:r>
        <w:rPr>
          <w:rFonts w:hint="eastAsia" w:ascii="仿宋" w:hAnsi="仿宋" w:eastAsia="仿宋" w:cs="仿宋"/>
          <w:sz w:val="30"/>
          <w:szCs w:val="30"/>
        </w:rPr>
        <w:t xml:space="preserve"> 工程结算编审程序：</w:t>
      </w:r>
    </w:p>
    <w:p w14:paraId="5A945A53">
      <w:pPr>
        <w:spacing w:after="120"/>
        <w:ind w:firstLine="600"/>
        <w:rPr>
          <w:rFonts w:ascii="仿宋" w:hAnsi="仿宋" w:eastAsia="仿宋" w:cs="仿宋"/>
          <w:sz w:val="30"/>
          <w:szCs w:val="30"/>
        </w:rPr>
      </w:pPr>
      <w:r>
        <w:rPr>
          <w:rFonts w:hint="eastAsia" w:ascii="仿宋" w:hAnsi="仿宋" w:eastAsia="仿宋" w:cs="仿宋"/>
          <w:sz w:val="30"/>
          <w:szCs w:val="30"/>
        </w:rPr>
        <w:t>（一）施工单位在提交工程竣工验收申请的同时须提交完整的项目结算文件，结算文件应按第八条要求装订成册，送监理公司（全过程工程咨询单位）审查；</w:t>
      </w:r>
    </w:p>
    <w:p w14:paraId="0E73D069">
      <w:pPr>
        <w:spacing w:after="120"/>
        <w:ind w:firstLine="600"/>
        <w:rPr>
          <w:rFonts w:ascii="仿宋" w:hAnsi="仿宋" w:eastAsia="仿宋" w:cs="仿宋"/>
          <w:sz w:val="30"/>
          <w:szCs w:val="30"/>
        </w:rPr>
      </w:pPr>
      <w:r>
        <w:rPr>
          <w:rFonts w:hint="eastAsia" w:ascii="仿宋" w:hAnsi="仿宋" w:eastAsia="仿宋" w:cs="仿宋"/>
          <w:sz w:val="30"/>
          <w:szCs w:val="30"/>
        </w:rPr>
        <w:t>（二）监理公司（全过程工程咨询单位）在合同约定的时间内按省级财政性投资项目相关文件要求对结算文件进行审查，主要对结算资料、结算造价进行详细、全面、系统的审查，提出审查意见后送计划财务部；</w:t>
      </w:r>
    </w:p>
    <w:p w14:paraId="7BD72C6C">
      <w:pPr>
        <w:spacing w:after="120"/>
        <w:ind w:firstLine="600"/>
        <w:rPr>
          <w:rFonts w:ascii="仿宋" w:hAnsi="仿宋" w:eastAsia="仿宋" w:cs="仿宋"/>
          <w:sz w:val="30"/>
          <w:szCs w:val="30"/>
        </w:rPr>
      </w:pPr>
      <w:r>
        <w:rPr>
          <w:rFonts w:hint="eastAsia" w:ascii="仿宋" w:hAnsi="仿宋" w:eastAsia="仿宋" w:cs="仿宋"/>
          <w:sz w:val="30"/>
          <w:szCs w:val="30"/>
        </w:rPr>
        <w:t>（三）计划财务部收到监理公司（全过程工程咨询单位）结算审查报告后，在合同约定的时限内（或本办法规定的时限内）完成结算文件复核工作，复核工作由全过程造价咨询单位执行，复核情况须报分管项目局领导审批。</w:t>
      </w:r>
    </w:p>
    <w:p w14:paraId="09EB5B02">
      <w:pPr>
        <w:spacing w:after="120"/>
        <w:ind w:firstLine="600"/>
        <w:rPr>
          <w:rFonts w:ascii="仿宋" w:hAnsi="仿宋" w:eastAsia="仿宋" w:cs="仿宋"/>
          <w:sz w:val="30"/>
          <w:szCs w:val="30"/>
        </w:rPr>
      </w:pPr>
      <w:r>
        <w:rPr>
          <w:rFonts w:hint="eastAsia" w:ascii="仿宋" w:hAnsi="仿宋" w:eastAsia="仿宋" w:cs="仿宋"/>
          <w:sz w:val="30"/>
          <w:szCs w:val="30"/>
        </w:rPr>
        <w:t>（四）计划财务部、全过程造价咨询单位与施工单位(设计施工总承包单位)对复核后的结算文件进行确认后，应30日内送省财政厅或项目省级主管部门审核。</w:t>
      </w:r>
    </w:p>
    <w:p w14:paraId="3A39A3DA">
      <w:pPr>
        <w:spacing w:after="120"/>
        <w:ind w:firstLine="600"/>
        <w:rPr>
          <w:rFonts w:ascii="仿宋" w:hAnsi="仿宋" w:eastAsia="仿宋" w:cs="仿宋"/>
          <w:sz w:val="30"/>
          <w:szCs w:val="30"/>
        </w:rPr>
      </w:pPr>
      <w:r>
        <w:rPr>
          <w:rFonts w:hint="eastAsia" w:ascii="仿宋" w:hAnsi="仿宋" w:eastAsia="仿宋" w:cs="仿宋"/>
          <w:sz w:val="30"/>
          <w:szCs w:val="30"/>
        </w:rPr>
        <w:t xml:space="preserve">（五）计划财务部应当自省财政厅或项目省级主管部门结算办理完毕之日起30日内，组织全过程造价咨询单位将结算文件及其相关资料报送工程所在地工程造价主管机构备案。 </w:t>
      </w:r>
    </w:p>
    <w:p w14:paraId="4A89474F">
      <w:pPr>
        <w:spacing w:after="120"/>
        <w:ind w:firstLine="675" w:firstLineChars="224"/>
        <w:rPr>
          <w:rFonts w:ascii="仿宋" w:hAnsi="仿宋" w:eastAsia="仿宋" w:cs="仿宋"/>
          <w:sz w:val="30"/>
          <w:szCs w:val="30"/>
        </w:rPr>
      </w:pPr>
      <w:r>
        <w:rPr>
          <w:rFonts w:hint="eastAsia" w:ascii="仿宋" w:hAnsi="仿宋" w:eastAsia="仿宋" w:cs="仿宋"/>
          <w:b/>
          <w:bCs/>
          <w:sz w:val="30"/>
          <w:szCs w:val="30"/>
        </w:rPr>
        <w:t>第八条</w:t>
      </w:r>
      <w:r>
        <w:rPr>
          <w:rFonts w:hint="eastAsia" w:ascii="仿宋" w:hAnsi="仿宋" w:eastAsia="仿宋" w:cs="仿宋"/>
          <w:bCs/>
          <w:sz w:val="30"/>
          <w:szCs w:val="30"/>
        </w:rPr>
        <w:t>工程</w:t>
      </w:r>
      <w:r>
        <w:rPr>
          <w:rFonts w:hint="eastAsia" w:ascii="仿宋" w:hAnsi="仿宋" w:eastAsia="仿宋" w:cs="仿宋"/>
          <w:sz w:val="30"/>
          <w:szCs w:val="30"/>
        </w:rPr>
        <w:t>结算资料应按省有关主管部门要求整理，主要包括：</w:t>
      </w:r>
    </w:p>
    <w:p w14:paraId="606FF438">
      <w:pPr>
        <w:widowControl w:val="0"/>
        <w:spacing w:after="120"/>
        <w:ind w:firstLine="600"/>
        <w:rPr>
          <w:rFonts w:ascii="仿宋" w:hAnsi="仿宋" w:eastAsia="仿宋" w:cs="仿宋"/>
          <w:sz w:val="30"/>
          <w:szCs w:val="30"/>
        </w:rPr>
      </w:pPr>
      <w:r>
        <w:rPr>
          <w:rFonts w:hint="eastAsia" w:ascii="仿宋" w:hAnsi="仿宋" w:eastAsia="仿宋" w:cs="仿宋"/>
          <w:sz w:val="30"/>
          <w:szCs w:val="30"/>
        </w:rPr>
        <w:t>（一）监理单位（全过程工程咨询单位）审核意见</w:t>
      </w:r>
    </w:p>
    <w:p w14:paraId="1999649B">
      <w:pPr>
        <w:widowControl w:val="0"/>
        <w:spacing w:after="120"/>
        <w:ind w:firstLine="600"/>
        <w:rPr>
          <w:rFonts w:ascii="仿宋" w:hAnsi="仿宋" w:eastAsia="仿宋" w:cs="仿宋"/>
          <w:sz w:val="30"/>
          <w:szCs w:val="30"/>
        </w:rPr>
      </w:pPr>
      <w:r>
        <w:rPr>
          <w:rFonts w:hint="eastAsia" w:ascii="仿宋" w:hAnsi="仿宋" w:eastAsia="仿宋" w:cs="仿宋"/>
          <w:sz w:val="30"/>
          <w:szCs w:val="30"/>
        </w:rPr>
        <w:t>（二）项目立项及其批准文件；</w:t>
      </w:r>
    </w:p>
    <w:p w14:paraId="28938F7F">
      <w:pPr>
        <w:widowControl w:val="0"/>
        <w:spacing w:after="120"/>
        <w:ind w:firstLine="600"/>
        <w:rPr>
          <w:rFonts w:ascii="仿宋" w:hAnsi="仿宋" w:eastAsia="仿宋" w:cs="仿宋"/>
          <w:sz w:val="30"/>
          <w:szCs w:val="30"/>
        </w:rPr>
      </w:pPr>
      <w:r>
        <w:rPr>
          <w:rFonts w:hint="eastAsia" w:ascii="仿宋" w:hAnsi="仿宋" w:eastAsia="仿宋" w:cs="仿宋"/>
          <w:sz w:val="30"/>
          <w:szCs w:val="30"/>
        </w:rPr>
        <w:t>（三）年度投资计划和项目资金预算下达文件；</w:t>
      </w:r>
    </w:p>
    <w:p w14:paraId="2ECED15C">
      <w:pPr>
        <w:widowControl w:val="0"/>
        <w:spacing w:after="120"/>
        <w:ind w:firstLine="600"/>
        <w:rPr>
          <w:rFonts w:ascii="仿宋" w:hAnsi="仿宋" w:eastAsia="仿宋" w:cs="仿宋"/>
          <w:sz w:val="30"/>
          <w:szCs w:val="30"/>
        </w:rPr>
      </w:pPr>
      <w:r>
        <w:rPr>
          <w:rFonts w:hint="eastAsia" w:ascii="仿宋" w:hAnsi="仿宋" w:eastAsia="仿宋" w:cs="仿宋"/>
          <w:sz w:val="30"/>
          <w:szCs w:val="30"/>
        </w:rPr>
        <w:t>（四）初步设计以及概算资料；</w:t>
      </w:r>
    </w:p>
    <w:p w14:paraId="141F0DD7">
      <w:pPr>
        <w:spacing w:after="120"/>
        <w:ind w:firstLine="600"/>
        <w:rPr>
          <w:rFonts w:ascii="仿宋" w:hAnsi="仿宋" w:eastAsia="仿宋" w:cs="仿宋"/>
          <w:sz w:val="30"/>
          <w:szCs w:val="30"/>
        </w:rPr>
      </w:pPr>
      <w:r>
        <w:rPr>
          <w:rFonts w:hint="eastAsia" w:ascii="仿宋" w:hAnsi="仿宋" w:eastAsia="仿宋" w:cs="仿宋"/>
          <w:sz w:val="30"/>
          <w:szCs w:val="30"/>
        </w:rPr>
        <w:t>（五）招投标文件、招标答（释）疑文件和中标通知书、评标记录；</w:t>
      </w:r>
    </w:p>
    <w:p w14:paraId="4C3FB871">
      <w:pPr>
        <w:spacing w:after="120"/>
        <w:ind w:firstLine="600"/>
        <w:rPr>
          <w:rFonts w:ascii="仿宋" w:hAnsi="仿宋" w:eastAsia="仿宋" w:cs="仿宋"/>
          <w:sz w:val="30"/>
          <w:szCs w:val="30"/>
        </w:rPr>
      </w:pPr>
      <w:r>
        <w:rPr>
          <w:rFonts w:hint="eastAsia" w:ascii="仿宋" w:hAnsi="仿宋" w:eastAsia="仿宋" w:cs="仿宋"/>
          <w:sz w:val="30"/>
          <w:szCs w:val="30"/>
        </w:rPr>
        <w:t>（六）施工合同、补充协议；</w:t>
      </w:r>
    </w:p>
    <w:p w14:paraId="1D6456AE">
      <w:pPr>
        <w:spacing w:after="120"/>
        <w:ind w:firstLine="600"/>
        <w:rPr>
          <w:rFonts w:ascii="仿宋" w:hAnsi="仿宋" w:eastAsia="仿宋" w:cs="仿宋"/>
          <w:sz w:val="30"/>
          <w:szCs w:val="30"/>
        </w:rPr>
      </w:pPr>
      <w:r>
        <w:rPr>
          <w:rFonts w:hint="eastAsia" w:ascii="仿宋" w:hAnsi="仿宋" w:eastAsia="仿宋" w:cs="仿宋"/>
          <w:sz w:val="30"/>
          <w:szCs w:val="30"/>
        </w:rPr>
        <w:t>（七）施工图及价格清单；</w:t>
      </w:r>
    </w:p>
    <w:p w14:paraId="1F8763C6">
      <w:pPr>
        <w:spacing w:after="120"/>
        <w:ind w:firstLine="600"/>
        <w:rPr>
          <w:rFonts w:ascii="仿宋" w:hAnsi="仿宋" w:eastAsia="仿宋" w:cs="仿宋"/>
          <w:sz w:val="30"/>
          <w:szCs w:val="30"/>
        </w:rPr>
      </w:pPr>
      <w:r>
        <w:rPr>
          <w:rFonts w:hint="eastAsia" w:ascii="仿宋" w:hAnsi="仿宋" w:eastAsia="仿宋" w:cs="仿宋"/>
          <w:sz w:val="30"/>
          <w:szCs w:val="30"/>
        </w:rPr>
        <w:t>（八）技术交底、图纸会审记录；</w:t>
      </w:r>
    </w:p>
    <w:p w14:paraId="098DCAEE">
      <w:pPr>
        <w:spacing w:after="120"/>
        <w:ind w:left="-2" w:leftChars="-1" w:firstLine="675" w:firstLineChars="225"/>
        <w:rPr>
          <w:rFonts w:ascii="仿宋" w:hAnsi="仿宋" w:eastAsia="仿宋" w:cs="仿宋"/>
          <w:sz w:val="30"/>
          <w:szCs w:val="30"/>
        </w:rPr>
      </w:pPr>
      <w:r>
        <w:rPr>
          <w:rFonts w:hint="eastAsia" w:ascii="仿宋" w:hAnsi="仿宋" w:eastAsia="仿宋" w:cs="仿宋"/>
          <w:sz w:val="30"/>
          <w:szCs w:val="30"/>
        </w:rPr>
        <w:t>（九）工程结算书（含电子版）；</w:t>
      </w:r>
    </w:p>
    <w:p w14:paraId="79DAED29">
      <w:pPr>
        <w:spacing w:after="120"/>
        <w:ind w:left="-2" w:leftChars="-1" w:firstLine="675" w:firstLineChars="225"/>
        <w:rPr>
          <w:rFonts w:ascii="仿宋" w:hAnsi="仿宋" w:eastAsia="仿宋" w:cs="仿宋"/>
          <w:sz w:val="30"/>
          <w:szCs w:val="30"/>
        </w:rPr>
      </w:pPr>
      <w:r>
        <w:rPr>
          <w:rFonts w:hint="eastAsia" w:ascii="仿宋" w:hAnsi="仿宋" w:eastAsia="仿宋" w:cs="仿宋"/>
          <w:sz w:val="30"/>
          <w:szCs w:val="30"/>
        </w:rPr>
        <w:t>（十）工程量计算书及人工机械材料分析表、钢筋耗用量实抽表（含电子版）；</w:t>
      </w:r>
    </w:p>
    <w:p w14:paraId="61A054BF">
      <w:pPr>
        <w:spacing w:after="120"/>
        <w:ind w:firstLine="600"/>
        <w:rPr>
          <w:rFonts w:ascii="仿宋" w:hAnsi="仿宋" w:eastAsia="仿宋" w:cs="仿宋"/>
          <w:sz w:val="30"/>
          <w:szCs w:val="30"/>
        </w:rPr>
      </w:pPr>
      <w:r>
        <w:rPr>
          <w:rFonts w:hint="eastAsia" w:ascii="仿宋" w:hAnsi="仿宋" w:eastAsia="仿宋" w:cs="仿宋"/>
          <w:sz w:val="30"/>
          <w:szCs w:val="30"/>
        </w:rPr>
        <w:t>（十一）工程预算定额、取费标准、材料的名称、型号、规格品牌、生产厂家名称、价格表及行业主管部门制定的相关专业定额、招标文件中规定的材差文件、计费程序及定额等法定文件；</w:t>
      </w:r>
    </w:p>
    <w:p w14:paraId="4EFF9754">
      <w:pPr>
        <w:spacing w:after="120"/>
        <w:ind w:firstLine="600"/>
        <w:rPr>
          <w:rFonts w:ascii="仿宋" w:hAnsi="仿宋" w:eastAsia="仿宋" w:cs="仿宋"/>
          <w:sz w:val="30"/>
          <w:szCs w:val="30"/>
        </w:rPr>
      </w:pPr>
      <w:r>
        <w:rPr>
          <w:rFonts w:hint="eastAsia" w:ascii="仿宋" w:hAnsi="仿宋" w:eastAsia="仿宋" w:cs="仿宋"/>
          <w:sz w:val="30"/>
          <w:szCs w:val="30"/>
        </w:rPr>
        <w:t>（十二）施工组织设计及说明；</w:t>
      </w:r>
    </w:p>
    <w:p w14:paraId="01DF63EF">
      <w:pPr>
        <w:spacing w:after="120"/>
        <w:ind w:firstLine="600"/>
        <w:rPr>
          <w:rFonts w:ascii="仿宋" w:hAnsi="仿宋" w:eastAsia="仿宋" w:cs="仿宋"/>
          <w:sz w:val="30"/>
          <w:szCs w:val="30"/>
        </w:rPr>
      </w:pPr>
      <w:r>
        <w:rPr>
          <w:rFonts w:hint="eastAsia" w:ascii="仿宋" w:hAnsi="仿宋" w:eastAsia="仿宋" w:cs="仿宋"/>
          <w:sz w:val="30"/>
          <w:szCs w:val="30"/>
        </w:rPr>
        <w:t>（十三）编制标底的其他相关资料；</w:t>
      </w:r>
    </w:p>
    <w:p w14:paraId="063DD8BE">
      <w:pPr>
        <w:spacing w:after="120"/>
        <w:ind w:firstLine="600"/>
        <w:rPr>
          <w:rFonts w:ascii="仿宋" w:hAnsi="仿宋" w:eastAsia="仿宋" w:cs="仿宋"/>
          <w:sz w:val="30"/>
          <w:szCs w:val="30"/>
        </w:rPr>
      </w:pPr>
      <w:r>
        <w:rPr>
          <w:rFonts w:hint="eastAsia" w:ascii="仿宋" w:hAnsi="仿宋" w:eastAsia="仿宋" w:cs="仿宋"/>
          <w:sz w:val="30"/>
          <w:szCs w:val="30"/>
        </w:rPr>
        <w:t>（十四）项目竣工验收报告和竣工图或分部分项工程验收报告和竣工图；</w:t>
      </w:r>
    </w:p>
    <w:p w14:paraId="558EF731">
      <w:pPr>
        <w:spacing w:after="120"/>
        <w:ind w:firstLine="600"/>
        <w:rPr>
          <w:rFonts w:ascii="仿宋" w:hAnsi="仿宋" w:eastAsia="仿宋" w:cs="仿宋"/>
          <w:sz w:val="30"/>
          <w:szCs w:val="30"/>
        </w:rPr>
      </w:pPr>
      <w:r>
        <w:rPr>
          <w:rFonts w:hint="eastAsia" w:ascii="仿宋" w:hAnsi="仿宋" w:eastAsia="仿宋" w:cs="仿宋"/>
          <w:sz w:val="30"/>
          <w:szCs w:val="30"/>
        </w:rPr>
        <w:t>（十五）设计单位发出的设计修改及补充通知书及工程变更签证资料（文字和图纸）；</w:t>
      </w:r>
    </w:p>
    <w:p w14:paraId="49C14A5F">
      <w:pPr>
        <w:spacing w:after="120"/>
        <w:ind w:firstLine="600"/>
        <w:rPr>
          <w:rFonts w:ascii="仿宋" w:hAnsi="仿宋" w:eastAsia="仿宋" w:cs="仿宋"/>
          <w:sz w:val="30"/>
          <w:szCs w:val="30"/>
        </w:rPr>
      </w:pPr>
      <w:r>
        <w:rPr>
          <w:rFonts w:hint="eastAsia" w:ascii="仿宋" w:hAnsi="仿宋" w:eastAsia="仿宋" w:cs="仿宋"/>
          <w:sz w:val="30"/>
          <w:szCs w:val="30"/>
        </w:rPr>
        <w:t>（十六）现场有效签证资料单；</w:t>
      </w:r>
    </w:p>
    <w:p w14:paraId="4069BEBC">
      <w:pPr>
        <w:spacing w:after="120"/>
        <w:ind w:firstLine="600"/>
        <w:rPr>
          <w:rFonts w:ascii="仿宋" w:hAnsi="仿宋" w:eastAsia="仿宋" w:cs="仿宋"/>
          <w:sz w:val="30"/>
          <w:szCs w:val="30"/>
        </w:rPr>
      </w:pPr>
      <w:r>
        <w:rPr>
          <w:rFonts w:hint="eastAsia" w:ascii="仿宋" w:hAnsi="仿宋" w:eastAsia="仿宋" w:cs="仿宋"/>
          <w:sz w:val="30"/>
          <w:szCs w:val="30"/>
        </w:rPr>
        <w:t>（十七）甲供材料设备清单；</w:t>
      </w:r>
    </w:p>
    <w:p w14:paraId="320C5431">
      <w:pPr>
        <w:spacing w:after="120"/>
        <w:ind w:firstLine="600"/>
        <w:rPr>
          <w:rFonts w:ascii="仿宋" w:hAnsi="仿宋" w:eastAsia="仿宋" w:cs="仿宋"/>
          <w:sz w:val="30"/>
          <w:szCs w:val="30"/>
        </w:rPr>
      </w:pPr>
      <w:r>
        <w:rPr>
          <w:rFonts w:hint="eastAsia" w:ascii="仿宋" w:hAnsi="仿宋" w:eastAsia="仿宋" w:cs="仿宋"/>
          <w:sz w:val="30"/>
          <w:szCs w:val="30"/>
        </w:rPr>
        <w:t>（十八）隐蔽工程有效资料；</w:t>
      </w:r>
    </w:p>
    <w:p w14:paraId="05F610B5">
      <w:pPr>
        <w:spacing w:after="120"/>
        <w:ind w:firstLine="600"/>
        <w:rPr>
          <w:rFonts w:ascii="仿宋" w:hAnsi="仿宋" w:eastAsia="仿宋" w:cs="仿宋"/>
          <w:sz w:val="30"/>
          <w:szCs w:val="30"/>
        </w:rPr>
      </w:pPr>
      <w:r>
        <w:rPr>
          <w:rFonts w:hint="eastAsia" w:ascii="仿宋" w:hAnsi="仿宋" w:eastAsia="仿宋" w:cs="仿宋"/>
          <w:sz w:val="30"/>
          <w:szCs w:val="30"/>
        </w:rPr>
        <w:t>（十九）工程监理竣工资料；</w:t>
      </w:r>
    </w:p>
    <w:p w14:paraId="483FC415">
      <w:pPr>
        <w:spacing w:after="120"/>
        <w:ind w:firstLine="600"/>
        <w:rPr>
          <w:rFonts w:ascii="仿宋" w:hAnsi="仿宋" w:eastAsia="仿宋" w:cs="仿宋"/>
          <w:sz w:val="30"/>
          <w:szCs w:val="30"/>
        </w:rPr>
      </w:pPr>
      <w:r>
        <w:rPr>
          <w:rFonts w:hint="eastAsia" w:ascii="仿宋" w:hAnsi="仿宋" w:eastAsia="仿宋" w:cs="仿宋"/>
          <w:sz w:val="30"/>
          <w:szCs w:val="30"/>
        </w:rPr>
        <w:t>（二十）经审定的标底；</w:t>
      </w:r>
    </w:p>
    <w:p w14:paraId="281A6B19">
      <w:pPr>
        <w:spacing w:after="120"/>
        <w:ind w:firstLine="600"/>
        <w:rPr>
          <w:rFonts w:ascii="仿宋" w:hAnsi="仿宋" w:eastAsia="仿宋" w:cs="仿宋"/>
          <w:sz w:val="30"/>
          <w:szCs w:val="30"/>
        </w:rPr>
      </w:pPr>
      <w:r>
        <w:rPr>
          <w:rFonts w:hint="eastAsia" w:ascii="仿宋" w:hAnsi="仿宋" w:eastAsia="仿宋" w:cs="仿宋"/>
          <w:sz w:val="30"/>
          <w:szCs w:val="30"/>
        </w:rPr>
        <w:t>（二十一）已付款资料；</w:t>
      </w:r>
    </w:p>
    <w:p w14:paraId="4AFB29F4">
      <w:pPr>
        <w:spacing w:after="120"/>
        <w:ind w:firstLine="600"/>
        <w:rPr>
          <w:rFonts w:ascii="仿宋" w:hAnsi="仿宋" w:eastAsia="仿宋" w:cs="仿宋"/>
          <w:sz w:val="30"/>
          <w:szCs w:val="30"/>
        </w:rPr>
      </w:pPr>
      <w:r>
        <w:rPr>
          <w:rFonts w:hint="eastAsia" w:ascii="仿宋" w:hAnsi="仿宋" w:eastAsia="仿宋" w:cs="仿宋"/>
          <w:sz w:val="30"/>
          <w:szCs w:val="30"/>
        </w:rPr>
        <w:t>（二十二）优质优价奖项目，需提供获奖证明资料；</w:t>
      </w:r>
    </w:p>
    <w:p w14:paraId="04CA3E9C">
      <w:pPr>
        <w:spacing w:after="120"/>
        <w:ind w:firstLine="600"/>
        <w:rPr>
          <w:rFonts w:ascii="仿宋" w:hAnsi="仿宋" w:eastAsia="仿宋" w:cs="仿宋"/>
          <w:sz w:val="30"/>
          <w:szCs w:val="30"/>
        </w:rPr>
      </w:pPr>
      <w:r>
        <w:rPr>
          <w:rFonts w:hint="eastAsia" w:ascii="仿宋" w:hAnsi="仿宋" w:eastAsia="仿宋" w:cs="仿宋"/>
          <w:sz w:val="30"/>
          <w:szCs w:val="30"/>
        </w:rPr>
        <w:t>（二十三）行政事业性收费项目需提供相关依据和凭证；</w:t>
      </w:r>
    </w:p>
    <w:p w14:paraId="1F06C67B">
      <w:pPr>
        <w:spacing w:after="120"/>
        <w:ind w:firstLine="600"/>
        <w:rPr>
          <w:rFonts w:ascii="仿宋" w:hAnsi="仿宋" w:eastAsia="仿宋" w:cs="仿宋"/>
          <w:sz w:val="30"/>
          <w:szCs w:val="30"/>
        </w:rPr>
      </w:pPr>
      <w:r>
        <w:rPr>
          <w:rFonts w:hint="eastAsia" w:ascii="仿宋" w:hAnsi="仿宋" w:eastAsia="仿宋" w:cs="仿宋"/>
          <w:sz w:val="30"/>
          <w:szCs w:val="30"/>
        </w:rPr>
        <w:t>（二十四）调整建设规模和总投资项目，需提供调整规模的相关资料和批复文件；</w:t>
      </w:r>
    </w:p>
    <w:p w14:paraId="0CD14A0A">
      <w:pPr>
        <w:spacing w:after="120"/>
        <w:ind w:firstLine="600"/>
        <w:rPr>
          <w:rFonts w:ascii="仿宋" w:hAnsi="仿宋" w:eastAsia="仿宋" w:cs="仿宋"/>
          <w:sz w:val="30"/>
          <w:szCs w:val="30"/>
        </w:rPr>
      </w:pPr>
      <w:r>
        <w:rPr>
          <w:rFonts w:hint="eastAsia" w:ascii="仿宋" w:hAnsi="仿宋" w:eastAsia="仿宋" w:cs="仿宋"/>
          <w:sz w:val="30"/>
          <w:szCs w:val="30"/>
        </w:rPr>
        <w:t>（二十五）承建单位对派出参加审核过程对数人员的授权委托书；</w:t>
      </w:r>
    </w:p>
    <w:p w14:paraId="7E5F216F">
      <w:pPr>
        <w:spacing w:after="120"/>
        <w:ind w:firstLine="600"/>
        <w:rPr>
          <w:rFonts w:ascii="仿宋" w:hAnsi="仿宋" w:eastAsia="仿宋" w:cs="仿宋"/>
          <w:sz w:val="30"/>
          <w:szCs w:val="30"/>
        </w:rPr>
      </w:pPr>
      <w:r>
        <w:rPr>
          <w:rFonts w:hint="eastAsia" w:ascii="仿宋" w:hAnsi="仿宋" w:eastAsia="仿宋" w:cs="仿宋"/>
          <w:sz w:val="30"/>
          <w:szCs w:val="30"/>
        </w:rPr>
        <w:t>（二十六）省有关主管部门要求提供的其他相关资料。</w:t>
      </w:r>
    </w:p>
    <w:p w14:paraId="5EBCBCE2">
      <w:pPr>
        <w:spacing w:after="120"/>
        <w:ind w:firstLine="590" w:firstLineChars="196"/>
        <w:rPr>
          <w:rFonts w:ascii="仿宋" w:hAnsi="仿宋" w:eastAsia="仿宋" w:cs="仿宋"/>
          <w:b/>
          <w:sz w:val="30"/>
          <w:szCs w:val="30"/>
        </w:rPr>
      </w:pPr>
      <w:r>
        <w:rPr>
          <w:rFonts w:hint="eastAsia" w:ascii="仿宋" w:hAnsi="仿宋" w:eastAsia="仿宋" w:cs="仿宋"/>
          <w:b/>
          <w:sz w:val="30"/>
          <w:szCs w:val="30"/>
        </w:rPr>
        <w:t>第九条</w:t>
      </w:r>
      <w:r>
        <w:rPr>
          <w:rFonts w:hint="eastAsia" w:ascii="仿宋" w:hAnsi="仿宋" w:eastAsia="仿宋" w:cs="仿宋"/>
          <w:sz w:val="30"/>
          <w:szCs w:val="30"/>
        </w:rPr>
        <w:t xml:space="preserve">  工程结算资料的内容、格式应符合有关规定，并具有完整性和合法性。资料不完整的，要求施工单位（设计施工总承包单位）限期整改，否则不予办理或对该部分资料不予认可。因资料不齐而影响结算审核工作的，由施工单位（设计施工总承包单位）负责。</w:t>
      </w:r>
    </w:p>
    <w:p w14:paraId="76142083">
      <w:pPr>
        <w:spacing w:after="120"/>
        <w:ind w:firstLine="599" w:firstLineChars="199"/>
        <w:rPr>
          <w:rFonts w:ascii="仿宋" w:hAnsi="仿宋" w:eastAsia="仿宋" w:cs="仿宋"/>
          <w:sz w:val="30"/>
          <w:szCs w:val="30"/>
        </w:rPr>
      </w:pPr>
      <w:r>
        <w:rPr>
          <w:rFonts w:hint="eastAsia" w:ascii="仿宋" w:hAnsi="仿宋" w:eastAsia="仿宋" w:cs="仿宋"/>
          <w:b/>
          <w:bCs/>
          <w:sz w:val="30"/>
          <w:szCs w:val="30"/>
        </w:rPr>
        <w:t>第十条</w:t>
      </w:r>
      <w:r>
        <w:rPr>
          <w:rFonts w:hint="eastAsia" w:ascii="仿宋" w:hAnsi="仿宋" w:eastAsia="仿宋" w:cs="仿宋"/>
          <w:sz w:val="30"/>
          <w:szCs w:val="30"/>
        </w:rPr>
        <w:t xml:space="preserve">  工程结算资料的具体要求：</w:t>
      </w:r>
    </w:p>
    <w:p w14:paraId="3F614156">
      <w:pPr>
        <w:spacing w:after="120"/>
        <w:ind w:firstLine="600"/>
        <w:rPr>
          <w:rFonts w:ascii="仿宋" w:hAnsi="仿宋" w:eastAsia="仿宋" w:cs="仿宋"/>
          <w:sz w:val="30"/>
          <w:szCs w:val="30"/>
        </w:rPr>
      </w:pPr>
      <w:r>
        <w:rPr>
          <w:rFonts w:hint="eastAsia" w:ascii="仿宋" w:hAnsi="仿宋" w:eastAsia="仿宋" w:cs="仿宋"/>
          <w:sz w:val="30"/>
          <w:szCs w:val="30"/>
        </w:rPr>
        <w:t>（一）工程结算资料必须实事求是，真实准确，不得弄虚作假；</w:t>
      </w:r>
    </w:p>
    <w:p w14:paraId="24930B20">
      <w:pPr>
        <w:spacing w:after="120"/>
        <w:ind w:firstLine="600"/>
        <w:rPr>
          <w:rFonts w:ascii="仿宋" w:hAnsi="仿宋" w:eastAsia="仿宋" w:cs="仿宋"/>
          <w:sz w:val="30"/>
          <w:szCs w:val="30"/>
        </w:rPr>
      </w:pPr>
      <w:r>
        <w:rPr>
          <w:rFonts w:hint="eastAsia" w:ascii="仿宋" w:hAnsi="仿宋" w:eastAsia="仿宋" w:cs="仿宋"/>
          <w:sz w:val="30"/>
          <w:szCs w:val="30"/>
        </w:rPr>
        <w:t>（二）工程结算资料一式两份，其中一份送省有关主管部门，一份省代建局工程档案室存查；</w:t>
      </w:r>
    </w:p>
    <w:p w14:paraId="01F3E477">
      <w:pPr>
        <w:spacing w:after="120"/>
        <w:ind w:firstLine="600"/>
        <w:rPr>
          <w:rFonts w:ascii="仿宋" w:hAnsi="仿宋" w:eastAsia="仿宋" w:cs="仿宋"/>
          <w:sz w:val="30"/>
          <w:szCs w:val="30"/>
        </w:rPr>
      </w:pPr>
      <w:r>
        <w:rPr>
          <w:rFonts w:hint="eastAsia" w:ascii="仿宋" w:hAnsi="仿宋" w:eastAsia="仿宋" w:cs="仿宋"/>
          <w:sz w:val="30"/>
          <w:szCs w:val="30"/>
        </w:rPr>
        <w:t>（三）工程结算书封面采用规定的统一格式；封面必须盖单位公章，编制人、审核人、负责人均应签字，必须装订成册；</w:t>
      </w:r>
    </w:p>
    <w:p w14:paraId="50AE0533">
      <w:pPr>
        <w:spacing w:after="120"/>
        <w:ind w:firstLine="600"/>
        <w:rPr>
          <w:rFonts w:ascii="仿宋" w:hAnsi="仿宋" w:eastAsia="仿宋" w:cs="仿宋"/>
          <w:b/>
          <w:sz w:val="30"/>
          <w:szCs w:val="30"/>
        </w:rPr>
      </w:pPr>
      <w:r>
        <w:rPr>
          <w:rFonts w:hint="eastAsia" w:ascii="仿宋" w:hAnsi="仿宋" w:eastAsia="仿宋" w:cs="仿宋"/>
          <w:sz w:val="30"/>
          <w:szCs w:val="30"/>
        </w:rPr>
        <w:t>（四）工程变更必须编号、归类。</w:t>
      </w:r>
    </w:p>
    <w:p w14:paraId="760523A5">
      <w:pPr>
        <w:spacing w:after="120"/>
        <w:ind w:firstLine="602"/>
        <w:rPr>
          <w:rFonts w:ascii="仿宋" w:hAnsi="仿宋" w:eastAsia="仿宋" w:cs="仿宋"/>
          <w:b/>
          <w:sz w:val="30"/>
          <w:szCs w:val="30"/>
        </w:rPr>
      </w:pPr>
      <w:r>
        <w:rPr>
          <w:rFonts w:hint="eastAsia" w:ascii="仿宋" w:hAnsi="仿宋" w:eastAsia="仿宋" w:cs="仿宋"/>
          <w:b/>
          <w:bCs/>
          <w:sz w:val="30"/>
          <w:szCs w:val="30"/>
        </w:rPr>
        <w:t>第十一条</w:t>
      </w:r>
      <w:r>
        <w:rPr>
          <w:rFonts w:hint="eastAsia" w:ascii="仿宋" w:hAnsi="仿宋" w:eastAsia="仿宋" w:cs="仿宋"/>
          <w:sz w:val="30"/>
          <w:szCs w:val="30"/>
        </w:rPr>
        <w:t xml:space="preserve"> 有关单位造价编审人员应本着公平、公正、准确的原则如实编审工程结算。对有意虚报、瞒报或高估冒算的行为将按规定严肃处理。</w:t>
      </w:r>
    </w:p>
    <w:p w14:paraId="273F1B05">
      <w:pPr>
        <w:spacing w:after="120"/>
        <w:ind w:firstLine="602"/>
        <w:rPr>
          <w:rFonts w:ascii="仿宋" w:hAnsi="仿宋" w:eastAsia="仿宋" w:cs="仿宋"/>
          <w:sz w:val="30"/>
          <w:szCs w:val="30"/>
        </w:rPr>
      </w:pPr>
      <w:r>
        <w:rPr>
          <w:rFonts w:hint="eastAsia" w:ascii="仿宋" w:hAnsi="仿宋" w:eastAsia="仿宋" w:cs="仿宋"/>
          <w:b/>
          <w:bCs/>
          <w:sz w:val="30"/>
          <w:szCs w:val="30"/>
        </w:rPr>
        <w:t>第十二条</w:t>
      </w:r>
      <w:r>
        <w:rPr>
          <w:rFonts w:hint="eastAsia" w:ascii="仿宋" w:hAnsi="仿宋" w:eastAsia="仿宋" w:cs="仿宋"/>
          <w:sz w:val="30"/>
          <w:szCs w:val="30"/>
        </w:rPr>
        <w:t>省代建局根据项目建设的实际情况可以向采用过程结算。</w:t>
      </w:r>
    </w:p>
    <w:p w14:paraId="6876A639">
      <w:pPr>
        <w:spacing w:after="120"/>
        <w:ind w:firstLine="599" w:firstLineChars="199"/>
        <w:jc w:val="left"/>
        <w:rPr>
          <w:rFonts w:ascii="仿宋" w:hAnsi="仿宋" w:eastAsia="仿宋" w:cs="仿宋"/>
          <w:sz w:val="30"/>
          <w:szCs w:val="30"/>
        </w:rPr>
      </w:pPr>
      <w:r>
        <w:rPr>
          <w:rFonts w:hint="eastAsia" w:ascii="仿宋" w:hAnsi="仿宋" w:eastAsia="仿宋" w:cs="仿宋"/>
          <w:b/>
          <w:bCs/>
          <w:sz w:val="30"/>
          <w:szCs w:val="30"/>
        </w:rPr>
        <w:t>第十三条</w:t>
      </w:r>
      <w:r>
        <w:rPr>
          <w:rFonts w:hint="eastAsia" w:ascii="仿宋" w:hAnsi="仿宋" w:eastAsia="仿宋" w:cs="仿宋"/>
          <w:sz w:val="30"/>
          <w:szCs w:val="30"/>
        </w:rPr>
        <w:t>本办法自发布之日起实施，由计划财务部负责解释。</w:t>
      </w:r>
    </w:p>
    <w:p w14:paraId="452D6EAC">
      <w:pPr>
        <w:pStyle w:val="26"/>
        <w:spacing w:after="120"/>
        <w:rPr>
          <w:rFonts w:ascii="仿宋" w:hAnsi="仿宋" w:eastAsia="仿宋"/>
        </w:rPr>
      </w:pPr>
    </w:p>
    <w:p w14:paraId="4ECBA3E2">
      <w:pPr>
        <w:pStyle w:val="106"/>
        <w:numPr>
          <w:ilvl w:val="0"/>
          <w:numId w:val="0"/>
        </w:numPr>
        <w:spacing w:after="120"/>
        <w:jc w:val="center"/>
        <w:outlineLvl w:val="1"/>
        <w:rPr>
          <w:b/>
          <w:bCs/>
          <w:sz w:val="28"/>
          <w:szCs w:val="28"/>
        </w:rPr>
      </w:pPr>
      <w:r>
        <w:rPr>
          <w:rFonts w:ascii="仿宋" w:hAnsi="仿宋" w:eastAsia="仿宋"/>
          <w:szCs w:val="24"/>
        </w:rPr>
        <w:br w:type="page"/>
      </w:r>
      <w:bookmarkStart w:id="1184" w:name="_Toc22277"/>
      <w:r>
        <w:rPr>
          <w:rFonts w:hint="eastAsia" w:ascii="仿宋" w:hAnsi="仿宋" w:eastAsia="仿宋" w:cs="仿宋"/>
          <w:b/>
          <w:bCs/>
          <w:sz w:val="32"/>
          <w:szCs w:val="32"/>
        </w:rPr>
        <w:t>附件</w:t>
      </w:r>
      <w:bookmarkEnd w:id="1184"/>
      <w:bookmarkStart w:id="1185" w:name="_Toc10424"/>
      <w:r>
        <w:rPr>
          <w:rFonts w:hint="eastAsia" w:ascii="仿宋" w:hAnsi="仿宋" w:eastAsia="仿宋" w:cs="仿宋"/>
          <w:b/>
          <w:bCs/>
          <w:sz w:val="32"/>
          <w:szCs w:val="32"/>
        </w:rPr>
        <w:t>20 过程结算办法</w:t>
      </w:r>
      <w:bookmarkEnd w:id="1185"/>
    </w:p>
    <w:p w14:paraId="3C127066">
      <w:pPr>
        <w:autoSpaceDE w:val="0"/>
        <w:autoSpaceDN w:val="0"/>
        <w:spacing w:after="120" w:line="240" w:lineRule="auto"/>
        <w:ind w:firstLine="602"/>
        <w:jc w:val="left"/>
        <w:rPr>
          <w:rFonts w:ascii="仿宋" w:hAnsi="仿宋" w:eastAsia="仿宋" w:cs="仿宋"/>
          <w:b/>
          <w:bCs/>
          <w:sz w:val="30"/>
          <w:szCs w:val="30"/>
        </w:rPr>
      </w:pPr>
      <w:bookmarkStart w:id="1186" w:name="_Toc337558805"/>
      <w:bookmarkStart w:id="1187" w:name="_Toc351203587"/>
      <w:bookmarkStart w:id="1188" w:name="_Toc351203646"/>
      <w:r>
        <w:rPr>
          <w:rFonts w:hint="eastAsia" w:ascii="仿宋" w:hAnsi="仿宋" w:eastAsia="仿宋" w:cs="仿宋"/>
          <w:b/>
          <w:bCs/>
          <w:sz w:val="30"/>
          <w:szCs w:val="30"/>
        </w:rPr>
        <w:t>1、施工过程结算申请条件：</w:t>
      </w:r>
    </w:p>
    <w:p w14:paraId="69AB3280">
      <w:pPr>
        <w:numPr>
          <w:ilvl w:val="255"/>
          <w:numId w:val="0"/>
        </w:numPr>
        <w:spacing w:after="120"/>
        <w:ind w:firstLine="480" w:firstLineChars="160"/>
        <w:rPr>
          <w:rFonts w:ascii="仿宋" w:hAnsi="仿宋" w:eastAsia="仿宋" w:cs="仿宋"/>
          <w:sz w:val="30"/>
          <w:szCs w:val="30"/>
        </w:rPr>
      </w:pPr>
      <w:r>
        <w:rPr>
          <w:rFonts w:hint="eastAsia" w:ascii="仿宋" w:hAnsi="仿宋" w:eastAsia="仿宋" w:cs="仿宋"/>
          <w:sz w:val="30"/>
          <w:szCs w:val="30"/>
        </w:rPr>
        <w:t>申请过程结算的节点需已完工程验收合格（此处不能代替竣工验收，也不能免除竣工验收时发现不合格需要整改的义务，也不影响缺陷责任期的同期及质量保修期的周期），验收条件、程序按分部分项验收执行。</w:t>
      </w:r>
    </w:p>
    <w:bookmarkEnd w:id="1186"/>
    <w:bookmarkEnd w:id="1187"/>
    <w:p w14:paraId="69523F2A">
      <w:pPr>
        <w:spacing w:after="120"/>
        <w:ind w:firstLineChars="160"/>
        <w:rPr>
          <w:rFonts w:ascii="仿宋" w:hAnsi="仿宋" w:eastAsia="仿宋" w:cs="仿宋"/>
          <w:sz w:val="30"/>
          <w:szCs w:val="30"/>
        </w:rPr>
      </w:pPr>
      <w:r>
        <w:rPr>
          <w:rFonts w:hint="eastAsia" w:ascii="仿宋" w:hAnsi="仿宋" w:eastAsia="仿宋" w:cs="仿宋"/>
          <w:sz w:val="30"/>
          <w:szCs w:val="30"/>
        </w:rPr>
        <w:t>1.1施工过程结算节点、分部分项工程质量应符合国家有关工程施工验收规范、标准及合同约定，承包人应按照施工组织设计的要求完成施工过程结算节点、分部分项工程施工。</w:t>
      </w:r>
    </w:p>
    <w:p w14:paraId="20A3672B">
      <w:pPr>
        <w:spacing w:after="120"/>
        <w:ind w:firstLineChars="160"/>
        <w:rPr>
          <w:rFonts w:ascii="仿宋" w:hAnsi="仿宋" w:eastAsia="仿宋" w:cs="仿宋"/>
          <w:sz w:val="30"/>
          <w:szCs w:val="30"/>
        </w:rPr>
      </w:pPr>
      <w:r>
        <w:rPr>
          <w:rFonts w:hint="eastAsia" w:ascii="仿宋" w:hAnsi="仿宋" w:eastAsia="仿宋" w:cs="仿宋"/>
          <w:sz w:val="30"/>
          <w:szCs w:val="30"/>
        </w:rPr>
        <w:t>1.2 施工过程结算节点、分部分项工程经承包人自检合格并具备验收条件的，承包人应提前48小时通知监理人进行验收。监理人不能按时进行验收的，应在验收前24小时向承包人提交书面延期要求，但延期不能超过48小时。监理人未按时进行验收，也未提出延期要求的，承包人有权自行验收，监理人应认可验收结果。分部分项工程未经验收的，不得进入下一道工序施工；施工过程结算节点工程未经验收的，不得进行施工过程结算。</w:t>
      </w:r>
    </w:p>
    <w:p w14:paraId="1BEE777D">
      <w:pPr>
        <w:spacing w:after="120"/>
        <w:ind w:firstLine="600"/>
        <w:rPr>
          <w:rFonts w:ascii="仿宋" w:hAnsi="仿宋" w:eastAsia="仿宋" w:cs="仿宋"/>
          <w:sz w:val="30"/>
          <w:szCs w:val="30"/>
        </w:rPr>
      </w:pPr>
      <w:r>
        <w:rPr>
          <w:rFonts w:hint="eastAsia" w:ascii="仿宋" w:hAnsi="仿宋" w:eastAsia="仿宋" w:cs="仿宋"/>
          <w:sz w:val="30"/>
          <w:szCs w:val="30"/>
        </w:rPr>
        <w:t>施工过程结算节点、分部分项工程的验收资料应当作为竣工资料的组成部分。</w:t>
      </w:r>
    </w:p>
    <w:p w14:paraId="37B7AC91">
      <w:pPr>
        <w:autoSpaceDE w:val="0"/>
        <w:autoSpaceDN w:val="0"/>
        <w:spacing w:after="120" w:line="240" w:lineRule="auto"/>
        <w:ind w:firstLine="602"/>
        <w:jc w:val="left"/>
        <w:rPr>
          <w:rFonts w:ascii="仿宋" w:hAnsi="仿宋" w:eastAsia="仿宋" w:cs="仿宋"/>
          <w:b/>
          <w:bCs/>
          <w:sz w:val="30"/>
          <w:szCs w:val="30"/>
        </w:rPr>
      </w:pPr>
      <w:bookmarkStart w:id="1189" w:name="_Toc351203593"/>
      <w:bookmarkStart w:id="1190" w:name="_Toc337558810"/>
      <w:r>
        <w:rPr>
          <w:rFonts w:hint="eastAsia" w:ascii="仿宋" w:hAnsi="仿宋" w:eastAsia="仿宋" w:cs="仿宋"/>
          <w:b/>
          <w:bCs/>
          <w:sz w:val="30"/>
          <w:szCs w:val="30"/>
        </w:rPr>
        <w:t>2、</w:t>
      </w:r>
      <w:bookmarkEnd w:id="1189"/>
      <w:bookmarkEnd w:id="1190"/>
      <w:r>
        <w:rPr>
          <w:rFonts w:hint="eastAsia" w:ascii="仿宋" w:hAnsi="仿宋" w:eastAsia="仿宋" w:cs="仿宋"/>
          <w:b/>
          <w:bCs/>
          <w:sz w:val="30"/>
          <w:szCs w:val="30"/>
        </w:rPr>
        <w:t>施工过程结算</w:t>
      </w:r>
    </w:p>
    <w:p w14:paraId="2816CAE3">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2.1 施工过程结算申请</w:t>
      </w:r>
    </w:p>
    <w:p w14:paraId="4AF7DC77">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施工过程结算的资料应包括：</w:t>
      </w:r>
    </w:p>
    <w:p w14:paraId="13E6B982">
      <w:pPr>
        <w:spacing w:before="120" w:after="120"/>
        <w:ind w:firstLine="600"/>
        <w:jc w:val="left"/>
        <w:rPr>
          <w:rFonts w:ascii="仿宋" w:hAnsi="仿宋" w:eastAsia="仿宋" w:cs="仿宋"/>
          <w:sz w:val="30"/>
          <w:szCs w:val="30"/>
        </w:rPr>
      </w:pPr>
      <w:r>
        <w:rPr>
          <w:rFonts w:hint="eastAsia" w:ascii="仿宋" w:hAnsi="仿宋" w:eastAsia="仿宋" w:cs="仿宋"/>
          <w:sz w:val="30"/>
          <w:szCs w:val="30"/>
        </w:rPr>
        <w:sym w:font="Wingdings 2" w:char="F052"/>
      </w:r>
      <w:r>
        <w:rPr>
          <w:rFonts w:hint="eastAsia" w:ascii="仿宋" w:hAnsi="仿宋" w:eastAsia="仿宋" w:cs="仿宋"/>
          <w:sz w:val="30"/>
          <w:szCs w:val="30"/>
        </w:rPr>
        <w:t>施工合同及补充协议；</w:t>
      </w:r>
    </w:p>
    <w:p w14:paraId="38F3086E">
      <w:pPr>
        <w:spacing w:before="120" w:after="120"/>
        <w:ind w:firstLine="600"/>
        <w:jc w:val="left"/>
        <w:rPr>
          <w:rFonts w:ascii="仿宋" w:hAnsi="仿宋" w:eastAsia="仿宋" w:cs="仿宋"/>
          <w:sz w:val="30"/>
          <w:szCs w:val="30"/>
        </w:rPr>
      </w:pPr>
      <w:r>
        <w:rPr>
          <w:rFonts w:hint="eastAsia" w:ascii="仿宋" w:hAnsi="仿宋" w:eastAsia="仿宋" w:cs="仿宋"/>
          <w:sz w:val="30"/>
          <w:szCs w:val="30"/>
        </w:rPr>
        <w:sym w:font="Wingdings 2" w:char="F052"/>
      </w:r>
      <w:r>
        <w:rPr>
          <w:rFonts w:hint="eastAsia" w:ascii="仿宋" w:hAnsi="仿宋" w:eastAsia="仿宋" w:cs="仿宋"/>
          <w:sz w:val="30"/>
          <w:szCs w:val="30"/>
        </w:rPr>
        <w:t>中标通知书；</w:t>
      </w:r>
    </w:p>
    <w:p w14:paraId="1B9CD238">
      <w:pPr>
        <w:spacing w:before="120" w:after="120"/>
        <w:ind w:firstLine="600"/>
        <w:jc w:val="left"/>
        <w:rPr>
          <w:rFonts w:ascii="仿宋" w:hAnsi="仿宋" w:eastAsia="仿宋" w:cs="仿宋"/>
          <w:sz w:val="30"/>
          <w:szCs w:val="30"/>
        </w:rPr>
      </w:pPr>
      <w:r>
        <w:rPr>
          <w:rFonts w:hint="eastAsia" w:ascii="仿宋" w:hAnsi="仿宋" w:eastAsia="仿宋" w:cs="仿宋"/>
          <w:sz w:val="30"/>
          <w:szCs w:val="30"/>
        </w:rPr>
        <w:sym w:font="Wingdings 2" w:char="F052"/>
      </w:r>
      <w:r>
        <w:rPr>
          <w:rFonts w:hint="eastAsia" w:ascii="仿宋" w:hAnsi="仿宋" w:eastAsia="仿宋" w:cs="仿宋"/>
          <w:sz w:val="30"/>
          <w:szCs w:val="30"/>
        </w:rPr>
        <w:t>承包方、发包方、监理方、设计方盖章签字的施工图纸；</w:t>
      </w:r>
    </w:p>
    <w:p w14:paraId="1AC3795A">
      <w:pPr>
        <w:spacing w:before="120" w:after="120"/>
        <w:ind w:firstLine="600"/>
        <w:jc w:val="left"/>
        <w:rPr>
          <w:rFonts w:ascii="仿宋" w:hAnsi="仿宋" w:eastAsia="仿宋" w:cs="仿宋"/>
          <w:sz w:val="30"/>
          <w:szCs w:val="30"/>
        </w:rPr>
      </w:pPr>
      <w:r>
        <w:rPr>
          <w:rFonts w:hint="eastAsia" w:ascii="仿宋" w:hAnsi="仿宋" w:eastAsia="仿宋" w:cs="仿宋"/>
          <w:sz w:val="30"/>
          <w:szCs w:val="30"/>
        </w:rPr>
        <w:sym w:font="Wingdings 2" w:char="F052"/>
      </w:r>
      <w:r>
        <w:rPr>
          <w:rFonts w:hint="eastAsia" w:ascii="仿宋" w:hAnsi="仿宋" w:eastAsia="仿宋" w:cs="仿宋"/>
          <w:sz w:val="30"/>
          <w:szCs w:val="30"/>
        </w:rPr>
        <w:t>工程招标投标文件；</w:t>
      </w:r>
    </w:p>
    <w:p w14:paraId="533C9FA6">
      <w:pPr>
        <w:spacing w:before="120" w:after="120"/>
        <w:ind w:firstLine="600"/>
        <w:jc w:val="left"/>
        <w:rPr>
          <w:rFonts w:ascii="仿宋" w:hAnsi="仿宋" w:eastAsia="仿宋" w:cs="仿宋"/>
          <w:sz w:val="30"/>
          <w:szCs w:val="30"/>
        </w:rPr>
      </w:pPr>
      <w:r>
        <w:rPr>
          <w:rFonts w:hint="eastAsia" w:ascii="仿宋" w:hAnsi="仿宋" w:eastAsia="仿宋" w:cs="仿宋"/>
          <w:sz w:val="30"/>
          <w:szCs w:val="30"/>
        </w:rPr>
        <w:sym w:font="Wingdings 2" w:char="F052"/>
      </w:r>
      <w:r>
        <w:rPr>
          <w:rFonts w:hint="eastAsia" w:ascii="仿宋" w:hAnsi="仿宋" w:eastAsia="仿宋" w:cs="仿宋"/>
          <w:sz w:val="30"/>
          <w:szCs w:val="30"/>
        </w:rPr>
        <w:t>施工方案；</w:t>
      </w:r>
    </w:p>
    <w:p w14:paraId="30562048">
      <w:pPr>
        <w:spacing w:before="120" w:after="120"/>
        <w:ind w:firstLine="600"/>
        <w:jc w:val="left"/>
        <w:rPr>
          <w:rFonts w:ascii="仿宋" w:hAnsi="仿宋" w:eastAsia="仿宋" w:cs="仿宋"/>
          <w:sz w:val="30"/>
          <w:szCs w:val="30"/>
        </w:rPr>
      </w:pPr>
      <w:r>
        <w:rPr>
          <w:rFonts w:hint="eastAsia" w:ascii="仿宋" w:hAnsi="仿宋" w:eastAsia="仿宋" w:cs="仿宋"/>
          <w:sz w:val="30"/>
          <w:szCs w:val="30"/>
        </w:rPr>
        <w:sym w:font="Wingdings 2" w:char="F052"/>
      </w:r>
      <w:r>
        <w:rPr>
          <w:rFonts w:hint="eastAsia" w:ascii="仿宋" w:hAnsi="仿宋" w:eastAsia="仿宋" w:cs="仿宋"/>
          <w:sz w:val="30"/>
          <w:szCs w:val="30"/>
        </w:rPr>
        <w:t>工程量及其单价；</w:t>
      </w:r>
    </w:p>
    <w:p w14:paraId="578BBEE5">
      <w:pPr>
        <w:spacing w:before="120" w:after="120"/>
        <w:ind w:firstLine="600"/>
        <w:jc w:val="left"/>
        <w:rPr>
          <w:rFonts w:ascii="仿宋" w:hAnsi="仿宋" w:eastAsia="仿宋" w:cs="仿宋"/>
          <w:sz w:val="30"/>
          <w:szCs w:val="30"/>
        </w:rPr>
      </w:pPr>
      <w:r>
        <w:rPr>
          <w:rFonts w:hint="eastAsia" w:ascii="仿宋" w:hAnsi="仿宋" w:eastAsia="仿宋" w:cs="仿宋"/>
          <w:sz w:val="30"/>
          <w:szCs w:val="30"/>
        </w:rPr>
        <w:sym w:font="Wingdings 2" w:char="F052"/>
      </w:r>
      <w:r>
        <w:rPr>
          <w:rFonts w:hint="eastAsia" w:ascii="仿宋" w:hAnsi="仿宋" w:eastAsia="仿宋" w:cs="仿宋"/>
          <w:sz w:val="30"/>
          <w:szCs w:val="30"/>
        </w:rPr>
        <w:t>经确认的工程变更、现场签证、工程索赔等资料（该施工过程节点已全部完成，但部分变更、签证、索赔等未完成，可最晚延迟至下一期施工过程结算完成，若下一期还未完成，发包人默认上一期施工过程结算已包含该部分的所有结算内容）；</w:t>
      </w:r>
    </w:p>
    <w:p w14:paraId="2A5BED24">
      <w:pPr>
        <w:spacing w:before="120" w:after="120"/>
        <w:ind w:firstLine="600"/>
        <w:jc w:val="left"/>
        <w:rPr>
          <w:rFonts w:ascii="仿宋" w:hAnsi="仿宋" w:eastAsia="仿宋" w:cs="仿宋"/>
          <w:sz w:val="30"/>
          <w:szCs w:val="30"/>
        </w:rPr>
      </w:pPr>
      <w:r>
        <w:rPr>
          <w:rFonts w:hint="eastAsia" w:ascii="仿宋" w:hAnsi="仿宋" w:eastAsia="仿宋" w:cs="仿宋"/>
          <w:sz w:val="30"/>
          <w:szCs w:val="30"/>
        </w:rPr>
        <w:sym w:font="Wingdings 2" w:char="F052"/>
      </w:r>
      <w:r>
        <w:rPr>
          <w:rFonts w:hint="eastAsia" w:ascii="仿宋" w:hAnsi="仿宋" w:eastAsia="仿宋" w:cs="仿宋"/>
          <w:sz w:val="30"/>
          <w:szCs w:val="30"/>
        </w:rPr>
        <w:t>其他资料：分部分项目验收记录表、施工图会审纪录、发包人、监理的通知、施工指令、工程扣款单以及双方来往函件、有关结算的会议纪要、质量承诺书等结算资料。</w:t>
      </w:r>
    </w:p>
    <w:p w14:paraId="04798F9E">
      <w:pPr>
        <w:wordWrap/>
        <w:topLinePunct w:val="0"/>
        <w:adjustRightInd/>
        <w:snapToGrid/>
        <w:spacing w:after="120"/>
        <w:ind w:firstLine="600"/>
        <w:jc w:val="left"/>
        <w:rPr>
          <w:rFonts w:ascii="仿宋" w:hAnsi="仿宋" w:eastAsia="仿宋" w:cs="仿宋"/>
          <w:sz w:val="30"/>
          <w:szCs w:val="30"/>
        </w:rPr>
      </w:pPr>
      <w:r>
        <w:rPr>
          <w:rFonts w:hint="eastAsia" w:ascii="仿宋" w:hAnsi="仿宋" w:eastAsia="仿宋" w:cs="仿宋"/>
          <w:sz w:val="30"/>
          <w:szCs w:val="30"/>
        </w:rPr>
        <w:t>工程建设其他费用（勘察设计费用除外）如属于设计或勘察单位委托或实施的,结算价计入相应单位。</w:t>
      </w:r>
    </w:p>
    <w:p w14:paraId="10EB97AA">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2.2 施工过程结算计量周期</w:t>
      </w:r>
    </w:p>
    <w:p w14:paraId="1229412D">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施工过程结算可按以下节点：</w:t>
      </w:r>
    </w:p>
    <w:p w14:paraId="0A8426BF">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□工程分标段施工的，以标段完成后作为施工过程结算节点：       。</w:t>
      </w:r>
    </w:p>
    <w:p w14:paraId="4E659F0A">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□以完成分部工程、单位工程、单项工程作为施工过程结算节点：   。</w:t>
      </w:r>
    </w:p>
    <w:p w14:paraId="1F9DED0C">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□以完成分部工程的进度节点或时间（季、年等）节点或产值节点作为施工过程结算节点： 。</w:t>
      </w:r>
    </w:p>
    <w:p w14:paraId="19041C7C">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□以完成工程功能内容或专业工程作为施工过程结算节点： 。</w:t>
      </w:r>
    </w:p>
    <w:p w14:paraId="2146D7DC">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 xml:space="preserve">                                                 。</w:t>
      </w:r>
    </w:p>
    <w:p w14:paraId="0467ED53">
      <w:pPr>
        <w:spacing w:after="120"/>
        <w:ind w:firstLine="600"/>
        <w:jc w:val="left"/>
        <w:rPr>
          <w:rFonts w:ascii="仿宋" w:hAnsi="仿宋" w:eastAsia="仿宋" w:cs="仿宋"/>
          <w:sz w:val="30"/>
          <w:szCs w:val="30"/>
        </w:rPr>
      </w:pPr>
      <w:r>
        <w:rPr>
          <w:rFonts w:hint="eastAsia" w:ascii="仿宋" w:hAnsi="仿宋" w:eastAsia="仿宋" w:cs="仿宋"/>
          <w:sz w:val="30"/>
          <w:szCs w:val="30"/>
        </w:rPr>
        <w:sym w:font="Wingdings 2" w:char="F052"/>
      </w:r>
      <w:r>
        <w:rPr>
          <w:rFonts w:hint="eastAsia" w:ascii="仿宋" w:hAnsi="仿宋" w:eastAsia="仿宋" w:cs="仿宋"/>
          <w:sz w:val="30"/>
          <w:szCs w:val="30"/>
        </w:rPr>
        <w:t>其他施工过程结算节点：1.桩基础工程；2.地下室结构完成（含钢筋、砼、模板,除二次结构）；3.主体结构完成（含钢筋、砼、模板,除二次结构）；4. .建筑装饰、外墙装饰、改造工程完成；5.所承包的工程范围全部完成（最后可不再办理过程结算）。</w:t>
      </w:r>
    </w:p>
    <w:p w14:paraId="59833E83">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2.3施工过程结算审核</w:t>
      </w:r>
    </w:p>
    <w:p w14:paraId="2FC418A0">
      <w:pPr>
        <w:spacing w:before="120" w:after="120"/>
        <w:ind w:left="63" w:right="63" w:firstLine="600"/>
        <w:jc w:val="left"/>
        <w:rPr>
          <w:rFonts w:ascii="仿宋" w:hAnsi="仿宋" w:eastAsia="仿宋" w:cs="仿宋"/>
          <w:sz w:val="30"/>
          <w:szCs w:val="30"/>
        </w:rPr>
      </w:pPr>
      <w:r>
        <w:rPr>
          <w:rFonts w:hint="eastAsia" w:ascii="仿宋" w:hAnsi="仿宋" w:eastAsia="仿宋" w:cs="仿宋"/>
          <w:sz w:val="30"/>
          <w:szCs w:val="30"/>
        </w:rPr>
        <w:t>承包人完成约定的节点工程后，监理人应在7日内组织分部分项验收。分部分项验收合格后，28日内向发包人报送施工过程结算文件。承包人超过约定时限不报送的，经发包人催告后14天内仍未提交或没有明确答复的，发包人有权根据已有资料编制施工过程结算文件，作为办理施工过程结算和支付施工过程结算款的依据，承包人应予以认可。对质量不合格的，应当在整改并验收合格后办理施工过程结算。</w:t>
      </w:r>
    </w:p>
    <w:p w14:paraId="7CFE9965">
      <w:pPr>
        <w:spacing w:before="120" w:after="120"/>
        <w:ind w:left="63" w:right="63" w:firstLine="600"/>
        <w:jc w:val="left"/>
        <w:rPr>
          <w:rFonts w:ascii="仿宋" w:hAnsi="仿宋" w:eastAsia="仿宋" w:cs="仿宋"/>
          <w:sz w:val="30"/>
          <w:szCs w:val="30"/>
        </w:rPr>
      </w:pPr>
      <w:r>
        <w:rPr>
          <w:rFonts w:hint="eastAsia" w:ascii="仿宋" w:hAnsi="仿宋" w:eastAsia="仿宋" w:cs="仿宋"/>
          <w:sz w:val="30"/>
          <w:szCs w:val="30"/>
        </w:rPr>
        <w:t>发包人应在收到承包人提交的施工过程结算文件后的28天内核对。发包人经核实，认为承包人还应进一步补充资料和修改结算文件，应在上述时限内向承包人提出核实意见，承包人在收到核实意见后的28天内应按照发包人提出的合理要求补充资料，修改施工过程结算文件，并应再次提交给发包人复核后批准。（发包人与承包人仅能补充一次资料）。</w:t>
      </w:r>
    </w:p>
    <w:p w14:paraId="1EADC1EE">
      <w:pPr>
        <w:spacing w:before="120" w:after="120"/>
        <w:ind w:left="63" w:right="63" w:firstLine="600"/>
        <w:jc w:val="left"/>
        <w:rPr>
          <w:rFonts w:ascii="仿宋" w:hAnsi="仿宋" w:eastAsia="仿宋" w:cs="仿宋"/>
          <w:sz w:val="30"/>
          <w:szCs w:val="30"/>
        </w:rPr>
      </w:pPr>
      <w:r>
        <w:rPr>
          <w:rFonts w:hint="eastAsia" w:ascii="仿宋" w:hAnsi="仿宋" w:eastAsia="仿宋" w:cs="仿宋"/>
          <w:sz w:val="30"/>
          <w:szCs w:val="30"/>
        </w:rPr>
        <w:t>承包人完成约定的节点工程验收合格后，28日内向发包人报送施工过程结算文件。如承包人没有按时提交过程结算文件，发包人按一般违约处理，经发包人催告后14天内仍未提交或没有明确答复的，按严重违约处理，直至承包人对分部结算予以认可。</w:t>
      </w:r>
    </w:p>
    <w:p w14:paraId="7781F76F">
      <w:pPr>
        <w:spacing w:before="120" w:after="120"/>
        <w:ind w:left="63" w:right="63" w:firstLine="600"/>
        <w:jc w:val="left"/>
        <w:rPr>
          <w:rFonts w:ascii="仿宋" w:hAnsi="仿宋" w:eastAsia="仿宋" w:cs="仿宋"/>
          <w:sz w:val="30"/>
          <w:szCs w:val="30"/>
        </w:rPr>
      </w:pPr>
      <w:r>
        <w:rPr>
          <w:rFonts w:hint="eastAsia" w:ascii="仿宋" w:hAnsi="仿宋" w:eastAsia="仿宋" w:cs="仿宋"/>
          <w:sz w:val="30"/>
          <w:szCs w:val="30"/>
        </w:rPr>
        <w:t>发包人应在收到承包人再次提交的施工过程结算文件后的28天内予以复核，将复核结果通知承包人，并应遵守下列规定：</w:t>
      </w:r>
    </w:p>
    <w:p w14:paraId="4553AFB4">
      <w:pPr>
        <w:spacing w:before="120" w:after="120"/>
        <w:ind w:left="63" w:right="63" w:firstLine="600"/>
        <w:jc w:val="left"/>
        <w:rPr>
          <w:rFonts w:ascii="仿宋" w:hAnsi="仿宋" w:eastAsia="仿宋" w:cs="仿宋"/>
          <w:sz w:val="30"/>
          <w:szCs w:val="30"/>
        </w:rPr>
      </w:pPr>
      <w:r>
        <w:rPr>
          <w:rFonts w:hint="eastAsia" w:ascii="仿宋" w:hAnsi="仿宋" w:eastAsia="仿宋" w:cs="仿宋"/>
          <w:sz w:val="30"/>
          <w:szCs w:val="30"/>
        </w:rPr>
        <w:t>1）发包人、承包人对复核结果无异议的，应在7天内在施工过程结算文件上签字确认，施工过程结算办理完毕；</w:t>
      </w:r>
    </w:p>
    <w:p w14:paraId="1FBC4712">
      <w:pPr>
        <w:spacing w:before="120" w:after="120"/>
        <w:ind w:left="63" w:right="63" w:firstLine="600"/>
        <w:jc w:val="left"/>
        <w:rPr>
          <w:rFonts w:ascii="仿宋" w:hAnsi="仿宋" w:eastAsia="仿宋" w:cs="仿宋"/>
          <w:sz w:val="30"/>
          <w:szCs w:val="30"/>
        </w:rPr>
      </w:pPr>
      <w:r>
        <w:rPr>
          <w:rFonts w:hint="eastAsia" w:ascii="仿宋" w:hAnsi="仿宋" w:eastAsia="仿宋" w:cs="仿宋"/>
          <w:sz w:val="30"/>
          <w:szCs w:val="30"/>
        </w:rPr>
        <w:t>2）发包人或承包人对复核结果认为有误的，无异议部分按照本条第1）款规定办理不完全结算；有异议部分由发承包双方协商解决；协商不成的，应按照合同约定的争议解决方式处理。</w:t>
      </w:r>
    </w:p>
    <w:p w14:paraId="1C0D9FF9">
      <w:pPr>
        <w:spacing w:before="120" w:after="120"/>
        <w:ind w:left="63" w:right="63" w:firstLine="600"/>
        <w:jc w:val="left"/>
        <w:rPr>
          <w:rFonts w:ascii="仿宋" w:hAnsi="仿宋" w:eastAsia="仿宋" w:cs="仿宋"/>
          <w:sz w:val="30"/>
          <w:szCs w:val="30"/>
        </w:rPr>
      </w:pPr>
      <w:r>
        <w:rPr>
          <w:rFonts w:hint="eastAsia" w:ascii="仿宋" w:hAnsi="仿宋" w:eastAsia="仿宋" w:cs="仿宋"/>
          <w:sz w:val="30"/>
          <w:szCs w:val="30"/>
        </w:rPr>
        <w:t>发包人在收到承包人施工过程结算文件后的28天内，不核对施工过程结算或未提出核对意见的，应视为承包人提交的施工过程结算文件已被发包人认可，施工过程结算办理完毕。且发包人不得以委托监理人、委托工程造价咨询人参与核实为由延长约定的审核时限。</w:t>
      </w:r>
    </w:p>
    <w:p w14:paraId="3E911EC9">
      <w:pPr>
        <w:spacing w:before="120" w:after="120"/>
        <w:ind w:left="63" w:right="63" w:firstLine="600"/>
        <w:jc w:val="left"/>
        <w:rPr>
          <w:rFonts w:ascii="仿宋" w:hAnsi="仿宋" w:eastAsia="仿宋" w:cs="仿宋"/>
          <w:sz w:val="30"/>
          <w:szCs w:val="30"/>
        </w:rPr>
      </w:pPr>
      <w:r>
        <w:rPr>
          <w:rFonts w:hint="eastAsia" w:ascii="仿宋" w:hAnsi="仿宋" w:eastAsia="仿宋" w:cs="仿宋"/>
          <w:sz w:val="30"/>
          <w:szCs w:val="30"/>
        </w:rPr>
        <w:t>承包人在收到发包人提出的核实意见后的28天内，不确认也未提出异议的，应视为发包人提出的核实意见已被承包人认可，施工过程结算办理完毕。</w:t>
      </w:r>
    </w:p>
    <w:p w14:paraId="093B359A">
      <w:pPr>
        <w:spacing w:before="120" w:after="120"/>
        <w:ind w:left="63" w:right="63" w:firstLine="600"/>
        <w:jc w:val="left"/>
        <w:rPr>
          <w:rFonts w:ascii="仿宋" w:hAnsi="仿宋" w:eastAsia="仿宋" w:cs="仿宋"/>
          <w:sz w:val="30"/>
          <w:szCs w:val="30"/>
        </w:rPr>
      </w:pPr>
      <w:r>
        <w:rPr>
          <w:rFonts w:hint="eastAsia" w:ascii="仿宋" w:hAnsi="仿宋" w:eastAsia="仿宋" w:cs="仿宋"/>
          <w:sz w:val="30"/>
          <w:szCs w:val="30"/>
        </w:rPr>
        <w:t>施工过程结算核对完成，发承包双方签字并盖章确认后，发包人不得要求承包人与另一个或多个工程造价咨询人重复核对施工过程结算，且作为竣工结算文件的组成部分。在竣工结算环节，原则上不再对已生效的过程结算文件重复提交或审核，确有存在违反法律法规除外。</w:t>
      </w:r>
    </w:p>
    <w:p w14:paraId="0D59F69E">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2.4施工过程结算支付</w:t>
      </w:r>
    </w:p>
    <w:p w14:paraId="590AA641">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施工过程结算的支付比例、支付时限的约定：过程结算经发包人审核完成，且承包人按时完成资料整理并完整移交，发包人累计支付至该部分结算造价的90%（扣除该部分已付的进度款），当期过程结算款=承包人当期完成施工过程结算款×（90%-80%）。支付时限与工程进度款支付的期限一致。</w:t>
      </w:r>
    </w:p>
    <w:p w14:paraId="147D5F8E">
      <w:pPr>
        <w:spacing w:before="120" w:after="120"/>
        <w:ind w:firstLine="600"/>
        <w:jc w:val="left"/>
        <w:rPr>
          <w:rFonts w:ascii="仿宋" w:hAnsi="仿宋" w:eastAsia="仿宋" w:cs="仿宋"/>
          <w:sz w:val="30"/>
          <w:szCs w:val="30"/>
        </w:rPr>
      </w:pPr>
      <w:r>
        <w:rPr>
          <w:rFonts w:hint="eastAsia" w:ascii="仿宋" w:hAnsi="仿宋" w:eastAsia="仿宋" w:cs="仿宋"/>
          <w:sz w:val="30"/>
          <w:szCs w:val="30"/>
        </w:rPr>
        <w:t>注：过程结算审核的结果仅为发包人的意见，并不代表省财政厅的审核结果，竣工结算价款以最终省财政厅的审定为准。但过程结算审核的结果可作为过程付款的基数、办理竣工结算的依据及过程结算的资料可作为竣工结算资料的一部分。</w:t>
      </w:r>
    </w:p>
    <w:p w14:paraId="0A8DD5B6">
      <w:pPr>
        <w:autoSpaceDE w:val="0"/>
        <w:autoSpaceDN w:val="0"/>
        <w:spacing w:after="120"/>
        <w:ind w:firstLine="602"/>
        <w:jc w:val="left"/>
        <w:rPr>
          <w:rFonts w:ascii="仿宋" w:hAnsi="仿宋" w:eastAsia="仿宋" w:cs="仿宋"/>
          <w:b/>
          <w:bCs/>
          <w:sz w:val="30"/>
          <w:szCs w:val="30"/>
        </w:rPr>
      </w:pPr>
      <w:r>
        <w:rPr>
          <w:rFonts w:hint="eastAsia" w:ascii="仿宋" w:hAnsi="仿宋" w:eastAsia="仿宋" w:cs="仿宋"/>
          <w:b/>
          <w:bCs/>
          <w:sz w:val="30"/>
          <w:szCs w:val="30"/>
        </w:rPr>
        <w:t>3、质量保证金的扣留</w:t>
      </w:r>
    </w:p>
    <w:p w14:paraId="5EB52F6B">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质量保证金的扣留有以下三种方式：</w:t>
      </w:r>
    </w:p>
    <w:p w14:paraId="2C7B568B">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（1）在支付工程进度款、施工过程结算款时逐次扣留，在此情形下，质量保证金的计算基数不包括预付款的支付、扣回以及价格调整的金额；</w:t>
      </w:r>
    </w:p>
    <w:p w14:paraId="7A589130">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（2）工程竣工结算时一次性扣留质量保证金；</w:t>
      </w:r>
    </w:p>
    <w:p w14:paraId="4EF259F4">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（3）双方约定的其他扣留方式。</w:t>
      </w:r>
    </w:p>
    <w:p w14:paraId="6E9EB4C5">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除专用合同条款另有约定外，质量保证金的扣留原则上采用上述第（2）种方式。</w:t>
      </w:r>
    </w:p>
    <w:p w14:paraId="6EFA50D3">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132A6F81">
      <w:pPr>
        <w:autoSpaceDE w:val="0"/>
        <w:autoSpaceDN w:val="0"/>
        <w:spacing w:after="120"/>
        <w:ind w:firstLine="600"/>
        <w:jc w:val="left"/>
        <w:rPr>
          <w:rFonts w:ascii="仿宋" w:hAnsi="仿宋" w:eastAsia="仿宋" w:cs="仿宋"/>
          <w:b/>
          <w:bCs/>
          <w:sz w:val="30"/>
          <w:szCs w:val="30"/>
        </w:rPr>
      </w:pPr>
      <w:r>
        <w:rPr>
          <w:rFonts w:hint="eastAsia" w:ascii="仿宋" w:hAnsi="仿宋" w:eastAsia="仿宋" w:cs="仿宋"/>
          <w:sz w:val="30"/>
          <w:szCs w:val="30"/>
        </w:rPr>
        <w:t>发包人在退还质量保证金的同时按照中国人民银行发布的同期同类贷款基准利率支付利息</w:t>
      </w:r>
      <w:r>
        <w:rPr>
          <w:rFonts w:hint="eastAsia" w:ascii="仿宋" w:hAnsi="仿宋" w:eastAsia="仿宋" w:cs="仿宋"/>
          <w:b/>
          <w:bCs/>
          <w:sz w:val="30"/>
          <w:szCs w:val="30"/>
        </w:rPr>
        <w:t>。</w:t>
      </w:r>
    </w:p>
    <w:p w14:paraId="58340153">
      <w:pPr>
        <w:autoSpaceDE w:val="0"/>
        <w:autoSpaceDN w:val="0"/>
        <w:spacing w:before="120" w:after="120"/>
        <w:ind w:firstLine="602"/>
        <w:jc w:val="left"/>
        <w:rPr>
          <w:rFonts w:ascii="仿宋" w:hAnsi="仿宋" w:eastAsia="仿宋" w:cs="仿宋"/>
          <w:b/>
          <w:bCs/>
          <w:sz w:val="30"/>
          <w:szCs w:val="30"/>
        </w:rPr>
      </w:pPr>
      <w:bookmarkStart w:id="1191" w:name="_Toc351203622"/>
      <w:bookmarkStart w:id="1192" w:name="_Toc296346643"/>
      <w:bookmarkStart w:id="1193" w:name="_Toc337558837"/>
      <w:bookmarkStart w:id="1194" w:name="_Toc296503142"/>
      <w:r>
        <w:rPr>
          <w:rFonts w:hint="eastAsia" w:ascii="仿宋" w:hAnsi="仿宋" w:eastAsia="仿宋" w:cs="仿宋"/>
          <w:b/>
          <w:bCs/>
          <w:sz w:val="30"/>
          <w:szCs w:val="30"/>
        </w:rPr>
        <w:t>4、 对承包人索赔的处理</w:t>
      </w:r>
      <w:bookmarkEnd w:id="1191"/>
    </w:p>
    <w:bookmarkEnd w:id="1192"/>
    <w:bookmarkEnd w:id="1193"/>
    <w:bookmarkEnd w:id="1194"/>
    <w:p w14:paraId="567051D4">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对承包人索赔的处理如下：</w:t>
      </w:r>
    </w:p>
    <w:p w14:paraId="7CD1E659">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（1）监理人应在收到索赔报告后14天内完成审查并报送发包人。监理人对索赔报告存在异议的，有权要求承包人提交全部原始记录副本；</w:t>
      </w:r>
    </w:p>
    <w:p w14:paraId="643C0AF2">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（2）发包人应在监理人收到索赔报告或有关索赔的进一步证明材料后的28天内，由监理人向承包人出具经发包人签认的索赔处理结果。发包人逾期答复的，则视为认可承包人的索赔要求；</w:t>
      </w:r>
    </w:p>
    <w:p w14:paraId="15E87C80">
      <w:pPr>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（3）承包人接受索赔处理结果的，索赔款项在当期进度款、施工过程结算中进行支付；承包人不接受索赔处理结果的，按照第20条〔争议解决〕约定处理。</w:t>
      </w:r>
      <w:bookmarkEnd w:id="1188"/>
    </w:p>
    <w:p w14:paraId="40066E2E">
      <w:pPr>
        <w:autoSpaceDE w:val="0"/>
        <w:autoSpaceDN w:val="0"/>
        <w:spacing w:before="120" w:after="120"/>
        <w:ind w:firstLine="602"/>
        <w:jc w:val="left"/>
        <w:rPr>
          <w:rFonts w:ascii="仿宋" w:hAnsi="仿宋" w:eastAsia="仿宋" w:cs="仿宋"/>
          <w:b/>
          <w:bCs/>
          <w:sz w:val="30"/>
          <w:szCs w:val="30"/>
        </w:rPr>
      </w:pPr>
      <w:r>
        <w:rPr>
          <w:rFonts w:hint="eastAsia" w:ascii="仿宋" w:hAnsi="仿宋" w:eastAsia="仿宋" w:cs="仿宋"/>
          <w:b/>
          <w:bCs/>
          <w:sz w:val="30"/>
          <w:szCs w:val="30"/>
        </w:rPr>
        <w:t>5、竣工结算审核</w:t>
      </w:r>
    </w:p>
    <w:p w14:paraId="1225984C">
      <w:pPr>
        <w:wordWrap/>
        <w:topLinePunct w:val="0"/>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发包人审批竣工付款申请单的期限：</w:t>
      </w:r>
      <w:r>
        <w:rPr>
          <w:rFonts w:hint="eastAsia" w:ascii="仿宋" w:hAnsi="仿宋" w:eastAsia="仿宋" w:cs="仿宋"/>
          <w:sz w:val="30"/>
          <w:szCs w:val="30"/>
          <w:u w:val="single"/>
        </w:rPr>
        <w:t>发包人收到承包人递交的过程结算报告及结算资料后，委托造价咨询单位进行审核。造价咨询单位对过程结算报告及结算资料有异议的，有权要求承包人进行修正和提供补充资料，经造价咨询单位和承包人协商后，由承包人向造价咨询单位一次性提交修正后的过程结算报告及结算资料。在资料完整情况下，造价咨询单位在</w:t>
      </w:r>
      <w:r>
        <w:rPr>
          <w:rFonts w:ascii="仿宋" w:hAnsi="仿宋" w:eastAsia="仿宋" w:cs="仿宋"/>
          <w:sz w:val="30"/>
          <w:szCs w:val="30"/>
          <w:u w:val="single"/>
        </w:rPr>
        <w:t>30</w:t>
      </w:r>
      <w:r>
        <w:rPr>
          <w:rFonts w:hint="eastAsia" w:ascii="仿宋" w:hAnsi="仿宋" w:eastAsia="仿宋" w:cs="仿宋"/>
          <w:sz w:val="30"/>
          <w:szCs w:val="30"/>
          <w:u w:val="single"/>
        </w:rPr>
        <w:t>天内提出审查意</w:t>
      </w:r>
      <w:r>
        <w:rPr>
          <w:rFonts w:hint="eastAsia" w:ascii="仿宋" w:hAnsi="仿宋" w:eastAsia="仿宋" w:cs="仿宋"/>
          <w:sz w:val="30"/>
          <w:szCs w:val="30"/>
        </w:rPr>
        <w:t>见，结算终审程序执行广东省财政厅或其他有结算终审审核权限部门相关规定。</w:t>
      </w:r>
    </w:p>
    <w:p w14:paraId="337A572F">
      <w:pPr>
        <w:wordWrap/>
        <w:topLinePunct w:val="0"/>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发包人完成竣工付款的期限：执行结算终审部门相关规定。</w:t>
      </w:r>
    </w:p>
    <w:p w14:paraId="188EC2C9">
      <w:pPr>
        <w:wordWrap/>
        <w:topLinePunct w:val="0"/>
        <w:autoSpaceDE w:val="0"/>
        <w:autoSpaceDN w:val="0"/>
        <w:spacing w:after="120"/>
        <w:ind w:firstLine="600"/>
        <w:jc w:val="left"/>
        <w:rPr>
          <w:rFonts w:ascii="仿宋" w:hAnsi="仿宋" w:eastAsia="仿宋" w:cs="仿宋"/>
          <w:sz w:val="30"/>
          <w:szCs w:val="30"/>
        </w:rPr>
      </w:pPr>
      <w:r>
        <w:rPr>
          <w:rFonts w:hint="eastAsia" w:ascii="仿宋" w:hAnsi="仿宋" w:eastAsia="仿宋" w:cs="仿宋"/>
          <w:sz w:val="30"/>
          <w:szCs w:val="30"/>
        </w:rPr>
        <w:t>关于竣工付款证书异议部分复核的方式和程序：</w:t>
      </w:r>
      <w:r>
        <w:rPr>
          <w:rFonts w:hint="eastAsia" w:ascii="仿宋" w:hAnsi="仿宋" w:eastAsia="仿宋" w:cs="仿宋"/>
          <w:sz w:val="30"/>
          <w:szCs w:val="30"/>
          <w:u w:val="single"/>
        </w:rPr>
        <w:t xml:space="preserve">   /    </w:t>
      </w:r>
      <w:r>
        <w:rPr>
          <w:rFonts w:hint="eastAsia" w:ascii="仿宋" w:hAnsi="仿宋" w:eastAsia="仿宋" w:cs="仿宋"/>
          <w:sz w:val="30"/>
          <w:szCs w:val="30"/>
        </w:rPr>
        <w:t>。</w:t>
      </w:r>
    </w:p>
    <w:p w14:paraId="5A5C0DF4">
      <w:pPr>
        <w:spacing w:after="120"/>
      </w:pPr>
    </w:p>
    <w:p w14:paraId="79F40DA1">
      <w:pPr>
        <w:wordWrap/>
        <w:topLinePunct w:val="0"/>
        <w:adjustRightInd/>
        <w:snapToGrid/>
        <w:spacing w:afterLines="0" w:line="240" w:lineRule="auto"/>
        <w:ind w:firstLine="562" w:firstLineChars="0"/>
        <w:jc w:val="left"/>
      </w:pPr>
      <w:r>
        <w:br w:type="page"/>
      </w:r>
    </w:p>
    <w:p w14:paraId="1D4F9C47">
      <w:pPr>
        <w:pStyle w:val="106"/>
        <w:numPr>
          <w:ilvl w:val="0"/>
          <w:numId w:val="0"/>
        </w:numPr>
        <w:spacing w:after="120"/>
        <w:jc w:val="center"/>
        <w:outlineLvl w:val="1"/>
        <w:rPr>
          <w:rFonts w:ascii="仿宋" w:hAnsi="仿宋" w:eastAsia="仿宋" w:cs="仿宋"/>
          <w:b/>
          <w:bCs/>
          <w:sz w:val="32"/>
          <w:szCs w:val="32"/>
        </w:rPr>
      </w:pPr>
      <w:r>
        <w:rPr>
          <w:rFonts w:hint="eastAsia" w:ascii="仿宋" w:hAnsi="仿宋" w:eastAsia="仿宋" w:cs="仿宋"/>
          <w:b/>
          <w:bCs/>
          <w:sz w:val="32"/>
          <w:szCs w:val="32"/>
        </w:rPr>
        <w:t>附件21 省代建局第三方质量安全巡查评估结果应用管理办法（试行）</w:t>
      </w:r>
      <w:bookmarkStart w:id="1195" w:name="省代建局第三方质量安全巡查评估结果应用管理办法（试行）"/>
      <w:bookmarkEnd w:id="1195"/>
    </w:p>
    <w:p w14:paraId="00C75A0F">
      <w:pPr>
        <w:spacing w:after="120" w:line="560" w:lineRule="exact"/>
        <w:ind w:firstLine="880"/>
        <w:jc w:val="center"/>
        <w:rPr>
          <w:rStyle w:val="58"/>
          <w:rFonts w:ascii="华文中宋" w:hAnsi="华文中宋" w:eastAsia="华文中宋" w:cs="华文中宋"/>
          <w:b w:val="0"/>
          <w:color w:val="333333"/>
          <w:sz w:val="44"/>
          <w:szCs w:val="44"/>
          <w:shd w:val="clear" w:color="auto" w:fill="FFFFFF"/>
        </w:rPr>
      </w:pPr>
      <w:r>
        <w:rPr>
          <w:rStyle w:val="58"/>
          <w:rFonts w:hint="eastAsia" w:ascii="华文中宋" w:hAnsi="华文中宋" w:eastAsia="华文中宋" w:cs="华文中宋"/>
          <w:b w:val="0"/>
          <w:color w:val="333333"/>
          <w:sz w:val="44"/>
          <w:szCs w:val="44"/>
          <w:shd w:val="clear" w:color="auto" w:fill="FFFFFF"/>
        </w:rPr>
        <w:t>省代建局第三方质量安全巡查评估</w:t>
      </w:r>
    </w:p>
    <w:p w14:paraId="2D38C6D9">
      <w:pPr>
        <w:pStyle w:val="49"/>
        <w:shd w:val="clear" w:color="auto" w:fill="FFFFFF"/>
        <w:spacing w:beforeAutospacing="0" w:afterAutospacing="0" w:line="560" w:lineRule="exact"/>
        <w:jc w:val="center"/>
        <w:rPr>
          <w:rStyle w:val="58"/>
          <w:rFonts w:ascii="华文中宋" w:hAnsi="华文中宋" w:eastAsia="华文中宋" w:cs="华文中宋"/>
          <w:b w:val="0"/>
          <w:color w:val="333333"/>
          <w:sz w:val="44"/>
          <w:szCs w:val="44"/>
          <w:shd w:val="clear" w:color="auto" w:fill="FFFFFF"/>
        </w:rPr>
      </w:pPr>
      <w:r>
        <w:rPr>
          <w:rStyle w:val="58"/>
          <w:rFonts w:hint="eastAsia" w:ascii="华文中宋" w:hAnsi="华文中宋" w:eastAsia="华文中宋" w:cs="华文中宋"/>
          <w:b w:val="0"/>
          <w:color w:val="333333"/>
          <w:sz w:val="44"/>
          <w:szCs w:val="44"/>
          <w:shd w:val="clear" w:color="auto" w:fill="FFFFFF"/>
        </w:rPr>
        <w:t>结果应用管理办法（试行）</w:t>
      </w:r>
    </w:p>
    <w:p w14:paraId="42145742">
      <w:pPr>
        <w:pStyle w:val="49"/>
        <w:shd w:val="clear" w:color="auto" w:fill="FFFFFF"/>
        <w:spacing w:beforeAutospacing="0" w:afterAutospacing="0" w:line="560" w:lineRule="exact"/>
        <w:jc w:val="center"/>
        <w:rPr>
          <w:rStyle w:val="58"/>
          <w:rFonts w:ascii="华文中宋" w:hAnsi="华文中宋" w:eastAsia="华文中宋" w:cs="华文中宋"/>
          <w:color w:val="333333"/>
          <w:sz w:val="44"/>
          <w:szCs w:val="44"/>
          <w:shd w:val="clear" w:color="auto" w:fill="FFFFFF"/>
        </w:rPr>
      </w:pPr>
    </w:p>
    <w:p w14:paraId="5BEA3BEE">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第一条</w:t>
      </w:r>
      <w:r>
        <w:rPr>
          <w:rFonts w:hint="eastAsia" w:ascii="仿宋" w:hAnsi="仿宋" w:eastAsia="仿宋" w:cs="仿宋"/>
          <w:sz w:val="30"/>
          <w:szCs w:val="30"/>
        </w:rPr>
        <w:t>为不断提升省属代建项目质量安全管理水平，充分发挥第三方质量安全巡查作用，鼓励参建企业打造优质、安全工程，有效督促落实质量安全隐患整改，确保按合同约定完成质量安全管理目标，特制定本办法。</w:t>
      </w:r>
    </w:p>
    <w:p w14:paraId="5B662046">
      <w:pPr>
        <w:spacing w:after="120" w:line="500" w:lineRule="exact"/>
        <w:ind w:firstLine="602"/>
        <w:rPr>
          <w:rFonts w:ascii="仿宋" w:hAnsi="仿宋" w:eastAsia="仿宋" w:cs="仿宋"/>
          <w:sz w:val="30"/>
          <w:szCs w:val="30"/>
        </w:rPr>
      </w:pPr>
      <w:r>
        <w:rPr>
          <w:rFonts w:hint="eastAsia" w:ascii="仿宋" w:hAnsi="仿宋" w:eastAsia="仿宋" w:cs="仿宋"/>
          <w:b/>
          <w:bCs/>
          <w:sz w:val="30"/>
          <w:szCs w:val="30"/>
        </w:rPr>
        <w:t>第二条</w:t>
      </w:r>
      <w:r>
        <w:rPr>
          <w:rFonts w:hint="eastAsia" w:ascii="仿宋" w:hAnsi="仿宋" w:eastAsia="仿宋" w:cs="仿宋"/>
          <w:sz w:val="30"/>
          <w:szCs w:val="30"/>
        </w:rPr>
        <w:t>本办法所称第三方质量安全巡查是指省代建局通过聘请第三方专业工程评估咨询机构，对在建的省属代建项目质量、安全情况进行的检查评估。其中，参评对象按施工、监理、代建单位和项目组4个类别划分，EPC项目施工承包方列施工单位类别，全过程咨询单位列监理单位类别。</w:t>
      </w:r>
    </w:p>
    <w:p w14:paraId="6B1A85A0">
      <w:pPr>
        <w:spacing w:after="120" w:line="500" w:lineRule="exact"/>
        <w:ind w:firstLine="602"/>
        <w:rPr>
          <w:rFonts w:ascii="仿宋" w:hAnsi="仿宋" w:eastAsia="仿宋" w:cs="仿宋"/>
          <w:sz w:val="30"/>
          <w:szCs w:val="30"/>
        </w:rPr>
      </w:pPr>
      <w:r>
        <w:rPr>
          <w:rFonts w:hint="eastAsia" w:ascii="仿宋" w:hAnsi="仿宋" w:eastAsia="仿宋" w:cs="仿宋"/>
          <w:b/>
          <w:bCs/>
          <w:sz w:val="30"/>
          <w:szCs w:val="30"/>
        </w:rPr>
        <w:t>第三条</w:t>
      </w:r>
      <w:r>
        <w:rPr>
          <w:rFonts w:hint="eastAsia" w:ascii="仿宋" w:hAnsi="仿宋" w:eastAsia="仿宋" w:cs="仿宋"/>
          <w:sz w:val="30"/>
          <w:szCs w:val="30"/>
        </w:rPr>
        <w:t>第三方质量安全巡查工作由省代建局项目建设管理部牵头负责，原则上每季度开展一次。</w:t>
      </w:r>
    </w:p>
    <w:p w14:paraId="2F61D41A">
      <w:pPr>
        <w:spacing w:after="120" w:line="500" w:lineRule="exact"/>
        <w:ind w:firstLine="602"/>
        <w:rPr>
          <w:rFonts w:ascii="仿宋" w:hAnsi="仿宋" w:eastAsia="仿宋" w:cs="仿宋"/>
          <w:sz w:val="30"/>
          <w:szCs w:val="30"/>
        </w:rPr>
      </w:pPr>
      <w:r>
        <w:rPr>
          <w:rFonts w:hint="eastAsia" w:ascii="仿宋" w:hAnsi="仿宋" w:eastAsia="仿宋" w:cs="仿宋"/>
          <w:b/>
          <w:bCs/>
          <w:sz w:val="30"/>
          <w:szCs w:val="30"/>
        </w:rPr>
        <w:t>第四条</w:t>
      </w:r>
      <w:r>
        <w:rPr>
          <w:rFonts w:hint="eastAsia" w:ascii="仿宋" w:hAnsi="仿宋" w:eastAsia="仿宋" w:cs="仿宋"/>
          <w:sz w:val="30"/>
          <w:szCs w:val="30"/>
        </w:rPr>
        <w:t>评估内容由参建单位现场施工质量、安全文明、管理行为3方面构成。原则上，项目综合得分=施工单位评分×60%+监理单位评分×30%+项目组（委托代建）×10%-违规扣分。其中，施工单位评分=质量评分×50%+安全文明评分×50%-违规扣分，监理单位评分=监理单位管理行为评分×50%+施工单位评分×50%-违规扣分，项目组（委托代建）=项目组（委托代建）管理行为×50%+施工单位评分与监理单位评分的均值×50%-违规扣分。违规扣分是指不配合评估工作、违反廉政纪律、弄虚作假、整改落实差、关键岗位人员（施工单位：项目经理、安全主任、技术负人责、质量负责人、专职安全员；监理单位：总监、安全员）到岗履职率低等情况所扣的分数。评估内容及分值比例可根据实际工作情况优化调整，由项目建设管理部在制定巡查方案时提出。</w:t>
      </w:r>
    </w:p>
    <w:p w14:paraId="6F0D2185">
      <w:pPr>
        <w:spacing w:after="120" w:line="500" w:lineRule="exact"/>
        <w:ind w:firstLine="602"/>
        <w:rPr>
          <w:rFonts w:ascii="仿宋" w:hAnsi="仿宋" w:eastAsia="仿宋" w:cs="仿宋"/>
          <w:sz w:val="30"/>
          <w:szCs w:val="30"/>
        </w:rPr>
      </w:pPr>
      <w:r>
        <w:rPr>
          <w:rFonts w:hint="eastAsia" w:ascii="仿宋" w:hAnsi="仿宋" w:eastAsia="仿宋" w:cs="仿宋"/>
          <w:b/>
          <w:bCs/>
          <w:sz w:val="30"/>
          <w:szCs w:val="30"/>
        </w:rPr>
        <w:t>第五条</w:t>
      </w:r>
      <w:r>
        <w:rPr>
          <w:rFonts w:hint="eastAsia" w:ascii="仿宋" w:hAnsi="仿宋" w:eastAsia="仿宋" w:cs="仿宋"/>
          <w:sz w:val="30"/>
          <w:szCs w:val="30"/>
        </w:rPr>
        <w:t>第三方质量安全巡查评估结果，纳入省代建局施工、监理、EPC、全过程工程咨询、代建项目合同履约评价内容。</w:t>
      </w:r>
    </w:p>
    <w:p w14:paraId="21E0B0C0">
      <w:pPr>
        <w:spacing w:after="120" w:line="500" w:lineRule="exact"/>
        <w:ind w:firstLine="602"/>
        <w:rPr>
          <w:rFonts w:ascii="仿宋" w:hAnsi="仿宋" w:eastAsia="仿宋" w:cs="仿宋"/>
          <w:sz w:val="30"/>
          <w:szCs w:val="30"/>
        </w:rPr>
      </w:pPr>
      <w:r>
        <w:rPr>
          <w:rFonts w:hint="eastAsia" w:ascii="仿宋" w:hAnsi="仿宋" w:eastAsia="仿宋" w:cs="仿宋"/>
          <w:b/>
          <w:bCs/>
          <w:sz w:val="30"/>
          <w:szCs w:val="30"/>
        </w:rPr>
        <w:t>第六条</w:t>
      </w:r>
      <w:r>
        <w:rPr>
          <w:rFonts w:hint="eastAsia" w:ascii="仿宋" w:hAnsi="仿宋" w:eastAsia="仿宋" w:cs="仿宋"/>
          <w:sz w:val="30"/>
          <w:szCs w:val="30"/>
        </w:rPr>
        <w:t>第三方质量安全巡查后，由局项目建设管理部召开质量安全季度（年度）会议，通报当期评估情况并颁发流动红旗，邀请排名靠前的项目参建单位代表分享优秀管理经验和工艺做法，排名靠后的参建单位代表进行整改表态发言。</w:t>
      </w:r>
    </w:p>
    <w:p w14:paraId="2C1B501C">
      <w:pPr>
        <w:spacing w:after="120" w:line="500" w:lineRule="exact"/>
        <w:ind w:firstLine="602"/>
        <w:rPr>
          <w:rFonts w:ascii="仿宋" w:hAnsi="仿宋" w:eastAsia="仿宋" w:cs="仿宋"/>
          <w:sz w:val="30"/>
          <w:szCs w:val="30"/>
        </w:rPr>
      </w:pPr>
      <w:r>
        <w:rPr>
          <w:rFonts w:hint="eastAsia" w:ascii="仿宋" w:hAnsi="仿宋" w:eastAsia="仿宋" w:cs="仿宋"/>
          <w:b/>
          <w:bCs/>
          <w:sz w:val="30"/>
          <w:szCs w:val="30"/>
        </w:rPr>
        <w:t>第七条</w:t>
      </w:r>
      <w:r>
        <w:rPr>
          <w:rFonts w:hint="eastAsia" w:ascii="仿宋" w:hAnsi="仿宋" w:eastAsia="仿宋" w:cs="仿宋"/>
          <w:sz w:val="30"/>
          <w:szCs w:val="30"/>
        </w:rPr>
        <w:t>第三方质量安全巡查结果在省代建局网站、工地宣传栏等渠道公开。</w:t>
      </w:r>
    </w:p>
    <w:p w14:paraId="4718E526">
      <w:pPr>
        <w:spacing w:after="120" w:line="500" w:lineRule="exact"/>
        <w:ind w:firstLine="602"/>
        <w:rPr>
          <w:rFonts w:ascii="仿宋" w:hAnsi="仿宋" w:eastAsia="仿宋" w:cs="仿宋"/>
          <w:sz w:val="30"/>
          <w:szCs w:val="30"/>
        </w:rPr>
      </w:pPr>
      <w:r>
        <w:rPr>
          <w:rFonts w:hint="eastAsia" w:ascii="仿宋" w:hAnsi="仿宋" w:eastAsia="仿宋" w:cs="仿宋"/>
          <w:b/>
          <w:bCs/>
          <w:sz w:val="30"/>
          <w:szCs w:val="30"/>
        </w:rPr>
        <w:t>第八条</w:t>
      </w:r>
      <w:r>
        <w:rPr>
          <w:rFonts w:hint="eastAsia" w:ascii="仿宋" w:hAnsi="仿宋" w:eastAsia="仿宋" w:cs="仿宋"/>
          <w:sz w:val="30"/>
          <w:szCs w:val="30"/>
        </w:rPr>
        <w:t>对第三方质量安全巡查中表现优异的，按以下规定给予奖励：</w:t>
      </w:r>
    </w:p>
    <w:p w14:paraId="11B8E1B1">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（一）项目在第三方质量安全巡查中同时达到以下条件的，施工单位在评估结果公布后连续3个月内的进度款支付比例提高5%（总支付比例不超过90%）：</w:t>
      </w:r>
    </w:p>
    <w:p w14:paraId="01E0E5D0">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1.综合得分85分以上（含85分）。</w:t>
      </w:r>
    </w:p>
    <w:p w14:paraId="2C555CB6">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2.在当批次检查的所有代建项目中综合得分排名前三。</w:t>
      </w:r>
    </w:p>
    <w:p w14:paraId="5444BEAA">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3.未出现质量安全主控项问题。（主控项问题是指规范中强制性条文、影响结构安全类、易造成群体伤亡类的问题）</w:t>
      </w:r>
    </w:p>
    <w:p w14:paraId="56313179">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第九条 参建单位在第三方质量安全巡查评估中表现不良的，按以下规定督促整改和处罚。</w:t>
      </w:r>
    </w:p>
    <w:p w14:paraId="4A0EF6AE">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（一）在同类别单位中符合以下条件之一的，经省代建局项目建设管理部报局办公会议通过后，停止该参建单位对省代建局项目的对应参建类别（监理/施工）的投标资格，有效期一年。</w:t>
      </w:r>
    </w:p>
    <w:p w14:paraId="43E257B6">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1.连续2次分数倒数第一且低于80分。</w:t>
      </w:r>
    </w:p>
    <w:p w14:paraId="7EDB16B2">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2.连续3次分数排名在倒数三名之内且低于80分。</w:t>
      </w:r>
    </w:p>
    <w:p w14:paraId="138C788D">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在同类别单位中连续2次分数排名处在倒数三名之内且低于80分的单位，约谈其企业法人。</w:t>
      </w:r>
    </w:p>
    <w:p w14:paraId="259F5329">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（三）对检查出现质量或安全主控项隐患的项目，对施工单位记1次一般违约责任。同时监理单位承担同等违约责任，并根据合同进行处罚。</w:t>
      </w:r>
    </w:p>
    <w:p w14:paraId="19B47D35">
      <w:pPr>
        <w:spacing w:after="120" w:line="500" w:lineRule="exact"/>
        <w:ind w:firstLine="602"/>
        <w:rPr>
          <w:rFonts w:ascii="仿宋" w:hAnsi="仿宋" w:eastAsia="仿宋" w:cs="仿宋"/>
          <w:sz w:val="30"/>
          <w:szCs w:val="30"/>
        </w:rPr>
      </w:pPr>
      <w:r>
        <w:rPr>
          <w:rFonts w:hint="eastAsia" w:ascii="仿宋" w:hAnsi="仿宋" w:eastAsia="仿宋" w:cs="仿宋"/>
          <w:b/>
          <w:bCs/>
          <w:sz w:val="30"/>
          <w:szCs w:val="30"/>
        </w:rPr>
        <w:t>第十条</w:t>
      </w:r>
      <w:r>
        <w:rPr>
          <w:rFonts w:hint="eastAsia" w:ascii="仿宋" w:hAnsi="仿宋" w:eastAsia="仿宋" w:cs="仿宋"/>
          <w:sz w:val="30"/>
          <w:szCs w:val="30"/>
        </w:rPr>
        <w:t>省代建局施工阶段派驻现场人员管理办法</w:t>
      </w:r>
    </w:p>
    <w:p w14:paraId="2099DD2B">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1.月考勤率达不到80%的，首次情形对个人予以书面警告，屡教不改的在局内通报批评，情形恶劣的予以辞退。</w:t>
      </w:r>
    </w:p>
    <w:p w14:paraId="4A58FCE9">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2.在历次第三方质量安全巡查中，项目组季度得分排名前3名的，对驻场人员进行通报表扬；得分排名后3名、且得分80分（不含）以下的，对驻场人员进行通报批评。</w:t>
      </w:r>
    </w:p>
    <w:p w14:paraId="7052F0C4">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3.在年度第三方质量安全巡查中，项目组年度平均得分排名前3名的，可在驻场人员中优先推荐1名年度考核优秀名额；平均得分排名后3名、且得分80分（不含）以下的，驻场人员不列为年度考核优秀对象。</w:t>
      </w:r>
    </w:p>
    <w:p w14:paraId="3B4C97ED">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4.未完成项目安全文明生产目标或质量目标，或发生安全生产责任事故的，给予通报批评，情节严重的予以辞退。</w:t>
      </w:r>
    </w:p>
    <w:p w14:paraId="754B93DC">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5.履行工作不力，不服从项目建设管理部和项目组管理的，或违反工作程序和原则，可予以调整岗位、免职或辞退。</w:t>
      </w:r>
    </w:p>
    <w:p w14:paraId="24FC2393">
      <w:pPr>
        <w:spacing w:after="120" w:line="500" w:lineRule="exact"/>
        <w:ind w:firstLine="602" w:firstLineChars="0"/>
        <w:rPr>
          <w:rFonts w:ascii="仿宋" w:hAnsi="仿宋" w:eastAsia="仿宋" w:cs="仿宋"/>
          <w:sz w:val="30"/>
          <w:szCs w:val="30"/>
        </w:rPr>
      </w:pPr>
      <w:r>
        <w:rPr>
          <w:rFonts w:hint="eastAsia" w:ascii="仿宋" w:hAnsi="仿宋" w:eastAsia="仿宋" w:cs="仿宋"/>
          <w:b/>
          <w:bCs/>
          <w:sz w:val="30"/>
          <w:szCs w:val="30"/>
        </w:rPr>
        <w:t>第十一条</w:t>
      </w:r>
      <w:r>
        <w:rPr>
          <w:rFonts w:hint="eastAsia" w:ascii="仿宋" w:hAnsi="仿宋" w:eastAsia="仿宋" w:cs="仿宋"/>
          <w:sz w:val="30"/>
          <w:szCs w:val="30"/>
        </w:rPr>
        <w:t>本办法由广东省代建项目管理局负责解释，本办法应用期间根据实际情况适时修订。</w:t>
      </w:r>
    </w:p>
    <w:p w14:paraId="5658FD25">
      <w:pPr>
        <w:spacing w:after="120"/>
        <w:ind w:firstLine="600"/>
        <w:rPr>
          <w:rFonts w:ascii="仿宋_GB2312" w:hAnsi="仿宋" w:eastAsia="仿宋_GB2312"/>
          <w:sz w:val="30"/>
          <w:szCs w:val="30"/>
        </w:rPr>
      </w:pPr>
    </w:p>
    <w:p w14:paraId="5C10707F">
      <w:pPr>
        <w:spacing w:after="120"/>
      </w:pPr>
    </w:p>
    <w:p w14:paraId="2C6485B0">
      <w:pPr>
        <w:pStyle w:val="26"/>
        <w:spacing w:after="120"/>
      </w:pPr>
    </w:p>
    <w:p w14:paraId="0EACA0F6">
      <w:pPr>
        <w:pStyle w:val="26"/>
        <w:spacing w:after="120"/>
      </w:pPr>
    </w:p>
    <w:p w14:paraId="0A57C0FB">
      <w:pPr>
        <w:pStyle w:val="26"/>
        <w:spacing w:after="120"/>
      </w:pPr>
    </w:p>
    <w:p w14:paraId="3F8169F5">
      <w:pPr>
        <w:pStyle w:val="26"/>
        <w:spacing w:after="120"/>
      </w:pPr>
    </w:p>
    <w:p w14:paraId="13D63B4A">
      <w:pPr>
        <w:pStyle w:val="26"/>
        <w:spacing w:after="120"/>
      </w:pPr>
    </w:p>
    <w:p w14:paraId="099F2A7F">
      <w:pPr>
        <w:pStyle w:val="26"/>
        <w:spacing w:after="120"/>
      </w:pPr>
      <w:bookmarkStart w:id="1196" w:name="_Toc27049"/>
      <w:bookmarkStart w:id="1197" w:name="_Toc26194"/>
    </w:p>
    <w:p w14:paraId="0A5C766D">
      <w:pPr>
        <w:pStyle w:val="106"/>
        <w:numPr>
          <w:ilvl w:val="0"/>
          <w:numId w:val="0"/>
        </w:numPr>
        <w:spacing w:after="120"/>
        <w:outlineLvl w:val="1"/>
        <w:rPr>
          <w:rFonts w:ascii="仿宋" w:hAnsi="仿宋" w:eastAsia="仿宋" w:cs="仿宋"/>
          <w:b/>
          <w:bCs/>
          <w:sz w:val="32"/>
          <w:szCs w:val="32"/>
        </w:rPr>
      </w:pPr>
      <w:r>
        <w:rPr>
          <w:rFonts w:hint="eastAsia" w:ascii="仿宋" w:hAnsi="仿宋" w:eastAsia="仿宋" w:cs="仿宋"/>
          <w:b/>
          <w:bCs/>
          <w:sz w:val="32"/>
          <w:szCs w:val="32"/>
        </w:rPr>
        <w:t>附件22</w:t>
      </w:r>
    </w:p>
    <w:p w14:paraId="6C4D8BFD">
      <w:pPr>
        <w:pStyle w:val="106"/>
        <w:numPr>
          <w:ilvl w:val="0"/>
          <w:numId w:val="0"/>
        </w:numPr>
        <w:spacing w:after="120"/>
        <w:jc w:val="center"/>
        <w:rPr>
          <w:rFonts w:ascii="微软雅黑" w:eastAsia="微软雅黑"/>
          <w:sz w:val="32"/>
          <w:szCs w:val="32"/>
        </w:rPr>
      </w:pPr>
      <w:bookmarkStart w:id="1198" w:name="_Toc32484"/>
      <w:bookmarkStart w:id="1199" w:name="_Toc30574"/>
      <w:r>
        <w:rPr>
          <w:rFonts w:hint="eastAsia" w:ascii="仿宋" w:hAnsi="仿宋" w:eastAsia="仿宋" w:cs="仿宋"/>
          <w:b/>
          <w:bCs/>
          <w:sz w:val="32"/>
          <w:szCs w:val="32"/>
        </w:rPr>
        <w:t>省代建局直接代建项目工程款</w:t>
      </w:r>
      <w:bookmarkEnd w:id="1198"/>
      <w:bookmarkEnd w:id="1199"/>
      <w:bookmarkStart w:id="1200" w:name="省代建局直接代建项目工程款"/>
      <w:bookmarkEnd w:id="1200"/>
      <w:bookmarkStart w:id="1201" w:name="_Toc32733"/>
      <w:bookmarkStart w:id="1202" w:name="_Toc26390"/>
      <w:r>
        <w:rPr>
          <w:rFonts w:hint="eastAsia" w:ascii="仿宋" w:hAnsi="仿宋" w:eastAsia="仿宋" w:cs="仿宋"/>
          <w:b/>
          <w:bCs/>
          <w:sz w:val="32"/>
          <w:szCs w:val="32"/>
        </w:rPr>
        <w:t>资金监督管理办法</w:t>
      </w:r>
      <w:bookmarkEnd w:id="1201"/>
      <w:bookmarkEnd w:id="1202"/>
    </w:p>
    <w:p w14:paraId="406E7F91">
      <w:pPr>
        <w:spacing w:after="120" w:line="500" w:lineRule="exact"/>
        <w:ind w:firstLine="3450" w:firstLineChars="1150"/>
        <w:rPr>
          <w:rFonts w:ascii="仿宋" w:hAnsi="仿宋" w:eastAsia="仿宋" w:cs="仿宋"/>
          <w:bCs/>
          <w:sz w:val="30"/>
          <w:szCs w:val="30"/>
        </w:rPr>
      </w:pPr>
      <w:r>
        <w:rPr>
          <w:rFonts w:hint="eastAsia" w:ascii="仿宋" w:hAnsi="仿宋" w:eastAsia="仿宋" w:cs="仿宋"/>
          <w:bCs/>
          <w:sz w:val="30"/>
          <w:szCs w:val="30"/>
        </w:rPr>
        <w:t>第一章  总则</w:t>
      </w:r>
      <w:bookmarkEnd w:id="1196"/>
      <w:bookmarkEnd w:id="1197"/>
    </w:p>
    <w:p w14:paraId="3E4BF68D">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第一条</w:t>
      </w:r>
      <w:r>
        <w:rPr>
          <w:rFonts w:hint="eastAsia" w:ascii="仿宋" w:hAnsi="仿宋" w:eastAsia="仿宋" w:cs="仿宋"/>
          <w:sz w:val="30"/>
          <w:szCs w:val="30"/>
        </w:rPr>
        <w:t xml:space="preserve">  为加强省代建局直接代建项目的工程款管理，确保建设资金专款专用，提高建设资金使用效益，根据国家有关规定，特制定本办法。</w:t>
      </w:r>
    </w:p>
    <w:p w14:paraId="577ABEA4">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第二条</w:t>
      </w:r>
      <w:r>
        <w:rPr>
          <w:rFonts w:hint="eastAsia" w:ascii="仿宋" w:hAnsi="仿宋" w:eastAsia="仿宋" w:cs="仿宋"/>
          <w:sz w:val="30"/>
          <w:szCs w:val="30"/>
        </w:rPr>
        <w:t xml:space="preserve">  本办法适用于省代建局直接代建项目的工程承包单位及工程款资金监管银行。</w:t>
      </w:r>
    </w:p>
    <w:p w14:paraId="4E58DD45">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本办法所称工程承包单位是指与省代建局签订施工承包合同累计金额高于1,000万元的总承包、专业承包单位。</w:t>
      </w:r>
    </w:p>
    <w:p w14:paraId="39F6293E">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本办法所称工程款资金监管银行，是由省代建局授权并负责办理省代建局直接代建项目工程款资金监督管理业务的商业银行。</w:t>
      </w:r>
    </w:p>
    <w:p w14:paraId="7F5F63F1">
      <w:pPr>
        <w:spacing w:after="120" w:line="500" w:lineRule="exact"/>
        <w:ind w:firstLine="602"/>
        <w:rPr>
          <w:rFonts w:ascii="仿宋" w:hAnsi="仿宋" w:eastAsia="仿宋" w:cs="仿宋"/>
          <w:i/>
          <w:sz w:val="30"/>
          <w:szCs w:val="30"/>
        </w:rPr>
      </w:pPr>
      <w:r>
        <w:rPr>
          <w:rFonts w:hint="eastAsia" w:ascii="仿宋" w:hAnsi="仿宋" w:eastAsia="仿宋" w:cs="仿宋"/>
          <w:b/>
          <w:sz w:val="30"/>
          <w:szCs w:val="30"/>
        </w:rPr>
        <w:t>第三条</w:t>
      </w:r>
      <w:r>
        <w:rPr>
          <w:rFonts w:hint="eastAsia" w:ascii="仿宋" w:hAnsi="仿宋" w:eastAsia="仿宋" w:cs="仿宋"/>
          <w:sz w:val="30"/>
          <w:szCs w:val="30"/>
        </w:rPr>
        <w:t xml:space="preserve">  工程承包人对所承包项目的资金负责。工程承包人依法将部分工程分包的，对分包单位的资金负监管责任。</w:t>
      </w:r>
    </w:p>
    <w:p w14:paraId="47B860A4">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第四条</w:t>
      </w:r>
      <w:r>
        <w:rPr>
          <w:rFonts w:hint="eastAsia" w:ascii="仿宋" w:hAnsi="仿宋" w:eastAsia="仿宋" w:cs="仿宋"/>
          <w:sz w:val="30"/>
          <w:szCs w:val="30"/>
        </w:rPr>
        <w:t xml:space="preserve">  资金监管银行应当具备专业、优质、高效、创新的金融服务能力，在广州市具有电子支付端、在线监管系统和线下服务网点，能为省代建局及工程承包人提供快速响应的金融和资金监管服务。</w:t>
      </w:r>
    </w:p>
    <w:p w14:paraId="65BBFF54">
      <w:pPr>
        <w:pStyle w:val="26"/>
        <w:spacing w:after="120"/>
      </w:pPr>
    </w:p>
    <w:p w14:paraId="035EE271">
      <w:pPr>
        <w:spacing w:after="120" w:line="500" w:lineRule="exact"/>
        <w:ind w:firstLine="600"/>
        <w:jc w:val="center"/>
        <w:rPr>
          <w:rFonts w:ascii="仿宋" w:hAnsi="仿宋" w:eastAsia="仿宋" w:cs="仿宋"/>
          <w:bCs/>
          <w:sz w:val="30"/>
          <w:szCs w:val="30"/>
        </w:rPr>
      </w:pPr>
      <w:bookmarkStart w:id="1203" w:name="_Toc28420"/>
      <w:bookmarkStart w:id="1204" w:name="_Toc14201"/>
      <w:r>
        <w:rPr>
          <w:rFonts w:hint="eastAsia" w:ascii="仿宋" w:hAnsi="仿宋" w:eastAsia="仿宋" w:cs="仿宋"/>
          <w:bCs/>
          <w:sz w:val="30"/>
          <w:szCs w:val="30"/>
        </w:rPr>
        <w:t>第二章  资金监管账户的管理</w:t>
      </w:r>
      <w:bookmarkEnd w:id="1203"/>
      <w:bookmarkEnd w:id="1204"/>
    </w:p>
    <w:p w14:paraId="3001EA46">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第五条</w:t>
      </w:r>
      <w:r>
        <w:rPr>
          <w:rFonts w:hint="eastAsia" w:ascii="仿宋" w:hAnsi="仿宋" w:eastAsia="仿宋" w:cs="仿宋"/>
          <w:sz w:val="30"/>
          <w:szCs w:val="30"/>
        </w:rPr>
        <w:t xml:space="preserve">  工程承包单位应选择省代建局授权认可的资金监管银行开设工程款资金监管账户，并报省代建局备案。工程承包单位应按承接项目独立设置账户，不同项目的资金监管账户不得互相混用借用开展收付结算业务。</w:t>
      </w:r>
    </w:p>
    <w:p w14:paraId="6B9D5DDF">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第六条</w:t>
      </w:r>
      <w:r>
        <w:rPr>
          <w:rFonts w:hint="eastAsia" w:ascii="仿宋" w:hAnsi="仿宋" w:eastAsia="仿宋" w:cs="仿宋"/>
          <w:sz w:val="30"/>
          <w:szCs w:val="30"/>
        </w:rPr>
        <w:t xml:space="preserve">  工程承包单位提出书面申请，要求采用指定资金监管银行以外账户收款的，申请收款的银行须在省财政厅上年度省级财政国库业务代理银行范围内，且接受本管理办法规定及签订《广东省代建项目管理局项目建设资金监督管理协议》的，可作为资金监管银行。否则，省代建局有权暂停拨付项目建设资金。</w:t>
      </w:r>
    </w:p>
    <w:p w14:paraId="664A9E67">
      <w:pPr>
        <w:tabs>
          <w:tab w:val="left" w:pos="709"/>
        </w:tabs>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第七条</w:t>
      </w:r>
      <w:r>
        <w:rPr>
          <w:rFonts w:hint="eastAsia" w:ascii="仿宋" w:hAnsi="仿宋" w:eastAsia="仿宋" w:cs="仿宋"/>
          <w:sz w:val="30"/>
          <w:szCs w:val="30"/>
        </w:rPr>
        <w:t xml:space="preserve">  工程承包单位需撤销资金监管账户的，应当向省代建局提出书面申请，经同意后按资金监管银行的有关规定办理手续。</w:t>
      </w:r>
    </w:p>
    <w:p w14:paraId="432C02D1">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第八条</w:t>
      </w:r>
      <w:r>
        <w:rPr>
          <w:rFonts w:hint="eastAsia" w:ascii="仿宋" w:hAnsi="仿宋" w:eastAsia="仿宋" w:cs="仿宋"/>
          <w:sz w:val="30"/>
          <w:szCs w:val="30"/>
        </w:rPr>
        <w:t xml:space="preserve">  工程承包单位的资金监管账户应当专用于省代建局发包项目的业务，与该项目无关的资金往来不得使用资金监管账户结算。工程承包人违反规定将资金监管账户另作他用，资金监管银行有权制止并及时报告省代建局。</w:t>
      </w:r>
    </w:p>
    <w:p w14:paraId="64032A3C">
      <w:pPr>
        <w:spacing w:after="120" w:line="500" w:lineRule="exact"/>
        <w:ind w:firstLine="600"/>
        <w:rPr>
          <w:rFonts w:ascii="仿宋" w:hAnsi="仿宋" w:eastAsia="仿宋" w:cs="仿宋"/>
          <w:sz w:val="30"/>
          <w:szCs w:val="30"/>
        </w:rPr>
      </w:pPr>
    </w:p>
    <w:p w14:paraId="670E6696">
      <w:pPr>
        <w:tabs>
          <w:tab w:val="left" w:pos="2694"/>
        </w:tabs>
        <w:spacing w:after="120" w:line="500" w:lineRule="exact"/>
        <w:ind w:firstLine="600"/>
        <w:jc w:val="center"/>
        <w:rPr>
          <w:rFonts w:ascii="仿宋" w:hAnsi="仿宋" w:eastAsia="仿宋" w:cs="仿宋"/>
          <w:bCs/>
          <w:sz w:val="30"/>
          <w:szCs w:val="30"/>
        </w:rPr>
      </w:pPr>
      <w:bookmarkStart w:id="1205" w:name="_Toc30767"/>
      <w:bookmarkStart w:id="1206" w:name="_Toc11997"/>
      <w:r>
        <w:rPr>
          <w:rFonts w:hint="eastAsia" w:ascii="仿宋" w:hAnsi="仿宋" w:eastAsia="仿宋" w:cs="仿宋"/>
          <w:bCs/>
          <w:sz w:val="30"/>
          <w:szCs w:val="30"/>
        </w:rPr>
        <w:t>第三章  工程款资金管理</w:t>
      </w:r>
      <w:bookmarkEnd w:id="1205"/>
      <w:bookmarkEnd w:id="1206"/>
    </w:p>
    <w:p w14:paraId="50D1CFA4">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第九条</w:t>
      </w:r>
      <w:r>
        <w:rPr>
          <w:rFonts w:hint="eastAsia" w:ascii="仿宋" w:hAnsi="仿宋" w:eastAsia="仿宋" w:cs="仿宋"/>
          <w:sz w:val="30"/>
          <w:szCs w:val="30"/>
        </w:rPr>
        <w:t xml:space="preserve">  工程承包合同签订后，省代建局、工程承包单位、资金监管银行三方共同签订《广东省代建项目管理局项目建设资金监督管理协议》。授权资金监管银行对工程款资金监管账户进行监管，同时向省代建局提供资金监管账户相关信息。</w:t>
      </w:r>
    </w:p>
    <w:p w14:paraId="3BD13E61">
      <w:pPr>
        <w:spacing w:after="120" w:line="500" w:lineRule="exact"/>
        <w:ind w:firstLine="600"/>
        <w:rPr>
          <w:rFonts w:ascii="仿宋" w:hAnsi="仿宋" w:eastAsia="仿宋" w:cs="仿宋"/>
          <w:strike/>
          <w:sz w:val="30"/>
          <w:szCs w:val="30"/>
        </w:rPr>
      </w:pPr>
      <w:r>
        <w:rPr>
          <w:rFonts w:hint="eastAsia" w:ascii="仿宋" w:hAnsi="仿宋" w:eastAsia="仿宋" w:cs="仿宋"/>
          <w:sz w:val="30"/>
          <w:szCs w:val="30"/>
        </w:rPr>
        <w:t>专款专用，在资金监管账户进行支付结算，严禁挪作他用。工程承包人应当严格遵守中国人民银行制定的现金管专款专用，在资金监管账户进行支付结算，严禁挪作他用。工程承包人应当严格遵守中国人民银行制定的现金管理相关规定，不得以任何名义套取现金。</w:t>
      </w:r>
    </w:p>
    <w:p w14:paraId="6A2F4300">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第十一条</w:t>
      </w:r>
      <w:r>
        <w:rPr>
          <w:rFonts w:hint="eastAsia" w:ascii="仿宋" w:hAnsi="仿宋" w:eastAsia="仿宋" w:cs="仿宋"/>
          <w:sz w:val="30"/>
          <w:szCs w:val="30"/>
        </w:rPr>
        <w:t xml:space="preserve">  工程承包人应当依据省代建局审批工程款资金的支出情况，编制《工程款资金使用计划确认表》一式两份，定期分别报送省代建局和资金监管银行，作为省代建局审批后续工程款项和资金监管银行监控工程款资金流向的依据。</w:t>
      </w:r>
    </w:p>
    <w:p w14:paraId="02F9AB6F">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第十二条</w:t>
      </w:r>
      <w:r>
        <w:rPr>
          <w:rFonts w:hint="eastAsia" w:ascii="仿宋" w:hAnsi="仿宋" w:eastAsia="仿宋" w:cs="仿宋"/>
          <w:sz w:val="30"/>
          <w:szCs w:val="30"/>
        </w:rPr>
        <w:t xml:space="preserve">  资金监管银行应当对每个工程承包人分别建立资金收支序时台账，负责对承包人报送的《工程款资金使用计划确认表》进行认真核对，分别于5月及11月第五个工作日前将各资金监管账户半年内的收支情况书面分析报告送省代建局备案。</w:t>
      </w:r>
    </w:p>
    <w:p w14:paraId="527EDD68">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第十三条</w:t>
      </w:r>
      <w:r>
        <w:rPr>
          <w:rFonts w:hint="eastAsia" w:ascii="仿宋" w:hAnsi="仿宋" w:eastAsia="仿宋" w:cs="仿宋"/>
          <w:sz w:val="30"/>
          <w:szCs w:val="30"/>
        </w:rPr>
        <w:t xml:space="preserve">  发现工程款资金监管账户出现异常收支情况时，资金监管银行应当随时将相关信息报送省代建局。</w:t>
      </w:r>
    </w:p>
    <w:p w14:paraId="4D95B977">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第十四条</w:t>
      </w:r>
      <w:r>
        <w:rPr>
          <w:rFonts w:hint="eastAsia" w:ascii="仿宋" w:hAnsi="仿宋" w:eastAsia="仿宋" w:cs="仿宋"/>
          <w:sz w:val="30"/>
          <w:szCs w:val="30"/>
        </w:rPr>
        <w:t xml:space="preserve">  资金监管银行应为工程承包人提供全方位的优质服务，不得无理压票压汇；同时密切跟进工程承包人在工程款资金运作中提出的合理服务要求，在协商一致的前提下依法依规帮助工程承包人解决建设过程中存在的资金困难。</w:t>
      </w:r>
    </w:p>
    <w:p w14:paraId="57FA5C02">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第十五条</w:t>
      </w:r>
      <w:r>
        <w:rPr>
          <w:rFonts w:hint="eastAsia" w:ascii="仿宋" w:hAnsi="仿宋" w:eastAsia="仿宋" w:cs="仿宋"/>
          <w:sz w:val="30"/>
          <w:szCs w:val="30"/>
        </w:rPr>
        <w:t xml:space="preserve">  省代建局根据管理需要，必要时授权资金监管银行对工程款资金监管账户进行专项检查。</w:t>
      </w:r>
    </w:p>
    <w:p w14:paraId="4A828E4C">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第十六条</w:t>
      </w:r>
      <w:r>
        <w:rPr>
          <w:rFonts w:hint="eastAsia" w:ascii="仿宋" w:hAnsi="仿宋" w:eastAsia="仿宋" w:cs="仿宋"/>
          <w:sz w:val="30"/>
          <w:szCs w:val="30"/>
        </w:rPr>
        <w:t xml:space="preserve">  工程承包人未按法律法规和合同约定用途使用资金或拖欠材料供应商和分包单位款项的，省代建局有权要求工程承包人按规定调整资金用途和清偿拖欠款项。</w:t>
      </w:r>
    </w:p>
    <w:p w14:paraId="7B03F35A">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第十七条</w:t>
      </w:r>
      <w:r>
        <w:rPr>
          <w:rFonts w:hint="eastAsia" w:ascii="仿宋" w:hAnsi="仿宋" w:eastAsia="仿宋" w:cs="仿宋"/>
          <w:sz w:val="30"/>
          <w:szCs w:val="30"/>
        </w:rPr>
        <w:t xml:space="preserve">  资金监管银行若存在违反本办法规定情形，或因不能兑现服务承诺引起工程承包人投诉的，省代建局有权要求限期整改；逾期仍不能整改到位的，省代建局有权将其从资金监管银行名单中撤除。</w:t>
      </w:r>
    </w:p>
    <w:p w14:paraId="7F8BA070">
      <w:pPr>
        <w:spacing w:after="120" w:line="500" w:lineRule="exact"/>
        <w:ind w:firstLine="600"/>
        <w:rPr>
          <w:rFonts w:ascii="仿宋" w:hAnsi="仿宋" w:eastAsia="仿宋" w:cs="仿宋"/>
          <w:sz w:val="30"/>
          <w:szCs w:val="30"/>
        </w:rPr>
      </w:pPr>
    </w:p>
    <w:p w14:paraId="02EDD858">
      <w:pPr>
        <w:tabs>
          <w:tab w:val="left" w:pos="709"/>
        </w:tabs>
        <w:spacing w:after="120" w:line="500" w:lineRule="exact"/>
        <w:ind w:firstLine="3900" w:firstLineChars="1300"/>
        <w:rPr>
          <w:rFonts w:ascii="仿宋" w:hAnsi="仿宋" w:eastAsia="仿宋" w:cs="仿宋"/>
          <w:bCs/>
          <w:sz w:val="30"/>
          <w:szCs w:val="30"/>
        </w:rPr>
      </w:pPr>
      <w:bookmarkStart w:id="1207" w:name="_Toc11415"/>
      <w:bookmarkStart w:id="1208" w:name="_Toc16873"/>
      <w:r>
        <w:rPr>
          <w:rFonts w:hint="eastAsia" w:ascii="仿宋" w:hAnsi="仿宋" w:eastAsia="仿宋" w:cs="仿宋"/>
          <w:bCs/>
          <w:sz w:val="30"/>
          <w:szCs w:val="30"/>
        </w:rPr>
        <w:t>第四章  附则</w:t>
      </w:r>
      <w:bookmarkEnd w:id="1207"/>
      <w:bookmarkEnd w:id="1208"/>
    </w:p>
    <w:p w14:paraId="006EFB07">
      <w:pPr>
        <w:spacing w:after="120" w:line="500" w:lineRule="exact"/>
        <w:ind w:firstLine="602"/>
        <w:rPr>
          <w:rFonts w:ascii="仿宋" w:hAnsi="仿宋" w:eastAsia="仿宋" w:cs="仿宋"/>
          <w:sz w:val="30"/>
          <w:szCs w:val="30"/>
        </w:rPr>
      </w:pPr>
      <w:r>
        <w:rPr>
          <w:rFonts w:hint="eastAsia" w:ascii="仿宋" w:hAnsi="仿宋" w:eastAsia="仿宋" w:cs="仿宋"/>
          <w:b/>
          <w:sz w:val="30"/>
          <w:szCs w:val="30"/>
        </w:rPr>
        <w:t>第十八条</w:t>
      </w:r>
      <w:r>
        <w:rPr>
          <w:rFonts w:hint="eastAsia" w:ascii="仿宋" w:hAnsi="仿宋" w:eastAsia="仿宋" w:cs="仿宋"/>
          <w:sz w:val="30"/>
          <w:szCs w:val="30"/>
        </w:rPr>
        <w:t xml:space="preserve">  本办法自印发之日起执行。如遇国家、省和市相关政策调整，则按相关政策执行。</w:t>
      </w:r>
    </w:p>
    <w:p w14:paraId="15AEBBC4">
      <w:pPr>
        <w:tabs>
          <w:tab w:val="left" w:pos="709"/>
        </w:tabs>
        <w:spacing w:after="120" w:line="500" w:lineRule="exact"/>
        <w:ind w:firstLine="300" w:firstLineChars="100"/>
        <w:rPr>
          <w:rFonts w:ascii="仿宋" w:hAnsi="仿宋" w:eastAsia="仿宋" w:cs="仿宋"/>
          <w:sz w:val="30"/>
          <w:szCs w:val="30"/>
        </w:rPr>
      </w:pPr>
      <w:bookmarkStart w:id="1209" w:name="_Toc2577"/>
      <w:bookmarkStart w:id="1210" w:name="_Toc12950"/>
      <w:r>
        <w:rPr>
          <w:rFonts w:hint="eastAsia" w:ascii="仿宋" w:hAnsi="仿宋" w:eastAsia="仿宋" w:cs="仿宋"/>
          <w:sz w:val="30"/>
          <w:szCs w:val="30"/>
        </w:rPr>
        <w:t>附件：1.省代建局直接代建项目工程款资金监督管理协议；</w:t>
      </w:r>
      <w:bookmarkEnd w:id="1209"/>
      <w:bookmarkEnd w:id="1210"/>
    </w:p>
    <w:p w14:paraId="24DF6E44">
      <w:pPr>
        <w:spacing w:after="120" w:line="500" w:lineRule="exact"/>
        <w:ind w:firstLine="600"/>
        <w:rPr>
          <w:rFonts w:ascii="仿宋" w:hAnsi="仿宋" w:eastAsia="仿宋" w:cs="仿宋"/>
          <w:sz w:val="30"/>
          <w:szCs w:val="30"/>
        </w:rPr>
      </w:pPr>
      <w:r>
        <w:rPr>
          <w:rFonts w:hint="eastAsia" w:ascii="仿宋" w:hAnsi="仿宋" w:eastAsia="仿宋" w:cs="仿宋"/>
          <w:sz w:val="30"/>
          <w:szCs w:val="30"/>
        </w:rPr>
        <w:t xml:space="preserve">  2.工程款资金使用计划确认表。</w:t>
      </w:r>
    </w:p>
    <w:p w14:paraId="3E416447">
      <w:pPr>
        <w:pStyle w:val="26"/>
        <w:spacing w:after="120"/>
      </w:pPr>
    </w:p>
    <w:p w14:paraId="5D6AB387">
      <w:pPr>
        <w:pStyle w:val="26"/>
        <w:spacing w:after="120"/>
      </w:pPr>
    </w:p>
    <w:p w14:paraId="21FC34D7">
      <w:pPr>
        <w:pStyle w:val="26"/>
        <w:spacing w:after="120"/>
      </w:pPr>
    </w:p>
    <w:p w14:paraId="1F64A77A">
      <w:pPr>
        <w:pStyle w:val="106"/>
        <w:numPr>
          <w:ilvl w:val="0"/>
          <w:numId w:val="0"/>
        </w:numPr>
        <w:spacing w:after="120"/>
        <w:rPr>
          <w:rFonts w:ascii="仿宋" w:hAnsi="仿宋" w:eastAsia="仿宋" w:cs="仿宋"/>
          <w:b/>
          <w:bCs/>
          <w:sz w:val="32"/>
          <w:szCs w:val="32"/>
        </w:rPr>
      </w:pPr>
      <w:r>
        <w:rPr>
          <w:rFonts w:hint="eastAsia" w:ascii="仿宋" w:hAnsi="仿宋" w:eastAsia="仿宋" w:cs="仿宋"/>
          <w:b/>
          <w:bCs/>
          <w:sz w:val="32"/>
          <w:szCs w:val="32"/>
        </w:rPr>
        <w:t>附件1</w:t>
      </w:r>
    </w:p>
    <w:p w14:paraId="15D05849">
      <w:pPr>
        <w:pStyle w:val="106"/>
        <w:numPr>
          <w:ilvl w:val="0"/>
          <w:numId w:val="0"/>
        </w:numPr>
        <w:spacing w:after="120"/>
        <w:jc w:val="center"/>
        <w:rPr>
          <w:rFonts w:ascii="仿宋" w:hAnsi="仿宋" w:eastAsia="仿宋" w:cs="仿宋"/>
          <w:b/>
          <w:bCs/>
          <w:sz w:val="32"/>
          <w:szCs w:val="32"/>
        </w:rPr>
      </w:pPr>
    </w:p>
    <w:p w14:paraId="5CA8CEC1">
      <w:pPr>
        <w:spacing w:after="120"/>
        <w:ind w:firstLine="881"/>
        <w:jc w:val="center"/>
        <w:rPr>
          <w:rFonts w:ascii="华文仿宋" w:hAnsi="华文仿宋" w:eastAsia="华文仿宋" w:cs="华文仿宋"/>
          <w:b/>
          <w:kern w:val="44"/>
          <w:sz w:val="44"/>
        </w:rPr>
      </w:pPr>
      <w:r>
        <w:rPr>
          <w:rFonts w:hint="eastAsia" w:ascii="华文仿宋" w:hAnsi="华文仿宋" w:eastAsia="华文仿宋" w:cs="华文仿宋"/>
          <w:b/>
          <w:kern w:val="44"/>
          <w:sz w:val="44"/>
        </w:rPr>
        <w:t>广东省代建项目管理局</w:t>
      </w:r>
    </w:p>
    <w:p w14:paraId="27FC6098">
      <w:pPr>
        <w:spacing w:after="120"/>
        <w:ind w:firstLine="881"/>
        <w:jc w:val="center"/>
        <w:rPr>
          <w:rFonts w:ascii="华文仿宋" w:hAnsi="华文仿宋" w:eastAsia="华文仿宋" w:cs="华文仿宋"/>
          <w:b/>
          <w:kern w:val="44"/>
          <w:sz w:val="44"/>
        </w:rPr>
      </w:pPr>
      <w:r>
        <w:rPr>
          <w:rFonts w:hint="eastAsia" w:ascii="华文仿宋" w:hAnsi="华文仿宋" w:eastAsia="华文仿宋" w:cs="华文仿宋"/>
          <w:b/>
          <w:kern w:val="44"/>
          <w:sz w:val="44"/>
        </w:rPr>
        <w:t>项目建设资金监督管理协议</w:t>
      </w:r>
    </w:p>
    <w:p w14:paraId="7AA5C269">
      <w:pPr>
        <w:spacing w:after="120"/>
        <w:jc w:val="center"/>
        <w:rPr>
          <w:rFonts w:ascii="彩虹粗仿宋" w:eastAsia="彩虹粗仿宋"/>
        </w:rPr>
      </w:pPr>
    </w:p>
    <w:p w14:paraId="7521B050">
      <w:pPr>
        <w:spacing w:after="120"/>
        <w:ind w:firstLine="2160" w:firstLineChars="900"/>
        <w:rPr>
          <w:rFonts w:ascii="彩虹粗仿宋" w:eastAsia="彩虹粗仿宋"/>
        </w:rPr>
      </w:pPr>
      <w:r>
        <w:rPr>
          <w:rFonts w:hint="eastAsia" w:ascii="华文仿宋" w:hAnsi="华文仿宋" w:eastAsia="华文仿宋" w:cs="华文仿宋"/>
        </w:rPr>
        <w:t>编号：</w:t>
      </w:r>
      <w:r>
        <w:rPr>
          <w:rFonts w:hint="eastAsia" w:ascii="彩虹粗仿宋" w:eastAsia="彩虹粗仿宋"/>
        </w:rPr>
        <w:t xml:space="preserve"> </w:t>
      </w:r>
    </w:p>
    <w:p w14:paraId="7E76E1E1">
      <w:pPr>
        <w:spacing w:after="120"/>
        <w:jc w:val="center"/>
        <w:rPr>
          <w:rFonts w:ascii="彩虹粗仿宋" w:eastAsia="彩虹粗仿宋"/>
        </w:rPr>
      </w:pPr>
    </w:p>
    <w:p w14:paraId="147DBF20">
      <w:pPr>
        <w:spacing w:after="120"/>
        <w:jc w:val="center"/>
        <w:rPr>
          <w:rFonts w:ascii="彩虹粗仿宋" w:eastAsia="彩虹粗仿宋"/>
        </w:rPr>
      </w:pPr>
    </w:p>
    <w:p w14:paraId="367427E3">
      <w:pPr>
        <w:spacing w:after="120"/>
        <w:jc w:val="center"/>
        <w:rPr>
          <w:rFonts w:ascii="彩虹粗仿宋" w:eastAsia="彩虹粗仿宋"/>
        </w:rPr>
      </w:pPr>
    </w:p>
    <w:p w14:paraId="7DC1E8BE">
      <w:pPr>
        <w:spacing w:after="120"/>
        <w:jc w:val="center"/>
        <w:rPr>
          <w:rFonts w:ascii="彩虹粗仿宋" w:eastAsia="彩虹粗仿宋"/>
        </w:rPr>
      </w:pPr>
    </w:p>
    <w:p w14:paraId="120E8407">
      <w:pPr>
        <w:spacing w:after="120"/>
        <w:jc w:val="center"/>
        <w:rPr>
          <w:rFonts w:ascii="彩虹粗仿宋" w:eastAsia="彩虹粗仿宋"/>
        </w:rPr>
      </w:pPr>
    </w:p>
    <w:p w14:paraId="57D62B22">
      <w:pPr>
        <w:spacing w:after="120"/>
        <w:rPr>
          <w:rFonts w:ascii="彩虹粗仿宋" w:eastAsia="彩虹粗仿宋"/>
        </w:rPr>
      </w:pPr>
    </w:p>
    <w:p w14:paraId="6771A551">
      <w:pPr>
        <w:spacing w:after="120"/>
        <w:ind w:left="1598" w:leftChars="666"/>
        <w:jc w:val="left"/>
        <w:rPr>
          <w:rFonts w:ascii="华文仿宋" w:hAnsi="华文仿宋" w:eastAsia="华文仿宋" w:cs="华文仿宋"/>
        </w:rPr>
      </w:pPr>
      <w:r>
        <w:rPr>
          <w:rFonts w:hint="eastAsia" w:ascii="华文仿宋" w:hAnsi="华文仿宋" w:eastAsia="华文仿宋" w:cs="华文仿宋"/>
        </w:rPr>
        <w:t>甲 方：广东省代建项目管理局</w:t>
      </w:r>
    </w:p>
    <w:p w14:paraId="0B1E16A0">
      <w:pPr>
        <w:spacing w:after="120"/>
        <w:ind w:left="1598" w:leftChars="666"/>
        <w:jc w:val="left"/>
        <w:rPr>
          <w:rFonts w:ascii="华文仿宋" w:hAnsi="华文仿宋" w:eastAsia="华文仿宋" w:cs="华文仿宋"/>
        </w:rPr>
      </w:pPr>
      <w:r>
        <w:rPr>
          <w:rFonts w:hint="eastAsia" w:ascii="华文仿宋" w:hAnsi="华文仿宋" w:eastAsia="华文仿宋" w:cs="华文仿宋"/>
        </w:rPr>
        <w:t xml:space="preserve">乙 方： </w:t>
      </w:r>
    </w:p>
    <w:p w14:paraId="23B8A1FD">
      <w:pPr>
        <w:spacing w:after="120"/>
        <w:ind w:left="1598" w:leftChars="666"/>
        <w:jc w:val="left"/>
        <w:rPr>
          <w:rFonts w:ascii="彩虹粗仿宋" w:eastAsia="彩虹粗仿宋"/>
        </w:rPr>
      </w:pPr>
      <w:r>
        <w:rPr>
          <w:rFonts w:hint="eastAsia" w:ascii="华文仿宋" w:hAnsi="华文仿宋" w:eastAsia="华文仿宋" w:cs="华文仿宋"/>
        </w:rPr>
        <w:t>丙 方（监管银行）：</w:t>
      </w:r>
      <w:r>
        <w:rPr>
          <w:rFonts w:hint="eastAsia" w:ascii="彩虹粗仿宋" w:eastAsia="彩虹粗仿宋"/>
        </w:rPr>
        <w:t xml:space="preserve"> </w:t>
      </w:r>
    </w:p>
    <w:p w14:paraId="38E2D9E1">
      <w:pPr>
        <w:spacing w:after="120"/>
        <w:ind w:left="1598" w:leftChars="666"/>
        <w:jc w:val="left"/>
        <w:rPr>
          <w:rFonts w:ascii="彩虹粗仿宋" w:eastAsia="彩虹粗仿宋"/>
        </w:rPr>
      </w:pPr>
    </w:p>
    <w:p w14:paraId="1895D244">
      <w:pPr>
        <w:spacing w:after="120"/>
        <w:ind w:left="1598" w:leftChars="666"/>
        <w:jc w:val="left"/>
        <w:rPr>
          <w:rFonts w:ascii="彩虹粗仿宋" w:eastAsia="彩虹粗仿宋"/>
        </w:rPr>
      </w:pPr>
    </w:p>
    <w:p w14:paraId="4586E2ED">
      <w:pPr>
        <w:spacing w:after="120"/>
        <w:ind w:left="1598" w:leftChars="666"/>
        <w:jc w:val="left"/>
        <w:rPr>
          <w:rFonts w:ascii="彩虹粗仿宋" w:eastAsia="彩虹粗仿宋"/>
        </w:rPr>
      </w:pPr>
    </w:p>
    <w:p w14:paraId="1B1DE68A">
      <w:pPr>
        <w:spacing w:after="120"/>
        <w:ind w:firstLine="0" w:firstLineChars="0"/>
        <w:rPr>
          <w:rFonts w:ascii="CESI仿宋-GB2312" w:hAnsi="CESI仿宋-GB2312" w:eastAsia="CESI仿宋-GB2312" w:cs="CESI仿宋-GB2312"/>
        </w:rPr>
      </w:pPr>
    </w:p>
    <w:p w14:paraId="602D2BAE">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甲</w:t>
      </w:r>
      <w:r>
        <w:rPr>
          <w:rFonts w:ascii="仿宋_GB2312" w:hAnsi="CESI仿宋-GB2312" w:eastAsia="仿宋_GB2312" w:cs="CESI仿宋-GB2312"/>
        </w:rPr>
        <w:t xml:space="preserve">      </w:t>
      </w:r>
      <w:r>
        <w:rPr>
          <w:rFonts w:hint="eastAsia" w:ascii="仿宋_GB2312" w:hAnsi="CESI仿宋-GB2312" w:eastAsia="仿宋_GB2312" w:cs="CESI仿宋-GB2312"/>
        </w:rPr>
        <w:t>方：广东省代建项目管理局</w:t>
      </w:r>
    </w:p>
    <w:p w14:paraId="6BA52FA7">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法定代表人：</w:t>
      </w:r>
      <w:r>
        <w:rPr>
          <w:rFonts w:ascii="仿宋_GB2312" w:hAnsi="CESI仿宋-GB2312" w:eastAsia="仿宋_GB2312" w:cs="CESI仿宋-GB2312"/>
        </w:rPr>
        <w:t xml:space="preserve"> </w:t>
      </w:r>
    </w:p>
    <w:p w14:paraId="1B65ED94">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授权代理人：</w:t>
      </w:r>
      <w:r>
        <w:rPr>
          <w:rFonts w:ascii="仿宋_GB2312" w:hAnsi="CESI仿宋-GB2312" w:eastAsia="仿宋_GB2312" w:cs="CESI仿宋-GB2312"/>
        </w:rPr>
        <w:t xml:space="preserve"> </w:t>
      </w:r>
    </w:p>
    <w:p w14:paraId="04974C9A">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地</w:t>
      </w:r>
      <w:r>
        <w:rPr>
          <w:rFonts w:ascii="仿宋_GB2312" w:hAnsi="CESI仿宋-GB2312" w:eastAsia="仿宋_GB2312" w:cs="CESI仿宋-GB2312"/>
        </w:rPr>
        <w:t xml:space="preserve">      </w:t>
      </w:r>
      <w:r>
        <w:rPr>
          <w:rFonts w:hint="eastAsia" w:ascii="仿宋_GB2312" w:hAnsi="CESI仿宋-GB2312" w:eastAsia="仿宋_GB2312" w:cs="CESI仿宋-GB2312"/>
        </w:rPr>
        <w:t>址：</w:t>
      </w:r>
      <w:r>
        <w:rPr>
          <w:rFonts w:ascii="仿宋_GB2312" w:hAnsi="CESI仿宋-GB2312" w:eastAsia="仿宋_GB2312" w:cs="CESI仿宋-GB2312"/>
        </w:rPr>
        <w:t xml:space="preserve"> </w:t>
      </w:r>
      <w:r>
        <w:rPr>
          <w:rFonts w:hint="eastAsia" w:ascii="仿宋_GB2312" w:hAnsi="CESI仿宋-GB2312" w:eastAsia="仿宋_GB2312" w:cs="CESI仿宋-GB2312"/>
        </w:rPr>
        <w:t>广州市黄埔大道西</w:t>
      </w:r>
      <w:r>
        <w:rPr>
          <w:rFonts w:ascii="仿宋_GB2312" w:hAnsi="CESI仿宋-GB2312" w:eastAsia="仿宋_GB2312" w:cs="CESI仿宋-GB2312"/>
        </w:rPr>
        <w:t>108号奥园大厦11楼、12楼东翼</w:t>
      </w:r>
    </w:p>
    <w:p w14:paraId="2337C8F4">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电</w:t>
      </w:r>
      <w:r>
        <w:rPr>
          <w:rFonts w:ascii="仿宋_GB2312" w:hAnsi="CESI仿宋-GB2312" w:eastAsia="仿宋_GB2312" w:cs="CESI仿宋-GB2312"/>
        </w:rPr>
        <w:t xml:space="preserve">      </w:t>
      </w:r>
      <w:r>
        <w:rPr>
          <w:rFonts w:hint="eastAsia" w:ascii="仿宋_GB2312" w:hAnsi="CESI仿宋-GB2312" w:eastAsia="仿宋_GB2312" w:cs="CESI仿宋-GB2312"/>
        </w:rPr>
        <w:t>话：</w:t>
      </w:r>
      <w:r>
        <w:rPr>
          <w:rFonts w:ascii="仿宋_GB2312" w:hAnsi="CESI仿宋-GB2312" w:eastAsia="仿宋_GB2312" w:cs="CESI仿宋-GB2312"/>
        </w:rPr>
        <w:t xml:space="preserve"> 020-83620802</w:t>
      </w:r>
    </w:p>
    <w:p w14:paraId="3B900823">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电</w:t>
      </w:r>
      <w:r>
        <w:rPr>
          <w:rFonts w:ascii="仿宋_GB2312" w:hAnsi="CESI仿宋-GB2312" w:eastAsia="仿宋_GB2312" w:cs="CESI仿宋-GB2312"/>
        </w:rPr>
        <w:t xml:space="preserve"> </w:t>
      </w:r>
      <w:r>
        <w:rPr>
          <w:rFonts w:hint="eastAsia" w:ascii="仿宋_GB2312" w:hAnsi="CESI仿宋-GB2312" w:eastAsia="仿宋_GB2312" w:cs="CESI仿宋-GB2312"/>
        </w:rPr>
        <w:t>子邮</w:t>
      </w:r>
      <w:r>
        <w:rPr>
          <w:rFonts w:ascii="仿宋_GB2312" w:hAnsi="CESI仿宋-GB2312" w:eastAsia="仿宋_GB2312" w:cs="CESI仿宋-GB2312"/>
        </w:rPr>
        <w:t xml:space="preserve"> 箱： 无</w:t>
      </w:r>
    </w:p>
    <w:p w14:paraId="7F70B7DD">
      <w:pPr>
        <w:spacing w:after="120" w:line="324" w:lineRule="auto"/>
        <w:rPr>
          <w:rFonts w:ascii="仿宋_GB2312" w:hAnsi="CESI仿宋-GB2312" w:eastAsia="仿宋_GB2312" w:cs="CESI仿宋-GB2312"/>
        </w:rPr>
      </w:pPr>
    </w:p>
    <w:p w14:paraId="5ED13586">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乙</w:t>
      </w:r>
      <w:r>
        <w:rPr>
          <w:rFonts w:ascii="仿宋_GB2312" w:hAnsi="CESI仿宋-GB2312" w:eastAsia="仿宋_GB2312" w:cs="CESI仿宋-GB2312"/>
        </w:rPr>
        <w:t xml:space="preserve">      方： </w:t>
      </w:r>
    </w:p>
    <w:p w14:paraId="54DB543A">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法定代表人：</w:t>
      </w:r>
      <w:r>
        <w:rPr>
          <w:rFonts w:ascii="仿宋_GB2312" w:hAnsi="CESI仿宋-GB2312" w:eastAsia="仿宋_GB2312" w:cs="CESI仿宋-GB2312"/>
        </w:rPr>
        <w:t xml:space="preserve"> </w:t>
      </w:r>
    </w:p>
    <w:p w14:paraId="44870EDA">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授权代理人：</w:t>
      </w:r>
      <w:r>
        <w:rPr>
          <w:rFonts w:ascii="仿宋_GB2312" w:hAnsi="CESI仿宋-GB2312" w:eastAsia="仿宋_GB2312" w:cs="CESI仿宋-GB2312"/>
        </w:rPr>
        <w:t xml:space="preserve"> </w:t>
      </w:r>
    </w:p>
    <w:p w14:paraId="54E29945">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地</w:t>
      </w:r>
      <w:r>
        <w:rPr>
          <w:rFonts w:ascii="仿宋_GB2312" w:hAnsi="CESI仿宋-GB2312" w:eastAsia="仿宋_GB2312" w:cs="CESI仿宋-GB2312"/>
        </w:rPr>
        <w:t xml:space="preserve">      址： </w:t>
      </w:r>
    </w:p>
    <w:p w14:paraId="50BCEEED">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电</w:t>
      </w:r>
      <w:r>
        <w:rPr>
          <w:rFonts w:ascii="仿宋_GB2312" w:hAnsi="CESI仿宋-GB2312" w:eastAsia="仿宋_GB2312" w:cs="CESI仿宋-GB2312"/>
        </w:rPr>
        <w:t xml:space="preserve">      话： </w:t>
      </w:r>
    </w:p>
    <w:p w14:paraId="6D7436EB">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电</w:t>
      </w:r>
      <w:r>
        <w:rPr>
          <w:rFonts w:ascii="仿宋_GB2312" w:hAnsi="CESI仿宋-GB2312" w:eastAsia="仿宋_GB2312" w:cs="CESI仿宋-GB2312"/>
        </w:rPr>
        <w:t xml:space="preserve"> </w:t>
      </w:r>
      <w:r>
        <w:rPr>
          <w:rFonts w:hint="eastAsia" w:ascii="仿宋_GB2312" w:hAnsi="CESI仿宋-GB2312" w:eastAsia="仿宋_GB2312" w:cs="CESI仿宋-GB2312"/>
        </w:rPr>
        <w:t>子邮</w:t>
      </w:r>
      <w:r>
        <w:rPr>
          <w:rFonts w:ascii="仿宋_GB2312" w:hAnsi="CESI仿宋-GB2312" w:eastAsia="仿宋_GB2312" w:cs="CESI仿宋-GB2312"/>
        </w:rPr>
        <w:t xml:space="preserve"> 箱： </w:t>
      </w:r>
    </w:p>
    <w:p w14:paraId="6016F279">
      <w:pPr>
        <w:spacing w:after="120" w:line="324" w:lineRule="auto"/>
        <w:rPr>
          <w:rFonts w:ascii="仿宋_GB2312" w:hAnsi="CESI仿宋-GB2312" w:eastAsia="仿宋_GB2312" w:cs="CESI仿宋-GB2312"/>
        </w:rPr>
      </w:pPr>
    </w:p>
    <w:p w14:paraId="1DFA5A3F">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丙</w:t>
      </w:r>
      <w:r>
        <w:rPr>
          <w:rFonts w:ascii="仿宋_GB2312" w:hAnsi="CESI仿宋-GB2312" w:eastAsia="仿宋_GB2312" w:cs="CESI仿宋-GB2312"/>
        </w:rPr>
        <w:t xml:space="preserve">      </w:t>
      </w:r>
      <w:r>
        <w:rPr>
          <w:rFonts w:hint="eastAsia" w:ascii="仿宋_GB2312" w:hAnsi="CESI仿宋-GB2312" w:eastAsia="仿宋_GB2312" w:cs="CESI仿宋-GB2312"/>
        </w:rPr>
        <w:t>方（监管银行）：</w:t>
      </w:r>
    </w:p>
    <w:p w14:paraId="2BE3B4C2">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负</w:t>
      </w:r>
      <w:r>
        <w:rPr>
          <w:rFonts w:ascii="仿宋_GB2312" w:hAnsi="CESI仿宋-GB2312" w:eastAsia="仿宋_GB2312" w:cs="CESI仿宋-GB2312"/>
        </w:rPr>
        <w:t xml:space="preserve">  </w:t>
      </w:r>
      <w:r>
        <w:rPr>
          <w:rFonts w:hint="eastAsia" w:ascii="仿宋_GB2312" w:hAnsi="CESI仿宋-GB2312" w:eastAsia="仿宋_GB2312" w:cs="CESI仿宋-GB2312"/>
        </w:rPr>
        <w:t>责</w:t>
      </w:r>
      <w:r>
        <w:rPr>
          <w:rFonts w:ascii="仿宋_GB2312" w:hAnsi="CESI仿宋-GB2312" w:eastAsia="仿宋_GB2312" w:cs="CESI仿宋-GB2312"/>
        </w:rPr>
        <w:t xml:space="preserve">  人：</w:t>
      </w:r>
    </w:p>
    <w:p w14:paraId="68C7AED9">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授权代理人：</w:t>
      </w:r>
      <w:r>
        <w:rPr>
          <w:rFonts w:ascii="仿宋_GB2312" w:hAnsi="CESI仿宋-GB2312" w:eastAsia="仿宋_GB2312" w:cs="CESI仿宋-GB2312"/>
        </w:rPr>
        <w:t xml:space="preserve"> </w:t>
      </w:r>
    </w:p>
    <w:p w14:paraId="7AA77189">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地</w:t>
      </w:r>
      <w:r>
        <w:rPr>
          <w:rFonts w:ascii="仿宋_GB2312" w:hAnsi="CESI仿宋-GB2312" w:eastAsia="仿宋_GB2312" w:cs="CESI仿宋-GB2312"/>
        </w:rPr>
        <w:t xml:space="preserve">      </w:t>
      </w:r>
      <w:r>
        <w:rPr>
          <w:rFonts w:hint="eastAsia" w:ascii="仿宋_GB2312" w:hAnsi="CESI仿宋-GB2312" w:eastAsia="仿宋_GB2312" w:cs="CESI仿宋-GB2312"/>
        </w:rPr>
        <w:t>址：</w:t>
      </w:r>
    </w:p>
    <w:p w14:paraId="08F1E2B8">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电</w:t>
      </w:r>
      <w:r>
        <w:rPr>
          <w:rFonts w:ascii="仿宋_GB2312" w:hAnsi="CESI仿宋-GB2312" w:eastAsia="仿宋_GB2312" w:cs="CESI仿宋-GB2312"/>
        </w:rPr>
        <w:t xml:space="preserve">      </w:t>
      </w:r>
      <w:r>
        <w:rPr>
          <w:rFonts w:hint="eastAsia" w:ascii="仿宋_GB2312" w:hAnsi="CESI仿宋-GB2312" w:eastAsia="仿宋_GB2312" w:cs="CESI仿宋-GB2312"/>
        </w:rPr>
        <w:t>话：</w:t>
      </w:r>
    </w:p>
    <w:p w14:paraId="5F715433">
      <w:pPr>
        <w:spacing w:after="120" w:line="324" w:lineRule="auto"/>
        <w:rPr>
          <w:rFonts w:ascii="仿宋_GB2312" w:hAnsi="CESI仿宋-GB2312" w:eastAsia="仿宋_GB2312" w:cs="CESI仿宋-GB2312"/>
        </w:rPr>
      </w:pPr>
      <w:r>
        <w:rPr>
          <w:rFonts w:hint="eastAsia" w:ascii="仿宋_GB2312" w:hAnsi="CESI仿宋-GB2312" w:eastAsia="仿宋_GB2312" w:cs="CESI仿宋-GB2312"/>
        </w:rPr>
        <w:t>电</w:t>
      </w:r>
      <w:r>
        <w:rPr>
          <w:rFonts w:ascii="仿宋_GB2312" w:hAnsi="CESI仿宋-GB2312" w:eastAsia="仿宋_GB2312" w:cs="CESI仿宋-GB2312"/>
        </w:rPr>
        <w:t xml:space="preserve"> </w:t>
      </w:r>
      <w:r>
        <w:rPr>
          <w:rFonts w:hint="eastAsia" w:ascii="仿宋_GB2312" w:hAnsi="CESI仿宋-GB2312" w:eastAsia="仿宋_GB2312" w:cs="CESI仿宋-GB2312"/>
        </w:rPr>
        <w:t>子邮</w:t>
      </w:r>
      <w:r>
        <w:rPr>
          <w:rFonts w:ascii="仿宋_GB2312" w:hAnsi="CESI仿宋-GB2312" w:eastAsia="仿宋_GB2312" w:cs="CESI仿宋-GB2312"/>
        </w:rPr>
        <w:t xml:space="preserve"> 箱： </w:t>
      </w:r>
    </w:p>
    <w:p w14:paraId="41ED2D87">
      <w:pPr>
        <w:spacing w:after="120" w:line="324" w:lineRule="auto"/>
        <w:rPr>
          <w:rFonts w:ascii="仿宋_GB2312" w:hAnsi="CESI仿宋-GB2312" w:eastAsia="仿宋_GB2312" w:cs="CESI仿宋-GB2312"/>
        </w:rPr>
      </w:pPr>
    </w:p>
    <w:p w14:paraId="0E0CBD8C">
      <w:pPr>
        <w:spacing w:after="120" w:line="324" w:lineRule="auto"/>
        <w:rPr>
          <w:rFonts w:ascii="仿宋_GB2312" w:hAnsi="CESI仿宋-GB2312" w:eastAsia="仿宋_GB2312" w:cs="CESI仿宋-GB2312"/>
        </w:rPr>
      </w:pPr>
    </w:p>
    <w:p w14:paraId="48F3ED4B">
      <w:pPr>
        <w:spacing w:after="120" w:line="324" w:lineRule="auto"/>
        <w:rPr>
          <w:rFonts w:ascii="仿宋_GB2312" w:hAnsi="CESI仿宋-GB2312" w:eastAsia="仿宋_GB2312" w:cs="CESI仿宋-GB2312"/>
        </w:rPr>
      </w:pPr>
    </w:p>
    <w:p w14:paraId="648B1AA4">
      <w:pPr>
        <w:spacing w:after="120" w:line="324" w:lineRule="auto"/>
        <w:rPr>
          <w:rFonts w:ascii="仿宋_GB2312" w:hAnsi="CESI仿宋-GB2312" w:eastAsia="仿宋_GB2312" w:cs="CESI仿宋-GB2312"/>
        </w:rPr>
      </w:pPr>
    </w:p>
    <w:p w14:paraId="32183CEA">
      <w:pPr>
        <w:spacing w:after="120" w:line="324" w:lineRule="auto"/>
        <w:rPr>
          <w:rFonts w:ascii="仿宋_GB2312" w:hAnsi="CESI仿宋-GB2312" w:eastAsia="仿宋_GB2312" w:cs="CESI仿宋-GB2312"/>
        </w:rPr>
      </w:pPr>
    </w:p>
    <w:p w14:paraId="34EB1FB7">
      <w:pPr>
        <w:spacing w:after="120" w:line="324" w:lineRule="auto"/>
        <w:rPr>
          <w:rFonts w:ascii="仿宋_GB2312" w:hAnsi="CESI仿宋-GB2312" w:eastAsia="仿宋_GB2312" w:cs="CESI仿宋-GB2312"/>
        </w:rPr>
      </w:pPr>
    </w:p>
    <w:p w14:paraId="20B08BD7">
      <w:pPr>
        <w:spacing w:after="120"/>
        <w:jc w:val="center"/>
        <w:rPr>
          <w:rFonts w:ascii="仿宋_GB2312" w:hAnsi="黑体" w:eastAsia="仿宋_GB2312" w:cs="CESI仿宋-GB2312"/>
          <w:bCs/>
        </w:rPr>
      </w:pPr>
      <w:r>
        <w:rPr>
          <w:rFonts w:hint="eastAsia" w:ascii="仿宋_GB2312" w:hAnsi="黑体" w:eastAsia="仿宋_GB2312" w:cs="CESI仿宋-GB2312"/>
          <w:bCs/>
        </w:rPr>
        <w:t>第一章</w:t>
      </w:r>
      <w:r>
        <w:rPr>
          <w:rFonts w:ascii="仿宋_GB2312" w:hAnsi="黑体" w:eastAsia="仿宋_GB2312" w:cs="CESI仿宋-GB2312"/>
          <w:bCs/>
        </w:rPr>
        <w:t xml:space="preserve">  </w:t>
      </w:r>
      <w:r>
        <w:rPr>
          <w:rFonts w:hint="eastAsia" w:ascii="仿宋_GB2312" w:hAnsi="黑体" w:eastAsia="仿宋_GB2312" w:cs="CESI仿宋-GB2312"/>
          <w:bCs/>
        </w:rPr>
        <w:t>总</w:t>
      </w:r>
      <w:r>
        <w:rPr>
          <w:rFonts w:ascii="仿宋_GB2312" w:hAnsi="黑体" w:eastAsia="仿宋_GB2312" w:cs="CESI仿宋-GB2312"/>
          <w:bCs/>
        </w:rPr>
        <w:t xml:space="preserve">  </w:t>
      </w:r>
      <w:r>
        <w:rPr>
          <w:rFonts w:hint="eastAsia" w:ascii="仿宋_GB2312" w:hAnsi="黑体" w:eastAsia="仿宋_GB2312" w:cs="CESI仿宋-GB2312"/>
          <w:bCs/>
        </w:rPr>
        <w:t>则</w:t>
      </w:r>
    </w:p>
    <w:p w14:paraId="0864A2DE">
      <w:pPr>
        <w:spacing w:after="120"/>
        <w:rPr>
          <w:rFonts w:ascii="仿宋_GB2312" w:hAnsi="CESI仿宋-GB2312" w:eastAsia="仿宋_GB2312" w:cs="CESI仿宋-GB2312"/>
        </w:rPr>
      </w:pPr>
      <w:r>
        <w:rPr>
          <w:rFonts w:hint="eastAsia" w:ascii="仿宋_GB2312" w:hAnsi="CESI仿宋-GB2312" w:eastAsia="仿宋_GB2312" w:cs="CESI仿宋-GB2312"/>
        </w:rPr>
        <w:t>乙方因参与广东省代建项目管理局的</w:t>
      </w:r>
      <w:r>
        <w:rPr>
          <w:rFonts w:ascii="仿宋_GB2312" w:hAnsi="CESI仿宋-GB2312" w:eastAsia="仿宋_GB2312" w:cs="CESI仿宋-GB2312"/>
          <w:u w:val="single"/>
        </w:rPr>
        <w:t xml:space="preserve">                 </w:t>
      </w:r>
      <w:r>
        <w:rPr>
          <w:rFonts w:hint="eastAsia" w:ascii="仿宋_GB2312" w:hAnsi="CESI仿宋-GB2312" w:eastAsia="仿宋_GB2312" w:cs="CESI仿宋-GB2312"/>
        </w:rPr>
        <w:t>项目建设，与甲方签订了</w:t>
      </w:r>
      <w:r>
        <w:rPr>
          <w:rFonts w:ascii="仿宋_GB2312" w:hAnsi="CESI仿宋-GB2312" w:eastAsia="仿宋_GB2312" w:cs="CESI仿宋-GB2312"/>
          <w:u w:val="single"/>
        </w:rPr>
        <w:t xml:space="preserve">                             </w:t>
      </w:r>
      <w:r>
        <w:rPr>
          <w:rFonts w:hint="eastAsia" w:ascii="仿宋_GB2312" w:hAnsi="CESI仿宋-GB2312" w:eastAsia="仿宋_GB2312" w:cs="CESI仿宋-GB2312"/>
        </w:rPr>
        <w:t>合同（以下简称合同），并在丙方开立银行结算账户。</w:t>
      </w:r>
    </w:p>
    <w:p w14:paraId="41B53561">
      <w:pPr>
        <w:spacing w:after="120"/>
        <w:rPr>
          <w:rFonts w:ascii="仿宋_GB2312" w:eastAsia="仿宋_GB2312"/>
        </w:rPr>
      </w:pPr>
      <w:r>
        <w:rPr>
          <w:rFonts w:hint="eastAsia" w:ascii="仿宋_GB2312" w:hAnsi="CESI仿宋-GB2312" w:eastAsia="仿宋_GB2312" w:cs="CESI仿宋-GB2312"/>
        </w:rPr>
        <w:t>本协议订立的宗旨为保障合同项目下工程建设资金安全、专款专用、高效使用，确保合同的顺利履行。为明确甲、乙、丙三方的权利、义务，根据中华人民共和国相关法律、法规和合同的规定，经甲、乙、丙三方在平等、自愿基础上协商一致，特订立本协议。</w:t>
      </w:r>
    </w:p>
    <w:p w14:paraId="66F69B39">
      <w:pPr>
        <w:spacing w:after="120"/>
        <w:jc w:val="center"/>
        <w:rPr>
          <w:rFonts w:ascii="仿宋_GB2312" w:hAnsi="黑体" w:eastAsia="仿宋_GB2312" w:cs="CESI仿宋-GB2312"/>
          <w:bCs/>
        </w:rPr>
      </w:pPr>
      <w:r>
        <w:rPr>
          <w:rFonts w:hint="eastAsia" w:ascii="仿宋_GB2312" w:hAnsi="黑体" w:eastAsia="仿宋_GB2312" w:cs="CESI仿宋-GB2312"/>
          <w:bCs/>
        </w:rPr>
        <w:t>第二章</w:t>
      </w:r>
      <w:r>
        <w:rPr>
          <w:rFonts w:ascii="仿宋_GB2312" w:hAnsi="黑体" w:eastAsia="仿宋_GB2312" w:cs="CESI仿宋-GB2312"/>
          <w:bCs/>
        </w:rPr>
        <w:t xml:space="preserve">  </w:t>
      </w:r>
      <w:r>
        <w:rPr>
          <w:rFonts w:hint="eastAsia" w:ascii="仿宋_GB2312" w:hAnsi="黑体" w:eastAsia="仿宋_GB2312" w:cs="CESI仿宋-GB2312"/>
          <w:bCs/>
        </w:rPr>
        <w:t>权利与义务</w:t>
      </w:r>
    </w:p>
    <w:p w14:paraId="34B8471B">
      <w:pPr>
        <w:widowControl w:val="0"/>
        <w:numPr>
          <w:ilvl w:val="0"/>
          <w:numId w:val="36"/>
        </w:numPr>
        <w:tabs>
          <w:tab w:val="clear" w:pos="1695"/>
        </w:tabs>
        <w:wordWrap/>
        <w:topLinePunct w:val="0"/>
        <w:adjustRightInd/>
        <w:snapToGrid/>
        <w:spacing w:after="120" w:afterLines="0" w:line="240" w:lineRule="auto"/>
        <w:ind w:firstLine="480" w:firstLineChars="0"/>
        <w:rPr>
          <w:rFonts w:ascii="仿宋_GB2312" w:hAnsi="仿宋" w:eastAsia="仿宋_GB2312" w:cs="仿宋"/>
        </w:rPr>
      </w:pPr>
      <w:r>
        <w:rPr>
          <w:rFonts w:hint="eastAsia" w:ascii="仿宋_GB2312" w:hAnsi="仿宋" w:eastAsia="仿宋_GB2312" w:cs="仿宋"/>
        </w:rPr>
        <w:t>甲方的权利与义务</w:t>
      </w:r>
    </w:p>
    <w:p w14:paraId="06CC5F46">
      <w:pPr>
        <w:widowControl w:val="0"/>
        <w:numPr>
          <w:ilvl w:val="0"/>
          <w:numId w:val="37"/>
        </w:numPr>
        <w:wordWrap/>
        <w:topLinePunct w:val="0"/>
        <w:adjustRightInd/>
        <w:snapToGrid/>
        <w:spacing w:after="120" w:afterLines="0" w:line="240" w:lineRule="auto"/>
        <w:rPr>
          <w:rFonts w:ascii="仿宋_GB2312" w:hAnsi="仿宋" w:eastAsia="仿宋_GB2312" w:cs="仿宋"/>
        </w:rPr>
      </w:pPr>
      <w:r>
        <w:rPr>
          <w:rFonts w:hint="eastAsia" w:ascii="仿宋_GB2312" w:hAnsi="仿宋" w:eastAsia="仿宋_GB2312" w:cs="仿宋"/>
        </w:rPr>
        <w:t>甲方对于合同项目下应拨付给乙方的资金，将划拨至乙方在丙方所开立的账户内（以下简称监管账户）。监管账户信息如下：</w:t>
      </w:r>
    </w:p>
    <w:p w14:paraId="3331904B">
      <w:pPr>
        <w:numPr>
          <w:ilvl w:val="255"/>
          <w:numId w:val="0"/>
        </w:numPr>
        <w:spacing w:after="120"/>
        <w:ind w:firstLine="480" w:firstLineChars="200"/>
        <w:rPr>
          <w:rFonts w:ascii="仿宋_GB2312" w:hAnsi="仿宋" w:eastAsia="仿宋_GB2312" w:cs="仿宋"/>
          <w:u w:val="single"/>
        </w:rPr>
      </w:pPr>
      <w:r>
        <w:rPr>
          <w:rFonts w:hint="eastAsia" w:ascii="仿宋_GB2312" w:hAnsi="仿宋" w:eastAsia="仿宋_GB2312" w:cs="仿宋"/>
        </w:rPr>
        <w:t>开户户名：</w:t>
      </w:r>
      <w:r>
        <w:rPr>
          <w:rFonts w:ascii="仿宋_GB2312" w:hAnsi="仿宋" w:eastAsia="仿宋_GB2312" w:cs="仿宋"/>
          <w:u w:val="single"/>
        </w:rPr>
        <w:t xml:space="preserve">                        </w:t>
      </w:r>
    </w:p>
    <w:p w14:paraId="5CDE8F10">
      <w:pPr>
        <w:numPr>
          <w:ilvl w:val="255"/>
          <w:numId w:val="0"/>
        </w:numPr>
        <w:spacing w:after="120"/>
        <w:ind w:firstLine="480" w:firstLineChars="200"/>
        <w:rPr>
          <w:rFonts w:ascii="仿宋_GB2312" w:hAnsi="仿宋" w:eastAsia="仿宋_GB2312" w:cs="仿宋"/>
          <w:u w:val="single"/>
        </w:rPr>
      </w:pPr>
      <w:r>
        <w:rPr>
          <w:rFonts w:hint="eastAsia" w:ascii="仿宋_GB2312" w:hAnsi="仿宋" w:eastAsia="仿宋_GB2312" w:cs="仿宋"/>
        </w:rPr>
        <w:t>银行账号：</w:t>
      </w:r>
      <w:r>
        <w:rPr>
          <w:rFonts w:ascii="仿宋_GB2312" w:hAnsi="仿宋" w:eastAsia="仿宋_GB2312" w:cs="仿宋"/>
          <w:u w:val="single"/>
        </w:rPr>
        <w:t xml:space="preserve">                        </w:t>
      </w:r>
    </w:p>
    <w:p w14:paraId="2D8D1AC2">
      <w:pPr>
        <w:numPr>
          <w:ilvl w:val="255"/>
          <w:numId w:val="0"/>
        </w:numPr>
        <w:spacing w:after="120"/>
        <w:ind w:firstLine="480" w:firstLineChars="200"/>
        <w:rPr>
          <w:rFonts w:ascii="仿宋_GB2312" w:hAnsi="仿宋" w:eastAsia="仿宋_GB2312" w:cs="仿宋"/>
          <w:u w:val="single"/>
        </w:rPr>
      </w:pPr>
      <w:r>
        <w:rPr>
          <w:rFonts w:hint="eastAsia" w:ascii="仿宋_GB2312" w:hAnsi="仿宋" w:eastAsia="仿宋_GB2312" w:cs="仿宋"/>
        </w:rPr>
        <w:t>开户银行：</w:t>
      </w:r>
      <w:r>
        <w:rPr>
          <w:rFonts w:ascii="仿宋_GB2312" w:hAnsi="仿宋" w:eastAsia="仿宋_GB2312" w:cs="仿宋"/>
          <w:u w:val="single"/>
        </w:rPr>
        <w:t xml:space="preserve">                        </w:t>
      </w:r>
    </w:p>
    <w:p w14:paraId="06D278A8">
      <w:pPr>
        <w:spacing w:after="120"/>
        <w:rPr>
          <w:rFonts w:ascii="仿宋_GB2312" w:hAnsi="仿宋" w:eastAsia="仿宋_GB2312" w:cs="仿宋"/>
        </w:rPr>
      </w:pPr>
      <w:r>
        <w:rPr>
          <w:rFonts w:ascii="仿宋_GB2312" w:hAnsi="仿宋" w:eastAsia="仿宋_GB2312" w:cs="仿宋"/>
        </w:rPr>
        <w:t>2、甲方有权按本协议约定，向丙方申请打印该监管账户的账户明细,包括该监管账户的发生额、余额、转账结算的对方账号和户名、用途等信息；</w:t>
      </w:r>
    </w:p>
    <w:p w14:paraId="59288EA1">
      <w:pPr>
        <w:spacing w:after="120"/>
        <w:rPr>
          <w:rFonts w:ascii="仿宋_GB2312" w:hAnsi="仿宋" w:eastAsia="仿宋_GB2312" w:cs="仿宋"/>
        </w:rPr>
      </w:pPr>
      <w:r>
        <w:rPr>
          <w:rFonts w:ascii="仿宋_GB2312" w:hAnsi="仿宋" w:eastAsia="仿宋_GB2312" w:cs="仿宋"/>
        </w:rPr>
        <w:t>3、甲方有权通过丙方监管产品对乙方监管账户实施强监管，包括对乙方监管账户各类款项进行支付定向控制、支付限额控制、大额资金逐笔审核等；</w:t>
      </w:r>
    </w:p>
    <w:p w14:paraId="1737D514">
      <w:pPr>
        <w:spacing w:after="120"/>
        <w:rPr>
          <w:rFonts w:ascii="仿宋_GB2312" w:hAnsi="仿宋" w:eastAsia="仿宋_GB2312" w:cs="仿宋"/>
          <w:highlight w:val="yellow"/>
        </w:rPr>
      </w:pPr>
      <w:r>
        <w:rPr>
          <w:rFonts w:ascii="仿宋_GB2312" w:hAnsi="仿宋" w:eastAsia="仿宋_GB2312" w:cs="仿宋"/>
        </w:rPr>
        <w:t>4、甲方有义务对乙方监管账户信息和丙方业务操作内容保密。</w:t>
      </w:r>
    </w:p>
    <w:p w14:paraId="0BCD2714">
      <w:pPr>
        <w:widowControl w:val="0"/>
        <w:numPr>
          <w:ilvl w:val="0"/>
          <w:numId w:val="36"/>
        </w:numPr>
        <w:tabs>
          <w:tab w:val="clear" w:pos="1695"/>
        </w:tabs>
        <w:wordWrap/>
        <w:topLinePunct w:val="0"/>
        <w:adjustRightInd/>
        <w:snapToGrid/>
        <w:spacing w:after="120" w:afterLines="0" w:line="240" w:lineRule="auto"/>
        <w:ind w:firstLine="480" w:firstLineChars="0"/>
        <w:rPr>
          <w:rFonts w:ascii="仿宋_GB2312" w:hAnsi="仿宋" w:eastAsia="仿宋_GB2312" w:cs="仿宋"/>
        </w:rPr>
      </w:pPr>
      <w:r>
        <w:rPr>
          <w:rFonts w:hint="eastAsia" w:ascii="仿宋_GB2312" w:hAnsi="仿宋" w:eastAsia="仿宋_GB2312" w:cs="仿宋"/>
        </w:rPr>
        <w:t>乙方的权利与义务</w:t>
      </w:r>
    </w:p>
    <w:p w14:paraId="5CA9B765">
      <w:pPr>
        <w:spacing w:after="120"/>
        <w:rPr>
          <w:rFonts w:ascii="仿宋_GB2312" w:hAnsi="仿宋" w:eastAsia="仿宋_GB2312" w:cs="仿宋"/>
        </w:rPr>
      </w:pPr>
      <w:r>
        <w:rPr>
          <w:rFonts w:ascii="仿宋_GB2312" w:hAnsi="仿宋" w:eastAsia="仿宋_GB2312" w:cs="仿宋"/>
        </w:rPr>
        <w:t>1、乙方在丙方开立银行结算账户，享受丙方所提供的优质银行服务；</w:t>
      </w:r>
    </w:p>
    <w:p w14:paraId="38EA1B95">
      <w:pPr>
        <w:spacing w:after="120"/>
        <w:rPr>
          <w:rFonts w:ascii="仿宋_GB2312" w:hAnsi="仿宋" w:eastAsia="仿宋_GB2312" w:cs="仿宋"/>
        </w:rPr>
      </w:pPr>
      <w:r>
        <w:rPr>
          <w:rFonts w:ascii="仿宋_GB2312" w:hAnsi="仿宋" w:eastAsia="仿宋_GB2312" w:cs="仿宋"/>
        </w:rPr>
        <w:t>2、乙方有权要求甲、丙双方对其监管账户信息对外保密,根据法律法规相关规定或按政府部门、监管机构或司法机关要求提供的除外；</w:t>
      </w:r>
    </w:p>
    <w:p w14:paraId="754C12C4">
      <w:pPr>
        <w:spacing w:after="120"/>
        <w:rPr>
          <w:rFonts w:ascii="仿宋_GB2312" w:hAnsi="仿宋" w:eastAsia="仿宋_GB2312" w:cs="仿宋"/>
        </w:rPr>
      </w:pPr>
      <w:r>
        <w:rPr>
          <w:rFonts w:ascii="仿宋_GB2312" w:hAnsi="仿宋" w:eastAsia="仿宋_GB2312" w:cs="仿宋"/>
        </w:rPr>
        <w:t>3、乙方应依据甲方每次核批工程款项编制《广东省代建项目管理局工程建设资金使用计划确认表》（以下简称《资金使用确认表》，见附表1）及《广东省代建项目管理局工程建设资金白名单确认表》（以下简称《白名单确认表》，见附表2）报送甲方和丙方(由甲方确定报送的时间节点和频次)。</w:t>
      </w:r>
    </w:p>
    <w:p w14:paraId="694EB632">
      <w:pPr>
        <w:spacing w:after="120"/>
        <w:rPr>
          <w:rFonts w:ascii="仿宋_GB2312" w:hAnsi="仿宋" w:eastAsia="仿宋_GB2312" w:cs="仿宋"/>
        </w:rPr>
      </w:pPr>
      <w:r>
        <w:rPr>
          <w:rFonts w:ascii="仿宋_GB2312" w:hAnsi="仿宋" w:eastAsia="仿宋_GB2312" w:cs="仿宋"/>
        </w:rPr>
        <w:t>4、乙方有义务对于甲方所划拨的合同项下资金按合同规定用途使用，并在监管账户进行支付结算，在工程合同结算完成前，不得用于项目外其他支出。</w:t>
      </w:r>
    </w:p>
    <w:p w14:paraId="00AF0A51">
      <w:pPr>
        <w:widowControl w:val="0"/>
        <w:numPr>
          <w:ilvl w:val="0"/>
          <w:numId w:val="36"/>
        </w:numPr>
        <w:tabs>
          <w:tab w:val="clear" w:pos="1695"/>
        </w:tabs>
        <w:wordWrap/>
        <w:topLinePunct w:val="0"/>
        <w:adjustRightInd/>
        <w:snapToGrid/>
        <w:spacing w:after="120" w:afterLines="0" w:line="240" w:lineRule="auto"/>
        <w:ind w:firstLine="480" w:firstLineChars="0"/>
        <w:rPr>
          <w:rFonts w:ascii="仿宋_GB2312" w:hAnsi="仿宋" w:eastAsia="仿宋_GB2312" w:cs="仿宋"/>
        </w:rPr>
      </w:pPr>
      <w:r>
        <w:rPr>
          <w:rFonts w:hint="eastAsia" w:ascii="仿宋_GB2312" w:hAnsi="仿宋" w:eastAsia="仿宋_GB2312" w:cs="仿宋"/>
        </w:rPr>
        <w:t>丙方的权利与义务</w:t>
      </w:r>
    </w:p>
    <w:p w14:paraId="4C94004D">
      <w:pPr>
        <w:spacing w:after="120"/>
        <w:rPr>
          <w:rFonts w:ascii="仿宋_GB2312" w:hAnsi="仿宋" w:eastAsia="仿宋_GB2312" w:cs="仿宋"/>
        </w:rPr>
      </w:pPr>
      <w:r>
        <w:rPr>
          <w:rFonts w:ascii="仿宋_GB2312" w:hAnsi="仿宋" w:eastAsia="仿宋_GB2312" w:cs="仿宋"/>
        </w:rPr>
        <w:t>1、丙方有权根据丙方业务规定对具体业务进行审核，并保持与甲、乙双方的密切沟通；</w:t>
      </w:r>
    </w:p>
    <w:p w14:paraId="07ACB207">
      <w:pPr>
        <w:spacing w:after="120"/>
        <w:rPr>
          <w:rFonts w:ascii="仿宋_GB2312" w:hAnsi="仿宋" w:eastAsia="仿宋_GB2312" w:cs="仿宋"/>
        </w:rPr>
      </w:pPr>
      <w:r>
        <w:rPr>
          <w:rFonts w:ascii="仿宋_GB2312" w:hAnsi="仿宋" w:eastAsia="仿宋_GB2312" w:cs="仿宋"/>
        </w:rPr>
        <w:t>2、丙方有义务依据甲方要求对监管账户实施监管，采取的控制方式包括但不限于支付定向控制、支付限额控制、资金逐笔审核等；</w:t>
      </w:r>
    </w:p>
    <w:p w14:paraId="6A6C752E">
      <w:pPr>
        <w:spacing w:after="120"/>
        <w:rPr>
          <w:rFonts w:ascii="仿宋_GB2312" w:hAnsi="仿宋" w:eastAsia="仿宋_GB2312" w:cs="仿宋"/>
        </w:rPr>
      </w:pPr>
      <w:r>
        <w:rPr>
          <w:rFonts w:ascii="仿宋_GB2312" w:hAnsi="仿宋" w:eastAsia="仿宋_GB2312" w:cs="仿宋"/>
        </w:rPr>
        <w:t>3、丙方有义务根据甲、乙双方提出的要求提供高质量的银行服务；丙方不得无理压票压汇，造成甲方和乙方不必要的损失。若发生此类现象，乙方即可向甲方投诉。丙方应根据甲方的要求限期改进服务，逾期仍不能满足服务要求的，甲方有权将丙方从资金监管服务的商业银行名单中清除；</w:t>
      </w:r>
    </w:p>
    <w:p w14:paraId="4FCA3A0D">
      <w:pPr>
        <w:spacing w:after="120"/>
        <w:rPr>
          <w:rFonts w:ascii="仿宋_GB2312" w:hAnsi="仿宋" w:eastAsia="仿宋_GB2312" w:cs="仿宋"/>
        </w:rPr>
      </w:pPr>
      <w:r>
        <w:rPr>
          <w:rFonts w:ascii="仿宋_GB2312" w:hAnsi="仿宋" w:eastAsia="仿宋_GB2312" w:cs="仿宋"/>
        </w:rPr>
        <w:t>4、丙方有义务定期或不定期在符合法律法规和监管要求的前提下，向甲方提供该监管账户的司法冻结、司法扣划信息；</w:t>
      </w:r>
    </w:p>
    <w:p w14:paraId="7048A09C">
      <w:pPr>
        <w:spacing w:after="120"/>
        <w:rPr>
          <w:rFonts w:ascii="仿宋_GB2312" w:hAnsi="仿宋" w:eastAsia="仿宋_GB2312" w:cs="仿宋"/>
        </w:rPr>
      </w:pPr>
      <w:r>
        <w:rPr>
          <w:rFonts w:ascii="仿宋_GB2312" w:hAnsi="仿宋" w:eastAsia="仿宋_GB2312" w:cs="仿宋"/>
        </w:rPr>
        <w:t>5、丙方有义务对监管账户信息对外保密,根据法律法规相关规定或按政府部门、监管机构或司法机关要求提供的除外；</w:t>
      </w:r>
    </w:p>
    <w:p w14:paraId="6701720B">
      <w:pPr>
        <w:spacing w:after="120"/>
        <w:rPr>
          <w:rFonts w:ascii="仿宋_GB2312" w:hAnsi="仿宋" w:eastAsia="仿宋_GB2312" w:cs="仿宋"/>
        </w:rPr>
      </w:pPr>
      <w:r>
        <w:rPr>
          <w:rFonts w:ascii="仿宋_GB2312" w:hAnsi="仿宋" w:eastAsia="仿宋_GB2312" w:cs="仿宋"/>
        </w:rPr>
        <w:t>6、丙方在收到《资金使用确认表》及《白名单确认表》后，应作为受理业务的重要凭证专夹保管；开展监管业务过程中应将《资金使用确认表》、《白名单确认表》作为甲方审核意见，对相应业务材料逐笔审核；因乙方提供的《资金使用确认表》、《白名单确认表》不真实、不准确或不全面等，或因各方对本合同约定的判断异常情况的具体标准理解不一致等原因造成的问题，丙方不承担相应责任。</w:t>
      </w:r>
    </w:p>
    <w:p w14:paraId="5CA0058C">
      <w:pPr>
        <w:widowControl w:val="0"/>
        <w:numPr>
          <w:ilvl w:val="0"/>
          <w:numId w:val="36"/>
        </w:numPr>
        <w:tabs>
          <w:tab w:val="clear" w:pos="1695"/>
        </w:tabs>
        <w:wordWrap/>
        <w:topLinePunct w:val="0"/>
        <w:adjustRightInd/>
        <w:snapToGrid/>
        <w:spacing w:after="120" w:afterLines="0" w:line="240" w:lineRule="auto"/>
        <w:ind w:firstLine="480" w:firstLineChars="0"/>
        <w:rPr>
          <w:rFonts w:ascii="仿宋_GB2312" w:hAnsi="仿宋" w:eastAsia="仿宋_GB2312" w:cs="仿宋"/>
        </w:rPr>
      </w:pPr>
      <w:r>
        <w:rPr>
          <w:rFonts w:hint="eastAsia" w:ascii="仿宋_GB2312" w:hAnsi="仿宋" w:eastAsia="仿宋_GB2312" w:cs="仿宋"/>
        </w:rPr>
        <w:t>监管规则</w:t>
      </w:r>
    </w:p>
    <w:p w14:paraId="4E4FC7A6">
      <w:pPr>
        <w:spacing w:after="120"/>
        <w:rPr>
          <w:rFonts w:ascii="仿宋_GB2312" w:hAnsi="仿宋" w:eastAsia="仿宋_GB2312" w:cs="仿宋"/>
        </w:rPr>
      </w:pPr>
      <w:r>
        <w:rPr>
          <w:rFonts w:hint="eastAsia" w:ascii="仿宋_GB2312" w:hAnsi="仿宋" w:eastAsia="仿宋_GB2312" w:cs="仿宋"/>
        </w:rPr>
        <w:t>丙方应使用自身监管产品在业务合规的前提下对乙方监管账户资金流出按照以下规则进行核准：</w:t>
      </w:r>
    </w:p>
    <w:p w14:paraId="524B01E3">
      <w:pPr>
        <w:spacing w:after="120"/>
        <w:rPr>
          <w:rFonts w:ascii="仿宋_GB2312" w:hAnsi="仿宋" w:eastAsia="仿宋_GB2312" w:cs="仿宋"/>
        </w:rPr>
      </w:pPr>
      <w:r>
        <w:rPr>
          <w:rFonts w:ascii="仿宋_GB2312" w:hAnsi="仿宋" w:eastAsia="仿宋_GB2312" w:cs="仿宋"/>
        </w:rPr>
        <w:t>1、白名单控制：依据甲方批准的《白名单确认表》予以执行；</w:t>
      </w:r>
    </w:p>
    <w:p w14:paraId="6F042989">
      <w:pPr>
        <w:spacing w:after="120"/>
        <w:rPr>
          <w:rFonts w:ascii="仿宋_GB2312" w:hAnsi="仿宋" w:eastAsia="仿宋_GB2312" w:cs="仿宋"/>
        </w:rPr>
      </w:pPr>
      <w:r>
        <w:rPr>
          <w:rFonts w:ascii="仿宋_GB2312" w:hAnsi="仿宋" w:eastAsia="仿宋_GB2312" w:cs="仿宋"/>
        </w:rPr>
        <w:t>2、支付列表控制：依据甲方批准的《资金使用确认表》执行；</w:t>
      </w:r>
    </w:p>
    <w:p w14:paraId="610FF3CF">
      <w:pPr>
        <w:spacing w:after="120"/>
        <w:rPr>
          <w:rFonts w:ascii="仿宋_GB2312" w:hAnsi="仿宋" w:eastAsia="仿宋_GB2312" w:cs="仿宋"/>
        </w:rPr>
      </w:pPr>
      <w:r>
        <w:rPr>
          <w:rFonts w:ascii="仿宋_GB2312" w:hAnsi="仿宋" w:eastAsia="仿宋_GB2312" w:cs="仿宋"/>
        </w:rPr>
        <w:t>3、小额免审批控制：当乙方支付不超过以下额度限制时，乙方有权自行对相应款项进行审核、支付：单笔不超过人民币_20_万元、月累计不超过人民币__60_万元。</w:t>
      </w:r>
    </w:p>
    <w:p w14:paraId="486D4599">
      <w:pPr>
        <w:spacing w:after="120"/>
        <w:jc w:val="center"/>
        <w:rPr>
          <w:rFonts w:ascii="仿宋_GB2312" w:hAnsi="黑体" w:eastAsia="仿宋_GB2312" w:cs="仿宋"/>
        </w:rPr>
      </w:pPr>
      <w:r>
        <w:rPr>
          <w:rFonts w:hint="eastAsia" w:ascii="仿宋_GB2312" w:hAnsi="黑体" w:eastAsia="仿宋_GB2312" w:cs="仿宋"/>
          <w:bCs/>
        </w:rPr>
        <w:t>第三章</w:t>
      </w:r>
      <w:r>
        <w:rPr>
          <w:rFonts w:ascii="仿宋_GB2312" w:hAnsi="黑体" w:eastAsia="仿宋_GB2312" w:cs="仿宋"/>
          <w:bCs/>
        </w:rPr>
        <w:t xml:space="preserve">  </w:t>
      </w:r>
      <w:r>
        <w:rPr>
          <w:rFonts w:hint="eastAsia" w:ascii="仿宋_GB2312" w:hAnsi="黑体" w:eastAsia="仿宋_GB2312" w:cs="仿宋"/>
          <w:bCs/>
        </w:rPr>
        <w:t>争议的解决</w:t>
      </w:r>
    </w:p>
    <w:p w14:paraId="56AE4E98">
      <w:pPr>
        <w:widowControl w:val="0"/>
        <w:numPr>
          <w:ilvl w:val="0"/>
          <w:numId w:val="36"/>
        </w:numPr>
        <w:tabs>
          <w:tab w:val="clear" w:pos="1695"/>
        </w:tabs>
        <w:wordWrap/>
        <w:topLinePunct w:val="0"/>
        <w:adjustRightInd/>
        <w:snapToGrid/>
        <w:spacing w:after="120" w:afterLines="0" w:line="240" w:lineRule="auto"/>
        <w:ind w:left="0" w:firstLine="480" w:firstLineChars="0"/>
        <w:rPr>
          <w:rFonts w:ascii="仿宋_GB2312" w:eastAsia="仿宋_GB2312"/>
        </w:rPr>
      </w:pPr>
      <w:r>
        <w:rPr>
          <w:rFonts w:hint="eastAsia" w:ascii="仿宋_GB2312" w:hAnsi="仿宋" w:eastAsia="仿宋_GB2312" w:cs="仿宋"/>
        </w:rPr>
        <w:t>甲、乙、丙三方在履行本协议过程中所发生的争议，三方应友好协商解决；确因协商不成的，任何一方有权向甲方住所地人民法院提起诉讼。</w:t>
      </w:r>
    </w:p>
    <w:p w14:paraId="264183A2">
      <w:pPr>
        <w:spacing w:after="120"/>
        <w:jc w:val="center"/>
        <w:rPr>
          <w:rFonts w:ascii="仿宋_GB2312" w:hAnsi="黑体" w:eastAsia="仿宋_GB2312" w:cs="仿宋"/>
          <w:bCs/>
        </w:rPr>
      </w:pPr>
      <w:r>
        <w:rPr>
          <w:rFonts w:hint="eastAsia" w:ascii="仿宋_GB2312" w:hAnsi="黑体" w:eastAsia="仿宋_GB2312" w:cs="仿宋"/>
          <w:bCs/>
        </w:rPr>
        <w:t>第四章</w:t>
      </w:r>
      <w:r>
        <w:rPr>
          <w:rFonts w:ascii="仿宋_GB2312" w:hAnsi="黑体" w:eastAsia="仿宋_GB2312" w:cs="仿宋"/>
          <w:bCs/>
        </w:rPr>
        <w:t xml:space="preserve">  </w:t>
      </w:r>
      <w:r>
        <w:rPr>
          <w:rFonts w:hint="eastAsia" w:ascii="仿宋_GB2312" w:hAnsi="黑体" w:eastAsia="仿宋_GB2312" w:cs="仿宋"/>
          <w:bCs/>
        </w:rPr>
        <w:t>协议的生效、变更和解除</w:t>
      </w:r>
    </w:p>
    <w:p w14:paraId="63F89993">
      <w:pPr>
        <w:widowControl w:val="0"/>
        <w:numPr>
          <w:ilvl w:val="0"/>
          <w:numId w:val="36"/>
        </w:numPr>
        <w:tabs>
          <w:tab w:val="clear" w:pos="1695"/>
        </w:tabs>
        <w:wordWrap/>
        <w:topLinePunct w:val="0"/>
        <w:adjustRightInd/>
        <w:snapToGrid/>
        <w:spacing w:after="120" w:afterLines="0" w:line="240" w:lineRule="auto"/>
        <w:ind w:left="0" w:firstLine="480" w:firstLineChars="0"/>
        <w:rPr>
          <w:rFonts w:ascii="仿宋_GB2312" w:hAnsi="仿宋" w:eastAsia="仿宋_GB2312" w:cs="仿宋"/>
        </w:rPr>
      </w:pPr>
      <w:r>
        <w:rPr>
          <w:rFonts w:hint="eastAsia" w:ascii="仿宋_GB2312" w:hAnsi="仿宋" w:eastAsia="仿宋_GB2312" w:cs="仿宋"/>
        </w:rPr>
        <w:t>本协议在有效期内的履行应以不违反中华人民共和国法律和国家有关主管部门的政策、法规为基本前提；本协议根据《省代建局直接代建项目工程款资金监督管理办法》编制，若《省代建局直接代建项目工程款资金监督管理办法》的相关规定调整，则本协议需重新签订或签订补充协议。</w:t>
      </w:r>
    </w:p>
    <w:p w14:paraId="416CFD9B">
      <w:pPr>
        <w:widowControl w:val="0"/>
        <w:numPr>
          <w:ilvl w:val="0"/>
          <w:numId w:val="36"/>
        </w:numPr>
        <w:tabs>
          <w:tab w:val="clear" w:pos="1695"/>
        </w:tabs>
        <w:wordWrap/>
        <w:topLinePunct w:val="0"/>
        <w:adjustRightInd/>
        <w:snapToGrid/>
        <w:spacing w:after="120" w:afterLines="0" w:line="240" w:lineRule="auto"/>
        <w:ind w:left="0" w:firstLine="480" w:firstLineChars="0"/>
        <w:rPr>
          <w:rFonts w:ascii="仿宋_GB2312" w:hAnsi="仿宋" w:eastAsia="仿宋_GB2312" w:cs="仿宋"/>
        </w:rPr>
      </w:pPr>
      <w:r>
        <w:rPr>
          <w:rFonts w:hint="eastAsia" w:ascii="仿宋_GB2312" w:hAnsi="仿宋" w:eastAsia="仿宋_GB2312" w:cs="仿宋"/>
        </w:rPr>
        <w:t>本协议在履行过程中需对协议进行修订或需解除本协议时，甲、乙、丙任何一方不得单方面执行，均须甲、乙、丙三方协商一致，并达成书面协议。书面协议达成之前，不影响本协议条款效力。</w:t>
      </w:r>
    </w:p>
    <w:p w14:paraId="48C0FA52">
      <w:pPr>
        <w:widowControl w:val="0"/>
        <w:numPr>
          <w:ilvl w:val="0"/>
          <w:numId w:val="36"/>
        </w:numPr>
        <w:tabs>
          <w:tab w:val="clear" w:pos="1695"/>
        </w:tabs>
        <w:wordWrap/>
        <w:topLinePunct w:val="0"/>
        <w:adjustRightInd/>
        <w:snapToGrid/>
        <w:spacing w:after="120" w:afterLines="0" w:line="240" w:lineRule="auto"/>
        <w:ind w:left="0" w:firstLine="480" w:firstLineChars="0"/>
        <w:rPr>
          <w:rFonts w:ascii="仿宋_GB2312" w:hAnsi="仿宋" w:eastAsia="仿宋_GB2312" w:cs="仿宋"/>
        </w:rPr>
      </w:pPr>
      <w:r>
        <w:rPr>
          <w:rFonts w:hint="eastAsia" w:ascii="仿宋_GB2312" w:hAnsi="仿宋" w:eastAsia="仿宋_GB2312" w:cs="仿宋"/>
        </w:rPr>
        <w:t>本协议自甲、乙、丙三方法定代表人</w:t>
      </w:r>
      <w:r>
        <w:rPr>
          <w:rFonts w:ascii="仿宋_GB2312" w:hAnsi="仿宋" w:eastAsia="仿宋_GB2312" w:cs="仿宋"/>
        </w:rPr>
        <w:t>/负责人（或授权代理人）签字或盖章并加盖公章后生效，有效期至该合同结算完成，办理清算后由甲方出具书面函件通知丙方银行，本协议终止。因甲方未出具书面函件通知丙方导致协议未能终止的，各方应按本协议第四条的约定处理。本协议正本一式叁份，三方各执壹份，遵照履行。</w:t>
      </w:r>
    </w:p>
    <w:p w14:paraId="2B7C40CD">
      <w:pPr>
        <w:widowControl w:val="0"/>
        <w:numPr>
          <w:ilvl w:val="0"/>
          <w:numId w:val="36"/>
        </w:numPr>
        <w:tabs>
          <w:tab w:val="clear" w:pos="1695"/>
        </w:tabs>
        <w:wordWrap/>
        <w:topLinePunct w:val="0"/>
        <w:adjustRightInd/>
        <w:snapToGrid/>
        <w:spacing w:after="120" w:afterLines="0" w:line="240" w:lineRule="auto"/>
        <w:ind w:firstLine="480" w:firstLineChars="0"/>
        <w:rPr>
          <w:rFonts w:ascii="仿宋_GB2312" w:hAnsi="仿宋" w:eastAsia="仿宋_GB2312" w:cs="仿宋"/>
        </w:rPr>
      </w:pPr>
      <w:r>
        <w:rPr>
          <w:rFonts w:hint="eastAsia" w:ascii="仿宋_GB2312" w:hAnsi="仿宋" w:eastAsia="仿宋_GB2312" w:cs="仿宋"/>
        </w:rPr>
        <w:t>各方商定的其他事项</w:t>
      </w:r>
      <w:bookmarkStart w:id="1211" w:name="Text3"/>
      <w:r>
        <w:rPr>
          <w:rFonts w:hint="eastAsia" w:ascii="仿宋_GB2312" w:hAnsi="仿宋" w:eastAsia="仿宋_GB2312" w:cs="仿宋"/>
        </w:rPr>
        <w:t>：</w:t>
      </w:r>
      <w:bookmarkEnd w:id="1211"/>
      <w:r>
        <w:rPr>
          <w:rFonts w:ascii="仿宋_GB2312" w:hAnsi="仿宋" w:eastAsia="仿宋_GB2312" w:cs="仿宋"/>
          <w:u w:val="single"/>
        </w:rPr>
        <w:t xml:space="preserve">            </w:t>
      </w:r>
      <w:r>
        <w:rPr>
          <w:rFonts w:hint="eastAsia" w:ascii="仿宋_GB2312" w:hAnsi="仿宋" w:eastAsia="仿宋_GB2312" w:cs="仿宋"/>
        </w:rPr>
        <w:t>。</w:t>
      </w:r>
    </w:p>
    <w:p w14:paraId="3FAA5493">
      <w:pPr>
        <w:spacing w:after="120"/>
        <w:rPr>
          <w:rFonts w:ascii="仿宋_GB2312" w:hAnsi="仿宋" w:eastAsia="仿宋_GB2312" w:cs="仿宋"/>
        </w:rPr>
      </w:pPr>
      <w:r>
        <w:rPr>
          <w:rFonts w:hint="eastAsia" w:ascii="仿宋_GB2312" w:hAnsi="仿宋" w:eastAsia="仿宋_GB2312" w:cs="仿宋"/>
        </w:rPr>
        <w:t>（以下无正文）</w:t>
      </w:r>
    </w:p>
    <w:p w14:paraId="7C119538">
      <w:pPr>
        <w:spacing w:after="120"/>
        <w:rPr>
          <w:rFonts w:ascii="仿宋_GB2312" w:hAnsi="仿宋" w:eastAsia="仿宋_GB2312" w:cs="仿宋"/>
        </w:rPr>
      </w:pPr>
      <w:r>
        <w:rPr>
          <w:rFonts w:ascii="仿宋_GB2312" w:hAnsi="仿宋" w:eastAsia="仿宋_GB2312" w:cs="仿宋"/>
        </w:rPr>
        <w:br w:type="page"/>
      </w:r>
    </w:p>
    <w:p w14:paraId="4D8BD5E3">
      <w:pPr>
        <w:spacing w:after="120"/>
        <w:jc w:val="left"/>
        <w:rPr>
          <w:rFonts w:ascii="仿宋_GB2312" w:hAnsi="仿宋" w:eastAsia="仿宋_GB2312" w:cs="仿宋"/>
        </w:rPr>
      </w:pPr>
      <w:r>
        <w:rPr>
          <w:rFonts w:hint="eastAsia" w:ascii="仿宋_GB2312" w:hAnsi="仿宋" w:eastAsia="仿宋_GB2312" w:cs="仿宋"/>
        </w:rPr>
        <w:t>甲方：广东省代建项目管理局</w:t>
      </w:r>
      <w:r>
        <w:rPr>
          <w:rFonts w:ascii="仿宋_GB2312" w:hAnsi="仿宋" w:eastAsia="仿宋_GB2312" w:cs="仿宋"/>
        </w:rPr>
        <w:t xml:space="preserve">     </w:t>
      </w:r>
      <w:r>
        <w:rPr>
          <w:rFonts w:hint="eastAsia" w:ascii="仿宋_GB2312" w:hAnsi="仿宋" w:eastAsia="仿宋_GB2312" w:cs="仿宋"/>
        </w:rPr>
        <w:t>（公章）</w:t>
      </w:r>
    </w:p>
    <w:p w14:paraId="6A03F8C0">
      <w:pPr>
        <w:spacing w:after="120"/>
        <w:jc w:val="left"/>
        <w:rPr>
          <w:rFonts w:ascii="仿宋_GB2312" w:hAnsi="仿宋" w:eastAsia="仿宋_GB2312" w:cs="仿宋"/>
        </w:rPr>
      </w:pPr>
      <w:r>
        <w:rPr>
          <w:rFonts w:hint="eastAsia" w:ascii="仿宋_GB2312" w:hAnsi="仿宋" w:eastAsia="仿宋_GB2312" w:cs="仿宋"/>
        </w:rPr>
        <w:t>法定代表人</w:t>
      </w:r>
      <w:r>
        <w:rPr>
          <w:rFonts w:ascii="仿宋_GB2312" w:hAnsi="仿宋" w:eastAsia="仿宋_GB2312" w:cs="仿宋"/>
        </w:rPr>
        <w:t xml:space="preserve">/授权代理人：        </w:t>
      </w:r>
      <w:r>
        <w:rPr>
          <w:rFonts w:hint="eastAsia" w:ascii="仿宋_GB2312" w:hAnsi="仿宋" w:eastAsia="仿宋_GB2312" w:cs="仿宋"/>
        </w:rPr>
        <w:t>（签字或盖章）</w:t>
      </w:r>
    </w:p>
    <w:p w14:paraId="120E724A">
      <w:pPr>
        <w:spacing w:after="120"/>
        <w:jc w:val="left"/>
        <w:rPr>
          <w:rFonts w:ascii="仿宋_GB2312" w:hAnsi="仿宋" w:eastAsia="仿宋_GB2312" w:cs="仿宋"/>
        </w:rPr>
      </w:pPr>
      <w:r>
        <w:rPr>
          <w:rFonts w:ascii="仿宋_GB2312" w:hAnsi="仿宋" w:eastAsia="仿宋_GB2312" w:cs="仿宋"/>
        </w:rPr>
        <w:t xml:space="preserve">                                  年   月   日</w:t>
      </w:r>
    </w:p>
    <w:p w14:paraId="02163ECF">
      <w:pPr>
        <w:spacing w:after="120"/>
        <w:jc w:val="left"/>
        <w:rPr>
          <w:rFonts w:ascii="仿宋_GB2312" w:hAnsi="仿宋" w:eastAsia="仿宋_GB2312" w:cs="仿宋"/>
        </w:rPr>
      </w:pPr>
    </w:p>
    <w:p w14:paraId="2E13D023">
      <w:pPr>
        <w:spacing w:after="120"/>
        <w:jc w:val="left"/>
        <w:rPr>
          <w:rFonts w:ascii="仿宋_GB2312" w:hAnsi="仿宋" w:eastAsia="仿宋_GB2312" w:cs="仿宋"/>
        </w:rPr>
      </w:pPr>
    </w:p>
    <w:p w14:paraId="7436D810">
      <w:pPr>
        <w:spacing w:after="120"/>
        <w:jc w:val="left"/>
        <w:rPr>
          <w:rFonts w:ascii="仿宋_GB2312" w:hAnsi="仿宋" w:eastAsia="仿宋_GB2312" w:cs="仿宋"/>
        </w:rPr>
      </w:pPr>
    </w:p>
    <w:p w14:paraId="50086535">
      <w:pPr>
        <w:spacing w:after="120"/>
        <w:rPr>
          <w:rFonts w:ascii="仿宋_GB2312" w:hAnsi="仿宋" w:eastAsia="仿宋_GB2312" w:cs="仿宋"/>
        </w:rPr>
      </w:pPr>
      <w:r>
        <w:rPr>
          <w:rFonts w:hint="eastAsia" w:ascii="仿宋_GB2312" w:hAnsi="仿宋" w:eastAsia="仿宋_GB2312" w:cs="仿宋"/>
        </w:rPr>
        <w:t>乙方：</w:t>
      </w:r>
      <w:r>
        <w:rPr>
          <w:rFonts w:ascii="仿宋_GB2312" w:hAnsi="仿宋" w:eastAsia="仿宋_GB2312" w:cs="仿宋"/>
        </w:rPr>
        <w:t xml:space="preserve">                          </w:t>
      </w:r>
      <w:r>
        <w:rPr>
          <w:rFonts w:hint="eastAsia" w:ascii="仿宋_GB2312" w:hAnsi="仿宋" w:eastAsia="仿宋_GB2312" w:cs="仿宋"/>
        </w:rPr>
        <w:t>（公章）</w:t>
      </w:r>
    </w:p>
    <w:p w14:paraId="1EFB6D5E">
      <w:pPr>
        <w:spacing w:after="120"/>
        <w:rPr>
          <w:rFonts w:ascii="仿宋_GB2312" w:hAnsi="仿宋" w:eastAsia="仿宋_GB2312" w:cs="仿宋"/>
        </w:rPr>
      </w:pPr>
      <w:r>
        <w:rPr>
          <w:rFonts w:hint="eastAsia" w:ascii="仿宋_GB2312" w:hAnsi="仿宋" w:eastAsia="仿宋_GB2312" w:cs="仿宋"/>
        </w:rPr>
        <w:t>法定代表人</w:t>
      </w:r>
      <w:r>
        <w:rPr>
          <w:rFonts w:ascii="仿宋_GB2312" w:hAnsi="仿宋" w:eastAsia="仿宋_GB2312" w:cs="仿宋"/>
        </w:rPr>
        <w:t xml:space="preserve">/授权代理人：         </w:t>
      </w:r>
      <w:r>
        <w:rPr>
          <w:rFonts w:hint="eastAsia" w:ascii="仿宋_GB2312" w:hAnsi="仿宋" w:eastAsia="仿宋_GB2312" w:cs="仿宋"/>
        </w:rPr>
        <w:t>（签字或盖章）</w:t>
      </w:r>
    </w:p>
    <w:p w14:paraId="65368823">
      <w:pPr>
        <w:spacing w:after="120"/>
        <w:rPr>
          <w:rFonts w:ascii="仿宋_GB2312" w:hAnsi="仿宋" w:eastAsia="仿宋_GB2312" w:cs="仿宋"/>
        </w:rPr>
      </w:pPr>
      <w:r>
        <w:rPr>
          <w:rFonts w:ascii="仿宋_GB2312" w:hAnsi="仿宋" w:eastAsia="仿宋_GB2312" w:cs="仿宋"/>
        </w:rPr>
        <w:t xml:space="preserve">                                  年   月   日</w:t>
      </w:r>
    </w:p>
    <w:p w14:paraId="4967B5BF">
      <w:pPr>
        <w:spacing w:after="120"/>
        <w:rPr>
          <w:rFonts w:ascii="仿宋_GB2312" w:hAnsi="仿宋" w:eastAsia="仿宋_GB2312" w:cs="仿宋"/>
        </w:rPr>
      </w:pPr>
    </w:p>
    <w:p w14:paraId="620788F2">
      <w:pPr>
        <w:spacing w:after="120"/>
        <w:rPr>
          <w:rFonts w:ascii="仿宋_GB2312" w:hAnsi="仿宋" w:eastAsia="仿宋_GB2312" w:cs="仿宋"/>
        </w:rPr>
      </w:pPr>
    </w:p>
    <w:p w14:paraId="46D8A84B">
      <w:pPr>
        <w:spacing w:after="120"/>
        <w:rPr>
          <w:rFonts w:ascii="仿宋_GB2312" w:hAnsi="仿宋" w:eastAsia="仿宋_GB2312" w:cs="仿宋"/>
        </w:rPr>
      </w:pPr>
    </w:p>
    <w:p w14:paraId="5F827200">
      <w:pPr>
        <w:spacing w:after="120"/>
        <w:rPr>
          <w:rFonts w:ascii="仿宋_GB2312" w:hAnsi="仿宋" w:eastAsia="仿宋_GB2312" w:cs="仿宋"/>
        </w:rPr>
      </w:pPr>
      <w:r>
        <w:rPr>
          <w:rFonts w:hint="eastAsia" w:ascii="仿宋_GB2312" w:hAnsi="仿宋" w:eastAsia="仿宋_GB2312" w:cs="仿宋"/>
        </w:rPr>
        <w:t>丙方（监管银行）：</w:t>
      </w:r>
      <w:r>
        <w:rPr>
          <w:rFonts w:ascii="仿宋_GB2312" w:hAnsi="仿宋" w:eastAsia="仿宋_GB2312" w:cs="仿宋"/>
        </w:rPr>
        <w:t xml:space="preserve">                </w:t>
      </w:r>
      <w:r>
        <w:rPr>
          <w:rFonts w:hint="eastAsia" w:ascii="仿宋_GB2312" w:hAnsi="仿宋" w:eastAsia="仿宋_GB2312" w:cs="仿宋"/>
        </w:rPr>
        <w:t>（盖章）</w:t>
      </w:r>
    </w:p>
    <w:p w14:paraId="5DC4254D">
      <w:pPr>
        <w:spacing w:after="120"/>
        <w:rPr>
          <w:rFonts w:ascii="仿宋_GB2312" w:hAnsi="仿宋" w:eastAsia="仿宋_GB2312" w:cs="仿宋"/>
        </w:rPr>
      </w:pPr>
      <w:r>
        <w:rPr>
          <w:rFonts w:hint="eastAsia" w:ascii="仿宋_GB2312" w:hAnsi="仿宋" w:eastAsia="仿宋_GB2312" w:cs="仿宋"/>
        </w:rPr>
        <w:t>负责人</w:t>
      </w:r>
      <w:r>
        <w:rPr>
          <w:rFonts w:ascii="仿宋_GB2312" w:hAnsi="仿宋" w:eastAsia="仿宋_GB2312" w:cs="仿宋"/>
        </w:rPr>
        <w:t xml:space="preserve">/授权代理人：              </w:t>
      </w:r>
      <w:r>
        <w:rPr>
          <w:rFonts w:hint="eastAsia" w:ascii="仿宋_GB2312" w:hAnsi="仿宋" w:eastAsia="仿宋_GB2312" w:cs="仿宋"/>
        </w:rPr>
        <w:t>（签字或盖章）</w:t>
      </w:r>
    </w:p>
    <w:p w14:paraId="437AAC24">
      <w:pPr>
        <w:spacing w:after="120"/>
        <w:rPr>
          <w:rFonts w:ascii="仿宋_GB2312" w:eastAsia="仿宋_GB2312"/>
        </w:rPr>
      </w:pPr>
      <w:r>
        <w:rPr>
          <w:rFonts w:ascii="仿宋_GB2312" w:hAnsi="仿宋" w:eastAsia="仿宋_GB2312" w:cs="仿宋"/>
        </w:rPr>
        <w:t xml:space="preserve">                                  年   月   日</w:t>
      </w:r>
    </w:p>
    <w:p w14:paraId="5431A07E">
      <w:pPr>
        <w:tabs>
          <w:tab w:val="left" w:pos="28"/>
          <w:tab w:val="left" w:pos="322"/>
          <w:tab w:val="left" w:pos="504"/>
          <w:tab w:val="left" w:pos="672"/>
          <w:tab w:val="left" w:pos="1442"/>
          <w:tab w:val="left" w:pos="2352"/>
        </w:tabs>
        <w:spacing w:after="120"/>
        <w:rPr>
          <w:rFonts w:ascii="彩虹粗仿宋" w:eastAsia="彩虹粗仿宋"/>
        </w:rPr>
      </w:pPr>
      <w:r>
        <w:rPr>
          <w:rFonts w:hint="eastAsia" w:ascii="彩虹粗仿宋" w:eastAsia="彩虹粗仿宋"/>
        </w:rPr>
        <w:t xml:space="preserve"> </w:t>
      </w:r>
    </w:p>
    <w:p w14:paraId="2DE18F7C">
      <w:pPr>
        <w:spacing w:after="120"/>
        <w:rPr>
          <w:rFonts w:ascii="彩虹粗仿宋" w:eastAsia="彩虹粗仿宋"/>
        </w:rPr>
      </w:pPr>
      <w:r>
        <w:rPr>
          <w:rFonts w:ascii="彩虹粗仿宋" w:eastAsia="彩虹粗仿宋"/>
        </w:rPr>
        <w:br w:type="page"/>
      </w:r>
    </w:p>
    <w:p w14:paraId="5942B3E0">
      <w:pPr>
        <w:tabs>
          <w:tab w:val="left" w:pos="28"/>
          <w:tab w:val="left" w:pos="322"/>
          <w:tab w:val="left" w:pos="504"/>
          <w:tab w:val="left" w:pos="672"/>
          <w:tab w:val="left" w:pos="1442"/>
          <w:tab w:val="left" w:pos="2352"/>
        </w:tabs>
        <w:spacing w:after="120"/>
        <w:rPr>
          <w:rFonts w:ascii="彩虹粗仿宋" w:eastAsia="彩虹粗仿宋"/>
        </w:rPr>
      </w:pPr>
    </w:p>
    <w:p w14:paraId="4D5D6154">
      <w:pPr>
        <w:tabs>
          <w:tab w:val="left" w:pos="28"/>
          <w:tab w:val="left" w:pos="322"/>
          <w:tab w:val="left" w:pos="504"/>
          <w:tab w:val="left" w:pos="672"/>
          <w:tab w:val="left" w:pos="1442"/>
          <w:tab w:val="left" w:pos="2352"/>
        </w:tabs>
        <w:spacing w:after="120"/>
        <w:ind w:firstLine="560"/>
        <w:rPr>
          <w:rFonts w:ascii="仿宋" w:hAnsi="仿宋" w:eastAsia="仿宋" w:cs="仿宋"/>
          <w:sz w:val="28"/>
          <w:szCs w:val="28"/>
        </w:rPr>
      </w:pPr>
      <w:r>
        <w:rPr>
          <w:rFonts w:hint="eastAsia" w:ascii="仿宋" w:hAnsi="仿宋" w:eastAsia="仿宋" w:cs="仿宋"/>
          <w:sz w:val="28"/>
          <w:szCs w:val="28"/>
        </w:rPr>
        <w:t>附表1：</w:t>
      </w:r>
    </w:p>
    <w:p w14:paraId="30CEA48D">
      <w:pPr>
        <w:tabs>
          <w:tab w:val="left" w:pos="28"/>
          <w:tab w:val="left" w:pos="322"/>
          <w:tab w:val="left" w:pos="504"/>
          <w:tab w:val="left" w:pos="672"/>
          <w:tab w:val="left" w:pos="1442"/>
          <w:tab w:val="left" w:pos="2352"/>
        </w:tabs>
        <w:spacing w:after="120"/>
        <w:rPr>
          <w:rFonts w:ascii="彩虹粗仿宋" w:eastAsia="彩虹粗仿宋"/>
        </w:rPr>
      </w:pPr>
      <w:r>
        <w:drawing>
          <wp:inline distT="0" distB="0" distL="0" distR="0">
            <wp:extent cx="5400040" cy="5468620"/>
            <wp:effectExtent l="0" t="0" r="0" b="0"/>
            <wp:docPr id="12257499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749979"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00040" cy="5468620"/>
                    </a:xfrm>
                    <a:prstGeom prst="rect">
                      <a:avLst/>
                    </a:prstGeom>
                    <a:noFill/>
                    <a:ln>
                      <a:noFill/>
                    </a:ln>
                  </pic:spPr>
                </pic:pic>
              </a:graphicData>
            </a:graphic>
          </wp:inline>
        </w:drawing>
      </w:r>
    </w:p>
    <w:p w14:paraId="78455E03">
      <w:pPr>
        <w:tabs>
          <w:tab w:val="left" w:pos="28"/>
          <w:tab w:val="left" w:pos="322"/>
          <w:tab w:val="left" w:pos="504"/>
          <w:tab w:val="left" w:pos="672"/>
          <w:tab w:val="left" w:pos="1442"/>
          <w:tab w:val="left" w:pos="2352"/>
        </w:tabs>
        <w:spacing w:after="120"/>
        <w:rPr>
          <w:rFonts w:ascii="彩虹粗仿宋" w:eastAsia="彩虹粗仿宋"/>
        </w:rPr>
      </w:pPr>
    </w:p>
    <w:p w14:paraId="34AE7363">
      <w:pPr>
        <w:tabs>
          <w:tab w:val="left" w:pos="28"/>
          <w:tab w:val="left" w:pos="322"/>
          <w:tab w:val="left" w:pos="504"/>
          <w:tab w:val="left" w:pos="672"/>
          <w:tab w:val="left" w:pos="1442"/>
          <w:tab w:val="left" w:pos="2352"/>
        </w:tabs>
        <w:spacing w:after="120"/>
        <w:rPr>
          <w:rFonts w:ascii="彩虹粗仿宋" w:eastAsia="彩虹粗仿宋"/>
        </w:rPr>
      </w:pPr>
    </w:p>
    <w:p w14:paraId="57A9D8B3">
      <w:pPr>
        <w:tabs>
          <w:tab w:val="left" w:pos="28"/>
          <w:tab w:val="left" w:pos="322"/>
          <w:tab w:val="left" w:pos="504"/>
          <w:tab w:val="left" w:pos="672"/>
          <w:tab w:val="left" w:pos="1442"/>
          <w:tab w:val="left" w:pos="2352"/>
        </w:tabs>
        <w:spacing w:after="120"/>
        <w:rPr>
          <w:rFonts w:ascii="彩虹粗仿宋" w:eastAsia="彩虹粗仿宋"/>
        </w:rPr>
      </w:pPr>
    </w:p>
    <w:p w14:paraId="7512894E">
      <w:pPr>
        <w:tabs>
          <w:tab w:val="left" w:pos="28"/>
          <w:tab w:val="left" w:pos="322"/>
          <w:tab w:val="left" w:pos="504"/>
          <w:tab w:val="left" w:pos="672"/>
          <w:tab w:val="left" w:pos="1442"/>
          <w:tab w:val="left" w:pos="2352"/>
        </w:tabs>
        <w:spacing w:after="120"/>
        <w:jc w:val="left"/>
        <w:rPr>
          <w:rFonts w:ascii="彩虹粗仿宋" w:eastAsia="彩虹粗仿宋"/>
        </w:rPr>
      </w:pPr>
    </w:p>
    <w:p w14:paraId="2A9C2BFD">
      <w:pPr>
        <w:tabs>
          <w:tab w:val="left" w:pos="28"/>
          <w:tab w:val="left" w:pos="322"/>
          <w:tab w:val="left" w:pos="504"/>
          <w:tab w:val="left" w:pos="672"/>
          <w:tab w:val="left" w:pos="1442"/>
          <w:tab w:val="left" w:pos="2352"/>
        </w:tabs>
        <w:spacing w:after="120"/>
        <w:jc w:val="left"/>
        <w:rPr>
          <w:rFonts w:ascii="彩虹粗仿宋" w:eastAsia="彩虹粗仿宋"/>
        </w:rPr>
      </w:pPr>
    </w:p>
    <w:p w14:paraId="44507AA7">
      <w:pPr>
        <w:tabs>
          <w:tab w:val="left" w:pos="28"/>
          <w:tab w:val="left" w:pos="322"/>
          <w:tab w:val="left" w:pos="504"/>
          <w:tab w:val="left" w:pos="672"/>
          <w:tab w:val="left" w:pos="1442"/>
          <w:tab w:val="left" w:pos="2352"/>
        </w:tabs>
        <w:spacing w:after="120"/>
        <w:ind w:firstLine="560"/>
        <w:jc w:val="left"/>
        <w:rPr>
          <w:rFonts w:ascii="仿宋" w:hAnsi="仿宋" w:eastAsia="仿宋" w:cs="仿宋"/>
          <w:sz w:val="28"/>
          <w:szCs w:val="28"/>
        </w:rPr>
      </w:pPr>
      <w:r>
        <w:rPr>
          <w:rFonts w:hint="eastAsia" w:ascii="仿宋" w:hAnsi="仿宋" w:eastAsia="仿宋" w:cs="仿宋"/>
          <w:sz w:val="28"/>
          <w:szCs w:val="28"/>
        </w:rPr>
        <w:t>附表2：</w:t>
      </w:r>
    </w:p>
    <w:p w14:paraId="1A883236">
      <w:pPr>
        <w:tabs>
          <w:tab w:val="left" w:pos="28"/>
          <w:tab w:val="left" w:pos="322"/>
          <w:tab w:val="left" w:pos="504"/>
          <w:tab w:val="left" w:pos="672"/>
          <w:tab w:val="left" w:pos="1442"/>
          <w:tab w:val="left" w:pos="2352"/>
        </w:tabs>
        <w:spacing w:after="120"/>
        <w:jc w:val="left"/>
        <w:rPr>
          <w:rFonts w:ascii="彩虹粗仿宋" w:eastAsia="彩虹粗仿宋"/>
        </w:rPr>
      </w:pPr>
      <w:r>
        <w:drawing>
          <wp:inline distT="0" distB="0" distL="0" distR="0">
            <wp:extent cx="5400040" cy="5400040"/>
            <wp:effectExtent l="0" t="0" r="10160" b="0"/>
            <wp:docPr id="12769434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43436" name="图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00040" cy="5400040"/>
                    </a:xfrm>
                    <a:prstGeom prst="rect">
                      <a:avLst/>
                    </a:prstGeom>
                    <a:noFill/>
                    <a:ln>
                      <a:noFill/>
                    </a:ln>
                  </pic:spPr>
                </pic:pic>
              </a:graphicData>
            </a:graphic>
          </wp:inline>
        </w:drawing>
      </w:r>
    </w:p>
    <w:p w14:paraId="6F3CE4F5">
      <w:pPr>
        <w:tabs>
          <w:tab w:val="left" w:pos="28"/>
          <w:tab w:val="left" w:pos="322"/>
          <w:tab w:val="left" w:pos="504"/>
          <w:tab w:val="left" w:pos="672"/>
          <w:tab w:val="left" w:pos="1442"/>
          <w:tab w:val="left" w:pos="2352"/>
        </w:tabs>
        <w:spacing w:after="120"/>
        <w:jc w:val="left"/>
        <w:rPr>
          <w:rFonts w:ascii="彩虹粗仿宋" w:eastAsia="彩虹粗仿宋"/>
        </w:rPr>
      </w:pPr>
    </w:p>
    <w:p w14:paraId="2E1D4C87">
      <w:pPr>
        <w:pStyle w:val="26"/>
        <w:spacing w:after="120"/>
        <w:ind w:firstLine="643"/>
        <w:rPr>
          <w:rFonts w:ascii="仿宋" w:hAnsi="仿宋" w:eastAsia="仿宋" w:cs="仿宋"/>
          <w:b/>
          <w:bCs/>
          <w:sz w:val="32"/>
          <w:szCs w:val="32"/>
        </w:rPr>
      </w:pPr>
    </w:p>
    <w:p w14:paraId="182F3FFC">
      <w:pPr>
        <w:pStyle w:val="26"/>
        <w:spacing w:after="120"/>
        <w:ind w:firstLine="643"/>
        <w:rPr>
          <w:rFonts w:ascii="仿宋" w:hAnsi="仿宋" w:eastAsia="仿宋" w:cs="仿宋"/>
          <w:b/>
          <w:bCs/>
          <w:sz w:val="32"/>
          <w:szCs w:val="32"/>
        </w:rPr>
      </w:pPr>
    </w:p>
    <w:p w14:paraId="5D40D8C0">
      <w:pPr>
        <w:pStyle w:val="26"/>
        <w:spacing w:after="120"/>
        <w:ind w:firstLine="643"/>
        <w:rPr>
          <w:rFonts w:ascii="仿宋" w:hAnsi="仿宋" w:eastAsia="仿宋" w:cs="仿宋"/>
          <w:b/>
          <w:bCs/>
          <w:sz w:val="32"/>
          <w:szCs w:val="32"/>
        </w:rPr>
      </w:pPr>
    </w:p>
    <w:p w14:paraId="0612F100">
      <w:pPr>
        <w:pStyle w:val="26"/>
        <w:spacing w:after="120"/>
        <w:ind w:firstLine="643"/>
        <w:rPr>
          <w:rFonts w:ascii="仿宋" w:hAnsi="仿宋" w:eastAsia="仿宋" w:cs="仿宋"/>
          <w:b/>
          <w:bCs/>
          <w:sz w:val="32"/>
          <w:szCs w:val="32"/>
        </w:rPr>
      </w:pPr>
    </w:p>
    <w:p w14:paraId="59FD2CE2">
      <w:pPr>
        <w:pStyle w:val="26"/>
        <w:spacing w:after="120"/>
        <w:ind w:firstLine="0" w:firstLineChars="0"/>
      </w:pPr>
    </w:p>
    <w:p w14:paraId="140F8EF6">
      <w:pPr>
        <w:pStyle w:val="26"/>
        <w:spacing w:after="120"/>
        <w:ind w:firstLine="640"/>
        <w:rPr>
          <w:rFonts w:ascii="仿宋" w:hAnsi="仿宋" w:eastAsia="仿宋" w:cs="仿宋"/>
          <w:kern w:val="0"/>
          <w:sz w:val="32"/>
          <w:szCs w:val="32"/>
        </w:rPr>
      </w:pPr>
      <w:r>
        <w:rPr>
          <w:rFonts w:hint="eastAsia" w:ascii="仿宋" w:hAnsi="仿宋" w:eastAsia="仿宋" w:cs="仿宋"/>
          <w:kern w:val="0"/>
          <w:sz w:val="32"/>
          <w:szCs w:val="32"/>
        </w:rPr>
        <w:t>附件2</w:t>
      </w:r>
    </w:p>
    <w:tbl>
      <w:tblPr>
        <w:tblStyle w:val="55"/>
        <w:tblW w:w="8872" w:type="dxa"/>
        <w:tblInd w:w="534" w:type="dxa"/>
        <w:tblLayout w:type="fixed"/>
        <w:tblCellMar>
          <w:top w:w="0" w:type="dxa"/>
          <w:left w:w="108" w:type="dxa"/>
          <w:bottom w:w="0" w:type="dxa"/>
          <w:right w:w="108" w:type="dxa"/>
        </w:tblCellMar>
      </w:tblPr>
      <w:tblGrid>
        <w:gridCol w:w="858"/>
        <w:gridCol w:w="666"/>
        <w:gridCol w:w="1999"/>
        <w:gridCol w:w="717"/>
        <w:gridCol w:w="936"/>
        <w:gridCol w:w="1848"/>
        <w:gridCol w:w="1848"/>
      </w:tblGrid>
      <w:tr w14:paraId="4A5BC9AC">
        <w:trPr>
          <w:trHeight w:val="558" w:hRule="atLeast"/>
        </w:trPr>
        <w:tc>
          <w:tcPr>
            <w:tcW w:w="8872" w:type="dxa"/>
            <w:gridSpan w:val="7"/>
            <w:tcBorders>
              <w:top w:val="nil"/>
              <w:left w:val="nil"/>
              <w:bottom w:val="nil"/>
              <w:right w:val="nil"/>
            </w:tcBorders>
            <w:noWrap/>
            <w:vAlign w:val="center"/>
          </w:tcPr>
          <w:p w14:paraId="72F02B57">
            <w:pPr>
              <w:spacing w:after="120"/>
              <w:ind w:firstLine="643"/>
              <w:jc w:val="center"/>
              <w:rPr>
                <w:rFonts w:ascii="仿宋" w:hAnsi="仿宋" w:eastAsia="仿宋" w:cs="仿宋"/>
                <w:b/>
                <w:bCs/>
                <w:sz w:val="32"/>
                <w:szCs w:val="32"/>
              </w:rPr>
            </w:pPr>
            <w:r>
              <w:rPr>
                <w:rFonts w:hint="eastAsia" w:ascii="仿宋" w:hAnsi="仿宋" w:eastAsia="仿宋" w:cs="仿宋"/>
                <w:b/>
                <w:bCs/>
                <w:sz w:val="32"/>
                <w:szCs w:val="32"/>
              </w:rPr>
              <w:t>广东省代建项目管理局</w:t>
            </w:r>
          </w:p>
        </w:tc>
      </w:tr>
      <w:tr w14:paraId="44D47CAB">
        <w:tblPrEx>
          <w:tblCellMar>
            <w:top w:w="0" w:type="dxa"/>
            <w:left w:w="108" w:type="dxa"/>
            <w:bottom w:w="0" w:type="dxa"/>
            <w:right w:w="108" w:type="dxa"/>
          </w:tblCellMar>
        </w:tblPrEx>
        <w:trPr>
          <w:trHeight w:val="558" w:hRule="atLeast"/>
        </w:trPr>
        <w:tc>
          <w:tcPr>
            <w:tcW w:w="8872" w:type="dxa"/>
            <w:gridSpan w:val="7"/>
            <w:tcBorders>
              <w:top w:val="nil"/>
              <w:left w:val="nil"/>
              <w:bottom w:val="nil"/>
              <w:right w:val="nil"/>
            </w:tcBorders>
            <w:noWrap/>
            <w:vAlign w:val="center"/>
          </w:tcPr>
          <w:p w14:paraId="7E34A865">
            <w:pPr>
              <w:spacing w:after="120"/>
              <w:ind w:firstLine="643"/>
              <w:jc w:val="center"/>
              <w:rPr>
                <w:rFonts w:ascii="仿宋" w:hAnsi="仿宋" w:eastAsia="仿宋" w:cs="仿宋"/>
                <w:b/>
                <w:bCs/>
                <w:sz w:val="32"/>
                <w:szCs w:val="32"/>
              </w:rPr>
            </w:pPr>
            <w:r>
              <w:rPr>
                <w:rFonts w:hint="eastAsia" w:ascii="仿宋" w:hAnsi="仿宋" w:eastAsia="仿宋" w:cs="仿宋"/>
                <w:b/>
                <w:bCs/>
                <w:sz w:val="32"/>
                <w:szCs w:val="32"/>
              </w:rPr>
              <w:t>工程建设资金使用计划确认表</w:t>
            </w:r>
          </w:p>
          <w:p w14:paraId="7CE52008">
            <w:pPr>
              <w:spacing w:after="120"/>
              <w:ind w:firstLine="0" w:firstLineChars="0"/>
              <w:rPr>
                <w:rFonts w:ascii="仿宋" w:hAnsi="仿宋" w:eastAsia="仿宋" w:cs="仿宋"/>
                <w:szCs w:val="24"/>
              </w:rPr>
            </w:pPr>
            <w:r>
              <w:rPr>
                <w:rFonts w:hint="eastAsia" w:ascii="仿宋" w:hAnsi="仿宋" w:eastAsia="仿宋" w:cs="仿宋"/>
                <w:sz w:val="30"/>
                <w:szCs w:val="30"/>
              </w:rPr>
              <w:t>计划期限：    年  月  日至    年  月  日</w:t>
            </w:r>
          </w:p>
        </w:tc>
      </w:tr>
      <w:tr w14:paraId="12D81860">
        <w:tblPrEx>
          <w:tblCellMar>
            <w:top w:w="0" w:type="dxa"/>
            <w:left w:w="108" w:type="dxa"/>
            <w:bottom w:w="0" w:type="dxa"/>
            <w:right w:w="108" w:type="dxa"/>
          </w:tblCellMar>
        </w:tblPrEx>
        <w:trPr>
          <w:trHeight w:val="511" w:hRule="atLeast"/>
        </w:trPr>
        <w:tc>
          <w:tcPr>
            <w:tcW w:w="1524" w:type="dxa"/>
            <w:gridSpan w:val="2"/>
            <w:tcBorders>
              <w:top w:val="single" w:color="auto" w:sz="4" w:space="0"/>
              <w:left w:val="single" w:color="auto" w:sz="4" w:space="0"/>
              <w:bottom w:val="single" w:color="auto" w:sz="4" w:space="0"/>
              <w:right w:val="single" w:color="auto" w:sz="4" w:space="0"/>
            </w:tcBorders>
            <w:noWrap/>
            <w:vAlign w:val="center"/>
          </w:tcPr>
          <w:p w14:paraId="09AFB894">
            <w:pPr>
              <w:spacing w:after="120"/>
              <w:ind w:firstLine="0" w:firstLineChars="0"/>
              <w:rPr>
                <w:rFonts w:ascii="仿宋" w:hAnsi="仿宋" w:eastAsia="仿宋" w:cs="仿宋"/>
                <w:sz w:val="30"/>
                <w:szCs w:val="30"/>
              </w:rPr>
            </w:pPr>
            <w:r>
              <w:rPr>
                <w:rFonts w:hint="eastAsia" w:ascii="仿宋" w:hAnsi="仿宋" w:eastAsia="仿宋" w:cs="仿宋"/>
                <w:sz w:val="30"/>
                <w:szCs w:val="30"/>
              </w:rPr>
              <w:t>单位名称</w:t>
            </w:r>
          </w:p>
        </w:tc>
        <w:tc>
          <w:tcPr>
            <w:tcW w:w="7348" w:type="dxa"/>
            <w:gridSpan w:val="5"/>
            <w:tcBorders>
              <w:top w:val="single" w:color="auto" w:sz="4" w:space="0"/>
              <w:left w:val="nil"/>
              <w:bottom w:val="single" w:color="auto" w:sz="4" w:space="0"/>
              <w:right w:val="single" w:color="000000" w:sz="4" w:space="0"/>
            </w:tcBorders>
            <w:noWrap/>
            <w:vAlign w:val="center"/>
          </w:tcPr>
          <w:p w14:paraId="44A98D81">
            <w:pPr>
              <w:spacing w:after="120"/>
              <w:ind w:firstLine="600"/>
              <w:jc w:val="center"/>
              <w:rPr>
                <w:rFonts w:ascii="仿宋" w:hAnsi="仿宋" w:eastAsia="仿宋" w:cs="仿宋"/>
                <w:sz w:val="30"/>
                <w:szCs w:val="30"/>
              </w:rPr>
            </w:pPr>
            <w:r>
              <w:rPr>
                <w:rFonts w:hint="eastAsia" w:ascii="仿宋" w:hAnsi="仿宋" w:eastAsia="仿宋" w:cs="仿宋"/>
                <w:sz w:val="30"/>
                <w:szCs w:val="30"/>
              </w:rPr>
              <w:t>　</w:t>
            </w:r>
          </w:p>
        </w:tc>
      </w:tr>
      <w:tr w14:paraId="1AB87C31">
        <w:tblPrEx>
          <w:tblCellMar>
            <w:top w:w="0" w:type="dxa"/>
            <w:left w:w="108" w:type="dxa"/>
            <w:bottom w:w="0" w:type="dxa"/>
            <w:right w:w="108" w:type="dxa"/>
          </w:tblCellMar>
        </w:tblPrEx>
        <w:trPr>
          <w:trHeight w:val="511" w:hRule="atLeast"/>
        </w:trPr>
        <w:tc>
          <w:tcPr>
            <w:tcW w:w="1524" w:type="dxa"/>
            <w:gridSpan w:val="2"/>
            <w:tcBorders>
              <w:top w:val="single" w:color="auto" w:sz="4" w:space="0"/>
              <w:left w:val="single" w:color="auto" w:sz="4" w:space="0"/>
              <w:bottom w:val="single" w:color="auto" w:sz="4" w:space="0"/>
              <w:right w:val="single" w:color="auto" w:sz="4" w:space="0"/>
            </w:tcBorders>
            <w:noWrap/>
            <w:vAlign w:val="center"/>
          </w:tcPr>
          <w:p w14:paraId="2AE890CD">
            <w:pPr>
              <w:spacing w:after="120"/>
              <w:ind w:firstLine="0" w:firstLineChars="0"/>
              <w:rPr>
                <w:rFonts w:ascii="仿宋" w:hAnsi="仿宋" w:eastAsia="仿宋" w:cs="仿宋"/>
                <w:sz w:val="30"/>
                <w:szCs w:val="30"/>
              </w:rPr>
            </w:pPr>
            <w:r>
              <w:rPr>
                <w:rFonts w:hint="eastAsia" w:ascii="仿宋" w:hAnsi="仿宋" w:eastAsia="仿宋" w:cs="仿宋"/>
                <w:sz w:val="30"/>
                <w:szCs w:val="30"/>
              </w:rPr>
              <w:t>合同名称</w:t>
            </w:r>
          </w:p>
        </w:tc>
        <w:tc>
          <w:tcPr>
            <w:tcW w:w="1999" w:type="dxa"/>
            <w:tcBorders>
              <w:top w:val="nil"/>
              <w:left w:val="nil"/>
              <w:bottom w:val="single" w:color="auto" w:sz="4" w:space="0"/>
              <w:right w:val="single" w:color="auto" w:sz="4" w:space="0"/>
            </w:tcBorders>
            <w:noWrap/>
            <w:vAlign w:val="center"/>
          </w:tcPr>
          <w:p w14:paraId="2BB989EE">
            <w:pPr>
              <w:spacing w:after="120"/>
              <w:ind w:firstLine="600"/>
              <w:jc w:val="left"/>
              <w:rPr>
                <w:rFonts w:ascii="仿宋" w:hAnsi="仿宋" w:eastAsia="仿宋" w:cs="仿宋"/>
                <w:sz w:val="30"/>
                <w:szCs w:val="30"/>
              </w:rPr>
            </w:pPr>
            <w:r>
              <w:rPr>
                <w:rFonts w:hint="eastAsia" w:ascii="仿宋" w:hAnsi="仿宋" w:eastAsia="仿宋" w:cs="仿宋"/>
                <w:sz w:val="30"/>
                <w:szCs w:val="30"/>
              </w:rPr>
              <w:t>　</w:t>
            </w:r>
          </w:p>
        </w:tc>
        <w:tc>
          <w:tcPr>
            <w:tcW w:w="1653" w:type="dxa"/>
            <w:gridSpan w:val="2"/>
            <w:tcBorders>
              <w:top w:val="nil"/>
              <w:left w:val="nil"/>
              <w:bottom w:val="single" w:color="auto" w:sz="4" w:space="0"/>
              <w:right w:val="single" w:color="auto" w:sz="4" w:space="0"/>
            </w:tcBorders>
            <w:noWrap/>
            <w:vAlign w:val="center"/>
          </w:tcPr>
          <w:p w14:paraId="4B45330F">
            <w:pPr>
              <w:spacing w:after="120"/>
              <w:ind w:firstLine="0" w:firstLineChars="0"/>
              <w:jc w:val="left"/>
              <w:rPr>
                <w:rFonts w:ascii="仿宋" w:hAnsi="仿宋" w:eastAsia="仿宋" w:cs="仿宋"/>
                <w:sz w:val="30"/>
                <w:szCs w:val="30"/>
              </w:rPr>
            </w:pPr>
            <w:r>
              <w:rPr>
                <w:rFonts w:hint="eastAsia" w:ascii="仿宋" w:hAnsi="仿宋" w:eastAsia="仿宋" w:cs="仿宋"/>
                <w:sz w:val="30"/>
                <w:szCs w:val="30"/>
              </w:rPr>
              <w:t>合同编号</w:t>
            </w:r>
          </w:p>
        </w:tc>
        <w:tc>
          <w:tcPr>
            <w:tcW w:w="3696" w:type="dxa"/>
            <w:gridSpan w:val="2"/>
            <w:tcBorders>
              <w:top w:val="single" w:color="auto" w:sz="4" w:space="0"/>
              <w:left w:val="nil"/>
              <w:bottom w:val="single" w:color="auto" w:sz="4" w:space="0"/>
              <w:right w:val="single" w:color="000000" w:sz="4" w:space="0"/>
            </w:tcBorders>
            <w:noWrap/>
            <w:vAlign w:val="center"/>
          </w:tcPr>
          <w:p w14:paraId="11EF57E8">
            <w:pPr>
              <w:spacing w:after="120"/>
              <w:ind w:firstLine="600"/>
              <w:jc w:val="center"/>
              <w:rPr>
                <w:rFonts w:ascii="仿宋" w:hAnsi="仿宋" w:eastAsia="仿宋" w:cs="仿宋"/>
                <w:sz w:val="30"/>
                <w:szCs w:val="30"/>
              </w:rPr>
            </w:pPr>
            <w:r>
              <w:rPr>
                <w:rFonts w:hint="eastAsia" w:ascii="仿宋" w:hAnsi="仿宋" w:eastAsia="仿宋" w:cs="仿宋"/>
                <w:sz w:val="30"/>
                <w:szCs w:val="30"/>
              </w:rPr>
              <w:t>　</w:t>
            </w:r>
          </w:p>
        </w:tc>
      </w:tr>
      <w:tr w14:paraId="49419985">
        <w:tblPrEx>
          <w:tblCellMar>
            <w:top w:w="0" w:type="dxa"/>
            <w:left w:w="108" w:type="dxa"/>
            <w:bottom w:w="0" w:type="dxa"/>
            <w:right w:w="108" w:type="dxa"/>
          </w:tblCellMar>
        </w:tblPrEx>
        <w:trPr>
          <w:trHeight w:val="511" w:hRule="atLeast"/>
        </w:trPr>
        <w:tc>
          <w:tcPr>
            <w:tcW w:w="1524" w:type="dxa"/>
            <w:gridSpan w:val="2"/>
            <w:tcBorders>
              <w:top w:val="single" w:color="auto" w:sz="4" w:space="0"/>
              <w:left w:val="single" w:color="auto" w:sz="4" w:space="0"/>
              <w:bottom w:val="single" w:color="auto" w:sz="4" w:space="0"/>
              <w:right w:val="single" w:color="auto" w:sz="4" w:space="0"/>
            </w:tcBorders>
            <w:noWrap/>
            <w:vAlign w:val="center"/>
          </w:tcPr>
          <w:p w14:paraId="408E448C">
            <w:pPr>
              <w:spacing w:after="120"/>
              <w:ind w:firstLine="600"/>
              <w:jc w:val="center"/>
              <w:rPr>
                <w:rFonts w:ascii="仿宋" w:hAnsi="仿宋" w:eastAsia="仿宋" w:cs="仿宋"/>
                <w:sz w:val="30"/>
                <w:szCs w:val="30"/>
              </w:rPr>
            </w:pPr>
            <w:r>
              <w:rPr>
                <w:rFonts w:hint="eastAsia" w:ascii="仿宋" w:hAnsi="仿宋" w:eastAsia="仿宋" w:cs="仿宋"/>
                <w:sz w:val="30"/>
                <w:szCs w:val="30"/>
              </w:rPr>
              <w:t>开户银行</w:t>
            </w:r>
          </w:p>
        </w:tc>
        <w:tc>
          <w:tcPr>
            <w:tcW w:w="1999" w:type="dxa"/>
            <w:tcBorders>
              <w:top w:val="nil"/>
              <w:left w:val="nil"/>
              <w:bottom w:val="single" w:color="auto" w:sz="4" w:space="0"/>
              <w:right w:val="single" w:color="auto" w:sz="4" w:space="0"/>
            </w:tcBorders>
            <w:noWrap/>
            <w:vAlign w:val="center"/>
          </w:tcPr>
          <w:p w14:paraId="26E3C096">
            <w:pPr>
              <w:spacing w:after="120"/>
              <w:ind w:firstLine="600"/>
              <w:jc w:val="left"/>
              <w:rPr>
                <w:rFonts w:ascii="仿宋" w:hAnsi="仿宋" w:eastAsia="仿宋" w:cs="仿宋"/>
                <w:sz w:val="30"/>
                <w:szCs w:val="30"/>
              </w:rPr>
            </w:pPr>
            <w:r>
              <w:rPr>
                <w:rFonts w:hint="eastAsia" w:ascii="仿宋" w:hAnsi="仿宋" w:eastAsia="仿宋" w:cs="仿宋"/>
                <w:sz w:val="30"/>
                <w:szCs w:val="30"/>
              </w:rPr>
              <w:t>　</w:t>
            </w:r>
          </w:p>
        </w:tc>
        <w:tc>
          <w:tcPr>
            <w:tcW w:w="1653" w:type="dxa"/>
            <w:gridSpan w:val="2"/>
            <w:tcBorders>
              <w:top w:val="nil"/>
              <w:left w:val="nil"/>
              <w:bottom w:val="single" w:color="auto" w:sz="4" w:space="0"/>
              <w:right w:val="single" w:color="auto" w:sz="4" w:space="0"/>
            </w:tcBorders>
            <w:noWrap/>
            <w:vAlign w:val="center"/>
          </w:tcPr>
          <w:p w14:paraId="65DA273C">
            <w:pPr>
              <w:spacing w:after="120"/>
              <w:ind w:firstLine="0" w:firstLineChars="0"/>
              <w:jc w:val="left"/>
              <w:rPr>
                <w:rFonts w:ascii="仿宋" w:hAnsi="仿宋" w:eastAsia="仿宋" w:cs="仿宋"/>
                <w:sz w:val="30"/>
                <w:szCs w:val="30"/>
              </w:rPr>
            </w:pPr>
            <w:r>
              <w:rPr>
                <w:rFonts w:hint="eastAsia" w:ascii="仿宋" w:hAnsi="仿宋" w:eastAsia="仿宋" w:cs="仿宋"/>
                <w:sz w:val="30"/>
                <w:szCs w:val="30"/>
              </w:rPr>
              <w:t>银行帐号</w:t>
            </w:r>
          </w:p>
        </w:tc>
        <w:tc>
          <w:tcPr>
            <w:tcW w:w="3696" w:type="dxa"/>
            <w:gridSpan w:val="2"/>
            <w:tcBorders>
              <w:top w:val="single" w:color="auto" w:sz="4" w:space="0"/>
              <w:left w:val="nil"/>
              <w:bottom w:val="single" w:color="auto" w:sz="4" w:space="0"/>
              <w:right w:val="single" w:color="000000" w:sz="4" w:space="0"/>
            </w:tcBorders>
            <w:noWrap/>
            <w:vAlign w:val="center"/>
          </w:tcPr>
          <w:p w14:paraId="54F1F78B">
            <w:pPr>
              <w:spacing w:after="120"/>
              <w:ind w:firstLine="600"/>
              <w:jc w:val="center"/>
              <w:rPr>
                <w:rFonts w:ascii="仿宋" w:hAnsi="仿宋" w:eastAsia="仿宋" w:cs="仿宋"/>
                <w:sz w:val="30"/>
                <w:szCs w:val="30"/>
              </w:rPr>
            </w:pPr>
            <w:r>
              <w:rPr>
                <w:rFonts w:hint="eastAsia" w:ascii="仿宋" w:hAnsi="仿宋" w:eastAsia="仿宋" w:cs="仿宋"/>
                <w:sz w:val="30"/>
                <w:szCs w:val="30"/>
              </w:rPr>
              <w:t>　</w:t>
            </w:r>
          </w:p>
        </w:tc>
      </w:tr>
      <w:tr w14:paraId="6B97B4F7">
        <w:tblPrEx>
          <w:tblCellMar>
            <w:top w:w="0" w:type="dxa"/>
            <w:left w:w="108" w:type="dxa"/>
            <w:bottom w:w="0" w:type="dxa"/>
            <w:right w:w="108" w:type="dxa"/>
          </w:tblCellMar>
        </w:tblPrEx>
        <w:trPr>
          <w:trHeight w:val="511" w:hRule="atLeast"/>
        </w:trPr>
        <w:tc>
          <w:tcPr>
            <w:tcW w:w="1524" w:type="dxa"/>
            <w:gridSpan w:val="2"/>
            <w:tcBorders>
              <w:top w:val="single" w:color="auto" w:sz="4" w:space="0"/>
              <w:left w:val="single" w:color="auto" w:sz="4" w:space="0"/>
              <w:bottom w:val="single" w:color="auto" w:sz="4" w:space="0"/>
              <w:right w:val="single" w:color="auto" w:sz="4" w:space="0"/>
            </w:tcBorders>
            <w:noWrap/>
            <w:vAlign w:val="center"/>
          </w:tcPr>
          <w:p w14:paraId="74A27E71">
            <w:pPr>
              <w:spacing w:after="120"/>
              <w:ind w:firstLine="0" w:firstLineChars="0"/>
              <w:rPr>
                <w:rFonts w:ascii="仿宋" w:hAnsi="仿宋" w:eastAsia="仿宋" w:cs="仿宋"/>
                <w:sz w:val="30"/>
                <w:szCs w:val="30"/>
              </w:rPr>
            </w:pPr>
            <w:r>
              <w:rPr>
                <w:rFonts w:hint="eastAsia" w:ascii="仿宋" w:hAnsi="仿宋" w:eastAsia="仿宋" w:cs="仿宋"/>
                <w:sz w:val="30"/>
                <w:szCs w:val="30"/>
              </w:rPr>
              <w:t>本期申报计量资金额</w:t>
            </w:r>
          </w:p>
        </w:tc>
        <w:tc>
          <w:tcPr>
            <w:tcW w:w="1999" w:type="dxa"/>
            <w:tcBorders>
              <w:top w:val="nil"/>
              <w:left w:val="nil"/>
              <w:bottom w:val="single" w:color="auto" w:sz="4" w:space="0"/>
              <w:right w:val="single" w:color="auto" w:sz="4" w:space="0"/>
            </w:tcBorders>
            <w:noWrap/>
            <w:vAlign w:val="center"/>
          </w:tcPr>
          <w:p w14:paraId="5F69EB1C">
            <w:pPr>
              <w:spacing w:after="120"/>
              <w:ind w:firstLine="600"/>
              <w:jc w:val="left"/>
              <w:rPr>
                <w:rFonts w:ascii="仿宋" w:hAnsi="仿宋" w:eastAsia="仿宋" w:cs="仿宋"/>
                <w:sz w:val="30"/>
                <w:szCs w:val="30"/>
              </w:rPr>
            </w:pPr>
            <w:r>
              <w:rPr>
                <w:rFonts w:hint="eastAsia" w:ascii="仿宋" w:hAnsi="仿宋" w:eastAsia="仿宋" w:cs="仿宋"/>
                <w:sz w:val="30"/>
                <w:szCs w:val="30"/>
              </w:rPr>
              <w:t>　</w:t>
            </w:r>
          </w:p>
        </w:tc>
        <w:tc>
          <w:tcPr>
            <w:tcW w:w="1653" w:type="dxa"/>
            <w:gridSpan w:val="2"/>
            <w:tcBorders>
              <w:top w:val="single" w:color="auto" w:sz="4" w:space="0"/>
              <w:left w:val="nil"/>
              <w:bottom w:val="single" w:color="auto" w:sz="4" w:space="0"/>
              <w:right w:val="single" w:color="000000" w:sz="4" w:space="0"/>
            </w:tcBorders>
            <w:noWrap/>
            <w:vAlign w:val="center"/>
          </w:tcPr>
          <w:p w14:paraId="4AC9149B">
            <w:pPr>
              <w:spacing w:after="120"/>
              <w:ind w:firstLine="0" w:firstLineChars="0"/>
              <w:rPr>
                <w:rFonts w:ascii="仿宋" w:hAnsi="仿宋" w:eastAsia="仿宋" w:cs="仿宋"/>
                <w:sz w:val="30"/>
                <w:szCs w:val="30"/>
              </w:rPr>
            </w:pPr>
            <w:r>
              <w:rPr>
                <w:rFonts w:hint="eastAsia" w:ascii="仿宋" w:hAnsi="仿宋" w:eastAsia="仿宋" w:cs="仿宋"/>
                <w:sz w:val="30"/>
                <w:szCs w:val="30"/>
              </w:rPr>
              <w:t>至上期累计已收额</w:t>
            </w:r>
          </w:p>
        </w:tc>
        <w:tc>
          <w:tcPr>
            <w:tcW w:w="3696" w:type="dxa"/>
            <w:gridSpan w:val="2"/>
            <w:tcBorders>
              <w:top w:val="single" w:color="auto" w:sz="4" w:space="0"/>
              <w:left w:val="nil"/>
              <w:bottom w:val="single" w:color="auto" w:sz="4" w:space="0"/>
              <w:right w:val="single" w:color="000000" w:sz="4" w:space="0"/>
            </w:tcBorders>
            <w:noWrap/>
            <w:vAlign w:val="center"/>
          </w:tcPr>
          <w:p w14:paraId="78D406CF">
            <w:pPr>
              <w:spacing w:after="120"/>
              <w:ind w:firstLine="600"/>
              <w:jc w:val="center"/>
              <w:rPr>
                <w:rFonts w:ascii="仿宋" w:hAnsi="仿宋" w:eastAsia="仿宋" w:cs="仿宋"/>
                <w:sz w:val="30"/>
                <w:szCs w:val="30"/>
              </w:rPr>
            </w:pPr>
            <w:r>
              <w:rPr>
                <w:rFonts w:hint="eastAsia" w:ascii="仿宋" w:hAnsi="仿宋" w:eastAsia="仿宋" w:cs="仿宋"/>
                <w:sz w:val="30"/>
                <w:szCs w:val="30"/>
              </w:rPr>
              <w:t>　</w:t>
            </w:r>
          </w:p>
        </w:tc>
      </w:tr>
      <w:tr w14:paraId="69F1213B">
        <w:tblPrEx>
          <w:tblCellMar>
            <w:top w:w="0" w:type="dxa"/>
            <w:left w:w="108" w:type="dxa"/>
            <w:bottom w:w="0" w:type="dxa"/>
            <w:right w:w="108" w:type="dxa"/>
          </w:tblCellMar>
        </w:tblPrEx>
        <w:trPr>
          <w:trHeight w:val="620" w:hRule="atLeast"/>
        </w:trPr>
        <w:tc>
          <w:tcPr>
            <w:tcW w:w="858" w:type="dxa"/>
            <w:tcBorders>
              <w:top w:val="nil"/>
              <w:left w:val="single" w:color="auto" w:sz="4" w:space="0"/>
              <w:bottom w:val="single" w:color="auto" w:sz="4" w:space="0"/>
              <w:right w:val="single" w:color="auto" w:sz="4" w:space="0"/>
            </w:tcBorders>
            <w:noWrap/>
            <w:vAlign w:val="center"/>
          </w:tcPr>
          <w:p w14:paraId="75F1D6A0">
            <w:pPr>
              <w:spacing w:after="120"/>
              <w:ind w:firstLine="0" w:firstLineChars="0"/>
              <w:jc w:val="left"/>
              <w:rPr>
                <w:rFonts w:ascii="仿宋" w:hAnsi="仿宋" w:eastAsia="仿宋" w:cs="仿宋"/>
                <w:sz w:val="30"/>
                <w:szCs w:val="30"/>
              </w:rPr>
            </w:pPr>
            <w:r>
              <w:rPr>
                <w:rFonts w:hint="eastAsia" w:ascii="仿宋" w:hAnsi="仿宋" w:eastAsia="仿宋" w:cs="仿宋"/>
                <w:sz w:val="30"/>
                <w:szCs w:val="30"/>
              </w:rPr>
              <w:t>　</w:t>
            </w:r>
          </w:p>
        </w:tc>
        <w:tc>
          <w:tcPr>
            <w:tcW w:w="2665" w:type="dxa"/>
            <w:gridSpan w:val="2"/>
            <w:tcBorders>
              <w:top w:val="single" w:color="auto" w:sz="4" w:space="0"/>
              <w:left w:val="nil"/>
              <w:bottom w:val="single" w:color="auto" w:sz="4" w:space="0"/>
              <w:right w:val="single" w:color="auto" w:sz="4" w:space="0"/>
            </w:tcBorders>
            <w:noWrap/>
            <w:vAlign w:val="center"/>
          </w:tcPr>
          <w:p w14:paraId="61ED5C73">
            <w:pPr>
              <w:spacing w:after="120"/>
              <w:ind w:firstLine="600"/>
              <w:jc w:val="left"/>
              <w:rPr>
                <w:rFonts w:ascii="仿宋" w:hAnsi="仿宋" w:eastAsia="仿宋" w:cs="仿宋"/>
                <w:sz w:val="30"/>
                <w:szCs w:val="30"/>
              </w:rPr>
            </w:pPr>
            <w:r>
              <w:rPr>
                <w:rFonts w:hint="eastAsia" w:ascii="仿宋" w:hAnsi="仿宋" w:eastAsia="仿宋" w:cs="仿宋"/>
                <w:sz w:val="30"/>
                <w:szCs w:val="30"/>
              </w:rPr>
              <w:t>用款单位</w:t>
            </w:r>
          </w:p>
        </w:tc>
        <w:tc>
          <w:tcPr>
            <w:tcW w:w="1653" w:type="dxa"/>
            <w:gridSpan w:val="2"/>
            <w:tcBorders>
              <w:top w:val="single" w:color="auto" w:sz="4" w:space="0"/>
              <w:left w:val="nil"/>
              <w:bottom w:val="single" w:color="auto" w:sz="4" w:space="0"/>
              <w:right w:val="single" w:color="auto" w:sz="4" w:space="0"/>
            </w:tcBorders>
            <w:noWrap/>
            <w:vAlign w:val="center"/>
          </w:tcPr>
          <w:p w14:paraId="2B02DC5C">
            <w:pPr>
              <w:spacing w:after="120"/>
              <w:ind w:firstLine="600"/>
              <w:jc w:val="left"/>
              <w:rPr>
                <w:rFonts w:ascii="仿宋" w:hAnsi="仿宋" w:eastAsia="仿宋" w:cs="仿宋"/>
                <w:sz w:val="30"/>
                <w:szCs w:val="30"/>
              </w:rPr>
            </w:pPr>
            <w:r>
              <w:rPr>
                <w:rFonts w:hint="eastAsia" w:ascii="仿宋" w:hAnsi="仿宋" w:eastAsia="仿宋" w:cs="仿宋"/>
                <w:sz w:val="30"/>
                <w:szCs w:val="30"/>
              </w:rPr>
              <w:t>用途</w:t>
            </w:r>
          </w:p>
        </w:tc>
        <w:tc>
          <w:tcPr>
            <w:tcW w:w="1848" w:type="dxa"/>
            <w:tcBorders>
              <w:top w:val="nil"/>
              <w:left w:val="nil"/>
              <w:bottom w:val="single" w:color="auto" w:sz="4" w:space="0"/>
              <w:right w:val="single" w:color="auto" w:sz="4" w:space="0"/>
            </w:tcBorders>
            <w:noWrap/>
            <w:vAlign w:val="center"/>
          </w:tcPr>
          <w:p w14:paraId="1FD7CBCA">
            <w:pPr>
              <w:spacing w:after="120"/>
              <w:ind w:firstLine="600"/>
              <w:jc w:val="left"/>
              <w:rPr>
                <w:rFonts w:ascii="仿宋" w:hAnsi="仿宋" w:eastAsia="仿宋" w:cs="仿宋"/>
                <w:sz w:val="30"/>
                <w:szCs w:val="30"/>
              </w:rPr>
            </w:pPr>
            <w:r>
              <w:rPr>
                <w:rFonts w:hint="eastAsia" w:ascii="仿宋" w:hAnsi="仿宋" w:eastAsia="仿宋" w:cs="仿宋"/>
                <w:sz w:val="30"/>
                <w:szCs w:val="30"/>
              </w:rPr>
              <w:t>金额</w:t>
            </w:r>
          </w:p>
        </w:tc>
        <w:tc>
          <w:tcPr>
            <w:tcW w:w="1848" w:type="dxa"/>
            <w:tcBorders>
              <w:top w:val="nil"/>
              <w:left w:val="nil"/>
              <w:bottom w:val="single" w:color="auto" w:sz="4" w:space="0"/>
              <w:right w:val="single" w:color="auto" w:sz="4" w:space="0"/>
            </w:tcBorders>
            <w:noWrap/>
            <w:vAlign w:val="center"/>
          </w:tcPr>
          <w:p w14:paraId="07F7C495">
            <w:pPr>
              <w:spacing w:after="120"/>
              <w:ind w:firstLine="0" w:firstLineChars="0"/>
              <w:jc w:val="left"/>
              <w:rPr>
                <w:rFonts w:ascii="仿宋" w:hAnsi="仿宋" w:eastAsia="仿宋" w:cs="仿宋"/>
                <w:sz w:val="30"/>
                <w:szCs w:val="30"/>
              </w:rPr>
            </w:pPr>
            <w:r>
              <w:rPr>
                <w:rFonts w:hint="eastAsia" w:ascii="仿宋" w:hAnsi="仿宋" w:eastAsia="仿宋" w:cs="仿宋"/>
                <w:sz w:val="30"/>
                <w:szCs w:val="30"/>
              </w:rPr>
              <w:t>累计支付</w:t>
            </w:r>
          </w:p>
        </w:tc>
      </w:tr>
      <w:tr w14:paraId="1E7FF657">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660D0417">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194E1E7A">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17A750EB">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71AC82C0">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4EBBD514">
            <w:pPr>
              <w:spacing w:after="120"/>
              <w:jc w:val="right"/>
              <w:rPr>
                <w:rFonts w:ascii="仿宋" w:hAnsi="仿宋" w:eastAsia="仿宋" w:cs="仿宋"/>
                <w:szCs w:val="24"/>
              </w:rPr>
            </w:pPr>
            <w:r>
              <w:rPr>
                <w:rFonts w:hint="eastAsia" w:ascii="仿宋" w:hAnsi="仿宋" w:eastAsia="仿宋" w:cs="仿宋"/>
                <w:szCs w:val="24"/>
              </w:rPr>
              <w:t>　</w:t>
            </w:r>
          </w:p>
        </w:tc>
      </w:tr>
      <w:tr w14:paraId="2924C875">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0BD89AF3">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396A927A">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543A6564">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2F00F21E">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4A9E7DD0">
            <w:pPr>
              <w:spacing w:after="120"/>
              <w:jc w:val="right"/>
              <w:rPr>
                <w:rFonts w:ascii="仿宋" w:hAnsi="仿宋" w:eastAsia="仿宋" w:cs="仿宋"/>
                <w:szCs w:val="24"/>
              </w:rPr>
            </w:pPr>
            <w:r>
              <w:rPr>
                <w:rFonts w:hint="eastAsia" w:ascii="仿宋" w:hAnsi="仿宋" w:eastAsia="仿宋" w:cs="仿宋"/>
                <w:szCs w:val="24"/>
              </w:rPr>
              <w:t>　</w:t>
            </w:r>
          </w:p>
        </w:tc>
      </w:tr>
      <w:tr w14:paraId="71A4F21D">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20EFC8ED">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3F3D91C7">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25DCF29A">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4AAF9092">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2D8B921F">
            <w:pPr>
              <w:spacing w:after="120"/>
              <w:jc w:val="right"/>
              <w:rPr>
                <w:rFonts w:ascii="仿宋" w:hAnsi="仿宋" w:eastAsia="仿宋" w:cs="仿宋"/>
                <w:szCs w:val="24"/>
              </w:rPr>
            </w:pPr>
            <w:r>
              <w:rPr>
                <w:rFonts w:hint="eastAsia" w:ascii="仿宋" w:hAnsi="仿宋" w:eastAsia="仿宋" w:cs="仿宋"/>
                <w:szCs w:val="24"/>
              </w:rPr>
              <w:t>　</w:t>
            </w:r>
          </w:p>
        </w:tc>
      </w:tr>
      <w:tr w14:paraId="550F73FF">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60B0F64D">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2AD24666">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28F7B0C3">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572383E7">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2AAE0726">
            <w:pPr>
              <w:spacing w:after="120"/>
              <w:jc w:val="right"/>
              <w:rPr>
                <w:rFonts w:ascii="仿宋" w:hAnsi="仿宋" w:eastAsia="仿宋" w:cs="仿宋"/>
                <w:szCs w:val="24"/>
              </w:rPr>
            </w:pPr>
            <w:r>
              <w:rPr>
                <w:rFonts w:hint="eastAsia" w:ascii="仿宋" w:hAnsi="仿宋" w:eastAsia="仿宋" w:cs="仿宋"/>
                <w:szCs w:val="24"/>
              </w:rPr>
              <w:t>　</w:t>
            </w:r>
          </w:p>
        </w:tc>
      </w:tr>
      <w:tr w14:paraId="74DC86CB">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6868EB21">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052FBE50">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6FA5AD4B">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7FA1562C">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309F8035">
            <w:pPr>
              <w:spacing w:after="120"/>
              <w:jc w:val="right"/>
              <w:rPr>
                <w:rFonts w:ascii="仿宋" w:hAnsi="仿宋" w:eastAsia="仿宋" w:cs="仿宋"/>
                <w:szCs w:val="24"/>
              </w:rPr>
            </w:pPr>
            <w:r>
              <w:rPr>
                <w:rFonts w:hint="eastAsia" w:ascii="仿宋" w:hAnsi="仿宋" w:eastAsia="仿宋" w:cs="仿宋"/>
                <w:szCs w:val="24"/>
              </w:rPr>
              <w:t>　</w:t>
            </w:r>
          </w:p>
        </w:tc>
      </w:tr>
      <w:tr w14:paraId="7E66143C">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nil"/>
            </w:tcBorders>
            <w:noWrap/>
            <w:vAlign w:val="center"/>
          </w:tcPr>
          <w:p w14:paraId="4D925676">
            <w:pPr>
              <w:spacing w:after="120"/>
              <w:jc w:val="left"/>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single" w:color="auto" w:sz="4" w:space="0"/>
              <w:bottom w:val="single" w:color="auto" w:sz="4" w:space="0"/>
              <w:right w:val="single" w:color="auto" w:sz="4" w:space="0"/>
            </w:tcBorders>
            <w:noWrap/>
            <w:vAlign w:val="center"/>
          </w:tcPr>
          <w:p w14:paraId="233612DB">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7129A3A1">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485259EA">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01016B35">
            <w:pPr>
              <w:spacing w:after="120"/>
              <w:jc w:val="right"/>
              <w:rPr>
                <w:rFonts w:ascii="仿宋" w:hAnsi="仿宋" w:eastAsia="仿宋" w:cs="仿宋"/>
                <w:szCs w:val="24"/>
              </w:rPr>
            </w:pPr>
            <w:r>
              <w:rPr>
                <w:rFonts w:hint="eastAsia" w:ascii="仿宋" w:hAnsi="仿宋" w:eastAsia="仿宋" w:cs="仿宋"/>
                <w:szCs w:val="24"/>
              </w:rPr>
              <w:t>　</w:t>
            </w:r>
          </w:p>
        </w:tc>
      </w:tr>
      <w:tr w14:paraId="22779C31">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3252647F">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778463B3">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314DAA77">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0486FFBA">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2E96CA2A">
            <w:pPr>
              <w:spacing w:after="120"/>
              <w:jc w:val="right"/>
              <w:rPr>
                <w:rFonts w:ascii="仿宋" w:hAnsi="仿宋" w:eastAsia="仿宋" w:cs="仿宋"/>
                <w:szCs w:val="24"/>
              </w:rPr>
            </w:pPr>
            <w:r>
              <w:rPr>
                <w:rFonts w:hint="eastAsia" w:ascii="仿宋" w:hAnsi="仿宋" w:eastAsia="仿宋" w:cs="仿宋"/>
                <w:szCs w:val="24"/>
              </w:rPr>
              <w:t>　</w:t>
            </w:r>
          </w:p>
        </w:tc>
      </w:tr>
      <w:tr w14:paraId="7D472464">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3A35664D">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62AA7259">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7D4C3DF7">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3F45582B">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016DA4C3">
            <w:pPr>
              <w:spacing w:after="120"/>
              <w:jc w:val="right"/>
              <w:rPr>
                <w:rFonts w:ascii="仿宋" w:hAnsi="仿宋" w:eastAsia="仿宋" w:cs="仿宋"/>
                <w:szCs w:val="24"/>
              </w:rPr>
            </w:pPr>
            <w:r>
              <w:rPr>
                <w:rFonts w:hint="eastAsia" w:ascii="仿宋" w:hAnsi="仿宋" w:eastAsia="仿宋" w:cs="仿宋"/>
                <w:szCs w:val="24"/>
              </w:rPr>
              <w:t>　</w:t>
            </w:r>
          </w:p>
        </w:tc>
      </w:tr>
      <w:tr w14:paraId="2BF68EAD">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5579BE4B">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447A2DDF">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2540428B">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4B67F542">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1BA43E0A">
            <w:pPr>
              <w:spacing w:after="120"/>
              <w:jc w:val="right"/>
              <w:rPr>
                <w:rFonts w:ascii="仿宋" w:hAnsi="仿宋" w:eastAsia="仿宋" w:cs="仿宋"/>
                <w:szCs w:val="24"/>
              </w:rPr>
            </w:pPr>
            <w:r>
              <w:rPr>
                <w:rFonts w:hint="eastAsia" w:ascii="仿宋" w:hAnsi="仿宋" w:eastAsia="仿宋" w:cs="仿宋"/>
                <w:szCs w:val="24"/>
              </w:rPr>
              <w:t>　</w:t>
            </w:r>
          </w:p>
        </w:tc>
      </w:tr>
      <w:tr w14:paraId="7A90CA2E">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1E500D5D">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4767D52B">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415EFAA0">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60EF4566">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0DC741E9">
            <w:pPr>
              <w:spacing w:after="120"/>
              <w:jc w:val="right"/>
              <w:rPr>
                <w:rFonts w:ascii="仿宋" w:hAnsi="仿宋" w:eastAsia="仿宋" w:cs="仿宋"/>
                <w:szCs w:val="24"/>
              </w:rPr>
            </w:pPr>
            <w:r>
              <w:rPr>
                <w:rFonts w:hint="eastAsia" w:ascii="仿宋" w:hAnsi="仿宋" w:eastAsia="仿宋" w:cs="仿宋"/>
                <w:szCs w:val="24"/>
              </w:rPr>
              <w:t>　</w:t>
            </w:r>
          </w:p>
        </w:tc>
      </w:tr>
      <w:tr w14:paraId="3E8ECF18">
        <w:tblPrEx>
          <w:tblCellMar>
            <w:top w:w="0" w:type="dxa"/>
            <w:left w:w="108" w:type="dxa"/>
            <w:bottom w:w="0" w:type="dxa"/>
            <w:right w:w="108" w:type="dxa"/>
          </w:tblCellMar>
        </w:tblPrEx>
        <w:trPr>
          <w:trHeight w:val="511" w:hRule="atLeast"/>
        </w:trPr>
        <w:tc>
          <w:tcPr>
            <w:tcW w:w="858" w:type="dxa"/>
            <w:tcBorders>
              <w:top w:val="nil"/>
              <w:left w:val="single" w:color="auto" w:sz="4" w:space="0"/>
              <w:bottom w:val="single" w:color="auto" w:sz="4" w:space="0"/>
              <w:right w:val="single" w:color="auto" w:sz="4" w:space="0"/>
            </w:tcBorders>
            <w:noWrap/>
            <w:vAlign w:val="center"/>
          </w:tcPr>
          <w:p w14:paraId="181B4795">
            <w:pPr>
              <w:spacing w:after="120"/>
              <w:jc w:val="center"/>
              <w:rPr>
                <w:rFonts w:ascii="仿宋" w:hAnsi="仿宋" w:eastAsia="仿宋" w:cs="仿宋"/>
                <w:szCs w:val="24"/>
              </w:rPr>
            </w:pPr>
            <w:r>
              <w:rPr>
                <w:rFonts w:hint="eastAsia" w:ascii="仿宋" w:hAnsi="仿宋" w:eastAsia="仿宋" w:cs="仿宋"/>
                <w:szCs w:val="24"/>
              </w:rPr>
              <w:t>　</w:t>
            </w:r>
          </w:p>
        </w:tc>
        <w:tc>
          <w:tcPr>
            <w:tcW w:w="2665" w:type="dxa"/>
            <w:gridSpan w:val="2"/>
            <w:tcBorders>
              <w:top w:val="single" w:color="auto" w:sz="4" w:space="0"/>
              <w:left w:val="nil"/>
              <w:bottom w:val="single" w:color="auto" w:sz="4" w:space="0"/>
              <w:right w:val="single" w:color="auto" w:sz="4" w:space="0"/>
            </w:tcBorders>
            <w:noWrap/>
            <w:vAlign w:val="center"/>
          </w:tcPr>
          <w:p w14:paraId="641FA144">
            <w:pPr>
              <w:spacing w:after="120"/>
              <w:jc w:val="center"/>
              <w:rPr>
                <w:rFonts w:ascii="仿宋" w:hAnsi="仿宋" w:eastAsia="仿宋" w:cs="仿宋"/>
                <w:szCs w:val="24"/>
              </w:rPr>
            </w:pPr>
            <w:r>
              <w:rPr>
                <w:rFonts w:hint="eastAsia" w:ascii="仿宋" w:hAnsi="仿宋" w:eastAsia="仿宋" w:cs="仿宋"/>
                <w:szCs w:val="24"/>
              </w:rPr>
              <w:t>　</w:t>
            </w:r>
          </w:p>
        </w:tc>
        <w:tc>
          <w:tcPr>
            <w:tcW w:w="1653" w:type="dxa"/>
            <w:gridSpan w:val="2"/>
            <w:tcBorders>
              <w:top w:val="single" w:color="auto" w:sz="4" w:space="0"/>
              <w:left w:val="nil"/>
              <w:bottom w:val="single" w:color="auto" w:sz="4" w:space="0"/>
              <w:right w:val="single" w:color="auto" w:sz="4" w:space="0"/>
            </w:tcBorders>
            <w:noWrap/>
            <w:vAlign w:val="center"/>
          </w:tcPr>
          <w:p w14:paraId="27EFBCD1">
            <w:pPr>
              <w:spacing w:after="120"/>
              <w:jc w:val="center"/>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5310C671">
            <w:pPr>
              <w:spacing w:after="120"/>
              <w:jc w:val="right"/>
              <w:rPr>
                <w:rFonts w:ascii="仿宋" w:hAnsi="仿宋" w:eastAsia="仿宋" w:cs="仿宋"/>
                <w:szCs w:val="24"/>
              </w:rPr>
            </w:pPr>
            <w:r>
              <w:rPr>
                <w:rFonts w:hint="eastAsia" w:ascii="仿宋" w:hAnsi="仿宋" w:eastAsia="仿宋" w:cs="仿宋"/>
                <w:szCs w:val="24"/>
              </w:rPr>
              <w:t>　</w:t>
            </w:r>
          </w:p>
        </w:tc>
        <w:tc>
          <w:tcPr>
            <w:tcW w:w="1848" w:type="dxa"/>
            <w:tcBorders>
              <w:top w:val="nil"/>
              <w:left w:val="nil"/>
              <w:bottom w:val="single" w:color="auto" w:sz="4" w:space="0"/>
              <w:right w:val="single" w:color="auto" w:sz="4" w:space="0"/>
            </w:tcBorders>
            <w:noWrap/>
            <w:vAlign w:val="center"/>
          </w:tcPr>
          <w:p w14:paraId="14ADA4A1">
            <w:pPr>
              <w:spacing w:after="120"/>
              <w:jc w:val="right"/>
              <w:rPr>
                <w:rFonts w:ascii="仿宋" w:hAnsi="仿宋" w:eastAsia="仿宋" w:cs="仿宋"/>
                <w:szCs w:val="24"/>
              </w:rPr>
            </w:pPr>
            <w:r>
              <w:rPr>
                <w:rFonts w:hint="eastAsia" w:ascii="仿宋" w:hAnsi="仿宋" w:eastAsia="仿宋" w:cs="仿宋"/>
                <w:szCs w:val="24"/>
              </w:rPr>
              <w:t>　</w:t>
            </w:r>
          </w:p>
        </w:tc>
      </w:tr>
      <w:tr w14:paraId="31FCC8FF">
        <w:tblPrEx>
          <w:tblCellMar>
            <w:top w:w="0" w:type="dxa"/>
            <w:left w:w="108" w:type="dxa"/>
            <w:bottom w:w="0" w:type="dxa"/>
            <w:right w:w="108" w:type="dxa"/>
          </w:tblCellMar>
        </w:tblPrEx>
        <w:trPr>
          <w:trHeight w:val="511" w:hRule="atLeast"/>
        </w:trPr>
        <w:tc>
          <w:tcPr>
            <w:tcW w:w="5176" w:type="dxa"/>
            <w:gridSpan w:val="5"/>
            <w:tcBorders>
              <w:top w:val="single" w:color="auto" w:sz="4" w:space="0"/>
              <w:left w:val="single" w:color="auto" w:sz="4" w:space="0"/>
              <w:bottom w:val="single" w:color="auto" w:sz="4" w:space="0"/>
              <w:right w:val="single" w:color="000000" w:sz="4" w:space="0"/>
            </w:tcBorders>
            <w:noWrap/>
            <w:vAlign w:val="center"/>
          </w:tcPr>
          <w:p w14:paraId="11CE33E4">
            <w:pPr>
              <w:spacing w:after="120"/>
              <w:ind w:firstLine="602"/>
              <w:jc w:val="center"/>
              <w:rPr>
                <w:rFonts w:ascii="仿宋" w:hAnsi="仿宋" w:eastAsia="仿宋" w:cs="仿宋"/>
                <w:b/>
                <w:bCs/>
                <w:szCs w:val="24"/>
              </w:rPr>
            </w:pPr>
            <w:r>
              <w:rPr>
                <w:rFonts w:hint="eastAsia" w:ascii="仿宋" w:hAnsi="仿宋" w:eastAsia="仿宋" w:cs="仿宋"/>
                <w:b/>
                <w:bCs/>
                <w:sz w:val="30"/>
                <w:szCs w:val="30"/>
              </w:rPr>
              <w:t>总计</w:t>
            </w:r>
          </w:p>
        </w:tc>
        <w:tc>
          <w:tcPr>
            <w:tcW w:w="1848" w:type="dxa"/>
            <w:tcBorders>
              <w:top w:val="nil"/>
              <w:left w:val="nil"/>
              <w:bottom w:val="single" w:color="auto" w:sz="4" w:space="0"/>
              <w:right w:val="single" w:color="auto" w:sz="4" w:space="0"/>
            </w:tcBorders>
            <w:noWrap/>
            <w:vAlign w:val="center"/>
          </w:tcPr>
          <w:p w14:paraId="4D93DD0B">
            <w:pPr>
              <w:spacing w:after="120"/>
              <w:ind w:firstLine="482"/>
              <w:jc w:val="right"/>
              <w:rPr>
                <w:rFonts w:ascii="仿宋" w:hAnsi="仿宋" w:eastAsia="仿宋" w:cs="仿宋"/>
                <w:b/>
                <w:bCs/>
                <w:szCs w:val="24"/>
              </w:rPr>
            </w:pPr>
            <w:r>
              <w:rPr>
                <w:rFonts w:hint="eastAsia" w:ascii="仿宋" w:hAnsi="仿宋" w:eastAsia="仿宋" w:cs="仿宋"/>
                <w:b/>
                <w:bCs/>
                <w:szCs w:val="24"/>
              </w:rPr>
              <w:t xml:space="preserve">                       -   </w:t>
            </w:r>
          </w:p>
        </w:tc>
        <w:tc>
          <w:tcPr>
            <w:tcW w:w="1848" w:type="dxa"/>
            <w:tcBorders>
              <w:top w:val="nil"/>
              <w:left w:val="nil"/>
              <w:bottom w:val="single" w:color="auto" w:sz="4" w:space="0"/>
              <w:right w:val="single" w:color="auto" w:sz="4" w:space="0"/>
            </w:tcBorders>
            <w:noWrap/>
            <w:vAlign w:val="center"/>
          </w:tcPr>
          <w:p w14:paraId="586EEACF">
            <w:pPr>
              <w:spacing w:after="120"/>
              <w:ind w:firstLine="482"/>
              <w:jc w:val="right"/>
              <w:rPr>
                <w:rFonts w:ascii="仿宋" w:hAnsi="仿宋" w:eastAsia="仿宋" w:cs="仿宋"/>
                <w:b/>
                <w:bCs/>
                <w:szCs w:val="24"/>
              </w:rPr>
            </w:pPr>
            <w:r>
              <w:rPr>
                <w:rFonts w:hint="eastAsia" w:ascii="仿宋" w:hAnsi="仿宋" w:eastAsia="仿宋" w:cs="仿宋"/>
                <w:b/>
                <w:bCs/>
                <w:szCs w:val="24"/>
              </w:rPr>
              <w:t xml:space="preserve">                       -   </w:t>
            </w:r>
          </w:p>
        </w:tc>
      </w:tr>
      <w:tr w14:paraId="2DF40B23">
        <w:tblPrEx>
          <w:tblCellMar>
            <w:top w:w="0" w:type="dxa"/>
            <w:left w:w="108" w:type="dxa"/>
            <w:bottom w:w="0" w:type="dxa"/>
            <w:right w:w="108" w:type="dxa"/>
          </w:tblCellMar>
        </w:tblPrEx>
        <w:trPr>
          <w:trHeight w:val="570" w:hRule="atLeast"/>
        </w:trPr>
        <w:tc>
          <w:tcPr>
            <w:tcW w:w="8872" w:type="dxa"/>
            <w:gridSpan w:val="7"/>
            <w:tcBorders>
              <w:top w:val="nil"/>
              <w:left w:val="nil"/>
              <w:bottom w:val="nil"/>
              <w:right w:val="nil"/>
            </w:tcBorders>
            <w:noWrap/>
            <w:vAlign w:val="center"/>
          </w:tcPr>
          <w:p w14:paraId="031BA0A5">
            <w:pPr>
              <w:spacing w:after="120"/>
              <w:ind w:firstLine="0" w:firstLineChars="0"/>
              <w:jc w:val="left"/>
              <w:rPr>
                <w:rFonts w:ascii="仿宋" w:hAnsi="仿宋" w:eastAsia="仿宋" w:cs="仿宋"/>
                <w:sz w:val="30"/>
                <w:szCs w:val="30"/>
              </w:rPr>
            </w:pPr>
            <w:r>
              <w:rPr>
                <w:rFonts w:hint="eastAsia" w:ascii="仿宋" w:hAnsi="仿宋" w:eastAsia="仿宋" w:cs="仿宋"/>
                <w:sz w:val="30"/>
                <w:szCs w:val="30"/>
              </w:rPr>
              <w:t>备注：1、本表根据当期审定资金额编制用款计划(加盖单位公章)，连同计量相关资料报送；</w:t>
            </w:r>
          </w:p>
        </w:tc>
      </w:tr>
      <w:tr w14:paraId="3C8A7892">
        <w:tblPrEx>
          <w:tblCellMar>
            <w:top w:w="0" w:type="dxa"/>
            <w:left w:w="108" w:type="dxa"/>
            <w:bottom w:w="0" w:type="dxa"/>
            <w:right w:w="108" w:type="dxa"/>
          </w:tblCellMar>
        </w:tblPrEx>
        <w:trPr>
          <w:trHeight w:val="419" w:hRule="atLeast"/>
        </w:trPr>
        <w:tc>
          <w:tcPr>
            <w:tcW w:w="8872" w:type="dxa"/>
            <w:gridSpan w:val="7"/>
            <w:tcBorders>
              <w:top w:val="nil"/>
              <w:left w:val="nil"/>
              <w:bottom w:val="nil"/>
              <w:right w:val="nil"/>
            </w:tcBorders>
            <w:noWrap/>
            <w:vAlign w:val="center"/>
          </w:tcPr>
          <w:p w14:paraId="53E7AC72">
            <w:pPr>
              <w:spacing w:after="120"/>
              <w:ind w:firstLine="600"/>
              <w:jc w:val="left"/>
              <w:rPr>
                <w:rFonts w:ascii="仿宋" w:hAnsi="仿宋" w:eastAsia="仿宋" w:cs="仿宋"/>
                <w:sz w:val="30"/>
                <w:szCs w:val="30"/>
              </w:rPr>
            </w:pPr>
            <w:r>
              <w:rPr>
                <w:rFonts w:hint="eastAsia" w:ascii="仿宋" w:hAnsi="仿宋" w:eastAsia="仿宋" w:cs="仿宋"/>
                <w:sz w:val="30"/>
                <w:szCs w:val="30"/>
              </w:rPr>
              <w:t xml:space="preserve">  2、本表一式两份，一份作为计量附件资料，一份提交资金监管银行。</w:t>
            </w:r>
          </w:p>
        </w:tc>
      </w:tr>
      <w:tr w14:paraId="30F3253B">
        <w:tblPrEx>
          <w:tblCellMar>
            <w:top w:w="0" w:type="dxa"/>
            <w:left w:w="108" w:type="dxa"/>
            <w:bottom w:w="0" w:type="dxa"/>
            <w:right w:w="108" w:type="dxa"/>
          </w:tblCellMar>
        </w:tblPrEx>
        <w:trPr>
          <w:trHeight w:val="434" w:hRule="atLeast"/>
        </w:trPr>
        <w:tc>
          <w:tcPr>
            <w:tcW w:w="858" w:type="dxa"/>
            <w:tcBorders>
              <w:top w:val="nil"/>
              <w:left w:val="nil"/>
              <w:bottom w:val="nil"/>
              <w:right w:val="nil"/>
            </w:tcBorders>
            <w:noWrap/>
            <w:vAlign w:val="center"/>
          </w:tcPr>
          <w:p w14:paraId="3F86B397">
            <w:pPr>
              <w:spacing w:after="120"/>
              <w:ind w:firstLine="600"/>
              <w:jc w:val="left"/>
              <w:rPr>
                <w:rFonts w:ascii="仿宋" w:hAnsi="仿宋" w:eastAsia="仿宋" w:cs="仿宋"/>
                <w:sz w:val="30"/>
                <w:szCs w:val="30"/>
              </w:rPr>
            </w:pPr>
          </w:p>
        </w:tc>
        <w:tc>
          <w:tcPr>
            <w:tcW w:w="666" w:type="dxa"/>
            <w:tcBorders>
              <w:top w:val="nil"/>
              <w:left w:val="nil"/>
              <w:bottom w:val="nil"/>
              <w:right w:val="nil"/>
            </w:tcBorders>
            <w:noWrap/>
            <w:vAlign w:val="center"/>
          </w:tcPr>
          <w:p w14:paraId="56F297C6">
            <w:pPr>
              <w:spacing w:after="120"/>
              <w:ind w:firstLine="600"/>
              <w:jc w:val="left"/>
              <w:rPr>
                <w:rFonts w:ascii="仿宋" w:hAnsi="仿宋" w:eastAsia="仿宋" w:cs="仿宋"/>
                <w:sz w:val="30"/>
                <w:szCs w:val="30"/>
              </w:rPr>
            </w:pPr>
          </w:p>
        </w:tc>
        <w:tc>
          <w:tcPr>
            <w:tcW w:w="1999" w:type="dxa"/>
            <w:tcBorders>
              <w:top w:val="nil"/>
              <w:left w:val="nil"/>
              <w:bottom w:val="nil"/>
              <w:right w:val="nil"/>
            </w:tcBorders>
            <w:noWrap/>
            <w:vAlign w:val="center"/>
          </w:tcPr>
          <w:p w14:paraId="691A9A88">
            <w:pPr>
              <w:spacing w:after="120"/>
              <w:ind w:firstLine="600"/>
              <w:jc w:val="left"/>
              <w:rPr>
                <w:rFonts w:ascii="仿宋" w:hAnsi="仿宋" w:eastAsia="仿宋" w:cs="仿宋"/>
                <w:sz w:val="30"/>
                <w:szCs w:val="30"/>
              </w:rPr>
            </w:pPr>
          </w:p>
        </w:tc>
        <w:tc>
          <w:tcPr>
            <w:tcW w:w="717" w:type="dxa"/>
            <w:tcBorders>
              <w:top w:val="nil"/>
              <w:left w:val="nil"/>
              <w:bottom w:val="nil"/>
              <w:right w:val="nil"/>
            </w:tcBorders>
            <w:noWrap/>
            <w:vAlign w:val="center"/>
          </w:tcPr>
          <w:p w14:paraId="785FEF35">
            <w:pPr>
              <w:spacing w:after="120"/>
              <w:ind w:firstLine="600"/>
              <w:jc w:val="left"/>
              <w:rPr>
                <w:rFonts w:ascii="仿宋" w:hAnsi="仿宋" w:eastAsia="仿宋" w:cs="仿宋"/>
                <w:sz w:val="30"/>
                <w:szCs w:val="30"/>
              </w:rPr>
            </w:pPr>
          </w:p>
        </w:tc>
        <w:tc>
          <w:tcPr>
            <w:tcW w:w="2784" w:type="dxa"/>
            <w:gridSpan w:val="2"/>
            <w:tcBorders>
              <w:top w:val="nil"/>
              <w:left w:val="nil"/>
              <w:bottom w:val="nil"/>
              <w:right w:val="nil"/>
            </w:tcBorders>
            <w:noWrap/>
            <w:vAlign w:val="center"/>
          </w:tcPr>
          <w:p w14:paraId="6A060209">
            <w:pPr>
              <w:spacing w:after="120"/>
              <w:ind w:firstLine="600"/>
              <w:jc w:val="left"/>
              <w:rPr>
                <w:rFonts w:ascii="仿宋" w:hAnsi="仿宋" w:eastAsia="仿宋" w:cs="仿宋"/>
                <w:sz w:val="30"/>
                <w:szCs w:val="30"/>
              </w:rPr>
            </w:pPr>
            <w:r>
              <w:rPr>
                <w:rFonts w:hint="eastAsia" w:ascii="仿宋" w:hAnsi="仿宋" w:eastAsia="仿宋" w:cs="仿宋"/>
                <w:sz w:val="30"/>
                <w:szCs w:val="30"/>
              </w:rPr>
              <w:t>单位：</w:t>
            </w:r>
          </w:p>
        </w:tc>
        <w:tc>
          <w:tcPr>
            <w:tcW w:w="1848" w:type="dxa"/>
            <w:tcBorders>
              <w:top w:val="nil"/>
              <w:left w:val="nil"/>
              <w:bottom w:val="nil"/>
              <w:right w:val="nil"/>
            </w:tcBorders>
            <w:noWrap/>
            <w:vAlign w:val="center"/>
          </w:tcPr>
          <w:p w14:paraId="225491B8">
            <w:pPr>
              <w:spacing w:after="120"/>
              <w:ind w:firstLine="600"/>
              <w:jc w:val="left"/>
              <w:rPr>
                <w:rFonts w:ascii="仿宋" w:hAnsi="仿宋" w:eastAsia="仿宋" w:cs="仿宋"/>
                <w:sz w:val="30"/>
                <w:szCs w:val="30"/>
              </w:rPr>
            </w:pPr>
          </w:p>
        </w:tc>
      </w:tr>
    </w:tbl>
    <w:p w14:paraId="4A04F8EB">
      <w:pPr>
        <w:spacing w:after="120" w:line="500" w:lineRule="exact"/>
        <w:ind w:firstLine="4800" w:firstLineChars="1600"/>
        <w:rPr>
          <w:rFonts w:ascii="仿宋" w:hAnsi="仿宋" w:eastAsia="仿宋" w:cs="仿宋"/>
          <w:sz w:val="30"/>
          <w:szCs w:val="30"/>
        </w:rPr>
      </w:pPr>
      <w:r>
        <w:rPr>
          <w:rFonts w:hint="eastAsia" w:ascii="仿宋" w:hAnsi="仿宋" w:eastAsia="仿宋" w:cs="仿宋"/>
          <w:sz w:val="30"/>
          <w:szCs w:val="30"/>
        </w:rPr>
        <w:t>制表日期：</w:t>
      </w:r>
    </w:p>
    <w:p w14:paraId="315CCAC2">
      <w:pPr>
        <w:pStyle w:val="26"/>
        <w:spacing w:after="120"/>
        <w:outlineLvl w:val="1"/>
        <w:rPr>
          <w:rFonts w:eastAsia="仿宋"/>
        </w:rPr>
      </w:pPr>
    </w:p>
    <w:p w14:paraId="2218AB7C">
      <w:pPr>
        <w:pStyle w:val="26"/>
        <w:spacing w:after="120"/>
        <w:outlineLvl w:val="1"/>
        <w:rPr>
          <w:rFonts w:eastAsia="仿宋"/>
        </w:rPr>
      </w:pPr>
    </w:p>
    <w:p w14:paraId="5A4686F8">
      <w:pPr>
        <w:pStyle w:val="26"/>
        <w:spacing w:after="120"/>
        <w:outlineLvl w:val="1"/>
        <w:rPr>
          <w:rFonts w:eastAsia="仿宋"/>
        </w:rPr>
      </w:pPr>
    </w:p>
    <w:p w14:paraId="0C6C4A72">
      <w:pPr>
        <w:pStyle w:val="26"/>
        <w:spacing w:after="120"/>
        <w:outlineLvl w:val="1"/>
        <w:rPr>
          <w:rFonts w:eastAsia="仿宋"/>
        </w:rPr>
      </w:pPr>
    </w:p>
    <w:p w14:paraId="35B489EE">
      <w:pPr>
        <w:pStyle w:val="26"/>
        <w:spacing w:after="120"/>
        <w:outlineLvl w:val="1"/>
        <w:rPr>
          <w:rFonts w:eastAsia="仿宋"/>
        </w:rPr>
      </w:pPr>
    </w:p>
    <w:p w14:paraId="0A952EC6">
      <w:pPr>
        <w:pStyle w:val="26"/>
        <w:spacing w:after="120"/>
        <w:outlineLvl w:val="1"/>
        <w:rPr>
          <w:rFonts w:eastAsia="仿宋"/>
        </w:rPr>
      </w:pPr>
    </w:p>
    <w:p w14:paraId="4C865B23">
      <w:pPr>
        <w:pStyle w:val="26"/>
        <w:spacing w:after="120"/>
        <w:outlineLvl w:val="1"/>
        <w:rPr>
          <w:rFonts w:eastAsia="仿宋"/>
        </w:rPr>
      </w:pPr>
    </w:p>
    <w:p w14:paraId="4A40BBE4">
      <w:pPr>
        <w:pStyle w:val="26"/>
        <w:spacing w:after="120"/>
        <w:outlineLvl w:val="1"/>
        <w:rPr>
          <w:rFonts w:eastAsia="仿宋"/>
        </w:rPr>
      </w:pPr>
    </w:p>
    <w:p w14:paraId="6CC40D81">
      <w:pPr>
        <w:pStyle w:val="26"/>
        <w:spacing w:after="120"/>
        <w:outlineLvl w:val="1"/>
        <w:rPr>
          <w:rFonts w:eastAsia="仿宋"/>
        </w:rPr>
      </w:pPr>
    </w:p>
    <w:p w14:paraId="33F93353">
      <w:pPr>
        <w:pStyle w:val="26"/>
        <w:spacing w:after="120"/>
        <w:outlineLvl w:val="1"/>
        <w:rPr>
          <w:rFonts w:eastAsia="仿宋"/>
        </w:rPr>
      </w:pPr>
    </w:p>
    <w:p w14:paraId="48A473A0">
      <w:pPr>
        <w:pStyle w:val="26"/>
        <w:spacing w:after="120"/>
        <w:outlineLvl w:val="1"/>
        <w:rPr>
          <w:rFonts w:eastAsia="仿宋"/>
        </w:rPr>
      </w:pPr>
    </w:p>
    <w:p w14:paraId="17B0D54D">
      <w:pPr>
        <w:pStyle w:val="26"/>
        <w:spacing w:after="120"/>
        <w:outlineLvl w:val="1"/>
        <w:rPr>
          <w:rFonts w:eastAsia="仿宋"/>
        </w:rPr>
      </w:pPr>
    </w:p>
    <w:p w14:paraId="5028BD0F">
      <w:pPr>
        <w:spacing w:after="120"/>
        <w:outlineLvl w:val="1"/>
        <w:rPr>
          <w:rFonts w:eastAsia="仿宋"/>
        </w:rPr>
      </w:pPr>
    </w:p>
    <w:p w14:paraId="2E0C1957">
      <w:pPr>
        <w:pStyle w:val="26"/>
        <w:spacing w:after="120"/>
        <w:outlineLvl w:val="1"/>
        <w:rPr>
          <w:rFonts w:eastAsia="仿宋"/>
        </w:rPr>
      </w:pPr>
      <w:r>
        <w:rPr>
          <w:rFonts w:hint="eastAsia" w:eastAsia="仿宋"/>
        </w:rPr>
        <w:t>附件23</w:t>
      </w:r>
    </w:p>
    <w:tbl>
      <w:tblPr>
        <w:tblStyle w:val="55"/>
        <w:tblW w:w="9040" w:type="dxa"/>
        <w:tblInd w:w="392" w:type="dxa"/>
        <w:tblLayout w:type="autofit"/>
        <w:tblCellMar>
          <w:top w:w="0" w:type="dxa"/>
          <w:left w:w="108" w:type="dxa"/>
          <w:bottom w:w="0" w:type="dxa"/>
          <w:right w:w="108" w:type="dxa"/>
        </w:tblCellMar>
      </w:tblPr>
      <w:tblGrid>
        <w:gridCol w:w="1258"/>
        <w:gridCol w:w="7782"/>
      </w:tblGrid>
      <w:tr w14:paraId="47583158">
        <w:tblPrEx>
          <w:tblCellMar>
            <w:top w:w="0" w:type="dxa"/>
            <w:left w:w="108" w:type="dxa"/>
            <w:bottom w:w="0" w:type="dxa"/>
            <w:right w:w="108" w:type="dxa"/>
          </w:tblCellMar>
        </w:tblPrEx>
        <w:trPr>
          <w:trHeight w:val="90" w:hRule="atLeast"/>
        </w:trPr>
        <w:tc>
          <w:tcPr>
            <w:tcW w:w="9040" w:type="dxa"/>
            <w:gridSpan w:val="2"/>
            <w:noWrap/>
            <w:vAlign w:val="bottom"/>
          </w:tcPr>
          <w:p w14:paraId="36557E75">
            <w:pPr>
              <w:spacing w:after="120" w:line="440" w:lineRule="exact"/>
              <w:ind w:firstLine="0" w:firstLineChars="0"/>
              <w:jc w:val="center"/>
              <w:rPr>
                <w:rFonts w:ascii="仿宋" w:hAnsi="仿宋" w:eastAsia="仿宋" w:cs="仿宋"/>
                <w:sz w:val="32"/>
                <w:szCs w:val="32"/>
              </w:rPr>
            </w:pPr>
            <w:r>
              <w:rPr>
                <w:rFonts w:hint="eastAsia" w:ascii="仿宋" w:hAnsi="仿宋" w:eastAsia="仿宋" w:cs="仿宋"/>
                <w:sz w:val="32"/>
                <w:szCs w:val="32"/>
              </w:rPr>
              <w:t>工程款资金监督管理业务商业银行名单</w:t>
            </w:r>
            <w:bookmarkStart w:id="1212" w:name="省代建局授权并负责办理直接代建项目"/>
            <w:bookmarkEnd w:id="1212"/>
          </w:p>
        </w:tc>
      </w:tr>
      <w:tr w14:paraId="6D14A97B">
        <w:tblPrEx>
          <w:tblCellMar>
            <w:top w:w="0" w:type="dxa"/>
            <w:left w:w="108" w:type="dxa"/>
            <w:bottom w:w="0" w:type="dxa"/>
            <w:right w:w="108" w:type="dxa"/>
          </w:tblCellMar>
        </w:tblPrEx>
        <w:trPr>
          <w:trHeight w:val="90" w:hRule="atLeast"/>
        </w:trPr>
        <w:tc>
          <w:tcPr>
            <w:tcW w:w="1258" w:type="dxa"/>
            <w:tcBorders>
              <w:top w:val="single" w:color="auto" w:sz="4" w:space="0"/>
              <w:left w:val="single" w:color="auto" w:sz="4" w:space="0"/>
              <w:bottom w:val="single" w:color="auto" w:sz="4" w:space="0"/>
              <w:right w:val="single" w:color="auto" w:sz="4" w:space="0"/>
            </w:tcBorders>
            <w:noWrap/>
            <w:vAlign w:val="center"/>
          </w:tcPr>
          <w:p w14:paraId="33C4D24C">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序号</w:t>
            </w:r>
          </w:p>
        </w:tc>
        <w:tc>
          <w:tcPr>
            <w:tcW w:w="7782" w:type="dxa"/>
            <w:tcBorders>
              <w:top w:val="single" w:color="auto" w:sz="4" w:space="0"/>
              <w:left w:val="nil"/>
              <w:bottom w:val="single" w:color="auto" w:sz="4" w:space="0"/>
              <w:right w:val="single" w:color="auto" w:sz="4" w:space="0"/>
            </w:tcBorders>
            <w:noWrap/>
            <w:vAlign w:val="center"/>
          </w:tcPr>
          <w:p w14:paraId="4232A403">
            <w:pPr>
              <w:spacing w:after="120" w:line="460" w:lineRule="exact"/>
              <w:ind w:firstLine="600"/>
              <w:jc w:val="center"/>
              <w:rPr>
                <w:rFonts w:ascii="仿宋" w:hAnsi="仿宋" w:eastAsia="仿宋" w:cs="仿宋"/>
                <w:sz w:val="30"/>
                <w:szCs w:val="30"/>
              </w:rPr>
            </w:pPr>
            <w:r>
              <w:rPr>
                <w:rFonts w:hint="eastAsia" w:ascii="仿宋" w:hAnsi="仿宋" w:eastAsia="仿宋" w:cs="仿宋"/>
                <w:sz w:val="30"/>
                <w:szCs w:val="30"/>
              </w:rPr>
              <w:t>商业银行</w:t>
            </w:r>
          </w:p>
        </w:tc>
      </w:tr>
      <w:tr w14:paraId="5DDBA1D5">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7B49C466">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w:t>
            </w:r>
          </w:p>
        </w:tc>
        <w:tc>
          <w:tcPr>
            <w:tcW w:w="7782" w:type="dxa"/>
            <w:tcBorders>
              <w:top w:val="nil"/>
              <w:left w:val="nil"/>
              <w:bottom w:val="single" w:color="auto" w:sz="4" w:space="0"/>
              <w:right w:val="single" w:color="auto" w:sz="4" w:space="0"/>
            </w:tcBorders>
            <w:noWrap/>
            <w:vAlign w:val="center"/>
          </w:tcPr>
          <w:p w14:paraId="62E2B4D8">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中国工商银行广东省分行</w:t>
            </w:r>
          </w:p>
        </w:tc>
      </w:tr>
      <w:tr w14:paraId="12C4254C">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15883D83">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2</w:t>
            </w:r>
          </w:p>
        </w:tc>
        <w:tc>
          <w:tcPr>
            <w:tcW w:w="7782" w:type="dxa"/>
            <w:tcBorders>
              <w:top w:val="nil"/>
              <w:left w:val="nil"/>
              <w:bottom w:val="single" w:color="auto" w:sz="4" w:space="0"/>
              <w:right w:val="single" w:color="auto" w:sz="4" w:space="0"/>
            </w:tcBorders>
            <w:noWrap/>
            <w:vAlign w:val="center"/>
          </w:tcPr>
          <w:p w14:paraId="49FB2D2B">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中国农业银行广东省分行</w:t>
            </w:r>
          </w:p>
        </w:tc>
      </w:tr>
      <w:tr w14:paraId="472B5867">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1E604F91">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3</w:t>
            </w:r>
          </w:p>
        </w:tc>
        <w:tc>
          <w:tcPr>
            <w:tcW w:w="7782" w:type="dxa"/>
            <w:tcBorders>
              <w:top w:val="nil"/>
              <w:left w:val="nil"/>
              <w:bottom w:val="single" w:color="auto" w:sz="4" w:space="0"/>
              <w:right w:val="single" w:color="auto" w:sz="4" w:space="0"/>
            </w:tcBorders>
            <w:noWrap/>
            <w:vAlign w:val="center"/>
          </w:tcPr>
          <w:p w14:paraId="3BECEF71">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中国建设银行广东省分行</w:t>
            </w:r>
          </w:p>
        </w:tc>
      </w:tr>
      <w:tr w14:paraId="00E713A7">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58BD1B3D">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4</w:t>
            </w:r>
          </w:p>
        </w:tc>
        <w:tc>
          <w:tcPr>
            <w:tcW w:w="7782" w:type="dxa"/>
            <w:tcBorders>
              <w:top w:val="nil"/>
              <w:left w:val="nil"/>
              <w:bottom w:val="single" w:color="auto" w:sz="4" w:space="0"/>
              <w:right w:val="single" w:color="auto" w:sz="4" w:space="0"/>
            </w:tcBorders>
            <w:noWrap/>
            <w:vAlign w:val="center"/>
          </w:tcPr>
          <w:p w14:paraId="5F82F394">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中国银行广东省分行</w:t>
            </w:r>
          </w:p>
        </w:tc>
      </w:tr>
      <w:tr w14:paraId="25FA7589">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4B818D93">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5</w:t>
            </w:r>
          </w:p>
        </w:tc>
        <w:tc>
          <w:tcPr>
            <w:tcW w:w="7782" w:type="dxa"/>
            <w:tcBorders>
              <w:top w:val="nil"/>
              <w:left w:val="nil"/>
              <w:bottom w:val="single" w:color="auto" w:sz="4" w:space="0"/>
              <w:right w:val="single" w:color="auto" w:sz="4" w:space="0"/>
            </w:tcBorders>
            <w:noWrap/>
            <w:vAlign w:val="center"/>
          </w:tcPr>
          <w:p w14:paraId="529F097E">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交通银行广东省分行</w:t>
            </w:r>
          </w:p>
        </w:tc>
      </w:tr>
      <w:tr w14:paraId="4B66B7DF">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420F4DED">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6</w:t>
            </w:r>
          </w:p>
        </w:tc>
        <w:tc>
          <w:tcPr>
            <w:tcW w:w="7782" w:type="dxa"/>
            <w:tcBorders>
              <w:top w:val="nil"/>
              <w:left w:val="nil"/>
              <w:bottom w:val="single" w:color="auto" w:sz="4" w:space="0"/>
              <w:right w:val="single" w:color="auto" w:sz="4" w:space="0"/>
            </w:tcBorders>
            <w:noWrap/>
            <w:vAlign w:val="center"/>
          </w:tcPr>
          <w:p w14:paraId="045D362B">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中信银行广州分行</w:t>
            </w:r>
          </w:p>
        </w:tc>
      </w:tr>
      <w:tr w14:paraId="4EF33E91">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3FB246B8">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7</w:t>
            </w:r>
          </w:p>
        </w:tc>
        <w:tc>
          <w:tcPr>
            <w:tcW w:w="7782" w:type="dxa"/>
            <w:tcBorders>
              <w:top w:val="nil"/>
              <w:left w:val="nil"/>
              <w:bottom w:val="single" w:color="auto" w:sz="4" w:space="0"/>
              <w:right w:val="single" w:color="auto" w:sz="4" w:space="0"/>
            </w:tcBorders>
            <w:noWrap/>
            <w:vAlign w:val="center"/>
          </w:tcPr>
          <w:p w14:paraId="30E72E83">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招商银行广州分行</w:t>
            </w:r>
          </w:p>
        </w:tc>
      </w:tr>
      <w:tr w14:paraId="3CE0ED8C">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5FE14406">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8</w:t>
            </w:r>
          </w:p>
        </w:tc>
        <w:tc>
          <w:tcPr>
            <w:tcW w:w="7782" w:type="dxa"/>
            <w:tcBorders>
              <w:top w:val="nil"/>
              <w:left w:val="nil"/>
              <w:bottom w:val="single" w:color="auto" w:sz="4" w:space="0"/>
              <w:right w:val="single" w:color="auto" w:sz="4" w:space="0"/>
            </w:tcBorders>
            <w:noWrap/>
            <w:vAlign w:val="center"/>
          </w:tcPr>
          <w:p w14:paraId="57309809">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中国光大银行广州分行</w:t>
            </w:r>
          </w:p>
        </w:tc>
      </w:tr>
      <w:tr w14:paraId="2792B5FA">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7B2A036B">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9</w:t>
            </w:r>
          </w:p>
        </w:tc>
        <w:tc>
          <w:tcPr>
            <w:tcW w:w="7782" w:type="dxa"/>
            <w:tcBorders>
              <w:top w:val="nil"/>
              <w:left w:val="nil"/>
              <w:bottom w:val="single" w:color="auto" w:sz="4" w:space="0"/>
              <w:right w:val="single" w:color="auto" w:sz="4" w:space="0"/>
            </w:tcBorders>
            <w:noWrap/>
            <w:vAlign w:val="center"/>
          </w:tcPr>
          <w:p w14:paraId="6A16BDBC">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中国民生银行广州分行</w:t>
            </w:r>
          </w:p>
        </w:tc>
      </w:tr>
      <w:tr w14:paraId="0F43CF56">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7C87B1CF">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10</w:t>
            </w:r>
          </w:p>
        </w:tc>
        <w:tc>
          <w:tcPr>
            <w:tcW w:w="7782" w:type="dxa"/>
            <w:tcBorders>
              <w:top w:val="nil"/>
              <w:left w:val="nil"/>
              <w:bottom w:val="single" w:color="auto" w:sz="4" w:space="0"/>
              <w:right w:val="single" w:color="auto" w:sz="4" w:space="0"/>
            </w:tcBorders>
            <w:noWrap/>
            <w:vAlign w:val="center"/>
          </w:tcPr>
          <w:p w14:paraId="2DC11139">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广发银行广州分行</w:t>
            </w:r>
          </w:p>
        </w:tc>
      </w:tr>
      <w:tr w14:paraId="189486AA">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300B1BE0">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11</w:t>
            </w:r>
          </w:p>
        </w:tc>
        <w:tc>
          <w:tcPr>
            <w:tcW w:w="7782" w:type="dxa"/>
            <w:tcBorders>
              <w:top w:val="nil"/>
              <w:left w:val="nil"/>
              <w:bottom w:val="single" w:color="auto" w:sz="4" w:space="0"/>
              <w:right w:val="single" w:color="auto" w:sz="4" w:space="0"/>
            </w:tcBorders>
            <w:noWrap/>
            <w:vAlign w:val="center"/>
          </w:tcPr>
          <w:p w14:paraId="35C5B381">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上海浦东发展银行广州分行</w:t>
            </w:r>
          </w:p>
        </w:tc>
      </w:tr>
      <w:tr w14:paraId="16E5596F">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23A433F7">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12</w:t>
            </w:r>
          </w:p>
        </w:tc>
        <w:tc>
          <w:tcPr>
            <w:tcW w:w="7782" w:type="dxa"/>
            <w:tcBorders>
              <w:top w:val="nil"/>
              <w:left w:val="nil"/>
              <w:bottom w:val="single" w:color="auto" w:sz="4" w:space="0"/>
              <w:right w:val="single" w:color="auto" w:sz="4" w:space="0"/>
            </w:tcBorders>
            <w:noWrap/>
            <w:vAlign w:val="center"/>
          </w:tcPr>
          <w:p w14:paraId="69F702EB">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中国邮政储蓄银行广东省分行</w:t>
            </w:r>
          </w:p>
        </w:tc>
      </w:tr>
      <w:tr w14:paraId="18B902DD">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1CBEB3AE">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13</w:t>
            </w:r>
          </w:p>
        </w:tc>
        <w:tc>
          <w:tcPr>
            <w:tcW w:w="7782" w:type="dxa"/>
            <w:tcBorders>
              <w:top w:val="nil"/>
              <w:left w:val="nil"/>
              <w:bottom w:val="single" w:color="auto" w:sz="4" w:space="0"/>
              <w:right w:val="single" w:color="auto" w:sz="4" w:space="0"/>
            </w:tcBorders>
            <w:noWrap/>
            <w:vAlign w:val="center"/>
          </w:tcPr>
          <w:p w14:paraId="60BCD3C5">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兴业银行广州分行</w:t>
            </w:r>
          </w:p>
        </w:tc>
      </w:tr>
      <w:tr w14:paraId="701AF595">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3CAC7D35">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14</w:t>
            </w:r>
          </w:p>
        </w:tc>
        <w:tc>
          <w:tcPr>
            <w:tcW w:w="7782" w:type="dxa"/>
            <w:tcBorders>
              <w:top w:val="nil"/>
              <w:left w:val="nil"/>
              <w:bottom w:val="single" w:color="auto" w:sz="4" w:space="0"/>
              <w:right w:val="single" w:color="auto" w:sz="4" w:space="0"/>
            </w:tcBorders>
            <w:noWrap/>
            <w:vAlign w:val="center"/>
          </w:tcPr>
          <w:p w14:paraId="532F6DF4">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平安银行广州分行</w:t>
            </w:r>
          </w:p>
        </w:tc>
      </w:tr>
      <w:tr w14:paraId="647ECABD">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0447EDF6">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15</w:t>
            </w:r>
          </w:p>
        </w:tc>
        <w:tc>
          <w:tcPr>
            <w:tcW w:w="7782" w:type="dxa"/>
            <w:tcBorders>
              <w:top w:val="nil"/>
              <w:left w:val="nil"/>
              <w:bottom w:val="single" w:color="auto" w:sz="4" w:space="0"/>
              <w:right w:val="single" w:color="auto" w:sz="4" w:space="0"/>
            </w:tcBorders>
            <w:noWrap/>
            <w:vAlign w:val="center"/>
          </w:tcPr>
          <w:p w14:paraId="7D28EA16">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广州农村商业银行</w:t>
            </w:r>
          </w:p>
        </w:tc>
      </w:tr>
      <w:tr w14:paraId="5B377E35">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4D857041">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16</w:t>
            </w:r>
          </w:p>
        </w:tc>
        <w:tc>
          <w:tcPr>
            <w:tcW w:w="7782" w:type="dxa"/>
            <w:tcBorders>
              <w:top w:val="nil"/>
              <w:left w:val="nil"/>
              <w:bottom w:val="single" w:color="auto" w:sz="4" w:space="0"/>
              <w:right w:val="single" w:color="auto" w:sz="4" w:space="0"/>
            </w:tcBorders>
            <w:noWrap/>
            <w:vAlign w:val="center"/>
          </w:tcPr>
          <w:p w14:paraId="572F3238">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广州银行</w:t>
            </w:r>
          </w:p>
        </w:tc>
      </w:tr>
      <w:tr w14:paraId="09A7159C">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782AF65F">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17</w:t>
            </w:r>
          </w:p>
        </w:tc>
        <w:tc>
          <w:tcPr>
            <w:tcW w:w="7782" w:type="dxa"/>
            <w:tcBorders>
              <w:top w:val="nil"/>
              <w:left w:val="nil"/>
              <w:bottom w:val="single" w:color="auto" w:sz="4" w:space="0"/>
              <w:right w:val="single" w:color="auto" w:sz="4" w:space="0"/>
            </w:tcBorders>
            <w:noWrap/>
            <w:vAlign w:val="center"/>
          </w:tcPr>
          <w:p w14:paraId="65B72AF9">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广东华兴银行</w:t>
            </w:r>
          </w:p>
        </w:tc>
      </w:tr>
      <w:tr w14:paraId="5830FFB2">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3E1D2809">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18</w:t>
            </w:r>
          </w:p>
        </w:tc>
        <w:tc>
          <w:tcPr>
            <w:tcW w:w="7782" w:type="dxa"/>
            <w:tcBorders>
              <w:top w:val="nil"/>
              <w:left w:val="nil"/>
              <w:bottom w:val="single" w:color="auto" w:sz="4" w:space="0"/>
              <w:right w:val="single" w:color="auto" w:sz="4" w:space="0"/>
            </w:tcBorders>
            <w:noWrap/>
            <w:vAlign w:val="center"/>
          </w:tcPr>
          <w:p w14:paraId="1446CAD9">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浙商银行广州分行</w:t>
            </w:r>
          </w:p>
        </w:tc>
      </w:tr>
      <w:tr w14:paraId="25A5AF53">
        <w:tblPrEx>
          <w:tblCellMar>
            <w:top w:w="0" w:type="dxa"/>
            <w:left w:w="108" w:type="dxa"/>
            <w:bottom w:w="0" w:type="dxa"/>
            <w:right w:w="108" w:type="dxa"/>
          </w:tblCellMar>
        </w:tblPrEx>
        <w:trPr>
          <w:trHeight w:val="90" w:hRule="atLeast"/>
        </w:trPr>
        <w:tc>
          <w:tcPr>
            <w:tcW w:w="1258" w:type="dxa"/>
            <w:tcBorders>
              <w:top w:val="nil"/>
              <w:left w:val="single" w:color="auto" w:sz="4" w:space="0"/>
              <w:bottom w:val="single" w:color="auto" w:sz="4" w:space="0"/>
              <w:right w:val="single" w:color="auto" w:sz="4" w:space="0"/>
            </w:tcBorders>
            <w:noWrap/>
            <w:vAlign w:val="center"/>
          </w:tcPr>
          <w:p w14:paraId="2A00B219">
            <w:pPr>
              <w:spacing w:after="120" w:line="460" w:lineRule="exact"/>
              <w:ind w:firstLine="0" w:firstLineChars="0"/>
              <w:jc w:val="center"/>
              <w:rPr>
                <w:rFonts w:ascii="仿宋" w:hAnsi="仿宋" w:eastAsia="仿宋" w:cs="仿宋"/>
                <w:sz w:val="30"/>
                <w:szCs w:val="30"/>
              </w:rPr>
            </w:pPr>
            <w:r>
              <w:rPr>
                <w:rFonts w:hint="eastAsia" w:ascii="仿宋" w:hAnsi="仿宋" w:eastAsia="仿宋" w:cs="仿宋"/>
                <w:sz w:val="30"/>
                <w:szCs w:val="30"/>
              </w:rPr>
              <w:t>19</w:t>
            </w:r>
          </w:p>
        </w:tc>
        <w:tc>
          <w:tcPr>
            <w:tcW w:w="7782" w:type="dxa"/>
            <w:tcBorders>
              <w:top w:val="nil"/>
              <w:left w:val="nil"/>
              <w:bottom w:val="single" w:color="auto" w:sz="4" w:space="0"/>
              <w:right w:val="single" w:color="auto" w:sz="4" w:space="0"/>
            </w:tcBorders>
            <w:noWrap/>
            <w:vAlign w:val="center"/>
          </w:tcPr>
          <w:p w14:paraId="3E885B7B">
            <w:pPr>
              <w:spacing w:after="120" w:line="460" w:lineRule="exact"/>
              <w:ind w:firstLine="0" w:firstLineChars="0"/>
              <w:rPr>
                <w:rFonts w:ascii="仿宋" w:hAnsi="仿宋" w:eastAsia="仿宋" w:cs="仿宋"/>
                <w:sz w:val="30"/>
                <w:szCs w:val="30"/>
              </w:rPr>
            </w:pPr>
            <w:r>
              <w:rPr>
                <w:rFonts w:hint="eastAsia" w:ascii="仿宋" w:hAnsi="仿宋" w:eastAsia="仿宋" w:cs="仿宋"/>
                <w:sz w:val="30"/>
                <w:szCs w:val="30"/>
              </w:rPr>
              <w:t>珠海华润银行广州分行</w:t>
            </w:r>
          </w:p>
        </w:tc>
      </w:tr>
    </w:tbl>
    <w:p w14:paraId="330FF3FC">
      <w:pPr>
        <w:pStyle w:val="26"/>
        <w:spacing w:after="120"/>
        <w:ind w:firstLine="0" w:firstLineChars="0"/>
      </w:pPr>
    </w:p>
    <w:p w14:paraId="71D6D1D5">
      <w:pPr>
        <w:spacing w:after="120" w:line="440" w:lineRule="exact"/>
        <w:ind w:firstLine="640"/>
        <w:outlineLvl w:val="1"/>
        <w:rPr>
          <w:rFonts w:ascii="仿宋" w:hAnsi="仿宋" w:eastAsia="仿宋" w:cs="仿宋"/>
          <w:sz w:val="32"/>
          <w:szCs w:val="32"/>
        </w:rPr>
      </w:pPr>
      <w:bookmarkStart w:id="1213" w:name="_Toc15906"/>
      <w:bookmarkStart w:id="1214" w:name="_Toc9954"/>
    </w:p>
    <w:p w14:paraId="4F58C252">
      <w:pPr>
        <w:spacing w:after="120" w:line="440" w:lineRule="exact"/>
        <w:ind w:firstLine="640"/>
        <w:outlineLvl w:val="1"/>
        <w:rPr>
          <w:rFonts w:ascii="仿宋" w:hAnsi="仿宋" w:eastAsia="仿宋" w:cs="仿宋"/>
          <w:sz w:val="32"/>
          <w:szCs w:val="32"/>
        </w:rPr>
      </w:pPr>
      <w:r>
        <w:rPr>
          <w:rFonts w:hint="eastAsia" w:ascii="仿宋" w:hAnsi="仿宋" w:eastAsia="仿宋" w:cs="仿宋"/>
          <w:sz w:val="32"/>
          <w:szCs w:val="32"/>
        </w:rPr>
        <w:t>附件24：</w:t>
      </w:r>
      <w:bookmarkEnd w:id="1213"/>
      <w:bookmarkEnd w:id="1214"/>
    </w:p>
    <w:p w14:paraId="37EB3993">
      <w:pPr>
        <w:spacing w:after="120"/>
        <w:ind w:firstLine="640"/>
        <w:jc w:val="center"/>
        <w:rPr>
          <w:rFonts w:ascii="仿宋" w:hAnsi="仿宋" w:eastAsia="仿宋" w:cs="仿宋"/>
          <w:sz w:val="32"/>
          <w:szCs w:val="32"/>
        </w:rPr>
      </w:pPr>
      <w:r>
        <w:rPr>
          <w:rFonts w:hint="eastAsia" w:ascii="仿宋" w:hAnsi="仿宋" w:eastAsia="仿宋" w:cs="仿宋"/>
          <w:sz w:val="32"/>
          <w:szCs w:val="32"/>
        </w:rPr>
        <w:t>广东省代建局施工单位智慧工</w:t>
      </w:r>
      <w:bookmarkStart w:id="1215" w:name="广东省代建局施工单位智慧工地"/>
      <w:bookmarkEnd w:id="1215"/>
      <w:r>
        <w:rPr>
          <w:rFonts w:hint="eastAsia" w:ascii="仿宋" w:hAnsi="仿宋" w:eastAsia="仿宋" w:cs="仿宋"/>
          <w:sz w:val="32"/>
          <w:szCs w:val="32"/>
        </w:rPr>
        <w:t>地设备技术要求文档</w:t>
      </w:r>
    </w:p>
    <w:p w14:paraId="5B5FA28F">
      <w:pPr>
        <w:spacing w:after="120"/>
        <w:ind w:firstLine="602"/>
        <w:jc w:val="left"/>
        <w:rPr>
          <w:rFonts w:ascii="仿宋" w:hAnsi="仿宋" w:eastAsia="仿宋" w:cs="仿宋"/>
          <w:b/>
          <w:bCs/>
          <w:sz w:val="30"/>
          <w:szCs w:val="30"/>
        </w:rPr>
      </w:pPr>
      <w:r>
        <w:rPr>
          <w:rFonts w:hint="eastAsia" w:ascii="仿宋" w:hAnsi="仿宋" w:eastAsia="仿宋" w:cs="仿宋"/>
          <w:b/>
          <w:bCs/>
          <w:sz w:val="30"/>
          <w:szCs w:val="30"/>
        </w:rPr>
        <w:t>一、概述</w:t>
      </w:r>
    </w:p>
    <w:p w14:paraId="63ECA52B">
      <w:pPr>
        <w:spacing w:after="120"/>
        <w:ind w:firstLine="600"/>
        <w:jc w:val="left"/>
        <w:rPr>
          <w:rFonts w:ascii="仿宋" w:hAnsi="仿宋" w:eastAsia="仿宋" w:cs="仿宋"/>
          <w:sz w:val="30"/>
          <w:szCs w:val="30"/>
        </w:rPr>
      </w:pPr>
      <w:r>
        <w:rPr>
          <w:rFonts w:hint="eastAsia" w:ascii="仿宋" w:hAnsi="仿宋" w:eastAsia="仿宋" w:cs="仿宋"/>
          <w:sz w:val="30"/>
          <w:szCs w:val="30"/>
        </w:rPr>
        <w:t>广东省代建项目管理局智慧工地指挥中心，是基于数字孪生的新基建发展理念和CIM、大数据、AI、5G等新一代信息技术，改造、整合、集成工地各智能化子系统及信息资源，实现全方位的数字化升级和运行状态的全感知、全透明、全可视，打造智慧、绿色、生态的数字化工地。</w:t>
      </w:r>
    </w:p>
    <w:p w14:paraId="5755C12E">
      <w:pPr>
        <w:spacing w:after="120"/>
        <w:ind w:firstLine="600"/>
        <w:jc w:val="left"/>
        <w:rPr>
          <w:rFonts w:ascii="仿宋" w:hAnsi="仿宋" w:eastAsia="仿宋" w:cs="仿宋"/>
          <w:sz w:val="30"/>
          <w:szCs w:val="30"/>
        </w:rPr>
      </w:pPr>
      <w:r>
        <w:rPr>
          <w:rFonts w:hint="eastAsia" w:ascii="仿宋" w:hAnsi="仿宋" w:eastAsia="仿宋" w:cs="仿宋"/>
          <w:sz w:val="30"/>
          <w:szCs w:val="30"/>
        </w:rPr>
        <w:t>系统共包括智慧工地7大模块（实名制、环境监测、塔吊监测、升降机监测、用电监测、车辆运行监测、监控等）以及会议模块、应急管理等模块的前后端管理功能，能够进行大数据分析，完成指挥中心大屏的数据展示，和后端的数据收集和管理功能。</w:t>
      </w:r>
    </w:p>
    <w:p w14:paraId="499BC0BE">
      <w:pPr>
        <w:numPr>
          <w:ilvl w:val="0"/>
          <w:numId w:val="38"/>
        </w:numPr>
        <w:spacing w:after="120"/>
        <w:ind w:firstLine="602"/>
        <w:jc w:val="center"/>
        <w:rPr>
          <w:rFonts w:ascii="仿宋" w:hAnsi="仿宋" w:eastAsia="仿宋" w:cs="仿宋"/>
          <w:b/>
          <w:bCs/>
          <w:sz w:val="30"/>
          <w:szCs w:val="30"/>
        </w:rPr>
      </w:pPr>
      <w:r>
        <w:rPr>
          <w:rFonts w:hint="eastAsia" w:ascii="仿宋" w:hAnsi="仿宋" w:eastAsia="仿宋" w:cs="仿宋"/>
          <w:b/>
          <w:bCs/>
          <w:sz w:val="30"/>
          <w:szCs w:val="30"/>
        </w:rPr>
        <w:t>硬件参数</w:t>
      </w:r>
    </w:p>
    <w:p w14:paraId="031F2F03">
      <w:pPr>
        <w:spacing w:after="120"/>
        <w:rPr>
          <w:rFonts w:ascii="仿宋" w:hAnsi="仿宋" w:eastAsia="仿宋" w:cs="仿宋"/>
          <w:szCs w:val="30"/>
        </w:rPr>
      </w:pPr>
      <w:bookmarkStart w:id="1216" w:name="_Toc17666"/>
      <w:bookmarkStart w:id="1217" w:name="_Toc27991"/>
      <w:r>
        <w:rPr>
          <w:rFonts w:hint="eastAsia" w:ascii="仿宋" w:hAnsi="仿宋" w:eastAsia="仿宋" w:cs="仿宋"/>
          <w:szCs w:val="30"/>
        </w:rPr>
        <w:t>1 硬件参数</w:t>
      </w:r>
      <w:bookmarkEnd w:id="1216"/>
      <w:bookmarkEnd w:id="1217"/>
    </w:p>
    <w:p w14:paraId="69D98818">
      <w:pPr>
        <w:spacing w:after="120"/>
        <w:ind w:firstLine="600"/>
        <w:rPr>
          <w:rFonts w:ascii="仿宋" w:hAnsi="仿宋" w:eastAsia="仿宋" w:cs="仿宋"/>
          <w:sz w:val="30"/>
          <w:szCs w:val="30"/>
        </w:rPr>
      </w:pPr>
      <w:bookmarkStart w:id="1218" w:name="_Toc10975"/>
      <w:bookmarkStart w:id="1219" w:name="_Toc20382"/>
      <w:r>
        <w:rPr>
          <w:rFonts w:hint="eastAsia" w:ascii="仿宋" w:hAnsi="仿宋" w:eastAsia="仿宋" w:cs="仿宋"/>
          <w:sz w:val="30"/>
          <w:szCs w:val="30"/>
        </w:rPr>
        <w:t>1.1设备要求（6项）</w:t>
      </w:r>
      <w:bookmarkEnd w:id="1218"/>
      <w:bookmarkEnd w:id="1219"/>
    </w:p>
    <w:p w14:paraId="3EEFF29B">
      <w:pPr>
        <w:spacing w:after="120"/>
        <w:ind w:firstLine="600"/>
        <w:jc w:val="left"/>
        <w:rPr>
          <w:rFonts w:ascii="仿宋" w:hAnsi="仿宋" w:eastAsia="仿宋" w:cs="仿宋"/>
          <w:sz w:val="30"/>
          <w:szCs w:val="30"/>
        </w:rPr>
      </w:pPr>
      <w:r>
        <w:rPr>
          <w:rFonts w:hint="eastAsia" w:ascii="仿宋" w:hAnsi="仿宋" w:eastAsia="仿宋" w:cs="仿宋"/>
          <w:sz w:val="30"/>
          <w:szCs w:val="30"/>
        </w:rPr>
        <w:t>因我局指挥中心系统需将各工地的数据进行汇总上报，所以要求以下6类设备除具备接入住建局等政府公务平台能力外，也需同时具备接入其他平台的能力。6项设备包括：实名制、环境监测、塔吊监测、升降机监测、用电监测、车辆运行监测。</w:t>
      </w:r>
    </w:p>
    <w:p w14:paraId="109EE5AF">
      <w:pPr>
        <w:spacing w:after="120"/>
        <w:ind w:firstLine="600"/>
        <w:jc w:val="left"/>
        <w:rPr>
          <w:rFonts w:ascii="仿宋" w:hAnsi="仿宋" w:eastAsia="仿宋" w:cs="仿宋"/>
          <w:sz w:val="30"/>
          <w:szCs w:val="30"/>
        </w:rPr>
      </w:pPr>
      <w:r>
        <w:rPr>
          <w:rFonts w:hint="eastAsia" w:ascii="仿宋" w:hAnsi="仿宋" w:eastAsia="仿宋" w:cs="仿宋"/>
          <w:sz w:val="30"/>
          <w:szCs w:val="30"/>
        </w:rPr>
        <w:t>具体要求如下：</w:t>
      </w:r>
    </w:p>
    <w:p w14:paraId="2F927236">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接入设备若仅为单个设备，要求此设备能够对接多平台，设备具有多发能力。</w:t>
      </w:r>
    </w:p>
    <w:p w14:paraId="1BAEF97F">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所采购设备若具有独立系统，要求此系统可以对多个接口平台同时发送设备信息（例如发送到住建局同时需发送至我局平台），也需具有多发能力。</w:t>
      </w:r>
    </w:p>
    <w:p w14:paraId="755D7090">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若在单个工地，以上所述设备具有统一管理平台，要求此平台可以对多个接口平台同时发送设备信息（例如发送到住建局同时需发送至我局平台），也需具有多发能力。</w:t>
      </w:r>
    </w:p>
    <w:p w14:paraId="219BDEB4">
      <w:pPr>
        <w:spacing w:after="120"/>
        <w:ind w:firstLine="600"/>
        <w:rPr>
          <w:rFonts w:ascii="仿宋" w:hAnsi="仿宋" w:eastAsia="仿宋" w:cs="仿宋"/>
          <w:sz w:val="30"/>
          <w:szCs w:val="30"/>
        </w:rPr>
      </w:pPr>
      <w:bookmarkStart w:id="1220" w:name="_Toc30913"/>
      <w:bookmarkStart w:id="1221" w:name="_Toc3777"/>
      <w:r>
        <w:rPr>
          <w:rFonts w:hint="eastAsia" w:ascii="仿宋" w:hAnsi="仿宋" w:eastAsia="仿宋" w:cs="仿宋"/>
          <w:sz w:val="30"/>
          <w:szCs w:val="30"/>
        </w:rPr>
        <w:t>1.2摄像机设备参数要求</w:t>
      </w:r>
      <w:bookmarkEnd w:id="1220"/>
      <w:bookmarkEnd w:id="1221"/>
    </w:p>
    <w:p w14:paraId="6CCD9627">
      <w:pPr>
        <w:spacing w:after="120"/>
        <w:ind w:firstLine="600"/>
        <w:jc w:val="left"/>
        <w:rPr>
          <w:rFonts w:ascii="仿宋" w:hAnsi="仿宋" w:eastAsia="仿宋" w:cs="仿宋"/>
          <w:sz w:val="30"/>
          <w:szCs w:val="30"/>
        </w:rPr>
      </w:pPr>
      <w:r>
        <w:rPr>
          <w:rFonts w:hint="eastAsia" w:ascii="仿宋" w:hAnsi="仿宋" w:eastAsia="仿宋" w:cs="仿宋"/>
          <w:sz w:val="30"/>
          <w:szCs w:val="30"/>
        </w:rPr>
        <w:t>摄像机设备原则上要求全部接入我局平台，为保障单个工地的摄像机画面能够准确的表现工地实时进度，对单工地摄像机最低配备做如下要求：</w:t>
      </w:r>
    </w:p>
    <w:p w14:paraId="10412FF2">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单个工地具备设备数量：4台或以上</w:t>
      </w:r>
    </w:p>
    <w:p w14:paraId="19A2F840">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设备类型：1台工地至高点球机或更高配置的全景摄像机，3台正对工地施工区域的枪机。</w:t>
      </w:r>
    </w:p>
    <w:p w14:paraId="3DE67BDA">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球机或全景摄像机设备参数：200万像素以上全彩摄像机</w:t>
      </w:r>
    </w:p>
    <w:p w14:paraId="00700A76">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枪机设备参数：200万像素以上全彩摄像机，能够实现安全帽识别、外接音源（音箱）</w:t>
      </w:r>
    </w:p>
    <w:p w14:paraId="05B0A37F">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存储要求：现场需具备视频数据存储功能，存储时间大于1个月。</w:t>
      </w:r>
    </w:p>
    <w:p w14:paraId="1B90B7EF">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协议要求：要求支持GB28181。</w:t>
      </w:r>
    </w:p>
    <w:p w14:paraId="22004E53">
      <w:pPr>
        <w:spacing w:after="120"/>
        <w:ind w:firstLine="600"/>
        <w:rPr>
          <w:rFonts w:ascii="仿宋" w:hAnsi="仿宋" w:eastAsia="仿宋" w:cs="仿宋"/>
          <w:sz w:val="30"/>
          <w:szCs w:val="30"/>
        </w:rPr>
      </w:pPr>
      <w:bookmarkStart w:id="1222" w:name="_Toc31391"/>
      <w:bookmarkStart w:id="1223" w:name="_Toc21463"/>
      <w:r>
        <w:rPr>
          <w:rFonts w:hint="eastAsia" w:ascii="仿宋" w:hAnsi="仿宋" w:eastAsia="仿宋" w:cs="仿宋"/>
          <w:sz w:val="30"/>
          <w:szCs w:val="30"/>
        </w:rPr>
        <w:t>1.3网络要求</w:t>
      </w:r>
      <w:bookmarkEnd w:id="1222"/>
      <w:bookmarkEnd w:id="1223"/>
    </w:p>
    <w:p w14:paraId="2DA29133">
      <w:pPr>
        <w:spacing w:after="120"/>
        <w:ind w:firstLine="600"/>
        <w:jc w:val="left"/>
        <w:rPr>
          <w:rFonts w:ascii="仿宋" w:hAnsi="仿宋" w:eastAsia="仿宋" w:cs="仿宋"/>
          <w:sz w:val="30"/>
          <w:szCs w:val="30"/>
        </w:rPr>
      </w:pPr>
      <w:r>
        <w:rPr>
          <w:rFonts w:hint="eastAsia" w:ascii="仿宋" w:hAnsi="仿宋" w:eastAsia="仿宋" w:cs="仿宋"/>
          <w:sz w:val="30"/>
          <w:szCs w:val="30"/>
        </w:rPr>
        <w:t>摄像机需配备单独的网络，其网络上行速率不能低于20M。</w:t>
      </w:r>
    </w:p>
    <w:p w14:paraId="427F4E23">
      <w:pPr>
        <w:spacing w:after="120"/>
        <w:rPr>
          <w:rFonts w:ascii="仿宋" w:hAnsi="仿宋" w:eastAsia="仿宋" w:cs="仿宋"/>
        </w:rPr>
      </w:pPr>
    </w:p>
    <w:p w14:paraId="2743755E">
      <w:pPr>
        <w:pStyle w:val="26"/>
        <w:spacing w:after="120"/>
        <w:ind w:firstLine="0" w:firstLineChars="0"/>
        <w:rPr>
          <w:rFonts w:ascii="仿宋" w:hAnsi="仿宋" w:eastAsia="仿宋" w:cs="仿宋"/>
        </w:rPr>
      </w:pPr>
    </w:p>
    <w:p w14:paraId="5AA88DEA">
      <w:pPr>
        <w:numPr>
          <w:ilvl w:val="0"/>
          <w:numId w:val="38"/>
        </w:numPr>
        <w:spacing w:after="120"/>
        <w:ind w:firstLine="602"/>
        <w:jc w:val="center"/>
        <w:rPr>
          <w:rFonts w:ascii="仿宋" w:hAnsi="仿宋" w:eastAsia="仿宋" w:cs="仿宋"/>
          <w:b/>
          <w:bCs/>
          <w:sz w:val="30"/>
          <w:szCs w:val="30"/>
        </w:rPr>
      </w:pPr>
      <w:r>
        <w:rPr>
          <w:rFonts w:hint="eastAsia" w:ascii="仿宋" w:hAnsi="仿宋" w:eastAsia="仿宋" w:cs="仿宋"/>
          <w:b/>
          <w:bCs/>
          <w:sz w:val="30"/>
          <w:szCs w:val="30"/>
        </w:rPr>
        <w:t>数据接口对接要求</w:t>
      </w:r>
    </w:p>
    <w:p w14:paraId="560F660C">
      <w:pPr>
        <w:spacing w:after="120"/>
        <w:rPr>
          <w:rFonts w:ascii="仿宋" w:hAnsi="仿宋" w:eastAsia="仿宋" w:cs="仿宋"/>
          <w:szCs w:val="30"/>
        </w:rPr>
      </w:pPr>
      <w:bookmarkStart w:id="1224" w:name="_Toc8145"/>
      <w:bookmarkStart w:id="1225" w:name="_Toc13472"/>
      <w:r>
        <w:rPr>
          <w:rFonts w:hint="eastAsia" w:ascii="仿宋" w:hAnsi="仿宋" w:eastAsia="仿宋" w:cs="仿宋"/>
          <w:szCs w:val="30"/>
        </w:rPr>
        <w:t>2 数据接口</w:t>
      </w:r>
      <w:bookmarkEnd w:id="1224"/>
      <w:bookmarkEnd w:id="1225"/>
    </w:p>
    <w:p w14:paraId="0D197073">
      <w:pPr>
        <w:spacing w:after="120"/>
        <w:ind w:firstLine="600"/>
        <w:rPr>
          <w:rFonts w:ascii="仿宋" w:hAnsi="仿宋" w:eastAsia="仿宋" w:cs="仿宋"/>
          <w:sz w:val="30"/>
          <w:szCs w:val="30"/>
        </w:rPr>
      </w:pPr>
      <w:bookmarkStart w:id="1226" w:name="_Toc24957"/>
      <w:bookmarkStart w:id="1227" w:name="_Toc25060"/>
      <w:r>
        <w:rPr>
          <w:rFonts w:hint="eastAsia" w:ascii="仿宋" w:hAnsi="仿宋" w:eastAsia="仿宋" w:cs="仿宋"/>
          <w:sz w:val="30"/>
          <w:szCs w:val="30"/>
        </w:rPr>
        <w:t>2.1实名制</w:t>
      </w:r>
      <w:bookmarkEnd w:id="1226"/>
      <w:bookmarkEnd w:id="1227"/>
    </w:p>
    <w:p w14:paraId="623CB9F4">
      <w:pPr>
        <w:spacing w:after="120"/>
        <w:ind w:firstLine="600"/>
        <w:rPr>
          <w:rFonts w:ascii="仿宋" w:hAnsi="仿宋" w:eastAsia="仿宋" w:cs="仿宋"/>
          <w:sz w:val="30"/>
          <w:szCs w:val="30"/>
        </w:rPr>
      </w:pPr>
      <w:r>
        <w:rPr>
          <w:rFonts w:hint="eastAsia" w:ascii="仿宋" w:hAnsi="仿宋" w:eastAsia="仿宋" w:cs="仿宋"/>
          <w:sz w:val="30"/>
          <w:szCs w:val="30"/>
        </w:rPr>
        <w:t>2.1.1通信协议</w:t>
      </w:r>
    </w:p>
    <w:p w14:paraId="59C5D518">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采用HTTP（或HTTPS）协议进行请求和响应的处理。接口请求采用GET/POST方式。接口响应返回JSON格式的数据。</w:t>
      </w:r>
    </w:p>
    <w:p w14:paraId="65E006E2">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由“信息平台”提供接口地址，企业实名制或考勤系统调用。</w:t>
      </w:r>
    </w:p>
    <w:p w14:paraId="557EC4E4">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接口请求URL地址：详见接口说明。所有接口都需要拼上前缀地址http://openapi.maoswh.com/gdiapi/gdi/gzworker</w:t>
      </w:r>
    </w:p>
    <w:p w14:paraId="4DB904D9">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接口未注明处均使用UTF-8编码。</w:t>
      </w:r>
    </w:p>
    <w:p w14:paraId="551BF4C6">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通信过程中涉及的中文或特殊符号的传输，需进行urlencode处理。</w:t>
      </w:r>
    </w:p>
    <w:p w14:paraId="6EFE8ABA">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HTTP（或HTTPS）请求参数均为字符串。</w:t>
      </w:r>
    </w:p>
    <w:p w14:paraId="2D9B8267">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接口请求需进行签名，详见2.2通信安全一节。</w:t>
      </w:r>
    </w:p>
    <w:p w14:paraId="4F0B5323">
      <w:pPr>
        <w:spacing w:after="120"/>
        <w:ind w:firstLine="600"/>
        <w:rPr>
          <w:rFonts w:ascii="仿宋" w:hAnsi="仿宋" w:eastAsia="仿宋" w:cs="仿宋"/>
          <w:sz w:val="30"/>
          <w:szCs w:val="30"/>
        </w:rPr>
      </w:pPr>
      <w:bookmarkStart w:id="1228" w:name="_Toc371670467"/>
      <w:bookmarkStart w:id="1229" w:name="_Toc361851861"/>
      <w:bookmarkStart w:id="1230" w:name="_Toc529177320"/>
      <w:r>
        <w:rPr>
          <w:rFonts w:hint="eastAsia" w:ascii="仿宋" w:hAnsi="仿宋" w:eastAsia="仿宋" w:cs="仿宋"/>
          <w:sz w:val="30"/>
          <w:szCs w:val="30"/>
        </w:rPr>
        <w:t>2.1.2通信安全</w:t>
      </w:r>
      <w:bookmarkEnd w:id="1228"/>
      <w:bookmarkEnd w:id="1229"/>
      <w:bookmarkEnd w:id="1230"/>
    </w:p>
    <w:p w14:paraId="06F7AC61">
      <w:pPr>
        <w:spacing w:after="120"/>
        <w:ind w:firstLine="600"/>
        <w:jc w:val="left"/>
        <w:rPr>
          <w:rFonts w:ascii="仿宋" w:hAnsi="仿宋" w:eastAsia="仿宋" w:cs="仿宋"/>
          <w:sz w:val="30"/>
          <w:szCs w:val="30"/>
        </w:rPr>
      </w:pPr>
      <w:r>
        <w:rPr>
          <w:rFonts w:hint="eastAsia" w:ascii="仿宋" w:hAnsi="仿宋" w:eastAsia="仿宋" w:cs="仿宋"/>
          <w:sz w:val="30"/>
          <w:szCs w:val="30"/>
        </w:rPr>
        <w:t>为保证数据传输过程中的数据真实性，我们需要对数据进行数字签名，在接收签名数据之后进行签名校验。</w:t>
      </w:r>
    </w:p>
    <w:p w14:paraId="5AF1D6D5">
      <w:pPr>
        <w:spacing w:after="120"/>
        <w:ind w:firstLine="600"/>
        <w:jc w:val="left"/>
        <w:rPr>
          <w:rFonts w:ascii="仿宋" w:hAnsi="仿宋" w:eastAsia="仿宋" w:cs="仿宋"/>
          <w:sz w:val="30"/>
          <w:szCs w:val="30"/>
        </w:rPr>
      </w:pPr>
      <w:r>
        <w:rPr>
          <w:rFonts w:hint="eastAsia" w:ascii="仿宋" w:hAnsi="仿宋" w:eastAsia="仿宋" w:cs="仿宋"/>
          <w:sz w:val="30"/>
          <w:szCs w:val="30"/>
        </w:rPr>
        <w:t>“信息平台”会为施工企业的每个工程分配唯一的接入编号和接入密钥。签名机制如下：</w:t>
      </w:r>
    </w:p>
    <w:p w14:paraId="50CFD2A1">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对全部有长度限制的传输字段（不包括NL类型的字段）进行签名，将参数名（区分大小写）和参数值（需进行urlencode处理）用“=”连接，参数值为空的参数不参与签名，参数之间用“&amp;”连接，格式是：param1=val1&amp;param2=val2…。</w:t>
      </w:r>
    </w:p>
    <w:p w14:paraId="000C9126">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参数组装顺序规则：参数名的字典顺序。</w:t>
      </w:r>
    </w:p>
    <w:p w14:paraId="6BB069B4">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密钥拼接方式为传输参数直接连接密钥，如只有param1和param2两参数，值分别为val1和val2，密钥为key，拼接结果为：param1=val1&amp;param2=val2key。</w:t>
      </w:r>
    </w:p>
    <w:p w14:paraId="26BB3369">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使用“信息平台”分配的密钥进行MD5加密（密钥直接跟在组装好的参数后即可），将值赋给sign参数。</w:t>
      </w:r>
    </w:p>
    <w:p w14:paraId="50741571">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敏感信息身份证号、银行卡号需要加密传输，使用DES加密，加密key等于接入密钥，加密后的字节码转为16进制编码的字符串，并在密文字符串的前面加“des:”前缀。算法：密文=”des:” + HEX(DES(idcard, key))，如：身份证号：5113011990010181111，接入密钥：8c2da4c769828fcfa77aedb690999cf9，密文：des:80cfe03525bb2b8d43d62ff369e95334cd1facfe4bbb800c</w:t>
      </w:r>
    </w:p>
    <w:p w14:paraId="24F7CDAF">
      <w:pPr>
        <w:spacing w:after="120"/>
        <w:ind w:firstLine="600"/>
        <w:rPr>
          <w:rFonts w:ascii="仿宋" w:hAnsi="仿宋" w:eastAsia="仿宋" w:cs="仿宋"/>
          <w:sz w:val="30"/>
          <w:szCs w:val="30"/>
        </w:rPr>
      </w:pPr>
      <w:bookmarkStart w:id="1231" w:name="_Toc361851862"/>
      <w:bookmarkStart w:id="1232" w:name="_Toc529177321"/>
      <w:bookmarkStart w:id="1233" w:name="_Toc371670468"/>
      <w:r>
        <w:rPr>
          <w:rFonts w:hint="eastAsia" w:ascii="仿宋" w:hAnsi="仿宋" w:eastAsia="仿宋" w:cs="仿宋"/>
          <w:sz w:val="30"/>
          <w:szCs w:val="30"/>
        </w:rPr>
        <w:t>2.</w:t>
      </w:r>
      <w:bookmarkEnd w:id="1231"/>
      <w:r>
        <w:rPr>
          <w:rFonts w:hint="eastAsia" w:ascii="仿宋" w:hAnsi="仿宋" w:eastAsia="仿宋" w:cs="仿宋"/>
          <w:sz w:val="30"/>
          <w:szCs w:val="30"/>
        </w:rPr>
        <w:t>1.3注意事项</w:t>
      </w:r>
      <w:bookmarkEnd w:id="1232"/>
      <w:bookmarkEnd w:id="1233"/>
    </w:p>
    <w:p w14:paraId="12DDB4A2">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接口中各项参数当标识是M时参数必选，为O时可选。</w:t>
      </w:r>
    </w:p>
    <w:p w14:paraId="53444F6F">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接口字段长度分为三种：无限制（NL），固定长度（FL），可变长度（VL）。如果为FL，则长度必须精确到FL后跟随的数字，格式举例FL14；如果为VL，则长度在可变范围内即可，如果长度不够，不补空格或其它字符，格式举例VL30。</w:t>
      </w:r>
    </w:p>
    <w:p w14:paraId="7A61C769">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接口说明中，若参数字体为红色，请仔细阅读备注说明。</w:t>
      </w:r>
    </w:p>
    <w:p w14:paraId="541EC684">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请求返回结果码不为0时，需要再次提交请求。如果结果码大于0，则需要根据提示信息修改错误后再次提交；如果结果码小于0，可以间隔一段时间再提交（如：选择间隔5分钟、10分钟、30分钟、1小时提交一次，连续5次提交不成功时推迟到第二天再提交）。</w:t>
      </w:r>
    </w:p>
    <w:p w14:paraId="6519C877">
      <w:pPr>
        <w:spacing w:after="120"/>
        <w:ind w:firstLine="600"/>
        <w:rPr>
          <w:rFonts w:ascii="仿宋" w:hAnsi="仿宋" w:eastAsia="仿宋" w:cs="仿宋"/>
          <w:sz w:val="30"/>
          <w:szCs w:val="30"/>
        </w:rPr>
      </w:pPr>
      <w:bookmarkStart w:id="1234" w:name="_Toc371670469"/>
      <w:r>
        <w:rPr>
          <w:rFonts w:hint="eastAsia" w:ascii="仿宋" w:hAnsi="仿宋" w:eastAsia="仿宋" w:cs="仿宋"/>
          <w:sz w:val="30"/>
          <w:szCs w:val="30"/>
        </w:rPr>
        <w:t>2.1.4接口说明</w:t>
      </w:r>
      <w:bookmarkEnd w:id="1234"/>
    </w:p>
    <w:p w14:paraId="0AD56EF2">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所有接口响应的返回信息均以JSON字符串形式返回，可以使用JSON工具包对其进行解析。</w:t>
      </w:r>
    </w:p>
    <w:p w14:paraId="3886531D">
      <w:pPr>
        <w:numPr>
          <w:ilvl w:val="0"/>
          <w:numId w:val="39"/>
        </w:numPr>
        <w:spacing w:after="120"/>
        <w:ind w:left="0" w:firstLine="600"/>
        <w:jc w:val="left"/>
        <w:rPr>
          <w:rFonts w:ascii="仿宋" w:hAnsi="仿宋" w:eastAsia="仿宋" w:cs="仿宋"/>
          <w:sz w:val="30"/>
          <w:szCs w:val="30"/>
        </w:rPr>
      </w:pPr>
      <w:r>
        <w:rPr>
          <w:rFonts w:hint="eastAsia" w:ascii="仿宋" w:hAnsi="仿宋" w:eastAsia="仿宋" w:cs="仿宋"/>
          <w:sz w:val="30"/>
          <w:szCs w:val="30"/>
        </w:rPr>
        <w:t>返回信息具体字段参照接口说明中的响应参数，以下举例：</w:t>
      </w:r>
    </w:p>
    <w:p w14:paraId="67C85842">
      <w:pPr>
        <w:numPr>
          <w:ilvl w:val="0"/>
          <w:numId w:val="39"/>
        </w:numPr>
        <w:spacing w:after="120"/>
        <w:ind w:left="0" w:firstLine="600"/>
        <w:jc w:val="left"/>
        <w:rPr>
          <w:rFonts w:ascii="仿宋" w:hAnsi="仿宋" w:eastAsia="仿宋" w:cs="仿宋"/>
        </w:rPr>
      </w:pPr>
      <w:r>
        <w:rPr>
          <w:rFonts w:hint="eastAsia" w:ascii="仿宋" w:hAnsi="仿宋" w:eastAsia="仿宋" w:cs="仿宋"/>
          <w:sz w:val="30"/>
          <w:szCs w:val="30"/>
        </w:rPr>
        <w:t>处理成功：{"resultCode":0,"resultDesc":"处理成功"},处理失败：{"resultCode":1,"resultDesc":"签名错误"}返回结果码对照见2.1.7</w:t>
      </w:r>
      <w:r>
        <w:fldChar w:fldCharType="begin"/>
      </w:r>
      <w:r>
        <w:instrText xml:space="preserve"> HYPERLINK \l "_4.2 返回码对照表" </w:instrText>
      </w:r>
      <w:r>
        <w:fldChar w:fldCharType="separate"/>
      </w:r>
      <w:r>
        <w:rPr>
          <w:rFonts w:hint="eastAsia" w:ascii="仿宋" w:hAnsi="仿宋" w:eastAsia="仿宋" w:cs="仿宋"/>
          <w:sz w:val="30"/>
          <w:szCs w:val="30"/>
        </w:rPr>
        <w:t>结果码对照表</w:t>
      </w:r>
      <w:r>
        <w:rPr>
          <w:rFonts w:hint="eastAsia" w:ascii="仿宋" w:hAnsi="仿宋" w:eastAsia="仿宋" w:cs="仿宋"/>
          <w:sz w:val="30"/>
          <w:szCs w:val="30"/>
        </w:rPr>
        <w:fldChar w:fldCharType="end"/>
      </w:r>
      <w:r>
        <w:rPr>
          <w:rFonts w:hint="eastAsia" w:ascii="仿宋" w:hAnsi="仿宋" w:eastAsia="仿宋" w:cs="仿宋"/>
          <w:sz w:val="30"/>
          <w:szCs w:val="30"/>
        </w:rPr>
        <w:t>。</w:t>
      </w:r>
    </w:p>
    <w:p w14:paraId="695491DD">
      <w:pPr>
        <w:spacing w:after="120"/>
        <w:ind w:firstLine="600"/>
        <w:rPr>
          <w:rFonts w:ascii="仿宋" w:hAnsi="仿宋" w:eastAsia="仿宋" w:cs="仿宋"/>
        </w:rPr>
      </w:pPr>
      <w:bookmarkStart w:id="1235" w:name="_Toc529177324"/>
      <w:r>
        <w:rPr>
          <w:rFonts w:hint="eastAsia" w:ascii="仿宋" w:hAnsi="仿宋" w:eastAsia="仿宋" w:cs="仿宋"/>
          <w:sz w:val="30"/>
          <w:szCs w:val="30"/>
        </w:rPr>
        <w:t>2.1.5批量上报工人考勤</w:t>
      </w:r>
      <w:bookmarkEnd w:id="1235"/>
    </w:p>
    <w:p w14:paraId="7AEBE746">
      <w:pPr>
        <w:spacing w:after="120"/>
        <w:ind w:firstLine="602"/>
        <w:rPr>
          <w:rFonts w:ascii="仿宋" w:hAnsi="仿宋" w:eastAsia="仿宋" w:cs="仿宋"/>
          <w:b/>
          <w:sz w:val="30"/>
          <w:szCs w:val="30"/>
        </w:rPr>
      </w:pPr>
      <w:r>
        <w:rPr>
          <w:rFonts w:hint="eastAsia" w:ascii="仿宋" w:hAnsi="仿宋" w:eastAsia="仿宋" w:cs="仿宋"/>
          <w:b/>
          <w:sz w:val="30"/>
          <w:szCs w:val="30"/>
        </w:rPr>
        <w:t>接口说明</w:t>
      </w:r>
    </w:p>
    <w:tbl>
      <w:tblPr>
        <w:tblStyle w:val="55"/>
        <w:tblW w:w="8270"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0" w:type="dxa"/>
          <w:bottom w:w="0" w:type="dxa"/>
          <w:right w:w="0" w:type="dxa"/>
        </w:tblCellMar>
      </w:tblPr>
      <w:tblGrid>
        <w:gridCol w:w="2151"/>
        <w:gridCol w:w="6119"/>
      </w:tblGrid>
      <w:tr w14:paraId="736C0208">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PrEx>
        <w:trPr>
          <w:trHeight w:val="357" w:hRule="atLeast"/>
          <w:jc w:val="center"/>
        </w:trPr>
        <w:tc>
          <w:tcPr>
            <w:tcW w:w="2151" w:type="dxa"/>
            <w:tcMar>
              <w:top w:w="57" w:type="dxa"/>
              <w:left w:w="57" w:type="dxa"/>
              <w:bottom w:w="57" w:type="dxa"/>
              <w:right w:w="57" w:type="dxa"/>
            </w:tcMar>
            <w:vAlign w:val="center"/>
          </w:tcPr>
          <w:p w14:paraId="32A60DA6">
            <w:pPr>
              <w:spacing w:after="120" w:line="285" w:lineRule="atLeast"/>
              <w:ind w:firstLine="0" w:firstLineChars="0"/>
              <w:jc w:val="center"/>
              <w:rPr>
                <w:rFonts w:ascii="仿宋" w:hAnsi="仿宋" w:eastAsia="仿宋" w:cs="仿宋"/>
                <w:szCs w:val="24"/>
              </w:rPr>
            </w:pPr>
            <w:r>
              <w:rPr>
                <w:rFonts w:hint="eastAsia" w:ascii="仿宋" w:hAnsi="仿宋" w:eastAsia="仿宋" w:cs="仿宋"/>
                <w:b/>
                <w:bCs/>
                <w:szCs w:val="24"/>
              </w:rPr>
              <w:t>接口描述</w:t>
            </w:r>
          </w:p>
        </w:tc>
        <w:tc>
          <w:tcPr>
            <w:tcW w:w="6119" w:type="dxa"/>
            <w:tcMar>
              <w:top w:w="57" w:type="dxa"/>
              <w:left w:w="57" w:type="dxa"/>
              <w:bottom w:w="57" w:type="dxa"/>
              <w:right w:w="57" w:type="dxa"/>
            </w:tcMar>
            <w:vAlign w:val="center"/>
          </w:tcPr>
          <w:p w14:paraId="782A4107">
            <w:pPr>
              <w:tabs>
                <w:tab w:val="left" w:pos="4051"/>
              </w:tabs>
              <w:spacing w:after="120" w:line="285" w:lineRule="atLeast"/>
              <w:rPr>
                <w:rFonts w:ascii="仿宋" w:hAnsi="仿宋" w:eastAsia="仿宋" w:cs="仿宋"/>
                <w:szCs w:val="24"/>
              </w:rPr>
            </w:pPr>
            <w:r>
              <w:rPr>
                <w:rFonts w:hint="eastAsia" w:ascii="仿宋" w:hAnsi="仿宋" w:eastAsia="仿宋" w:cs="仿宋"/>
                <w:szCs w:val="24"/>
              </w:rPr>
              <w:t>施工企业批量上报工人考勤</w:t>
            </w:r>
            <w:r>
              <w:rPr>
                <w:rFonts w:hint="eastAsia" w:ascii="仿宋" w:hAnsi="仿宋" w:eastAsia="仿宋" w:cs="仿宋"/>
                <w:szCs w:val="24"/>
              </w:rPr>
              <w:tab/>
            </w:r>
          </w:p>
        </w:tc>
      </w:tr>
      <w:tr w14:paraId="6D25EDDE">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2151" w:type="dxa"/>
            <w:tcMar>
              <w:top w:w="57" w:type="dxa"/>
              <w:left w:w="57" w:type="dxa"/>
              <w:bottom w:w="57" w:type="dxa"/>
              <w:right w:w="57" w:type="dxa"/>
            </w:tcMar>
            <w:vAlign w:val="center"/>
          </w:tcPr>
          <w:p w14:paraId="7877D843">
            <w:pPr>
              <w:spacing w:after="120" w:line="285" w:lineRule="atLeast"/>
              <w:ind w:firstLine="0" w:firstLineChars="0"/>
              <w:jc w:val="center"/>
              <w:rPr>
                <w:rFonts w:ascii="仿宋" w:hAnsi="仿宋" w:eastAsia="仿宋" w:cs="仿宋"/>
                <w:szCs w:val="24"/>
              </w:rPr>
            </w:pPr>
            <w:r>
              <w:rPr>
                <w:rFonts w:hint="eastAsia" w:ascii="仿宋" w:hAnsi="仿宋" w:eastAsia="仿宋" w:cs="仿宋"/>
                <w:b/>
                <w:bCs/>
                <w:szCs w:val="24"/>
              </w:rPr>
              <w:t>请求地址</w:t>
            </w:r>
          </w:p>
        </w:tc>
        <w:tc>
          <w:tcPr>
            <w:tcW w:w="6119" w:type="dxa"/>
            <w:tcMar>
              <w:top w:w="57" w:type="dxa"/>
              <w:left w:w="57" w:type="dxa"/>
              <w:bottom w:w="57" w:type="dxa"/>
              <w:right w:w="57" w:type="dxa"/>
            </w:tcMar>
            <w:vAlign w:val="center"/>
          </w:tcPr>
          <w:p w14:paraId="5DEB1D20">
            <w:pPr>
              <w:spacing w:after="120" w:line="285" w:lineRule="atLeast"/>
              <w:rPr>
                <w:rFonts w:ascii="仿宋" w:hAnsi="仿宋" w:eastAsia="仿宋" w:cs="仿宋"/>
                <w:szCs w:val="24"/>
              </w:rPr>
            </w:pPr>
            <w:r>
              <w:rPr>
                <w:rFonts w:hint="eastAsia" w:ascii="仿宋" w:hAnsi="仿宋" w:eastAsia="仿宋" w:cs="仿宋"/>
                <w:szCs w:val="24"/>
              </w:rPr>
              <w:t>/attendance/atteApi/saves</w:t>
            </w:r>
          </w:p>
        </w:tc>
      </w:tr>
      <w:tr w14:paraId="0E182714">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2151" w:type="dxa"/>
            <w:tcMar>
              <w:top w:w="57" w:type="dxa"/>
              <w:left w:w="57" w:type="dxa"/>
              <w:bottom w:w="57" w:type="dxa"/>
              <w:right w:w="57" w:type="dxa"/>
            </w:tcMar>
            <w:vAlign w:val="center"/>
          </w:tcPr>
          <w:p w14:paraId="1D25F94A">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测试请求地址</w:t>
            </w:r>
          </w:p>
        </w:tc>
        <w:tc>
          <w:tcPr>
            <w:tcW w:w="6119" w:type="dxa"/>
            <w:tcMar>
              <w:top w:w="57" w:type="dxa"/>
              <w:left w:w="57" w:type="dxa"/>
              <w:bottom w:w="57" w:type="dxa"/>
              <w:right w:w="57" w:type="dxa"/>
            </w:tcMar>
            <w:vAlign w:val="center"/>
          </w:tcPr>
          <w:p w14:paraId="1DE793C5">
            <w:pPr>
              <w:spacing w:after="120" w:line="285" w:lineRule="atLeast"/>
              <w:rPr>
                <w:rFonts w:ascii="仿宋" w:hAnsi="仿宋" w:eastAsia="仿宋" w:cs="仿宋"/>
                <w:szCs w:val="24"/>
              </w:rPr>
            </w:pPr>
          </w:p>
        </w:tc>
      </w:tr>
    </w:tbl>
    <w:p w14:paraId="518975DB">
      <w:pPr>
        <w:spacing w:after="120"/>
        <w:ind w:firstLine="602"/>
        <w:rPr>
          <w:rFonts w:ascii="仿宋" w:hAnsi="仿宋" w:eastAsia="仿宋" w:cs="仿宋"/>
          <w:b/>
          <w:sz w:val="30"/>
          <w:szCs w:val="30"/>
        </w:rPr>
      </w:pPr>
      <w:r>
        <w:rPr>
          <w:rFonts w:hint="eastAsia" w:ascii="仿宋" w:hAnsi="仿宋" w:eastAsia="仿宋" w:cs="仿宋"/>
          <w:b/>
          <w:sz w:val="30"/>
          <w:szCs w:val="30"/>
        </w:rPr>
        <w:t>请求参数</w:t>
      </w:r>
    </w:p>
    <w:tbl>
      <w:tblPr>
        <w:tblStyle w:val="55"/>
        <w:tblW w:w="9016" w:type="dxa"/>
        <w:tblInd w:w="79" w:type="dxa"/>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17" w:type="dxa"/>
          <w:left w:w="17" w:type="dxa"/>
          <w:bottom w:w="17" w:type="dxa"/>
          <w:right w:w="17" w:type="dxa"/>
        </w:tblCellMar>
      </w:tblPr>
      <w:tblGrid>
        <w:gridCol w:w="1800"/>
        <w:gridCol w:w="744"/>
        <w:gridCol w:w="892"/>
        <w:gridCol w:w="1561"/>
        <w:gridCol w:w="4019"/>
      </w:tblGrid>
      <w:tr w14:paraId="6085DBA8">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619" w:hRule="atLeast"/>
        </w:trPr>
        <w:tc>
          <w:tcPr>
            <w:tcW w:w="1800" w:type="dxa"/>
            <w:shd w:val="clear" w:color="auto" w:fill="F6F9FB"/>
            <w:tcMar>
              <w:top w:w="57" w:type="dxa"/>
              <w:left w:w="57" w:type="dxa"/>
              <w:bottom w:w="57" w:type="dxa"/>
              <w:right w:w="57" w:type="dxa"/>
            </w:tcMar>
            <w:vAlign w:val="center"/>
          </w:tcPr>
          <w:p w14:paraId="047B3091">
            <w:pPr>
              <w:spacing w:after="120" w:line="285" w:lineRule="atLeast"/>
              <w:ind w:firstLine="482"/>
              <w:rPr>
                <w:rFonts w:ascii="仿宋" w:hAnsi="仿宋" w:eastAsia="仿宋" w:cs="仿宋"/>
                <w:b/>
                <w:bCs/>
                <w:szCs w:val="24"/>
              </w:rPr>
            </w:pPr>
            <w:r>
              <w:rPr>
                <w:rFonts w:hint="eastAsia" w:ascii="仿宋" w:hAnsi="仿宋" w:eastAsia="仿宋" w:cs="仿宋"/>
                <w:b/>
                <w:bCs/>
                <w:szCs w:val="24"/>
              </w:rPr>
              <w:t>参数</w:t>
            </w:r>
          </w:p>
        </w:tc>
        <w:tc>
          <w:tcPr>
            <w:tcW w:w="744" w:type="dxa"/>
            <w:shd w:val="clear" w:color="auto" w:fill="F6F9FB"/>
            <w:tcMar>
              <w:top w:w="57" w:type="dxa"/>
              <w:left w:w="57" w:type="dxa"/>
              <w:bottom w:w="57" w:type="dxa"/>
              <w:right w:w="57" w:type="dxa"/>
            </w:tcMar>
            <w:vAlign w:val="center"/>
          </w:tcPr>
          <w:p w14:paraId="18A569BD">
            <w:pPr>
              <w:spacing w:after="120" w:line="285" w:lineRule="atLeast"/>
              <w:ind w:firstLine="0" w:firstLineChars="0"/>
              <w:rPr>
                <w:rFonts w:ascii="仿宋" w:hAnsi="仿宋" w:eastAsia="仿宋" w:cs="仿宋"/>
                <w:b/>
                <w:bCs/>
                <w:szCs w:val="24"/>
              </w:rPr>
            </w:pPr>
            <w:r>
              <w:rPr>
                <w:rFonts w:hint="eastAsia" w:ascii="仿宋" w:hAnsi="仿宋" w:eastAsia="仿宋" w:cs="仿宋"/>
                <w:b/>
                <w:bCs/>
                <w:szCs w:val="24"/>
              </w:rPr>
              <w:t>限制</w:t>
            </w:r>
          </w:p>
        </w:tc>
        <w:tc>
          <w:tcPr>
            <w:tcW w:w="892" w:type="dxa"/>
            <w:shd w:val="clear" w:color="auto" w:fill="F6F9FB"/>
            <w:tcMar>
              <w:top w:w="57" w:type="dxa"/>
              <w:left w:w="57" w:type="dxa"/>
              <w:bottom w:w="57" w:type="dxa"/>
              <w:right w:w="57" w:type="dxa"/>
            </w:tcMar>
            <w:vAlign w:val="center"/>
          </w:tcPr>
          <w:p w14:paraId="2B9CF8C5">
            <w:pPr>
              <w:spacing w:after="120" w:line="285" w:lineRule="atLeast"/>
              <w:ind w:firstLine="0" w:firstLineChars="0"/>
              <w:rPr>
                <w:rFonts w:ascii="仿宋" w:hAnsi="仿宋" w:eastAsia="仿宋" w:cs="仿宋"/>
                <w:b/>
                <w:bCs/>
                <w:szCs w:val="24"/>
              </w:rPr>
            </w:pPr>
            <w:r>
              <w:rPr>
                <w:rFonts w:hint="eastAsia" w:ascii="仿宋" w:hAnsi="仿宋" w:eastAsia="仿宋" w:cs="仿宋"/>
                <w:b/>
                <w:bCs/>
                <w:szCs w:val="24"/>
              </w:rPr>
              <w:t>长度</w:t>
            </w:r>
          </w:p>
        </w:tc>
        <w:tc>
          <w:tcPr>
            <w:tcW w:w="1561" w:type="dxa"/>
            <w:shd w:val="clear" w:color="auto" w:fill="F6F9FB"/>
            <w:tcMar>
              <w:top w:w="57" w:type="dxa"/>
              <w:left w:w="57" w:type="dxa"/>
              <w:bottom w:w="57" w:type="dxa"/>
              <w:right w:w="57" w:type="dxa"/>
            </w:tcMar>
            <w:vAlign w:val="center"/>
          </w:tcPr>
          <w:p w14:paraId="74A3A852">
            <w:pPr>
              <w:spacing w:after="120" w:line="285" w:lineRule="atLeast"/>
              <w:ind w:firstLine="482"/>
              <w:rPr>
                <w:rFonts w:ascii="仿宋" w:hAnsi="仿宋" w:eastAsia="仿宋" w:cs="仿宋"/>
                <w:b/>
                <w:bCs/>
                <w:szCs w:val="24"/>
              </w:rPr>
            </w:pPr>
            <w:r>
              <w:rPr>
                <w:rFonts w:hint="eastAsia" w:ascii="仿宋" w:hAnsi="仿宋" w:eastAsia="仿宋" w:cs="仿宋"/>
                <w:b/>
                <w:bCs/>
                <w:szCs w:val="24"/>
              </w:rPr>
              <w:t>注释</w:t>
            </w:r>
          </w:p>
        </w:tc>
        <w:tc>
          <w:tcPr>
            <w:tcW w:w="4019" w:type="dxa"/>
            <w:shd w:val="clear" w:color="auto" w:fill="F6F9FB"/>
            <w:tcMar>
              <w:top w:w="57" w:type="dxa"/>
              <w:left w:w="57" w:type="dxa"/>
              <w:bottom w:w="57" w:type="dxa"/>
              <w:right w:w="57" w:type="dxa"/>
            </w:tcMar>
            <w:vAlign w:val="center"/>
          </w:tcPr>
          <w:p w14:paraId="15E5E0E3">
            <w:pPr>
              <w:spacing w:after="120" w:line="285" w:lineRule="atLeast"/>
              <w:ind w:firstLine="482"/>
              <w:rPr>
                <w:rFonts w:ascii="仿宋" w:hAnsi="仿宋" w:eastAsia="仿宋" w:cs="仿宋"/>
                <w:b/>
                <w:bCs/>
                <w:szCs w:val="24"/>
              </w:rPr>
            </w:pPr>
            <w:r>
              <w:rPr>
                <w:rFonts w:hint="eastAsia" w:ascii="仿宋" w:hAnsi="仿宋" w:eastAsia="仿宋" w:cs="仿宋"/>
                <w:b/>
                <w:bCs/>
                <w:szCs w:val="24"/>
              </w:rPr>
              <w:t>备注</w:t>
            </w:r>
          </w:p>
        </w:tc>
      </w:tr>
      <w:tr w14:paraId="22A09990">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402" w:hRule="atLeast"/>
        </w:trPr>
        <w:tc>
          <w:tcPr>
            <w:tcW w:w="1800" w:type="dxa"/>
            <w:tcBorders>
              <w:bottom w:val="single" w:color="548DD4" w:sz="4" w:space="0"/>
            </w:tcBorders>
            <w:shd w:val="clear" w:color="auto" w:fill="F6F9FB"/>
            <w:tcMar>
              <w:top w:w="57" w:type="dxa"/>
              <w:left w:w="57" w:type="dxa"/>
              <w:bottom w:w="57" w:type="dxa"/>
              <w:right w:w="57" w:type="dxa"/>
            </w:tcMar>
            <w:vAlign w:val="center"/>
          </w:tcPr>
          <w:p w14:paraId="1F9198F7">
            <w:pPr>
              <w:spacing w:after="120" w:line="285" w:lineRule="atLeast"/>
              <w:rPr>
                <w:rFonts w:ascii="仿宋" w:hAnsi="仿宋" w:eastAsia="仿宋" w:cs="仿宋"/>
                <w:szCs w:val="24"/>
              </w:rPr>
            </w:pPr>
            <w:r>
              <w:rPr>
                <w:rFonts w:hint="eastAsia" w:ascii="仿宋" w:hAnsi="仿宋" w:eastAsia="仿宋" w:cs="仿宋"/>
                <w:szCs w:val="24"/>
              </w:rPr>
              <w:t>accessNo</w:t>
            </w:r>
          </w:p>
        </w:tc>
        <w:tc>
          <w:tcPr>
            <w:tcW w:w="744" w:type="dxa"/>
            <w:tcBorders>
              <w:bottom w:val="single" w:color="548DD4" w:sz="4" w:space="0"/>
            </w:tcBorders>
            <w:shd w:val="clear" w:color="auto" w:fill="F6F9FB"/>
            <w:tcMar>
              <w:top w:w="57" w:type="dxa"/>
              <w:left w:w="57" w:type="dxa"/>
              <w:bottom w:w="57" w:type="dxa"/>
              <w:right w:w="57" w:type="dxa"/>
            </w:tcMar>
            <w:vAlign w:val="center"/>
          </w:tcPr>
          <w:p w14:paraId="6FB81FD8">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92" w:type="dxa"/>
            <w:tcBorders>
              <w:bottom w:val="single" w:color="548DD4" w:sz="4" w:space="0"/>
            </w:tcBorders>
            <w:shd w:val="clear" w:color="auto" w:fill="F6F9FB"/>
            <w:tcMar>
              <w:top w:w="57" w:type="dxa"/>
              <w:left w:w="57" w:type="dxa"/>
              <w:bottom w:w="57" w:type="dxa"/>
              <w:right w:w="57" w:type="dxa"/>
            </w:tcMar>
            <w:vAlign w:val="center"/>
          </w:tcPr>
          <w:p w14:paraId="26C1DC6A">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FL32</w:t>
            </w:r>
          </w:p>
        </w:tc>
        <w:tc>
          <w:tcPr>
            <w:tcW w:w="1561" w:type="dxa"/>
            <w:tcBorders>
              <w:bottom w:val="single" w:color="548DD4" w:sz="4" w:space="0"/>
            </w:tcBorders>
            <w:shd w:val="clear" w:color="auto" w:fill="F6F9FB"/>
            <w:tcMar>
              <w:top w:w="57" w:type="dxa"/>
              <w:left w:w="57" w:type="dxa"/>
              <w:bottom w:w="57" w:type="dxa"/>
              <w:right w:w="57" w:type="dxa"/>
            </w:tcMar>
            <w:vAlign w:val="center"/>
          </w:tcPr>
          <w:p w14:paraId="485D1BCE">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接入编号</w:t>
            </w:r>
          </w:p>
        </w:tc>
        <w:tc>
          <w:tcPr>
            <w:tcW w:w="4019" w:type="dxa"/>
            <w:tcBorders>
              <w:bottom w:val="single" w:color="548DD4" w:sz="4" w:space="0"/>
            </w:tcBorders>
            <w:shd w:val="clear" w:color="auto" w:fill="F6F9FB"/>
            <w:tcMar>
              <w:top w:w="57" w:type="dxa"/>
              <w:left w:w="57" w:type="dxa"/>
              <w:bottom w:w="57" w:type="dxa"/>
              <w:right w:w="57" w:type="dxa"/>
            </w:tcMar>
            <w:vAlign w:val="center"/>
          </w:tcPr>
          <w:p w14:paraId="1F88E86A">
            <w:pPr>
              <w:spacing w:after="120" w:line="285" w:lineRule="atLeast"/>
              <w:ind w:firstLine="0" w:firstLineChars="0"/>
              <w:rPr>
                <w:rFonts w:ascii="仿宋" w:hAnsi="仿宋" w:eastAsia="仿宋" w:cs="仿宋"/>
                <w:szCs w:val="24"/>
              </w:rPr>
            </w:pPr>
            <w:r>
              <w:rPr>
                <w:rFonts w:hint="eastAsia" w:ascii="仿宋" w:hAnsi="仿宋" w:eastAsia="仿宋" w:cs="仿宋"/>
                <w:szCs w:val="24"/>
              </w:rPr>
              <w:t>“信息平台”为施工企业分配的接入编号</w:t>
            </w:r>
          </w:p>
        </w:tc>
      </w:tr>
      <w:tr w14:paraId="7FB6AE6A">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927" w:hRule="atLeast"/>
        </w:trPr>
        <w:tc>
          <w:tcPr>
            <w:tcW w:w="1800" w:type="dxa"/>
            <w:shd w:val="clear" w:color="auto" w:fill="F2DBDB"/>
            <w:tcMar>
              <w:top w:w="57" w:type="dxa"/>
              <w:left w:w="57" w:type="dxa"/>
              <w:bottom w:w="57" w:type="dxa"/>
              <w:right w:w="57" w:type="dxa"/>
            </w:tcMar>
            <w:vAlign w:val="center"/>
          </w:tcPr>
          <w:p w14:paraId="17FA0787">
            <w:pPr>
              <w:spacing w:after="120" w:line="285" w:lineRule="atLeast"/>
              <w:rPr>
                <w:rFonts w:ascii="仿宋" w:hAnsi="仿宋" w:eastAsia="仿宋" w:cs="仿宋"/>
                <w:szCs w:val="24"/>
              </w:rPr>
            </w:pPr>
            <w:r>
              <w:rPr>
                <w:rFonts w:hint="eastAsia" w:ascii="仿宋" w:hAnsi="仿宋" w:eastAsia="仿宋" w:cs="仿宋"/>
                <w:szCs w:val="24"/>
              </w:rPr>
              <w:t>dataList</w:t>
            </w:r>
          </w:p>
        </w:tc>
        <w:tc>
          <w:tcPr>
            <w:tcW w:w="744" w:type="dxa"/>
            <w:shd w:val="clear" w:color="auto" w:fill="F2DBDB"/>
            <w:tcMar>
              <w:top w:w="57" w:type="dxa"/>
              <w:left w:w="57" w:type="dxa"/>
              <w:bottom w:w="57" w:type="dxa"/>
              <w:right w:w="57" w:type="dxa"/>
            </w:tcMar>
            <w:vAlign w:val="center"/>
          </w:tcPr>
          <w:p w14:paraId="3268AD35">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92" w:type="dxa"/>
            <w:shd w:val="clear" w:color="auto" w:fill="F2DBDB"/>
            <w:tcMar>
              <w:top w:w="57" w:type="dxa"/>
              <w:left w:w="57" w:type="dxa"/>
              <w:bottom w:w="57" w:type="dxa"/>
              <w:right w:w="57" w:type="dxa"/>
            </w:tcMar>
            <w:vAlign w:val="center"/>
          </w:tcPr>
          <w:p w14:paraId="20742E25">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NL</w:t>
            </w:r>
          </w:p>
        </w:tc>
        <w:tc>
          <w:tcPr>
            <w:tcW w:w="1561" w:type="dxa"/>
            <w:shd w:val="clear" w:color="auto" w:fill="F2DBDB"/>
            <w:tcMar>
              <w:top w:w="57" w:type="dxa"/>
              <w:left w:w="57" w:type="dxa"/>
              <w:bottom w:w="57" w:type="dxa"/>
              <w:right w:w="57" w:type="dxa"/>
            </w:tcMar>
            <w:vAlign w:val="center"/>
          </w:tcPr>
          <w:p w14:paraId="6D979171">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考勤数据列表</w:t>
            </w:r>
          </w:p>
        </w:tc>
        <w:tc>
          <w:tcPr>
            <w:tcW w:w="4019" w:type="dxa"/>
            <w:shd w:val="clear" w:color="auto" w:fill="F2DBDB"/>
            <w:tcMar>
              <w:top w:w="57" w:type="dxa"/>
              <w:left w:w="57" w:type="dxa"/>
              <w:bottom w:w="57" w:type="dxa"/>
              <w:right w:w="57" w:type="dxa"/>
            </w:tcMar>
            <w:vAlign w:val="center"/>
          </w:tcPr>
          <w:p w14:paraId="401F7B5B">
            <w:pPr>
              <w:spacing w:after="120" w:line="285" w:lineRule="atLeast"/>
              <w:ind w:firstLine="0" w:firstLineChars="0"/>
              <w:rPr>
                <w:rFonts w:ascii="仿宋" w:hAnsi="仿宋" w:eastAsia="仿宋" w:cs="仿宋"/>
                <w:szCs w:val="24"/>
              </w:rPr>
            </w:pPr>
            <w:r>
              <w:rPr>
                <w:rFonts w:hint="eastAsia" w:ascii="仿宋" w:hAnsi="仿宋" w:eastAsia="仿宋" w:cs="仿宋"/>
                <w:szCs w:val="24"/>
              </w:rPr>
              <w:t>考勤数据列表。不参与签名。json格式的数据：</w:t>
            </w:r>
          </w:p>
          <w:p w14:paraId="72693A2F">
            <w:pPr>
              <w:spacing w:after="120" w:line="285" w:lineRule="atLeast"/>
              <w:ind w:firstLine="0" w:firstLineChars="0"/>
              <w:rPr>
                <w:rFonts w:ascii="仿宋" w:hAnsi="仿宋" w:eastAsia="仿宋" w:cs="仿宋"/>
                <w:szCs w:val="24"/>
              </w:rPr>
            </w:pPr>
            <w:r>
              <w:rPr>
                <w:rFonts w:hint="eastAsia" w:ascii="仿宋" w:hAnsi="仿宋" w:eastAsia="仿宋" w:cs="仿宋"/>
                <w:szCs w:val="24"/>
              </w:rPr>
              <w:t>[{</w:t>
            </w:r>
          </w:p>
          <w:p w14:paraId="51801B4C">
            <w:pPr>
              <w:spacing w:after="120" w:line="285" w:lineRule="atLeast"/>
              <w:rPr>
                <w:rFonts w:ascii="仿宋" w:hAnsi="仿宋" w:eastAsia="仿宋" w:cs="仿宋"/>
                <w:szCs w:val="24"/>
              </w:rPr>
            </w:pPr>
            <w:r>
              <w:rPr>
                <w:rFonts w:hint="eastAsia" w:ascii="仿宋" w:hAnsi="仿宋" w:eastAsia="仿宋" w:cs="仿宋"/>
                <w:szCs w:val="24"/>
              </w:rPr>
              <w:t>builderIdcard : ‘工人身份证号，使用DES加密’,</w:t>
            </w:r>
          </w:p>
          <w:p w14:paraId="16361AD7">
            <w:pPr>
              <w:spacing w:after="120" w:line="285" w:lineRule="atLeast"/>
              <w:rPr>
                <w:rFonts w:ascii="仿宋" w:hAnsi="仿宋" w:eastAsia="仿宋" w:cs="仿宋"/>
                <w:szCs w:val="24"/>
              </w:rPr>
            </w:pPr>
            <w:r>
              <w:rPr>
                <w:rFonts w:hint="eastAsia" w:ascii="仿宋" w:hAnsi="仿宋" w:eastAsia="仿宋" w:cs="仿宋"/>
                <w:szCs w:val="24"/>
              </w:rPr>
              <w:t>workDate : ‘考勤日期yyyyMMdd’,</w:t>
            </w:r>
          </w:p>
          <w:p w14:paraId="3BDC793F">
            <w:pPr>
              <w:spacing w:after="120" w:line="285" w:lineRule="atLeast"/>
              <w:rPr>
                <w:rFonts w:ascii="仿宋" w:hAnsi="仿宋" w:eastAsia="仿宋" w:cs="仿宋"/>
                <w:szCs w:val="24"/>
              </w:rPr>
            </w:pPr>
            <w:r>
              <w:rPr>
                <w:rFonts w:hint="eastAsia" w:ascii="仿宋" w:hAnsi="仿宋" w:eastAsia="仿宋" w:cs="仿宋"/>
                <w:szCs w:val="24"/>
              </w:rPr>
              <w:t>workStart : ‘上班时间yyyyMMddHHmmss’,</w:t>
            </w:r>
          </w:p>
          <w:p w14:paraId="487FC19E">
            <w:pPr>
              <w:spacing w:after="120" w:line="285" w:lineRule="atLeast"/>
              <w:rPr>
                <w:rFonts w:ascii="仿宋" w:hAnsi="仿宋" w:eastAsia="仿宋" w:cs="仿宋"/>
                <w:szCs w:val="24"/>
              </w:rPr>
            </w:pPr>
            <w:r>
              <w:rPr>
                <w:rFonts w:hint="eastAsia" w:ascii="仿宋" w:hAnsi="仿宋" w:eastAsia="仿宋" w:cs="仿宋"/>
                <w:szCs w:val="24"/>
              </w:rPr>
              <w:t>workEnd : ‘下班时间yyyyMMddHHmmss’,</w:t>
            </w:r>
          </w:p>
          <w:p w14:paraId="6C1C77B6">
            <w:pPr>
              <w:spacing w:after="120" w:line="285" w:lineRule="atLeast"/>
              <w:rPr>
                <w:rFonts w:ascii="仿宋" w:hAnsi="仿宋" w:eastAsia="仿宋" w:cs="仿宋"/>
                <w:szCs w:val="24"/>
              </w:rPr>
            </w:pPr>
            <w:r>
              <w:rPr>
                <w:rFonts w:hint="eastAsia" w:ascii="仿宋" w:hAnsi="仿宋" w:eastAsia="仿宋" w:cs="仿宋"/>
                <w:szCs w:val="24"/>
              </w:rPr>
              <w:t>atteType:’考勤方式’,</w:t>
            </w:r>
          </w:p>
          <w:p w14:paraId="07C8FBA2">
            <w:pPr>
              <w:spacing w:after="120" w:line="285" w:lineRule="atLeast"/>
              <w:rPr>
                <w:rFonts w:ascii="仿宋" w:hAnsi="仿宋" w:eastAsia="仿宋" w:cs="仿宋"/>
                <w:szCs w:val="24"/>
              </w:rPr>
            </w:pPr>
            <w:r>
              <w:rPr>
                <w:rFonts w:hint="eastAsia" w:ascii="仿宋" w:hAnsi="仿宋" w:eastAsia="仿宋" w:cs="仿宋"/>
                <w:szCs w:val="24"/>
              </w:rPr>
              <w:t>checkChannel:’ 考勤机通道名称’,</w:t>
            </w:r>
          </w:p>
          <w:p w14:paraId="4186F915">
            <w:pPr>
              <w:spacing w:after="120" w:line="285" w:lineRule="atLeast"/>
              <w:rPr>
                <w:rFonts w:ascii="仿宋" w:hAnsi="仿宋" w:eastAsia="仿宋" w:cs="仿宋"/>
                <w:szCs w:val="24"/>
              </w:rPr>
            </w:pPr>
            <w:r>
              <w:rPr>
                <w:rFonts w:hint="eastAsia" w:ascii="仿宋" w:hAnsi="仿宋" w:eastAsia="仿宋" w:cs="仿宋"/>
                <w:szCs w:val="24"/>
              </w:rPr>
              <w:t>builderType:0工人，1，管理人员</w:t>
            </w:r>
          </w:p>
          <w:p w14:paraId="2B0E0331">
            <w:pPr>
              <w:spacing w:after="120" w:line="285" w:lineRule="atLeast"/>
              <w:rPr>
                <w:rFonts w:ascii="仿宋" w:hAnsi="仿宋" w:eastAsia="仿宋" w:cs="仿宋"/>
                <w:szCs w:val="24"/>
              </w:rPr>
            </w:pPr>
            <w:r>
              <w:rPr>
                <w:rFonts w:hint="eastAsia" w:ascii="仿宋" w:hAnsi="仿宋" w:eastAsia="仿宋" w:cs="仿宋"/>
                <w:szCs w:val="24"/>
              </w:rPr>
              <w:t>}]</w:t>
            </w:r>
          </w:p>
        </w:tc>
      </w:tr>
      <w:tr w14:paraId="24893A86">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619" w:hRule="atLeast"/>
        </w:trPr>
        <w:tc>
          <w:tcPr>
            <w:tcW w:w="1800" w:type="dxa"/>
            <w:shd w:val="clear" w:color="auto" w:fill="F2DBDB"/>
            <w:tcMar>
              <w:top w:w="57" w:type="dxa"/>
              <w:left w:w="57" w:type="dxa"/>
              <w:bottom w:w="57" w:type="dxa"/>
              <w:right w:w="57" w:type="dxa"/>
            </w:tcMar>
            <w:vAlign w:val="center"/>
          </w:tcPr>
          <w:p w14:paraId="6888ED30">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factoryNum</w:t>
            </w:r>
          </w:p>
        </w:tc>
        <w:tc>
          <w:tcPr>
            <w:tcW w:w="744" w:type="dxa"/>
            <w:shd w:val="clear" w:color="auto" w:fill="F2DBDB"/>
            <w:tcMar>
              <w:top w:w="57" w:type="dxa"/>
              <w:left w:w="57" w:type="dxa"/>
              <w:bottom w:w="57" w:type="dxa"/>
              <w:right w:w="57" w:type="dxa"/>
            </w:tcMar>
            <w:vAlign w:val="center"/>
          </w:tcPr>
          <w:p w14:paraId="31DA31EA">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92" w:type="dxa"/>
            <w:shd w:val="clear" w:color="auto" w:fill="F2DBDB"/>
            <w:tcMar>
              <w:top w:w="57" w:type="dxa"/>
              <w:left w:w="57" w:type="dxa"/>
              <w:bottom w:w="57" w:type="dxa"/>
              <w:right w:w="57" w:type="dxa"/>
            </w:tcMar>
            <w:vAlign w:val="center"/>
          </w:tcPr>
          <w:p w14:paraId="21D1189B">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FL32</w:t>
            </w:r>
          </w:p>
        </w:tc>
        <w:tc>
          <w:tcPr>
            <w:tcW w:w="1561" w:type="dxa"/>
            <w:shd w:val="clear" w:color="auto" w:fill="F2DBDB"/>
            <w:tcMar>
              <w:top w:w="57" w:type="dxa"/>
              <w:left w:w="57" w:type="dxa"/>
              <w:bottom w:w="57" w:type="dxa"/>
              <w:right w:w="57" w:type="dxa"/>
            </w:tcMar>
            <w:vAlign w:val="center"/>
          </w:tcPr>
          <w:p w14:paraId="13318656">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考勤机厂家编号</w:t>
            </w:r>
          </w:p>
        </w:tc>
        <w:tc>
          <w:tcPr>
            <w:tcW w:w="4019" w:type="dxa"/>
            <w:shd w:val="clear" w:color="auto" w:fill="F2DBDB"/>
            <w:tcMar>
              <w:top w:w="57" w:type="dxa"/>
              <w:left w:w="57" w:type="dxa"/>
              <w:bottom w:w="57" w:type="dxa"/>
              <w:right w:w="57" w:type="dxa"/>
            </w:tcMar>
            <w:vAlign w:val="center"/>
          </w:tcPr>
          <w:p w14:paraId="5B44D9FC">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平台分配给各个厂商的识别编号，区分考勤机上传厂商</w:t>
            </w:r>
          </w:p>
        </w:tc>
      </w:tr>
      <w:tr w14:paraId="0758A376">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402" w:hRule="atLeast"/>
        </w:trPr>
        <w:tc>
          <w:tcPr>
            <w:tcW w:w="1800" w:type="dxa"/>
            <w:shd w:val="clear" w:color="auto" w:fill="F6F9FB"/>
            <w:tcMar>
              <w:top w:w="57" w:type="dxa"/>
              <w:left w:w="57" w:type="dxa"/>
              <w:bottom w:w="57" w:type="dxa"/>
              <w:right w:w="57" w:type="dxa"/>
            </w:tcMar>
            <w:vAlign w:val="center"/>
          </w:tcPr>
          <w:p w14:paraId="1BFBC269">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timestamp</w:t>
            </w:r>
          </w:p>
        </w:tc>
        <w:tc>
          <w:tcPr>
            <w:tcW w:w="744" w:type="dxa"/>
            <w:shd w:val="clear" w:color="auto" w:fill="F6F9FB"/>
            <w:tcMar>
              <w:top w:w="57" w:type="dxa"/>
              <w:left w:w="57" w:type="dxa"/>
              <w:bottom w:w="57" w:type="dxa"/>
              <w:right w:w="57" w:type="dxa"/>
            </w:tcMar>
            <w:vAlign w:val="center"/>
          </w:tcPr>
          <w:p w14:paraId="714BF6EE">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92" w:type="dxa"/>
            <w:shd w:val="clear" w:color="auto" w:fill="F6F9FB"/>
            <w:tcMar>
              <w:top w:w="57" w:type="dxa"/>
              <w:left w:w="57" w:type="dxa"/>
              <w:bottom w:w="57" w:type="dxa"/>
              <w:right w:w="57" w:type="dxa"/>
            </w:tcMar>
            <w:vAlign w:val="center"/>
          </w:tcPr>
          <w:p w14:paraId="6DA2E272">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FL17</w:t>
            </w:r>
          </w:p>
        </w:tc>
        <w:tc>
          <w:tcPr>
            <w:tcW w:w="1561" w:type="dxa"/>
            <w:shd w:val="clear" w:color="auto" w:fill="F6F9FB"/>
            <w:tcMar>
              <w:top w:w="57" w:type="dxa"/>
              <w:left w:w="57" w:type="dxa"/>
              <w:bottom w:w="57" w:type="dxa"/>
              <w:right w:w="57" w:type="dxa"/>
            </w:tcMar>
            <w:vAlign w:val="center"/>
          </w:tcPr>
          <w:p w14:paraId="4CDA26F3">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时间戳</w:t>
            </w:r>
          </w:p>
        </w:tc>
        <w:tc>
          <w:tcPr>
            <w:tcW w:w="4019" w:type="dxa"/>
            <w:shd w:val="clear" w:color="auto" w:fill="F6F9FB"/>
            <w:tcMar>
              <w:top w:w="57" w:type="dxa"/>
              <w:left w:w="57" w:type="dxa"/>
              <w:bottom w:w="57" w:type="dxa"/>
              <w:right w:w="57" w:type="dxa"/>
            </w:tcMar>
            <w:vAlign w:val="center"/>
          </w:tcPr>
          <w:p w14:paraId="23247FDD">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北京时间精确到毫秒(yyyyMMddHHmmssSSS)</w:t>
            </w:r>
          </w:p>
        </w:tc>
      </w:tr>
      <w:tr w14:paraId="2D52961B">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410" w:hRule="atLeast"/>
        </w:trPr>
        <w:tc>
          <w:tcPr>
            <w:tcW w:w="1800" w:type="dxa"/>
            <w:shd w:val="clear" w:color="auto" w:fill="F6F9FB"/>
            <w:tcMar>
              <w:top w:w="57" w:type="dxa"/>
              <w:left w:w="57" w:type="dxa"/>
              <w:bottom w:w="57" w:type="dxa"/>
              <w:right w:w="57" w:type="dxa"/>
            </w:tcMar>
            <w:vAlign w:val="center"/>
          </w:tcPr>
          <w:p w14:paraId="3A769207">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sign</w:t>
            </w:r>
          </w:p>
        </w:tc>
        <w:tc>
          <w:tcPr>
            <w:tcW w:w="744" w:type="dxa"/>
            <w:shd w:val="clear" w:color="auto" w:fill="F6F9FB"/>
            <w:tcMar>
              <w:top w:w="57" w:type="dxa"/>
              <w:left w:w="57" w:type="dxa"/>
              <w:bottom w:w="57" w:type="dxa"/>
              <w:right w:w="57" w:type="dxa"/>
            </w:tcMar>
            <w:vAlign w:val="center"/>
          </w:tcPr>
          <w:p w14:paraId="2319E157">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92" w:type="dxa"/>
            <w:shd w:val="clear" w:color="auto" w:fill="F6F9FB"/>
            <w:tcMar>
              <w:top w:w="57" w:type="dxa"/>
              <w:left w:w="57" w:type="dxa"/>
              <w:bottom w:w="57" w:type="dxa"/>
              <w:right w:w="57" w:type="dxa"/>
            </w:tcMar>
            <w:vAlign w:val="center"/>
          </w:tcPr>
          <w:p w14:paraId="23906111">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FL32</w:t>
            </w:r>
          </w:p>
        </w:tc>
        <w:tc>
          <w:tcPr>
            <w:tcW w:w="1561" w:type="dxa"/>
            <w:shd w:val="clear" w:color="auto" w:fill="F6F9FB"/>
            <w:tcMar>
              <w:top w:w="57" w:type="dxa"/>
              <w:left w:w="57" w:type="dxa"/>
              <w:bottom w:w="57" w:type="dxa"/>
              <w:right w:w="57" w:type="dxa"/>
            </w:tcMar>
            <w:vAlign w:val="center"/>
          </w:tcPr>
          <w:p w14:paraId="3DEF60AA">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签名</w:t>
            </w:r>
          </w:p>
        </w:tc>
        <w:tc>
          <w:tcPr>
            <w:tcW w:w="4019" w:type="dxa"/>
            <w:shd w:val="clear" w:color="auto" w:fill="F6F9FB"/>
            <w:tcMar>
              <w:top w:w="57" w:type="dxa"/>
              <w:left w:w="57" w:type="dxa"/>
              <w:bottom w:w="57" w:type="dxa"/>
              <w:right w:w="57" w:type="dxa"/>
            </w:tcMar>
            <w:vAlign w:val="center"/>
          </w:tcPr>
          <w:p w14:paraId="4C969D83">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dataList不参与签名</w:t>
            </w:r>
          </w:p>
        </w:tc>
      </w:tr>
    </w:tbl>
    <w:p w14:paraId="0F4303E5">
      <w:pPr>
        <w:spacing w:after="120"/>
        <w:ind w:firstLine="602"/>
        <w:rPr>
          <w:rFonts w:ascii="仿宋" w:hAnsi="仿宋" w:eastAsia="仿宋" w:cs="仿宋"/>
          <w:b/>
          <w:sz w:val="30"/>
          <w:szCs w:val="30"/>
        </w:rPr>
      </w:pPr>
      <w:r>
        <w:rPr>
          <w:rFonts w:hint="eastAsia" w:ascii="仿宋" w:hAnsi="仿宋" w:eastAsia="仿宋" w:cs="仿宋"/>
          <w:b/>
          <w:sz w:val="30"/>
          <w:szCs w:val="30"/>
        </w:rPr>
        <w:t>响应参数</w:t>
      </w:r>
    </w:p>
    <w:tbl>
      <w:tblPr>
        <w:tblStyle w:val="55"/>
        <w:tblW w:w="8283"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108" w:type="dxa"/>
          <w:bottom w:w="0" w:type="dxa"/>
          <w:right w:w="108" w:type="dxa"/>
        </w:tblCellMar>
      </w:tblPr>
      <w:tblGrid>
        <w:gridCol w:w="1601"/>
        <w:gridCol w:w="1187"/>
        <w:gridCol w:w="5495"/>
      </w:tblGrid>
      <w:tr w14:paraId="523051B5">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90" w:hRule="atLeast"/>
          <w:jc w:val="center"/>
        </w:trPr>
        <w:tc>
          <w:tcPr>
            <w:tcW w:w="1601" w:type="dxa"/>
            <w:shd w:val="clear" w:color="auto" w:fill="F6F9FB"/>
            <w:tcMar>
              <w:top w:w="57" w:type="dxa"/>
              <w:left w:w="57" w:type="dxa"/>
              <w:bottom w:w="57" w:type="dxa"/>
              <w:right w:w="57" w:type="dxa"/>
            </w:tcMar>
            <w:vAlign w:val="center"/>
          </w:tcPr>
          <w:p w14:paraId="6C2FE5C1">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参数</w:t>
            </w:r>
          </w:p>
        </w:tc>
        <w:tc>
          <w:tcPr>
            <w:tcW w:w="1187" w:type="dxa"/>
            <w:shd w:val="clear" w:color="auto" w:fill="F6F9FB"/>
            <w:tcMar>
              <w:top w:w="57" w:type="dxa"/>
              <w:left w:w="57" w:type="dxa"/>
              <w:bottom w:w="57" w:type="dxa"/>
              <w:right w:w="57" w:type="dxa"/>
            </w:tcMar>
            <w:vAlign w:val="center"/>
          </w:tcPr>
          <w:p w14:paraId="28926AEB">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限制</w:t>
            </w:r>
          </w:p>
        </w:tc>
        <w:tc>
          <w:tcPr>
            <w:tcW w:w="5495" w:type="dxa"/>
            <w:shd w:val="clear" w:color="auto" w:fill="F6F9FB"/>
            <w:tcMar>
              <w:top w:w="57" w:type="dxa"/>
              <w:left w:w="57" w:type="dxa"/>
              <w:bottom w:w="57" w:type="dxa"/>
              <w:right w:w="57" w:type="dxa"/>
            </w:tcMar>
            <w:vAlign w:val="center"/>
          </w:tcPr>
          <w:p w14:paraId="20D22778">
            <w:pPr>
              <w:spacing w:after="120" w:line="285" w:lineRule="atLeast"/>
              <w:ind w:firstLine="482"/>
              <w:jc w:val="center"/>
              <w:rPr>
                <w:rFonts w:ascii="仿宋" w:hAnsi="仿宋" w:eastAsia="仿宋" w:cs="仿宋"/>
                <w:b/>
                <w:bCs/>
                <w:szCs w:val="24"/>
              </w:rPr>
            </w:pPr>
            <w:r>
              <w:rPr>
                <w:rFonts w:hint="eastAsia" w:ascii="仿宋" w:hAnsi="仿宋" w:eastAsia="仿宋" w:cs="仿宋"/>
                <w:b/>
                <w:bCs/>
                <w:szCs w:val="24"/>
              </w:rPr>
              <w:t>说明</w:t>
            </w:r>
          </w:p>
        </w:tc>
      </w:tr>
      <w:tr w14:paraId="06BC1B93">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601" w:type="dxa"/>
            <w:shd w:val="clear" w:color="auto" w:fill="F6F9FB"/>
            <w:tcMar>
              <w:top w:w="57" w:type="dxa"/>
              <w:left w:w="57" w:type="dxa"/>
              <w:bottom w:w="57" w:type="dxa"/>
              <w:right w:w="57" w:type="dxa"/>
            </w:tcMar>
            <w:vAlign w:val="center"/>
          </w:tcPr>
          <w:p w14:paraId="4C49CACF">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resultCode</w:t>
            </w:r>
          </w:p>
        </w:tc>
        <w:tc>
          <w:tcPr>
            <w:tcW w:w="1187" w:type="dxa"/>
            <w:shd w:val="clear" w:color="auto" w:fill="F6F9FB"/>
            <w:tcMar>
              <w:top w:w="57" w:type="dxa"/>
              <w:left w:w="57" w:type="dxa"/>
              <w:bottom w:w="57" w:type="dxa"/>
              <w:right w:w="57" w:type="dxa"/>
            </w:tcMar>
            <w:vAlign w:val="center"/>
          </w:tcPr>
          <w:p w14:paraId="517D423A">
            <w:pPr>
              <w:spacing w:after="120" w:line="285" w:lineRule="atLeast"/>
              <w:rPr>
                <w:rFonts w:ascii="仿宋" w:hAnsi="仿宋" w:eastAsia="仿宋" w:cs="仿宋"/>
                <w:szCs w:val="24"/>
              </w:rPr>
            </w:pPr>
            <w:r>
              <w:rPr>
                <w:rFonts w:hint="eastAsia" w:ascii="仿宋" w:hAnsi="仿宋" w:eastAsia="仿宋" w:cs="仿宋"/>
                <w:szCs w:val="24"/>
              </w:rPr>
              <w:t>M</w:t>
            </w:r>
          </w:p>
        </w:tc>
        <w:tc>
          <w:tcPr>
            <w:tcW w:w="5495" w:type="dxa"/>
            <w:shd w:val="clear" w:color="auto" w:fill="F6F9FB"/>
            <w:tcMar>
              <w:top w:w="57" w:type="dxa"/>
              <w:left w:w="57" w:type="dxa"/>
              <w:bottom w:w="57" w:type="dxa"/>
              <w:right w:w="57" w:type="dxa"/>
            </w:tcMar>
            <w:vAlign w:val="center"/>
          </w:tcPr>
          <w:p w14:paraId="363262B7">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返回结果码，数字类型。0表示成功；其它表示失败。</w:t>
            </w:r>
          </w:p>
        </w:tc>
      </w:tr>
      <w:tr w14:paraId="76E96A28">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601" w:type="dxa"/>
            <w:shd w:val="clear" w:color="auto" w:fill="F6F9FB"/>
            <w:tcMar>
              <w:top w:w="57" w:type="dxa"/>
              <w:left w:w="57" w:type="dxa"/>
              <w:bottom w:w="57" w:type="dxa"/>
              <w:right w:w="57" w:type="dxa"/>
            </w:tcMar>
            <w:vAlign w:val="center"/>
          </w:tcPr>
          <w:p w14:paraId="4F4406B1">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resultDesc</w:t>
            </w:r>
          </w:p>
        </w:tc>
        <w:tc>
          <w:tcPr>
            <w:tcW w:w="1187" w:type="dxa"/>
            <w:shd w:val="clear" w:color="auto" w:fill="F6F9FB"/>
            <w:tcMar>
              <w:top w:w="57" w:type="dxa"/>
              <w:left w:w="57" w:type="dxa"/>
              <w:bottom w:w="57" w:type="dxa"/>
              <w:right w:w="57" w:type="dxa"/>
            </w:tcMar>
            <w:vAlign w:val="center"/>
          </w:tcPr>
          <w:p w14:paraId="161E87AA">
            <w:pPr>
              <w:spacing w:after="120" w:line="285" w:lineRule="atLeast"/>
              <w:rPr>
                <w:rFonts w:ascii="仿宋" w:hAnsi="仿宋" w:eastAsia="仿宋" w:cs="仿宋"/>
                <w:szCs w:val="24"/>
              </w:rPr>
            </w:pPr>
            <w:r>
              <w:rPr>
                <w:rFonts w:hint="eastAsia" w:ascii="仿宋" w:hAnsi="仿宋" w:eastAsia="仿宋" w:cs="仿宋"/>
                <w:szCs w:val="24"/>
              </w:rPr>
              <w:t>O</w:t>
            </w:r>
          </w:p>
        </w:tc>
        <w:tc>
          <w:tcPr>
            <w:tcW w:w="5495" w:type="dxa"/>
            <w:shd w:val="clear" w:color="auto" w:fill="F6F9FB"/>
            <w:tcMar>
              <w:top w:w="57" w:type="dxa"/>
              <w:left w:w="57" w:type="dxa"/>
              <w:bottom w:w="57" w:type="dxa"/>
              <w:right w:w="57" w:type="dxa"/>
            </w:tcMar>
            <w:vAlign w:val="center"/>
          </w:tcPr>
          <w:p w14:paraId="1ECBD5FE">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返回结果描述</w:t>
            </w:r>
          </w:p>
        </w:tc>
      </w:tr>
    </w:tbl>
    <w:p w14:paraId="3382A40F">
      <w:pPr>
        <w:spacing w:after="120"/>
        <w:ind w:firstLine="600"/>
        <w:rPr>
          <w:rFonts w:ascii="仿宋" w:hAnsi="仿宋" w:eastAsia="仿宋" w:cs="仿宋"/>
          <w:sz w:val="30"/>
          <w:szCs w:val="30"/>
        </w:rPr>
      </w:pPr>
      <w:bookmarkStart w:id="1236" w:name="_Toc529177325"/>
    </w:p>
    <w:p w14:paraId="0C639D73">
      <w:pPr>
        <w:spacing w:after="120"/>
        <w:ind w:firstLine="600"/>
        <w:rPr>
          <w:rFonts w:ascii="仿宋" w:hAnsi="仿宋" w:eastAsia="仿宋" w:cs="仿宋"/>
          <w:sz w:val="30"/>
          <w:szCs w:val="30"/>
        </w:rPr>
      </w:pPr>
      <w:r>
        <w:rPr>
          <w:rFonts w:hint="eastAsia" w:ascii="仿宋" w:hAnsi="仿宋" w:eastAsia="仿宋" w:cs="仿宋"/>
          <w:sz w:val="30"/>
          <w:szCs w:val="30"/>
        </w:rPr>
        <w:t>2.1.6实时上报工人考勤</w:t>
      </w:r>
      <w:bookmarkEnd w:id="1236"/>
    </w:p>
    <w:p w14:paraId="4D23DCAF">
      <w:pPr>
        <w:spacing w:after="120"/>
        <w:ind w:firstLine="602"/>
        <w:rPr>
          <w:rFonts w:ascii="仿宋" w:hAnsi="仿宋" w:eastAsia="仿宋" w:cs="仿宋"/>
          <w:b/>
          <w:sz w:val="30"/>
          <w:szCs w:val="30"/>
        </w:rPr>
      </w:pPr>
      <w:r>
        <w:rPr>
          <w:rFonts w:hint="eastAsia" w:ascii="仿宋" w:hAnsi="仿宋" w:eastAsia="仿宋" w:cs="仿宋"/>
          <w:b/>
          <w:sz w:val="30"/>
          <w:szCs w:val="30"/>
        </w:rPr>
        <w:t>接口说明</w:t>
      </w:r>
    </w:p>
    <w:tbl>
      <w:tblPr>
        <w:tblStyle w:val="55"/>
        <w:tblW w:w="8270"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0" w:type="dxa"/>
          <w:bottom w:w="0" w:type="dxa"/>
          <w:right w:w="0" w:type="dxa"/>
        </w:tblCellMar>
      </w:tblPr>
      <w:tblGrid>
        <w:gridCol w:w="1713"/>
        <w:gridCol w:w="6557"/>
      </w:tblGrid>
      <w:tr w14:paraId="118671BF">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1713" w:type="dxa"/>
            <w:tcMar>
              <w:top w:w="57" w:type="dxa"/>
              <w:left w:w="57" w:type="dxa"/>
              <w:bottom w:w="57" w:type="dxa"/>
              <w:right w:w="57" w:type="dxa"/>
            </w:tcMar>
            <w:vAlign w:val="center"/>
          </w:tcPr>
          <w:p w14:paraId="4C9729D6">
            <w:pPr>
              <w:spacing w:after="120" w:line="285" w:lineRule="atLeast"/>
              <w:ind w:firstLine="0" w:firstLineChars="0"/>
              <w:jc w:val="center"/>
              <w:rPr>
                <w:rFonts w:ascii="仿宋" w:hAnsi="仿宋" w:eastAsia="仿宋" w:cs="仿宋"/>
                <w:szCs w:val="24"/>
              </w:rPr>
            </w:pPr>
            <w:r>
              <w:rPr>
                <w:rFonts w:hint="eastAsia" w:ascii="仿宋" w:hAnsi="仿宋" w:eastAsia="仿宋" w:cs="仿宋"/>
                <w:b/>
                <w:bCs/>
                <w:szCs w:val="24"/>
              </w:rPr>
              <w:t>接口描述</w:t>
            </w:r>
          </w:p>
        </w:tc>
        <w:tc>
          <w:tcPr>
            <w:tcW w:w="6557" w:type="dxa"/>
            <w:tcMar>
              <w:top w:w="57" w:type="dxa"/>
              <w:left w:w="57" w:type="dxa"/>
              <w:bottom w:w="57" w:type="dxa"/>
              <w:right w:w="57" w:type="dxa"/>
            </w:tcMar>
            <w:vAlign w:val="center"/>
          </w:tcPr>
          <w:p w14:paraId="15739398">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施工企业实时上报工人考勤。工人必须存在。</w:t>
            </w:r>
          </w:p>
        </w:tc>
      </w:tr>
      <w:tr w14:paraId="7F84786C">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1713" w:type="dxa"/>
            <w:tcMar>
              <w:top w:w="57" w:type="dxa"/>
              <w:left w:w="57" w:type="dxa"/>
              <w:bottom w:w="57" w:type="dxa"/>
              <w:right w:w="57" w:type="dxa"/>
            </w:tcMar>
            <w:vAlign w:val="center"/>
          </w:tcPr>
          <w:p w14:paraId="3ACB2C7C">
            <w:pPr>
              <w:spacing w:after="120" w:line="285" w:lineRule="atLeast"/>
              <w:ind w:firstLine="0" w:firstLineChars="0"/>
              <w:jc w:val="center"/>
              <w:rPr>
                <w:rFonts w:ascii="仿宋" w:hAnsi="仿宋" w:eastAsia="仿宋" w:cs="仿宋"/>
                <w:szCs w:val="24"/>
              </w:rPr>
            </w:pPr>
            <w:r>
              <w:rPr>
                <w:rFonts w:hint="eastAsia" w:ascii="仿宋" w:hAnsi="仿宋" w:eastAsia="仿宋" w:cs="仿宋"/>
                <w:b/>
                <w:bCs/>
                <w:szCs w:val="24"/>
              </w:rPr>
              <w:t>请求地址</w:t>
            </w:r>
          </w:p>
        </w:tc>
        <w:tc>
          <w:tcPr>
            <w:tcW w:w="6557" w:type="dxa"/>
            <w:tcMar>
              <w:top w:w="57" w:type="dxa"/>
              <w:left w:w="57" w:type="dxa"/>
              <w:bottom w:w="57" w:type="dxa"/>
              <w:right w:w="57" w:type="dxa"/>
            </w:tcMar>
            <w:vAlign w:val="center"/>
          </w:tcPr>
          <w:p w14:paraId="5A79356D">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/attendance/atteApi/save</w:t>
            </w:r>
          </w:p>
        </w:tc>
      </w:tr>
      <w:tr w14:paraId="626025B6">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0" w:type="dxa"/>
            <w:bottom w:w="0" w:type="dxa"/>
            <w:right w:w="0" w:type="dxa"/>
          </w:tblCellMar>
        </w:tblPrEx>
        <w:trPr>
          <w:trHeight w:val="357" w:hRule="atLeast"/>
          <w:jc w:val="center"/>
        </w:trPr>
        <w:tc>
          <w:tcPr>
            <w:tcW w:w="1713" w:type="dxa"/>
            <w:tcMar>
              <w:top w:w="57" w:type="dxa"/>
              <w:left w:w="57" w:type="dxa"/>
              <w:bottom w:w="57" w:type="dxa"/>
              <w:right w:w="57" w:type="dxa"/>
            </w:tcMar>
            <w:vAlign w:val="center"/>
          </w:tcPr>
          <w:p w14:paraId="61F4FAEC">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测试请求地址</w:t>
            </w:r>
          </w:p>
        </w:tc>
        <w:tc>
          <w:tcPr>
            <w:tcW w:w="6557" w:type="dxa"/>
            <w:tcMar>
              <w:top w:w="57" w:type="dxa"/>
              <w:left w:w="57" w:type="dxa"/>
              <w:bottom w:w="57" w:type="dxa"/>
              <w:right w:w="57" w:type="dxa"/>
            </w:tcMar>
            <w:vAlign w:val="center"/>
          </w:tcPr>
          <w:p w14:paraId="56078961">
            <w:pPr>
              <w:spacing w:after="120" w:line="285" w:lineRule="atLeast"/>
              <w:jc w:val="center"/>
              <w:rPr>
                <w:rFonts w:ascii="仿宋" w:hAnsi="仿宋" w:eastAsia="仿宋" w:cs="仿宋"/>
                <w:szCs w:val="24"/>
              </w:rPr>
            </w:pPr>
          </w:p>
        </w:tc>
      </w:tr>
    </w:tbl>
    <w:p w14:paraId="5B728F7B">
      <w:pPr>
        <w:spacing w:after="120"/>
        <w:ind w:firstLine="602"/>
        <w:rPr>
          <w:rFonts w:ascii="仿宋" w:hAnsi="仿宋" w:eastAsia="仿宋" w:cs="仿宋"/>
          <w:b/>
          <w:sz w:val="30"/>
          <w:szCs w:val="30"/>
        </w:rPr>
      </w:pPr>
      <w:r>
        <w:rPr>
          <w:rFonts w:hint="eastAsia" w:ascii="仿宋" w:hAnsi="仿宋" w:eastAsia="仿宋" w:cs="仿宋"/>
          <w:b/>
          <w:sz w:val="30"/>
          <w:szCs w:val="30"/>
        </w:rPr>
        <w:t>请求参数</w:t>
      </w:r>
    </w:p>
    <w:tbl>
      <w:tblPr>
        <w:tblStyle w:val="55"/>
        <w:tblW w:w="8264" w:type="dxa"/>
        <w:tblInd w:w="79" w:type="dxa"/>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17" w:type="dxa"/>
          <w:left w:w="17" w:type="dxa"/>
          <w:bottom w:w="17" w:type="dxa"/>
          <w:right w:w="17" w:type="dxa"/>
        </w:tblCellMar>
      </w:tblPr>
      <w:tblGrid>
        <w:gridCol w:w="1581"/>
        <w:gridCol w:w="682"/>
        <w:gridCol w:w="831"/>
        <w:gridCol w:w="1364"/>
        <w:gridCol w:w="3806"/>
      </w:tblGrid>
      <w:tr w14:paraId="0BB41A14">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290" w:hRule="atLeast"/>
        </w:trPr>
        <w:tc>
          <w:tcPr>
            <w:tcW w:w="1581" w:type="dxa"/>
            <w:shd w:val="clear" w:color="auto" w:fill="F6F9FB"/>
            <w:tcMar>
              <w:top w:w="57" w:type="dxa"/>
              <w:left w:w="57" w:type="dxa"/>
              <w:bottom w:w="57" w:type="dxa"/>
              <w:right w:w="57" w:type="dxa"/>
            </w:tcMar>
            <w:vAlign w:val="center"/>
          </w:tcPr>
          <w:p w14:paraId="59248BD9">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参数</w:t>
            </w:r>
          </w:p>
        </w:tc>
        <w:tc>
          <w:tcPr>
            <w:tcW w:w="682" w:type="dxa"/>
            <w:shd w:val="clear" w:color="auto" w:fill="F6F9FB"/>
            <w:tcMar>
              <w:top w:w="57" w:type="dxa"/>
              <w:left w:w="57" w:type="dxa"/>
              <w:bottom w:w="57" w:type="dxa"/>
              <w:right w:w="57" w:type="dxa"/>
            </w:tcMar>
            <w:vAlign w:val="center"/>
          </w:tcPr>
          <w:p w14:paraId="0B6F3102">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限制</w:t>
            </w:r>
          </w:p>
        </w:tc>
        <w:tc>
          <w:tcPr>
            <w:tcW w:w="831" w:type="dxa"/>
            <w:shd w:val="clear" w:color="auto" w:fill="F6F9FB"/>
            <w:tcMar>
              <w:top w:w="57" w:type="dxa"/>
              <w:left w:w="57" w:type="dxa"/>
              <w:bottom w:w="57" w:type="dxa"/>
              <w:right w:w="57" w:type="dxa"/>
            </w:tcMar>
            <w:vAlign w:val="center"/>
          </w:tcPr>
          <w:p w14:paraId="7B816470">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长度</w:t>
            </w:r>
          </w:p>
        </w:tc>
        <w:tc>
          <w:tcPr>
            <w:tcW w:w="1364" w:type="dxa"/>
            <w:shd w:val="clear" w:color="auto" w:fill="F6F9FB"/>
            <w:tcMar>
              <w:top w:w="57" w:type="dxa"/>
              <w:left w:w="57" w:type="dxa"/>
              <w:bottom w:w="57" w:type="dxa"/>
              <w:right w:w="57" w:type="dxa"/>
            </w:tcMar>
            <w:vAlign w:val="center"/>
          </w:tcPr>
          <w:p w14:paraId="15330C75">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注释</w:t>
            </w:r>
          </w:p>
        </w:tc>
        <w:tc>
          <w:tcPr>
            <w:tcW w:w="3806" w:type="dxa"/>
            <w:shd w:val="clear" w:color="auto" w:fill="F6F9FB"/>
            <w:tcMar>
              <w:top w:w="57" w:type="dxa"/>
              <w:left w:w="57" w:type="dxa"/>
              <w:bottom w:w="57" w:type="dxa"/>
              <w:right w:w="57" w:type="dxa"/>
            </w:tcMar>
            <w:vAlign w:val="center"/>
          </w:tcPr>
          <w:p w14:paraId="79E5B413">
            <w:pPr>
              <w:spacing w:after="120" w:line="285" w:lineRule="atLeast"/>
              <w:ind w:firstLine="482"/>
              <w:jc w:val="center"/>
              <w:rPr>
                <w:rFonts w:ascii="仿宋" w:hAnsi="仿宋" w:eastAsia="仿宋" w:cs="仿宋"/>
                <w:b/>
                <w:bCs/>
                <w:szCs w:val="24"/>
              </w:rPr>
            </w:pPr>
            <w:r>
              <w:rPr>
                <w:rFonts w:hint="eastAsia" w:ascii="仿宋" w:hAnsi="仿宋" w:eastAsia="仿宋" w:cs="仿宋"/>
                <w:b/>
                <w:bCs/>
                <w:szCs w:val="24"/>
              </w:rPr>
              <w:t>备注</w:t>
            </w:r>
          </w:p>
        </w:tc>
      </w:tr>
      <w:tr w14:paraId="49593B2A">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tcMar>
              <w:top w:w="57" w:type="dxa"/>
              <w:left w:w="57" w:type="dxa"/>
              <w:bottom w:w="57" w:type="dxa"/>
              <w:right w:w="57" w:type="dxa"/>
            </w:tcMar>
            <w:vAlign w:val="center"/>
          </w:tcPr>
          <w:p w14:paraId="2A7D66EA">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accessNo</w:t>
            </w:r>
          </w:p>
        </w:tc>
        <w:tc>
          <w:tcPr>
            <w:tcW w:w="682" w:type="dxa"/>
            <w:shd w:val="clear" w:color="auto" w:fill="F6F9FB"/>
            <w:tcMar>
              <w:top w:w="57" w:type="dxa"/>
              <w:left w:w="57" w:type="dxa"/>
              <w:bottom w:w="57" w:type="dxa"/>
              <w:right w:w="57" w:type="dxa"/>
            </w:tcMar>
            <w:vAlign w:val="center"/>
          </w:tcPr>
          <w:p w14:paraId="264D713B">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6F9FB"/>
            <w:tcMar>
              <w:top w:w="57" w:type="dxa"/>
              <w:left w:w="57" w:type="dxa"/>
              <w:bottom w:w="57" w:type="dxa"/>
              <w:right w:w="57" w:type="dxa"/>
            </w:tcMar>
            <w:vAlign w:val="center"/>
          </w:tcPr>
          <w:p w14:paraId="62821D10">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FL32</w:t>
            </w:r>
          </w:p>
        </w:tc>
        <w:tc>
          <w:tcPr>
            <w:tcW w:w="1364" w:type="dxa"/>
            <w:shd w:val="clear" w:color="auto" w:fill="F6F9FB"/>
            <w:tcMar>
              <w:top w:w="57" w:type="dxa"/>
              <w:left w:w="57" w:type="dxa"/>
              <w:bottom w:w="57" w:type="dxa"/>
              <w:right w:w="57" w:type="dxa"/>
            </w:tcMar>
            <w:vAlign w:val="center"/>
          </w:tcPr>
          <w:p w14:paraId="45E8E565">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接入编号</w:t>
            </w:r>
          </w:p>
        </w:tc>
        <w:tc>
          <w:tcPr>
            <w:tcW w:w="3806" w:type="dxa"/>
            <w:shd w:val="clear" w:color="auto" w:fill="F6F9FB"/>
            <w:tcMar>
              <w:top w:w="57" w:type="dxa"/>
              <w:left w:w="57" w:type="dxa"/>
              <w:bottom w:w="57" w:type="dxa"/>
              <w:right w:w="57" w:type="dxa"/>
            </w:tcMar>
            <w:vAlign w:val="center"/>
          </w:tcPr>
          <w:p w14:paraId="45B61005">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“信息平台”为施工企业分配的接入编号</w:t>
            </w:r>
          </w:p>
        </w:tc>
      </w:tr>
      <w:tr w14:paraId="6AF38DBF">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tcMar>
              <w:top w:w="57" w:type="dxa"/>
              <w:left w:w="57" w:type="dxa"/>
              <w:bottom w:w="57" w:type="dxa"/>
              <w:right w:w="57" w:type="dxa"/>
            </w:tcMar>
            <w:vAlign w:val="center"/>
          </w:tcPr>
          <w:p w14:paraId="66BABA96">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builderIdcard</w:t>
            </w:r>
          </w:p>
        </w:tc>
        <w:tc>
          <w:tcPr>
            <w:tcW w:w="682" w:type="dxa"/>
            <w:shd w:val="clear" w:color="auto" w:fill="F6F9FB"/>
            <w:tcMar>
              <w:top w:w="57" w:type="dxa"/>
              <w:left w:w="57" w:type="dxa"/>
              <w:bottom w:w="57" w:type="dxa"/>
              <w:right w:w="57" w:type="dxa"/>
            </w:tcMar>
            <w:vAlign w:val="center"/>
          </w:tcPr>
          <w:p w14:paraId="4E8FC7CF">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6F9FB"/>
            <w:tcMar>
              <w:top w:w="57" w:type="dxa"/>
              <w:left w:w="57" w:type="dxa"/>
              <w:bottom w:w="57" w:type="dxa"/>
              <w:right w:w="57" w:type="dxa"/>
            </w:tcMar>
            <w:vAlign w:val="center"/>
          </w:tcPr>
          <w:p w14:paraId="7E2EF56D">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VL150</w:t>
            </w:r>
          </w:p>
        </w:tc>
        <w:tc>
          <w:tcPr>
            <w:tcW w:w="1364" w:type="dxa"/>
            <w:shd w:val="clear" w:color="auto" w:fill="F6F9FB"/>
            <w:tcMar>
              <w:top w:w="57" w:type="dxa"/>
              <w:left w:w="57" w:type="dxa"/>
              <w:bottom w:w="57" w:type="dxa"/>
              <w:right w:w="57" w:type="dxa"/>
            </w:tcMar>
            <w:vAlign w:val="center"/>
          </w:tcPr>
          <w:p w14:paraId="3C7964CC">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工人身份证号</w:t>
            </w:r>
          </w:p>
        </w:tc>
        <w:tc>
          <w:tcPr>
            <w:tcW w:w="3806" w:type="dxa"/>
            <w:shd w:val="clear" w:color="auto" w:fill="F6F9FB"/>
            <w:tcMar>
              <w:top w:w="57" w:type="dxa"/>
              <w:left w:w="57" w:type="dxa"/>
              <w:bottom w:w="57" w:type="dxa"/>
              <w:right w:w="57" w:type="dxa"/>
            </w:tcMar>
            <w:vAlign w:val="center"/>
          </w:tcPr>
          <w:p w14:paraId="2156ED5D">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检查工人是否存在的依据，使用DES加密</w:t>
            </w:r>
          </w:p>
        </w:tc>
      </w:tr>
      <w:tr w14:paraId="2C07E2B7">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tcMar>
              <w:top w:w="57" w:type="dxa"/>
              <w:left w:w="57" w:type="dxa"/>
              <w:bottom w:w="57" w:type="dxa"/>
              <w:right w:w="57" w:type="dxa"/>
            </w:tcMar>
            <w:vAlign w:val="center"/>
          </w:tcPr>
          <w:p w14:paraId="25005D76">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atteTime</w:t>
            </w:r>
          </w:p>
        </w:tc>
        <w:tc>
          <w:tcPr>
            <w:tcW w:w="682" w:type="dxa"/>
            <w:shd w:val="clear" w:color="auto" w:fill="F6F9FB"/>
            <w:tcMar>
              <w:top w:w="57" w:type="dxa"/>
              <w:left w:w="57" w:type="dxa"/>
              <w:bottom w:w="57" w:type="dxa"/>
              <w:right w:w="57" w:type="dxa"/>
            </w:tcMar>
            <w:vAlign w:val="center"/>
          </w:tcPr>
          <w:p w14:paraId="2E049E01">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6F9FB"/>
            <w:tcMar>
              <w:top w:w="57" w:type="dxa"/>
              <w:left w:w="57" w:type="dxa"/>
              <w:bottom w:w="57" w:type="dxa"/>
              <w:right w:w="57" w:type="dxa"/>
            </w:tcMar>
            <w:vAlign w:val="center"/>
          </w:tcPr>
          <w:p w14:paraId="78C204C3">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FL14</w:t>
            </w:r>
          </w:p>
        </w:tc>
        <w:tc>
          <w:tcPr>
            <w:tcW w:w="1364" w:type="dxa"/>
            <w:shd w:val="clear" w:color="auto" w:fill="F6F9FB"/>
            <w:tcMar>
              <w:top w:w="57" w:type="dxa"/>
              <w:left w:w="57" w:type="dxa"/>
              <w:bottom w:w="57" w:type="dxa"/>
              <w:right w:w="57" w:type="dxa"/>
            </w:tcMar>
            <w:vAlign w:val="center"/>
          </w:tcPr>
          <w:p w14:paraId="2567111B">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考勤时间</w:t>
            </w:r>
          </w:p>
        </w:tc>
        <w:tc>
          <w:tcPr>
            <w:tcW w:w="3806" w:type="dxa"/>
            <w:shd w:val="clear" w:color="auto" w:fill="F6F9FB"/>
            <w:tcMar>
              <w:top w:w="57" w:type="dxa"/>
              <w:left w:w="57" w:type="dxa"/>
              <w:bottom w:w="57" w:type="dxa"/>
              <w:right w:w="57" w:type="dxa"/>
            </w:tcMar>
            <w:vAlign w:val="center"/>
          </w:tcPr>
          <w:p w14:paraId="1E91FC82">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yyyyMMddHHmmss</w:t>
            </w:r>
          </w:p>
        </w:tc>
      </w:tr>
      <w:tr w14:paraId="650E3E10">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tcBorders>
              <w:bottom w:val="single" w:color="548DD4" w:sz="4" w:space="0"/>
            </w:tcBorders>
            <w:shd w:val="clear" w:color="auto" w:fill="F6F9FB"/>
            <w:tcMar>
              <w:top w:w="57" w:type="dxa"/>
              <w:left w:w="57" w:type="dxa"/>
              <w:bottom w:w="57" w:type="dxa"/>
              <w:right w:w="57" w:type="dxa"/>
            </w:tcMar>
            <w:vAlign w:val="center"/>
          </w:tcPr>
          <w:p w14:paraId="2252E46B">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atteImage</w:t>
            </w:r>
          </w:p>
        </w:tc>
        <w:tc>
          <w:tcPr>
            <w:tcW w:w="682" w:type="dxa"/>
            <w:tcBorders>
              <w:bottom w:val="single" w:color="548DD4" w:sz="4" w:space="0"/>
            </w:tcBorders>
            <w:shd w:val="clear" w:color="auto" w:fill="F6F9FB"/>
            <w:tcMar>
              <w:top w:w="57" w:type="dxa"/>
              <w:left w:w="57" w:type="dxa"/>
              <w:bottom w:w="57" w:type="dxa"/>
              <w:right w:w="57" w:type="dxa"/>
            </w:tcMar>
            <w:vAlign w:val="center"/>
          </w:tcPr>
          <w:p w14:paraId="67065E85">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O</w:t>
            </w:r>
          </w:p>
        </w:tc>
        <w:tc>
          <w:tcPr>
            <w:tcW w:w="831" w:type="dxa"/>
            <w:tcBorders>
              <w:bottom w:val="single" w:color="548DD4" w:sz="4" w:space="0"/>
            </w:tcBorders>
            <w:shd w:val="clear" w:color="auto" w:fill="F6F9FB"/>
            <w:tcMar>
              <w:top w:w="57" w:type="dxa"/>
              <w:left w:w="57" w:type="dxa"/>
              <w:bottom w:w="57" w:type="dxa"/>
              <w:right w:w="57" w:type="dxa"/>
            </w:tcMar>
            <w:vAlign w:val="center"/>
          </w:tcPr>
          <w:p w14:paraId="40A33D8F">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NL</w:t>
            </w:r>
          </w:p>
        </w:tc>
        <w:tc>
          <w:tcPr>
            <w:tcW w:w="1364" w:type="dxa"/>
            <w:tcBorders>
              <w:bottom w:val="single" w:color="548DD4" w:sz="4" w:space="0"/>
            </w:tcBorders>
            <w:shd w:val="clear" w:color="auto" w:fill="F6F9FB"/>
            <w:tcMar>
              <w:top w:w="57" w:type="dxa"/>
              <w:left w:w="57" w:type="dxa"/>
              <w:bottom w:w="57" w:type="dxa"/>
              <w:right w:w="57" w:type="dxa"/>
            </w:tcMar>
            <w:vAlign w:val="center"/>
          </w:tcPr>
          <w:p w14:paraId="64566F4F">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考勤图片</w:t>
            </w:r>
          </w:p>
        </w:tc>
        <w:tc>
          <w:tcPr>
            <w:tcW w:w="3806" w:type="dxa"/>
            <w:tcBorders>
              <w:bottom w:val="single" w:color="548DD4" w:sz="4" w:space="0"/>
            </w:tcBorders>
            <w:shd w:val="clear" w:color="auto" w:fill="F6F9FB"/>
            <w:tcMar>
              <w:top w:w="57" w:type="dxa"/>
              <w:left w:w="57" w:type="dxa"/>
              <w:bottom w:w="57" w:type="dxa"/>
              <w:right w:w="57" w:type="dxa"/>
            </w:tcMar>
            <w:vAlign w:val="center"/>
          </w:tcPr>
          <w:p w14:paraId="2DF6FDF2">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取图片的二进制值，转成base64编码。不参与签名</w:t>
            </w:r>
          </w:p>
        </w:tc>
      </w:tr>
      <w:tr w14:paraId="24A99E7E">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2DBDB"/>
            <w:tcMar>
              <w:top w:w="57" w:type="dxa"/>
              <w:left w:w="57" w:type="dxa"/>
              <w:bottom w:w="57" w:type="dxa"/>
              <w:right w:w="57" w:type="dxa"/>
            </w:tcMar>
            <w:vAlign w:val="center"/>
          </w:tcPr>
          <w:p w14:paraId="6E63B83C">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atteType</w:t>
            </w:r>
          </w:p>
        </w:tc>
        <w:tc>
          <w:tcPr>
            <w:tcW w:w="682" w:type="dxa"/>
            <w:shd w:val="clear" w:color="auto" w:fill="F2DBDB"/>
            <w:tcMar>
              <w:top w:w="57" w:type="dxa"/>
              <w:left w:w="57" w:type="dxa"/>
              <w:bottom w:w="57" w:type="dxa"/>
              <w:right w:w="57" w:type="dxa"/>
            </w:tcMar>
            <w:vAlign w:val="center"/>
          </w:tcPr>
          <w:p w14:paraId="6652FC99">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2DBDB"/>
            <w:tcMar>
              <w:top w:w="57" w:type="dxa"/>
              <w:left w:w="57" w:type="dxa"/>
              <w:bottom w:w="57" w:type="dxa"/>
              <w:right w:w="57" w:type="dxa"/>
            </w:tcMar>
            <w:vAlign w:val="center"/>
          </w:tcPr>
          <w:p w14:paraId="3B7BED23">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FL4</w:t>
            </w:r>
          </w:p>
        </w:tc>
        <w:tc>
          <w:tcPr>
            <w:tcW w:w="1364" w:type="dxa"/>
            <w:shd w:val="clear" w:color="auto" w:fill="F2DBDB"/>
            <w:tcMar>
              <w:top w:w="57" w:type="dxa"/>
              <w:left w:w="57" w:type="dxa"/>
              <w:bottom w:w="57" w:type="dxa"/>
              <w:right w:w="57" w:type="dxa"/>
            </w:tcMar>
            <w:vAlign w:val="center"/>
          </w:tcPr>
          <w:p w14:paraId="27B663BE">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考勤方式</w:t>
            </w:r>
          </w:p>
        </w:tc>
        <w:tc>
          <w:tcPr>
            <w:tcW w:w="3806" w:type="dxa"/>
            <w:shd w:val="clear" w:color="auto" w:fill="F2DBDB"/>
            <w:tcMar>
              <w:top w:w="57" w:type="dxa"/>
              <w:left w:w="57" w:type="dxa"/>
              <w:bottom w:w="57" w:type="dxa"/>
              <w:right w:w="57" w:type="dxa"/>
            </w:tcMar>
            <w:vAlign w:val="center"/>
          </w:tcPr>
          <w:p w14:paraId="134D0D01">
            <w:pPr>
              <w:spacing w:after="120" w:line="285" w:lineRule="atLeast"/>
              <w:jc w:val="left"/>
              <w:rPr>
                <w:rFonts w:ascii="仿宋" w:hAnsi="仿宋" w:eastAsia="仿宋" w:cs="仿宋"/>
                <w:szCs w:val="24"/>
              </w:rPr>
            </w:pPr>
            <w:r>
              <w:rPr>
                <w:rFonts w:hint="eastAsia" w:ascii="仿宋" w:hAnsi="仿宋" w:eastAsia="仿宋" w:cs="仿宋"/>
                <w:szCs w:val="24"/>
              </w:rPr>
              <w:t>0：ic卡（默认）</w:t>
            </w:r>
          </w:p>
          <w:p w14:paraId="17209918">
            <w:pPr>
              <w:spacing w:after="120" w:line="285" w:lineRule="atLeast"/>
              <w:jc w:val="left"/>
              <w:rPr>
                <w:rFonts w:ascii="仿宋" w:hAnsi="仿宋" w:eastAsia="仿宋" w:cs="仿宋"/>
                <w:szCs w:val="24"/>
              </w:rPr>
            </w:pPr>
            <w:r>
              <w:rPr>
                <w:rFonts w:hint="eastAsia" w:ascii="仿宋" w:hAnsi="仿宋" w:eastAsia="仿宋" w:cs="仿宋"/>
                <w:szCs w:val="24"/>
              </w:rPr>
              <w:t>1:指纹，</w:t>
            </w:r>
          </w:p>
          <w:p w14:paraId="3FB63B9A">
            <w:pPr>
              <w:spacing w:after="120" w:line="285" w:lineRule="atLeast"/>
              <w:jc w:val="left"/>
              <w:rPr>
                <w:rFonts w:ascii="仿宋" w:hAnsi="仿宋" w:eastAsia="仿宋" w:cs="仿宋"/>
                <w:szCs w:val="24"/>
              </w:rPr>
            </w:pPr>
            <w:r>
              <w:rPr>
                <w:rFonts w:hint="eastAsia" w:ascii="仿宋" w:hAnsi="仿宋" w:eastAsia="仿宋" w:cs="仿宋"/>
                <w:szCs w:val="24"/>
              </w:rPr>
              <w:t>2:人脸</w:t>
            </w:r>
          </w:p>
          <w:p w14:paraId="445D614F">
            <w:pPr>
              <w:spacing w:after="120" w:line="285" w:lineRule="atLeast"/>
              <w:jc w:val="left"/>
              <w:rPr>
                <w:rFonts w:ascii="仿宋" w:hAnsi="仿宋" w:eastAsia="仿宋" w:cs="仿宋"/>
                <w:szCs w:val="24"/>
              </w:rPr>
            </w:pPr>
            <w:r>
              <w:rPr>
                <w:rFonts w:hint="eastAsia" w:ascii="仿宋" w:hAnsi="仿宋" w:eastAsia="仿宋" w:cs="仿宋"/>
                <w:szCs w:val="24"/>
              </w:rPr>
              <w:t>3:虹膜:</w:t>
            </w:r>
          </w:p>
          <w:p w14:paraId="0926C75D">
            <w:pPr>
              <w:spacing w:after="120" w:line="285" w:lineRule="atLeast"/>
              <w:jc w:val="left"/>
              <w:rPr>
                <w:rFonts w:ascii="仿宋" w:hAnsi="仿宋" w:eastAsia="仿宋" w:cs="仿宋"/>
                <w:szCs w:val="24"/>
              </w:rPr>
            </w:pPr>
            <w:r>
              <w:rPr>
                <w:rFonts w:hint="eastAsia" w:ascii="仿宋" w:hAnsi="仿宋" w:eastAsia="仿宋" w:cs="仿宋"/>
                <w:szCs w:val="24"/>
              </w:rPr>
              <w:t>4:声纹</w:t>
            </w:r>
          </w:p>
          <w:p w14:paraId="3CB07B4D">
            <w:pPr>
              <w:spacing w:after="120" w:line="285" w:lineRule="atLeast"/>
              <w:jc w:val="left"/>
              <w:rPr>
                <w:rFonts w:ascii="仿宋" w:hAnsi="仿宋" w:eastAsia="仿宋" w:cs="仿宋"/>
                <w:szCs w:val="24"/>
              </w:rPr>
            </w:pPr>
            <w:r>
              <w:rPr>
                <w:rFonts w:hint="eastAsia" w:ascii="仿宋" w:hAnsi="仿宋" w:eastAsia="仿宋" w:cs="仿宋"/>
                <w:szCs w:val="24"/>
              </w:rPr>
              <w:t>5:指静脉</w:t>
            </w:r>
          </w:p>
        </w:tc>
      </w:tr>
      <w:tr w14:paraId="06A2D7C8">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2DBDB"/>
            <w:tcMar>
              <w:top w:w="57" w:type="dxa"/>
              <w:left w:w="57" w:type="dxa"/>
              <w:bottom w:w="57" w:type="dxa"/>
              <w:right w:w="57" w:type="dxa"/>
            </w:tcMar>
            <w:vAlign w:val="center"/>
          </w:tcPr>
          <w:p w14:paraId="2F940459">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checkChannel</w:t>
            </w:r>
          </w:p>
        </w:tc>
        <w:tc>
          <w:tcPr>
            <w:tcW w:w="682" w:type="dxa"/>
            <w:shd w:val="clear" w:color="auto" w:fill="F2DBDB"/>
            <w:tcMar>
              <w:top w:w="57" w:type="dxa"/>
              <w:left w:w="57" w:type="dxa"/>
              <w:bottom w:w="57" w:type="dxa"/>
              <w:right w:w="57" w:type="dxa"/>
            </w:tcMar>
            <w:vAlign w:val="center"/>
          </w:tcPr>
          <w:p w14:paraId="2E391DE1">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2DBDB"/>
            <w:tcMar>
              <w:top w:w="57" w:type="dxa"/>
              <w:left w:w="57" w:type="dxa"/>
              <w:bottom w:w="57" w:type="dxa"/>
              <w:right w:w="57" w:type="dxa"/>
            </w:tcMar>
            <w:vAlign w:val="center"/>
          </w:tcPr>
          <w:p w14:paraId="2C55375B">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VL120</w:t>
            </w:r>
          </w:p>
        </w:tc>
        <w:tc>
          <w:tcPr>
            <w:tcW w:w="1364" w:type="dxa"/>
            <w:shd w:val="clear" w:color="auto" w:fill="F2DBDB"/>
            <w:tcMar>
              <w:top w:w="57" w:type="dxa"/>
              <w:left w:w="57" w:type="dxa"/>
              <w:bottom w:w="57" w:type="dxa"/>
              <w:right w:w="57" w:type="dxa"/>
            </w:tcMar>
            <w:vAlign w:val="center"/>
          </w:tcPr>
          <w:p w14:paraId="790800FB">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考勤通道名称</w:t>
            </w:r>
          </w:p>
        </w:tc>
        <w:tc>
          <w:tcPr>
            <w:tcW w:w="3806" w:type="dxa"/>
            <w:shd w:val="clear" w:color="auto" w:fill="F2DBDB"/>
            <w:tcMar>
              <w:top w:w="57" w:type="dxa"/>
              <w:left w:w="57" w:type="dxa"/>
              <w:bottom w:w="57" w:type="dxa"/>
              <w:right w:w="57" w:type="dxa"/>
            </w:tcMar>
            <w:vAlign w:val="center"/>
          </w:tcPr>
          <w:p w14:paraId="2D43D5FE">
            <w:pPr>
              <w:spacing w:after="120" w:line="285" w:lineRule="atLeast"/>
              <w:ind w:firstLine="0" w:firstLineChars="0"/>
              <w:jc w:val="left"/>
              <w:rPr>
                <w:rFonts w:ascii="仿宋" w:hAnsi="仿宋" w:eastAsia="仿宋" w:cs="仿宋"/>
                <w:szCs w:val="24"/>
              </w:rPr>
            </w:pPr>
            <w:r>
              <w:rPr>
                <w:rFonts w:hint="eastAsia" w:ascii="仿宋" w:hAnsi="仿宋" w:eastAsia="仿宋" w:cs="仿宋"/>
                <w:szCs w:val="24"/>
              </w:rPr>
              <w:t>如有多个考勤机、闸机，上传其考勤通道名称（1号，2号，3号…）</w:t>
            </w:r>
          </w:p>
        </w:tc>
      </w:tr>
      <w:tr w14:paraId="32C665E4">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2DBDB"/>
            <w:tcMar>
              <w:top w:w="57" w:type="dxa"/>
              <w:left w:w="57" w:type="dxa"/>
              <w:bottom w:w="57" w:type="dxa"/>
              <w:right w:w="57" w:type="dxa"/>
            </w:tcMar>
            <w:vAlign w:val="center"/>
          </w:tcPr>
          <w:p w14:paraId="309DB8E5">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checkType</w:t>
            </w:r>
          </w:p>
        </w:tc>
        <w:tc>
          <w:tcPr>
            <w:tcW w:w="682" w:type="dxa"/>
            <w:shd w:val="clear" w:color="auto" w:fill="F2DBDB"/>
            <w:tcMar>
              <w:top w:w="57" w:type="dxa"/>
              <w:left w:w="57" w:type="dxa"/>
              <w:bottom w:w="57" w:type="dxa"/>
              <w:right w:w="57" w:type="dxa"/>
            </w:tcMar>
            <w:vAlign w:val="center"/>
          </w:tcPr>
          <w:p w14:paraId="211A7817">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2DBDB"/>
            <w:tcMar>
              <w:top w:w="57" w:type="dxa"/>
              <w:left w:w="57" w:type="dxa"/>
              <w:bottom w:w="57" w:type="dxa"/>
              <w:right w:w="57" w:type="dxa"/>
            </w:tcMar>
            <w:vAlign w:val="center"/>
          </w:tcPr>
          <w:p w14:paraId="78AB488E">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FL1</w:t>
            </w:r>
          </w:p>
        </w:tc>
        <w:tc>
          <w:tcPr>
            <w:tcW w:w="1364" w:type="dxa"/>
            <w:shd w:val="clear" w:color="auto" w:fill="F2DBDB"/>
            <w:tcMar>
              <w:top w:w="57" w:type="dxa"/>
              <w:left w:w="57" w:type="dxa"/>
              <w:bottom w:w="57" w:type="dxa"/>
              <w:right w:w="57" w:type="dxa"/>
            </w:tcMar>
            <w:vAlign w:val="center"/>
          </w:tcPr>
          <w:p w14:paraId="2B8C194B">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打卡类型</w:t>
            </w:r>
          </w:p>
        </w:tc>
        <w:tc>
          <w:tcPr>
            <w:tcW w:w="3806" w:type="dxa"/>
            <w:shd w:val="clear" w:color="auto" w:fill="F2DBDB"/>
            <w:tcMar>
              <w:top w:w="57" w:type="dxa"/>
              <w:left w:w="57" w:type="dxa"/>
              <w:bottom w:w="57" w:type="dxa"/>
              <w:right w:w="57" w:type="dxa"/>
            </w:tcMar>
            <w:vAlign w:val="center"/>
          </w:tcPr>
          <w:p w14:paraId="4F00ED47">
            <w:pPr>
              <w:spacing w:after="120" w:line="285" w:lineRule="atLeast"/>
              <w:jc w:val="left"/>
              <w:rPr>
                <w:rFonts w:ascii="仿宋" w:hAnsi="仿宋" w:eastAsia="仿宋" w:cs="仿宋"/>
                <w:szCs w:val="24"/>
              </w:rPr>
            </w:pPr>
            <w:r>
              <w:rPr>
                <w:rFonts w:hint="eastAsia" w:ascii="仿宋" w:hAnsi="仿宋" w:eastAsia="仿宋" w:cs="仿宋"/>
                <w:szCs w:val="24"/>
              </w:rPr>
              <w:t>1=入场,</w:t>
            </w:r>
          </w:p>
          <w:p w14:paraId="12C9E31F">
            <w:pPr>
              <w:spacing w:after="120" w:line="285" w:lineRule="atLeast"/>
              <w:jc w:val="left"/>
              <w:rPr>
                <w:rFonts w:ascii="仿宋" w:hAnsi="仿宋" w:eastAsia="仿宋" w:cs="仿宋"/>
                <w:szCs w:val="24"/>
              </w:rPr>
            </w:pPr>
            <w:r>
              <w:rPr>
                <w:rFonts w:hint="eastAsia" w:ascii="仿宋" w:hAnsi="仿宋" w:eastAsia="仿宋" w:cs="仿宋"/>
                <w:szCs w:val="24"/>
              </w:rPr>
              <w:t>2=出场</w:t>
            </w:r>
          </w:p>
        </w:tc>
      </w:tr>
      <w:tr w14:paraId="46ECC578">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2DBDB"/>
            <w:tcMar>
              <w:top w:w="57" w:type="dxa"/>
              <w:left w:w="57" w:type="dxa"/>
              <w:bottom w:w="57" w:type="dxa"/>
              <w:right w:w="57" w:type="dxa"/>
            </w:tcMar>
            <w:vAlign w:val="center"/>
          </w:tcPr>
          <w:p w14:paraId="6FCE7BF1">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builderType</w:t>
            </w:r>
          </w:p>
        </w:tc>
        <w:tc>
          <w:tcPr>
            <w:tcW w:w="682" w:type="dxa"/>
            <w:shd w:val="clear" w:color="auto" w:fill="F2DBDB"/>
            <w:tcMar>
              <w:top w:w="57" w:type="dxa"/>
              <w:left w:w="57" w:type="dxa"/>
              <w:bottom w:w="57" w:type="dxa"/>
              <w:right w:w="57" w:type="dxa"/>
            </w:tcMar>
            <w:vAlign w:val="center"/>
          </w:tcPr>
          <w:p w14:paraId="7B9C5331">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2DBDB"/>
            <w:tcMar>
              <w:top w:w="57" w:type="dxa"/>
              <w:left w:w="57" w:type="dxa"/>
              <w:bottom w:w="57" w:type="dxa"/>
              <w:right w:w="57" w:type="dxa"/>
            </w:tcMar>
            <w:vAlign w:val="center"/>
          </w:tcPr>
          <w:p w14:paraId="0CCD1590">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FL1</w:t>
            </w:r>
          </w:p>
        </w:tc>
        <w:tc>
          <w:tcPr>
            <w:tcW w:w="1364" w:type="dxa"/>
            <w:shd w:val="clear" w:color="auto" w:fill="F2DBDB"/>
            <w:tcMar>
              <w:top w:w="57" w:type="dxa"/>
              <w:left w:w="57" w:type="dxa"/>
              <w:bottom w:w="57" w:type="dxa"/>
              <w:right w:w="57" w:type="dxa"/>
            </w:tcMar>
            <w:vAlign w:val="center"/>
          </w:tcPr>
          <w:p w14:paraId="08D894BC">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人员类型</w:t>
            </w:r>
          </w:p>
        </w:tc>
        <w:tc>
          <w:tcPr>
            <w:tcW w:w="3806" w:type="dxa"/>
            <w:shd w:val="clear" w:color="auto" w:fill="F2DBDB"/>
            <w:tcMar>
              <w:top w:w="57" w:type="dxa"/>
              <w:left w:w="57" w:type="dxa"/>
              <w:bottom w:w="57" w:type="dxa"/>
              <w:right w:w="57" w:type="dxa"/>
            </w:tcMar>
            <w:vAlign w:val="center"/>
          </w:tcPr>
          <w:p w14:paraId="1B132182">
            <w:pPr>
              <w:spacing w:after="120" w:line="285" w:lineRule="atLeast"/>
              <w:jc w:val="left"/>
              <w:rPr>
                <w:rFonts w:ascii="仿宋" w:hAnsi="仿宋" w:eastAsia="仿宋" w:cs="仿宋"/>
                <w:szCs w:val="24"/>
              </w:rPr>
            </w:pPr>
            <w:r>
              <w:rPr>
                <w:rFonts w:hint="eastAsia" w:ascii="仿宋" w:hAnsi="仿宋" w:eastAsia="仿宋" w:cs="仿宋"/>
                <w:szCs w:val="24"/>
              </w:rPr>
              <w:t>0=工人</w:t>
            </w:r>
          </w:p>
          <w:p w14:paraId="20115A86">
            <w:pPr>
              <w:spacing w:after="120" w:line="285" w:lineRule="atLeast"/>
              <w:jc w:val="left"/>
              <w:rPr>
                <w:rFonts w:ascii="仿宋" w:hAnsi="仿宋" w:eastAsia="仿宋" w:cs="仿宋"/>
                <w:szCs w:val="24"/>
              </w:rPr>
            </w:pPr>
            <w:r>
              <w:rPr>
                <w:rFonts w:hint="eastAsia" w:ascii="仿宋" w:hAnsi="仿宋" w:eastAsia="仿宋" w:cs="仿宋"/>
                <w:szCs w:val="24"/>
              </w:rPr>
              <w:t>1=管理人员（项目经理，总监理工程师，专业监理工程师，劳务员，安全员等项目部人员）</w:t>
            </w:r>
          </w:p>
        </w:tc>
      </w:tr>
      <w:tr w14:paraId="56D13530">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2DBDB"/>
            <w:tcMar>
              <w:top w:w="57" w:type="dxa"/>
              <w:left w:w="57" w:type="dxa"/>
              <w:bottom w:w="57" w:type="dxa"/>
              <w:right w:w="57" w:type="dxa"/>
            </w:tcMar>
            <w:vAlign w:val="center"/>
          </w:tcPr>
          <w:p w14:paraId="4738CA4F">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factoryNum</w:t>
            </w:r>
          </w:p>
        </w:tc>
        <w:tc>
          <w:tcPr>
            <w:tcW w:w="682" w:type="dxa"/>
            <w:shd w:val="clear" w:color="auto" w:fill="F2DBDB"/>
            <w:tcMar>
              <w:top w:w="57" w:type="dxa"/>
              <w:left w:w="57" w:type="dxa"/>
              <w:bottom w:w="57" w:type="dxa"/>
              <w:right w:w="57" w:type="dxa"/>
            </w:tcMar>
            <w:vAlign w:val="center"/>
          </w:tcPr>
          <w:p w14:paraId="7612D85A">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2DBDB"/>
            <w:tcMar>
              <w:top w:w="57" w:type="dxa"/>
              <w:left w:w="57" w:type="dxa"/>
              <w:bottom w:w="57" w:type="dxa"/>
              <w:right w:w="57" w:type="dxa"/>
            </w:tcMar>
            <w:vAlign w:val="center"/>
          </w:tcPr>
          <w:p w14:paraId="242E1F82">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FL32</w:t>
            </w:r>
          </w:p>
        </w:tc>
        <w:tc>
          <w:tcPr>
            <w:tcW w:w="1364" w:type="dxa"/>
            <w:shd w:val="clear" w:color="auto" w:fill="F2DBDB"/>
            <w:tcMar>
              <w:top w:w="57" w:type="dxa"/>
              <w:left w:w="57" w:type="dxa"/>
              <w:bottom w:w="57" w:type="dxa"/>
              <w:right w:w="57" w:type="dxa"/>
            </w:tcMar>
            <w:vAlign w:val="center"/>
          </w:tcPr>
          <w:p w14:paraId="4640EC8B">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考勤机厂家编号</w:t>
            </w:r>
          </w:p>
        </w:tc>
        <w:tc>
          <w:tcPr>
            <w:tcW w:w="3806" w:type="dxa"/>
            <w:shd w:val="clear" w:color="auto" w:fill="F2DBDB"/>
            <w:tcMar>
              <w:top w:w="57" w:type="dxa"/>
              <w:left w:w="57" w:type="dxa"/>
              <w:bottom w:w="57" w:type="dxa"/>
              <w:right w:w="57" w:type="dxa"/>
            </w:tcMar>
            <w:vAlign w:val="center"/>
          </w:tcPr>
          <w:p w14:paraId="2BAE45E4">
            <w:pPr>
              <w:spacing w:after="120" w:line="285" w:lineRule="atLeast"/>
              <w:ind w:firstLine="0" w:firstLineChars="0"/>
              <w:jc w:val="left"/>
              <w:rPr>
                <w:rFonts w:ascii="仿宋" w:hAnsi="仿宋" w:eastAsia="仿宋" w:cs="仿宋"/>
                <w:szCs w:val="24"/>
              </w:rPr>
            </w:pPr>
            <w:r>
              <w:rPr>
                <w:rFonts w:hint="eastAsia" w:ascii="仿宋" w:hAnsi="仿宋" w:eastAsia="仿宋" w:cs="仿宋"/>
                <w:szCs w:val="24"/>
              </w:rPr>
              <w:t>平台分配给各个厂商的识别编号，区分考勤机上传厂商</w:t>
            </w:r>
          </w:p>
        </w:tc>
      </w:tr>
      <w:tr w14:paraId="1EE60EA7">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tcMar>
              <w:top w:w="57" w:type="dxa"/>
              <w:left w:w="57" w:type="dxa"/>
              <w:bottom w:w="57" w:type="dxa"/>
              <w:right w:w="57" w:type="dxa"/>
            </w:tcMar>
            <w:vAlign w:val="center"/>
          </w:tcPr>
          <w:p w14:paraId="564E799C">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timestamp</w:t>
            </w:r>
          </w:p>
        </w:tc>
        <w:tc>
          <w:tcPr>
            <w:tcW w:w="682" w:type="dxa"/>
            <w:shd w:val="clear" w:color="auto" w:fill="F6F9FB"/>
            <w:tcMar>
              <w:top w:w="57" w:type="dxa"/>
              <w:left w:w="57" w:type="dxa"/>
              <w:bottom w:w="57" w:type="dxa"/>
              <w:right w:w="57" w:type="dxa"/>
            </w:tcMar>
            <w:vAlign w:val="center"/>
          </w:tcPr>
          <w:p w14:paraId="4C6FB287">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6F9FB"/>
            <w:tcMar>
              <w:top w:w="57" w:type="dxa"/>
              <w:left w:w="57" w:type="dxa"/>
              <w:bottom w:w="57" w:type="dxa"/>
              <w:right w:w="57" w:type="dxa"/>
            </w:tcMar>
            <w:vAlign w:val="center"/>
          </w:tcPr>
          <w:p w14:paraId="7ECBE29A">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FL17</w:t>
            </w:r>
          </w:p>
        </w:tc>
        <w:tc>
          <w:tcPr>
            <w:tcW w:w="1364" w:type="dxa"/>
            <w:shd w:val="clear" w:color="auto" w:fill="F6F9FB"/>
            <w:tcMar>
              <w:top w:w="57" w:type="dxa"/>
              <w:left w:w="57" w:type="dxa"/>
              <w:bottom w:w="57" w:type="dxa"/>
              <w:right w:w="57" w:type="dxa"/>
            </w:tcMar>
            <w:vAlign w:val="center"/>
          </w:tcPr>
          <w:p w14:paraId="185C62D2">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时间戳</w:t>
            </w:r>
          </w:p>
        </w:tc>
        <w:tc>
          <w:tcPr>
            <w:tcW w:w="3806" w:type="dxa"/>
            <w:shd w:val="clear" w:color="auto" w:fill="F6F9FB"/>
            <w:tcMar>
              <w:top w:w="57" w:type="dxa"/>
              <w:left w:w="57" w:type="dxa"/>
              <w:bottom w:w="57" w:type="dxa"/>
              <w:right w:w="57" w:type="dxa"/>
            </w:tcMar>
            <w:vAlign w:val="center"/>
          </w:tcPr>
          <w:p w14:paraId="2A275D4D">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北京时间精确到毫秒(yyyyMMddHHmmssSSS)</w:t>
            </w:r>
          </w:p>
        </w:tc>
      </w:tr>
      <w:tr w14:paraId="0199F8E5">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17" w:type="dxa"/>
            <w:left w:w="17" w:type="dxa"/>
            <w:bottom w:w="17" w:type="dxa"/>
            <w:right w:w="17" w:type="dxa"/>
          </w:tblCellMar>
        </w:tblPrEx>
        <w:trPr>
          <w:trHeight w:val="319" w:hRule="atLeast"/>
        </w:trPr>
        <w:tc>
          <w:tcPr>
            <w:tcW w:w="1581" w:type="dxa"/>
            <w:shd w:val="clear" w:color="auto" w:fill="F6F9FB"/>
            <w:tcMar>
              <w:top w:w="57" w:type="dxa"/>
              <w:left w:w="57" w:type="dxa"/>
              <w:bottom w:w="57" w:type="dxa"/>
              <w:right w:w="57" w:type="dxa"/>
            </w:tcMar>
            <w:vAlign w:val="center"/>
          </w:tcPr>
          <w:p w14:paraId="2E48FC9C">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sign</w:t>
            </w:r>
          </w:p>
        </w:tc>
        <w:tc>
          <w:tcPr>
            <w:tcW w:w="682" w:type="dxa"/>
            <w:shd w:val="clear" w:color="auto" w:fill="F6F9FB"/>
            <w:tcMar>
              <w:top w:w="57" w:type="dxa"/>
              <w:left w:w="57" w:type="dxa"/>
              <w:bottom w:w="57" w:type="dxa"/>
              <w:right w:w="57" w:type="dxa"/>
            </w:tcMar>
            <w:vAlign w:val="center"/>
          </w:tcPr>
          <w:p w14:paraId="7A320E04">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M</w:t>
            </w:r>
          </w:p>
        </w:tc>
        <w:tc>
          <w:tcPr>
            <w:tcW w:w="831" w:type="dxa"/>
            <w:shd w:val="clear" w:color="auto" w:fill="F6F9FB"/>
            <w:tcMar>
              <w:top w:w="57" w:type="dxa"/>
              <w:left w:w="57" w:type="dxa"/>
              <w:bottom w:w="57" w:type="dxa"/>
              <w:right w:w="57" w:type="dxa"/>
            </w:tcMar>
            <w:vAlign w:val="center"/>
          </w:tcPr>
          <w:p w14:paraId="39122EA3">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FL32</w:t>
            </w:r>
          </w:p>
        </w:tc>
        <w:tc>
          <w:tcPr>
            <w:tcW w:w="1364" w:type="dxa"/>
            <w:shd w:val="clear" w:color="auto" w:fill="F6F9FB"/>
            <w:tcMar>
              <w:top w:w="57" w:type="dxa"/>
              <w:left w:w="57" w:type="dxa"/>
              <w:bottom w:w="57" w:type="dxa"/>
              <w:right w:w="57" w:type="dxa"/>
            </w:tcMar>
            <w:vAlign w:val="center"/>
          </w:tcPr>
          <w:p w14:paraId="3BE4F302">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签名</w:t>
            </w:r>
          </w:p>
        </w:tc>
        <w:tc>
          <w:tcPr>
            <w:tcW w:w="3806" w:type="dxa"/>
            <w:shd w:val="clear" w:color="auto" w:fill="F6F9FB"/>
            <w:tcMar>
              <w:top w:w="57" w:type="dxa"/>
              <w:left w:w="57" w:type="dxa"/>
              <w:bottom w:w="57" w:type="dxa"/>
              <w:right w:w="57" w:type="dxa"/>
            </w:tcMar>
            <w:vAlign w:val="center"/>
          </w:tcPr>
          <w:p w14:paraId="60378E2D">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atteImage不参与签名</w:t>
            </w:r>
          </w:p>
        </w:tc>
      </w:tr>
    </w:tbl>
    <w:p w14:paraId="2BC1E732">
      <w:pPr>
        <w:spacing w:after="120"/>
        <w:ind w:firstLine="562"/>
        <w:rPr>
          <w:rFonts w:ascii="仿宋" w:hAnsi="仿宋" w:eastAsia="仿宋" w:cs="仿宋"/>
          <w:b/>
          <w:sz w:val="28"/>
          <w:szCs w:val="28"/>
        </w:rPr>
      </w:pPr>
    </w:p>
    <w:p w14:paraId="41FA30C4">
      <w:pPr>
        <w:spacing w:after="120"/>
        <w:ind w:firstLine="562"/>
        <w:rPr>
          <w:rFonts w:ascii="仿宋" w:hAnsi="仿宋" w:eastAsia="仿宋" w:cs="仿宋"/>
          <w:b/>
          <w:sz w:val="28"/>
          <w:szCs w:val="28"/>
        </w:rPr>
      </w:pPr>
    </w:p>
    <w:p w14:paraId="2161D9EE">
      <w:pPr>
        <w:spacing w:after="120"/>
        <w:ind w:firstLine="562"/>
        <w:rPr>
          <w:rFonts w:ascii="仿宋" w:hAnsi="仿宋" w:eastAsia="仿宋" w:cs="仿宋"/>
          <w:b/>
          <w:sz w:val="28"/>
          <w:szCs w:val="28"/>
        </w:rPr>
      </w:pPr>
      <w:r>
        <w:rPr>
          <w:rFonts w:hint="eastAsia" w:ascii="仿宋" w:hAnsi="仿宋" w:eastAsia="仿宋" w:cs="仿宋"/>
          <w:b/>
          <w:sz w:val="28"/>
          <w:szCs w:val="28"/>
        </w:rPr>
        <w:t>响应参数</w:t>
      </w:r>
    </w:p>
    <w:tbl>
      <w:tblPr>
        <w:tblStyle w:val="55"/>
        <w:tblW w:w="8283"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108" w:type="dxa"/>
          <w:bottom w:w="0" w:type="dxa"/>
          <w:right w:w="108" w:type="dxa"/>
        </w:tblCellMar>
      </w:tblPr>
      <w:tblGrid>
        <w:gridCol w:w="1601"/>
        <w:gridCol w:w="1157"/>
        <w:gridCol w:w="5525"/>
      </w:tblGrid>
      <w:tr w14:paraId="0F3D588D">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90" w:hRule="atLeast"/>
          <w:jc w:val="center"/>
        </w:trPr>
        <w:tc>
          <w:tcPr>
            <w:tcW w:w="1601" w:type="dxa"/>
            <w:shd w:val="clear" w:color="auto" w:fill="F6F9FB"/>
            <w:tcMar>
              <w:top w:w="57" w:type="dxa"/>
              <w:left w:w="57" w:type="dxa"/>
              <w:bottom w:w="57" w:type="dxa"/>
              <w:right w:w="57" w:type="dxa"/>
            </w:tcMar>
            <w:vAlign w:val="center"/>
          </w:tcPr>
          <w:p w14:paraId="2472BA75">
            <w:pPr>
              <w:spacing w:after="120" w:line="285" w:lineRule="atLeast"/>
              <w:ind w:firstLine="482"/>
              <w:jc w:val="center"/>
              <w:rPr>
                <w:rFonts w:ascii="仿宋" w:hAnsi="仿宋" w:eastAsia="仿宋" w:cs="仿宋"/>
                <w:b/>
                <w:bCs/>
                <w:szCs w:val="24"/>
              </w:rPr>
            </w:pPr>
            <w:r>
              <w:rPr>
                <w:rFonts w:hint="eastAsia" w:ascii="仿宋" w:hAnsi="仿宋" w:eastAsia="仿宋" w:cs="仿宋"/>
                <w:b/>
                <w:bCs/>
                <w:szCs w:val="24"/>
              </w:rPr>
              <w:t>参数</w:t>
            </w:r>
          </w:p>
        </w:tc>
        <w:tc>
          <w:tcPr>
            <w:tcW w:w="1157" w:type="dxa"/>
            <w:shd w:val="clear" w:color="auto" w:fill="F6F9FB"/>
            <w:tcMar>
              <w:top w:w="57" w:type="dxa"/>
              <w:left w:w="57" w:type="dxa"/>
              <w:bottom w:w="57" w:type="dxa"/>
              <w:right w:w="57" w:type="dxa"/>
            </w:tcMar>
            <w:vAlign w:val="center"/>
          </w:tcPr>
          <w:p w14:paraId="59939B77">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限制</w:t>
            </w:r>
          </w:p>
        </w:tc>
        <w:tc>
          <w:tcPr>
            <w:tcW w:w="5525" w:type="dxa"/>
            <w:shd w:val="clear" w:color="auto" w:fill="F6F9FB"/>
            <w:tcMar>
              <w:top w:w="57" w:type="dxa"/>
              <w:left w:w="57" w:type="dxa"/>
              <w:bottom w:w="57" w:type="dxa"/>
              <w:right w:w="57" w:type="dxa"/>
            </w:tcMar>
            <w:vAlign w:val="center"/>
          </w:tcPr>
          <w:p w14:paraId="7653ACB1">
            <w:pPr>
              <w:spacing w:after="120" w:line="285" w:lineRule="atLeast"/>
              <w:ind w:firstLine="482"/>
              <w:jc w:val="center"/>
              <w:rPr>
                <w:rFonts w:ascii="仿宋" w:hAnsi="仿宋" w:eastAsia="仿宋" w:cs="仿宋"/>
                <w:b/>
                <w:bCs/>
                <w:szCs w:val="24"/>
              </w:rPr>
            </w:pPr>
            <w:r>
              <w:rPr>
                <w:rFonts w:hint="eastAsia" w:ascii="仿宋" w:hAnsi="仿宋" w:eastAsia="仿宋" w:cs="仿宋"/>
                <w:b/>
                <w:bCs/>
                <w:szCs w:val="24"/>
              </w:rPr>
              <w:t>说明</w:t>
            </w:r>
          </w:p>
        </w:tc>
      </w:tr>
      <w:tr w14:paraId="1563DFF1">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601" w:type="dxa"/>
            <w:shd w:val="clear" w:color="auto" w:fill="F6F9FB"/>
            <w:tcMar>
              <w:top w:w="57" w:type="dxa"/>
              <w:left w:w="57" w:type="dxa"/>
              <w:bottom w:w="57" w:type="dxa"/>
              <w:right w:w="57" w:type="dxa"/>
            </w:tcMar>
            <w:vAlign w:val="center"/>
          </w:tcPr>
          <w:p w14:paraId="2EC302BD">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resultCode</w:t>
            </w:r>
          </w:p>
        </w:tc>
        <w:tc>
          <w:tcPr>
            <w:tcW w:w="1157" w:type="dxa"/>
            <w:shd w:val="clear" w:color="auto" w:fill="F6F9FB"/>
            <w:tcMar>
              <w:top w:w="57" w:type="dxa"/>
              <w:left w:w="57" w:type="dxa"/>
              <w:bottom w:w="57" w:type="dxa"/>
              <w:right w:w="57" w:type="dxa"/>
            </w:tcMar>
            <w:vAlign w:val="center"/>
          </w:tcPr>
          <w:p w14:paraId="48DF9E9D">
            <w:pPr>
              <w:spacing w:after="120" w:line="285" w:lineRule="atLeast"/>
              <w:rPr>
                <w:rFonts w:ascii="仿宋" w:hAnsi="仿宋" w:eastAsia="仿宋" w:cs="仿宋"/>
                <w:szCs w:val="24"/>
              </w:rPr>
            </w:pPr>
            <w:r>
              <w:rPr>
                <w:rFonts w:hint="eastAsia" w:ascii="仿宋" w:hAnsi="仿宋" w:eastAsia="仿宋" w:cs="仿宋"/>
                <w:szCs w:val="24"/>
              </w:rPr>
              <w:t>M</w:t>
            </w:r>
          </w:p>
        </w:tc>
        <w:tc>
          <w:tcPr>
            <w:tcW w:w="5525" w:type="dxa"/>
            <w:shd w:val="clear" w:color="auto" w:fill="F6F9FB"/>
            <w:tcMar>
              <w:top w:w="57" w:type="dxa"/>
              <w:left w:w="57" w:type="dxa"/>
              <w:bottom w:w="57" w:type="dxa"/>
              <w:right w:w="57" w:type="dxa"/>
            </w:tcMar>
            <w:vAlign w:val="center"/>
          </w:tcPr>
          <w:p w14:paraId="0D69419E">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返回结果码，数字类型。0表示成功；其它表示失败。</w:t>
            </w:r>
          </w:p>
        </w:tc>
      </w:tr>
      <w:tr w14:paraId="1422DD73">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601" w:type="dxa"/>
            <w:shd w:val="clear" w:color="auto" w:fill="F6F9FB"/>
            <w:tcMar>
              <w:top w:w="57" w:type="dxa"/>
              <w:left w:w="57" w:type="dxa"/>
              <w:bottom w:w="57" w:type="dxa"/>
              <w:right w:w="57" w:type="dxa"/>
            </w:tcMar>
            <w:vAlign w:val="center"/>
          </w:tcPr>
          <w:p w14:paraId="747CD99E">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resultDesc</w:t>
            </w:r>
          </w:p>
        </w:tc>
        <w:tc>
          <w:tcPr>
            <w:tcW w:w="1157" w:type="dxa"/>
            <w:shd w:val="clear" w:color="auto" w:fill="F6F9FB"/>
            <w:tcMar>
              <w:top w:w="57" w:type="dxa"/>
              <w:left w:w="57" w:type="dxa"/>
              <w:bottom w:w="57" w:type="dxa"/>
              <w:right w:w="57" w:type="dxa"/>
            </w:tcMar>
            <w:vAlign w:val="center"/>
          </w:tcPr>
          <w:p w14:paraId="732693D4">
            <w:pPr>
              <w:spacing w:after="120" w:line="285" w:lineRule="atLeast"/>
              <w:rPr>
                <w:rFonts w:ascii="仿宋" w:hAnsi="仿宋" w:eastAsia="仿宋" w:cs="仿宋"/>
                <w:szCs w:val="24"/>
              </w:rPr>
            </w:pPr>
            <w:r>
              <w:rPr>
                <w:rFonts w:hint="eastAsia" w:ascii="仿宋" w:hAnsi="仿宋" w:eastAsia="仿宋" w:cs="仿宋"/>
                <w:szCs w:val="24"/>
              </w:rPr>
              <w:t>O</w:t>
            </w:r>
          </w:p>
        </w:tc>
        <w:tc>
          <w:tcPr>
            <w:tcW w:w="5525" w:type="dxa"/>
            <w:shd w:val="clear" w:color="auto" w:fill="F6F9FB"/>
            <w:tcMar>
              <w:top w:w="57" w:type="dxa"/>
              <w:left w:w="57" w:type="dxa"/>
              <w:bottom w:w="57" w:type="dxa"/>
              <w:right w:w="57" w:type="dxa"/>
            </w:tcMar>
            <w:vAlign w:val="center"/>
          </w:tcPr>
          <w:p w14:paraId="079E76E2">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返回结果描述</w:t>
            </w:r>
          </w:p>
        </w:tc>
      </w:tr>
    </w:tbl>
    <w:p w14:paraId="28270BD5">
      <w:pPr>
        <w:spacing w:after="120"/>
        <w:ind w:firstLine="600"/>
        <w:rPr>
          <w:rFonts w:ascii="仿宋" w:hAnsi="仿宋" w:eastAsia="仿宋" w:cs="仿宋"/>
          <w:sz w:val="30"/>
          <w:szCs w:val="30"/>
        </w:rPr>
      </w:pPr>
      <w:bookmarkStart w:id="1237" w:name="_4.2_返回码对照表"/>
      <w:bookmarkStart w:id="1238" w:name="_Toc529177328"/>
      <w:r>
        <w:rPr>
          <w:rFonts w:hint="eastAsia" w:ascii="仿宋" w:hAnsi="仿宋" w:eastAsia="仿宋" w:cs="仿宋"/>
          <w:sz w:val="30"/>
          <w:szCs w:val="30"/>
        </w:rPr>
        <w:t>2.1.7结果码对照表</w:t>
      </w:r>
      <w:bookmarkEnd w:id="1237"/>
      <w:bookmarkEnd w:id="1238"/>
    </w:p>
    <w:tbl>
      <w:tblPr>
        <w:tblStyle w:val="55"/>
        <w:tblW w:w="8220" w:type="dxa"/>
        <w:jc w:val="center"/>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Layout w:type="fixed"/>
        <w:tblCellMar>
          <w:top w:w="0" w:type="dxa"/>
          <w:left w:w="108" w:type="dxa"/>
          <w:bottom w:w="0" w:type="dxa"/>
          <w:right w:w="108" w:type="dxa"/>
        </w:tblCellMar>
      </w:tblPr>
      <w:tblGrid>
        <w:gridCol w:w="1192"/>
        <w:gridCol w:w="2989"/>
        <w:gridCol w:w="4039"/>
      </w:tblGrid>
      <w:tr w14:paraId="2C504A5D">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290" w:hRule="atLeast"/>
          <w:jc w:val="center"/>
        </w:trPr>
        <w:tc>
          <w:tcPr>
            <w:tcW w:w="1192" w:type="dxa"/>
            <w:shd w:val="clear" w:color="auto" w:fill="F6F9FB"/>
            <w:tcMar>
              <w:top w:w="57" w:type="dxa"/>
              <w:left w:w="57" w:type="dxa"/>
              <w:bottom w:w="57" w:type="dxa"/>
              <w:right w:w="57" w:type="dxa"/>
            </w:tcMar>
            <w:vAlign w:val="center"/>
          </w:tcPr>
          <w:p w14:paraId="5CAB4673">
            <w:pPr>
              <w:spacing w:after="120" w:line="285" w:lineRule="atLeast"/>
              <w:ind w:firstLine="0" w:firstLineChars="0"/>
              <w:jc w:val="center"/>
              <w:rPr>
                <w:rFonts w:ascii="仿宋" w:hAnsi="仿宋" w:eastAsia="仿宋" w:cs="仿宋"/>
                <w:b/>
                <w:bCs/>
                <w:szCs w:val="24"/>
              </w:rPr>
            </w:pPr>
            <w:r>
              <w:rPr>
                <w:rFonts w:hint="eastAsia" w:ascii="仿宋" w:hAnsi="仿宋" w:eastAsia="仿宋" w:cs="仿宋"/>
                <w:b/>
                <w:bCs/>
                <w:szCs w:val="24"/>
              </w:rPr>
              <w:t>返回码</w:t>
            </w:r>
          </w:p>
        </w:tc>
        <w:tc>
          <w:tcPr>
            <w:tcW w:w="2989" w:type="dxa"/>
            <w:shd w:val="clear" w:color="auto" w:fill="F6F9FB"/>
            <w:tcMar>
              <w:top w:w="57" w:type="dxa"/>
              <w:left w:w="57" w:type="dxa"/>
              <w:bottom w:w="57" w:type="dxa"/>
              <w:right w:w="57" w:type="dxa"/>
            </w:tcMar>
            <w:vAlign w:val="center"/>
          </w:tcPr>
          <w:p w14:paraId="6DFE32FF">
            <w:pPr>
              <w:spacing w:after="120" w:line="285" w:lineRule="atLeast"/>
              <w:ind w:firstLine="482"/>
              <w:jc w:val="center"/>
              <w:rPr>
                <w:rFonts w:ascii="仿宋" w:hAnsi="仿宋" w:eastAsia="仿宋" w:cs="仿宋"/>
                <w:b/>
                <w:bCs/>
                <w:szCs w:val="24"/>
              </w:rPr>
            </w:pPr>
            <w:r>
              <w:rPr>
                <w:rFonts w:hint="eastAsia" w:ascii="仿宋" w:hAnsi="仿宋" w:eastAsia="仿宋" w:cs="仿宋"/>
                <w:b/>
                <w:bCs/>
                <w:szCs w:val="24"/>
              </w:rPr>
              <w:t>返回码文本介绍</w:t>
            </w:r>
          </w:p>
        </w:tc>
        <w:tc>
          <w:tcPr>
            <w:tcW w:w="4039" w:type="dxa"/>
            <w:shd w:val="clear" w:color="auto" w:fill="F6F9FB"/>
            <w:tcMar>
              <w:top w:w="57" w:type="dxa"/>
              <w:left w:w="57" w:type="dxa"/>
              <w:bottom w:w="57" w:type="dxa"/>
              <w:right w:w="57" w:type="dxa"/>
            </w:tcMar>
            <w:vAlign w:val="center"/>
          </w:tcPr>
          <w:p w14:paraId="39C0064E">
            <w:pPr>
              <w:spacing w:after="120" w:line="285" w:lineRule="atLeast"/>
              <w:ind w:firstLine="482"/>
              <w:jc w:val="center"/>
              <w:rPr>
                <w:rFonts w:ascii="仿宋" w:hAnsi="仿宋" w:eastAsia="仿宋" w:cs="仿宋"/>
                <w:b/>
                <w:bCs/>
                <w:szCs w:val="24"/>
              </w:rPr>
            </w:pPr>
            <w:r>
              <w:rPr>
                <w:rFonts w:hint="eastAsia" w:ascii="仿宋" w:hAnsi="仿宋" w:eastAsia="仿宋" w:cs="仿宋"/>
                <w:b/>
                <w:bCs/>
                <w:szCs w:val="24"/>
              </w:rPr>
              <w:t>说明</w:t>
            </w:r>
          </w:p>
        </w:tc>
      </w:tr>
      <w:tr w14:paraId="75A4A9B1">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tcMar>
              <w:top w:w="57" w:type="dxa"/>
              <w:left w:w="57" w:type="dxa"/>
              <w:bottom w:w="57" w:type="dxa"/>
              <w:right w:w="57" w:type="dxa"/>
            </w:tcMar>
            <w:vAlign w:val="center"/>
          </w:tcPr>
          <w:p w14:paraId="37DF396A">
            <w:pPr>
              <w:spacing w:after="120" w:line="285" w:lineRule="atLeast"/>
              <w:jc w:val="left"/>
              <w:rPr>
                <w:rFonts w:ascii="仿宋" w:hAnsi="仿宋" w:eastAsia="仿宋" w:cs="仿宋"/>
                <w:szCs w:val="24"/>
              </w:rPr>
            </w:pPr>
            <w:r>
              <w:rPr>
                <w:rFonts w:hint="eastAsia" w:ascii="仿宋" w:hAnsi="仿宋" w:eastAsia="仿宋" w:cs="仿宋"/>
                <w:szCs w:val="24"/>
              </w:rPr>
              <w:t>0</w:t>
            </w:r>
          </w:p>
        </w:tc>
        <w:tc>
          <w:tcPr>
            <w:tcW w:w="2989" w:type="dxa"/>
            <w:shd w:val="clear" w:color="auto" w:fill="F6F9FB"/>
            <w:tcMar>
              <w:top w:w="57" w:type="dxa"/>
              <w:left w:w="57" w:type="dxa"/>
              <w:bottom w:w="57" w:type="dxa"/>
              <w:right w:w="57" w:type="dxa"/>
            </w:tcMar>
            <w:vAlign w:val="center"/>
          </w:tcPr>
          <w:p w14:paraId="5D1744C9">
            <w:pPr>
              <w:spacing w:after="120" w:line="285" w:lineRule="atLeast"/>
              <w:jc w:val="left"/>
              <w:rPr>
                <w:rFonts w:ascii="仿宋" w:hAnsi="仿宋" w:eastAsia="仿宋" w:cs="仿宋"/>
                <w:szCs w:val="24"/>
              </w:rPr>
            </w:pPr>
            <w:r>
              <w:rPr>
                <w:rFonts w:hint="eastAsia" w:ascii="仿宋" w:hAnsi="仿宋" w:eastAsia="仿宋" w:cs="仿宋"/>
                <w:szCs w:val="24"/>
              </w:rPr>
              <w:t>请求成功</w:t>
            </w:r>
          </w:p>
        </w:tc>
        <w:tc>
          <w:tcPr>
            <w:tcW w:w="4039" w:type="dxa"/>
            <w:shd w:val="clear" w:color="auto" w:fill="F6F9FB"/>
            <w:tcMar>
              <w:top w:w="57" w:type="dxa"/>
              <w:left w:w="57" w:type="dxa"/>
              <w:bottom w:w="57" w:type="dxa"/>
              <w:right w:w="57" w:type="dxa"/>
            </w:tcMar>
            <w:vAlign w:val="center"/>
          </w:tcPr>
          <w:p w14:paraId="3D1577A1">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当且仅当返回码为0时，请求成功</w:t>
            </w:r>
          </w:p>
        </w:tc>
      </w:tr>
      <w:tr w14:paraId="68758ED7">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tcMar>
              <w:top w:w="57" w:type="dxa"/>
              <w:left w:w="57" w:type="dxa"/>
              <w:bottom w:w="57" w:type="dxa"/>
              <w:right w:w="57" w:type="dxa"/>
            </w:tcMar>
            <w:vAlign w:val="center"/>
          </w:tcPr>
          <w:p w14:paraId="2BB5964B">
            <w:pPr>
              <w:spacing w:after="120" w:line="285" w:lineRule="atLeast"/>
              <w:jc w:val="left"/>
              <w:rPr>
                <w:rFonts w:ascii="仿宋" w:hAnsi="仿宋" w:eastAsia="仿宋" w:cs="仿宋"/>
                <w:szCs w:val="24"/>
              </w:rPr>
            </w:pPr>
            <w:r>
              <w:rPr>
                <w:rFonts w:hint="eastAsia" w:ascii="仿宋" w:hAnsi="仿宋" w:eastAsia="仿宋" w:cs="仿宋"/>
                <w:szCs w:val="24"/>
              </w:rPr>
              <w:t>1</w:t>
            </w:r>
          </w:p>
        </w:tc>
        <w:tc>
          <w:tcPr>
            <w:tcW w:w="2989" w:type="dxa"/>
            <w:shd w:val="clear" w:color="auto" w:fill="F6F9FB"/>
            <w:tcMar>
              <w:top w:w="57" w:type="dxa"/>
              <w:left w:w="57" w:type="dxa"/>
              <w:bottom w:w="57" w:type="dxa"/>
              <w:right w:w="57" w:type="dxa"/>
            </w:tcMar>
            <w:vAlign w:val="center"/>
          </w:tcPr>
          <w:p w14:paraId="63081CC1">
            <w:pPr>
              <w:spacing w:after="120" w:line="285" w:lineRule="atLeast"/>
              <w:jc w:val="left"/>
              <w:rPr>
                <w:rFonts w:ascii="仿宋" w:hAnsi="仿宋" w:eastAsia="仿宋" w:cs="仿宋"/>
                <w:szCs w:val="24"/>
              </w:rPr>
            </w:pPr>
            <w:r>
              <w:rPr>
                <w:rFonts w:hint="eastAsia" w:ascii="仿宋" w:hAnsi="仿宋" w:eastAsia="仿宋" w:cs="仿宋"/>
                <w:szCs w:val="24"/>
              </w:rPr>
              <w:t>签名验证失败</w:t>
            </w:r>
          </w:p>
        </w:tc>
        <w:tc>
          <w:tcPr>
            <w:tcW w:w="4039" w:type="dxa"/>
            <w:shd w:val="clear" w:color="auto" w:fill="F6F9FB"/>
            <w:tcMar>
              <w:top w:w="57" w:type="dxa"/>
              <w:left w:w="57" w:type="dxa"/>
              <w:bottom w:w="57" w:type="dxa"/>
              <w:right w:w="57" w:type="dxa"/>
            </w:tcMar>
            <w:vAlign w:val="center"/>
          </w:tcPr>
          <w:p w14:paraId="13FEF52C">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签名错误</w:t>
            </w:r>
          </w:p>
        </w:tc>
      </w:tr>
      <w:tr w14:paraId="43A5A2ED">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tcMar>
              <w:top w:w="57" w:type="dxa"/>
              <w:left w:w="57" w:type="dxa"/>
              <w:bottom w:w="57" w:type="dxa"/>
              <w:right w:w="57" w:type="dxa"/>
            </w:tcMar>
            <w:vAlign w:val="center"/>
          </w:tcPr>
          <w:p w14:paraId="316B920C">
            <w:pPr>
              <w:spacing w:after="120" w:line="285" w:lineRule="atLeast"/>
              <w:jc w:val="left"/>
              <w:rPr>
                <w:rFonts w:ascii="仿宋" w:hAnsi="仿宋" w:eastAsia="仿宋" w:cs="仿宋"/>
                <w:szCs w:val="24"/>
              </w:rPr>
            </w:pPr>
            <w:r>
              <w:rPr>
                <w:rFonts w:hint="eastAsia" w:ascii="仿宋" w:hAnsi="仿宋" w:eastAsia="仿宋" w:cs="仿宋"/>
                <w:szCs w:val="24"/>
              </w:rPr>
              <w:t>2</w:t>
            </w:r>
          </w:p>
        </w:tc>
        <w:tc>
          <w:tcPr>
            <w:tcW w:w="2989" w:type="dxa"/>
            <w:shd w:val="clear" w:color="auto" w:fill="F6F9FB"/>
            <w:tcMar>
              <w:top w:w="57" w:type="dxa"/>
              <w:left w:w="57" w:type="dxa"/>
              <w:bottom w:w="57" w:type="dxa"/>
              <w:right w:w="57" w:type="dxa"/>
            </w:tcMar>
            <w:vAlign w:val="center"/>
          </w:tcPr>
          <w:p w14:paraId="2F99059B">
            <w:pPr>
              <w:spacing w:after="120" w:line="285" w:lineRule="atLeast"/>
              <w:jc w:val="left"/>
              <w:rPr>
                <w:rFonts w:ascii="仿宋" w:hAnsi="仿宋" w:eastAsia="仿宋" w:cs="仿宋"/>
                <w:szCs w:val="24"/>
              </w:rPr>
            </w:pPr>
            <w:r>
              <w:rPr>
                <w:rFonts w:hint="eastAsia" w:ascii="仿宋" w:hAnsi="仿宋" w:eastAsia="仿宋" w:cs="仿宋"/>
                <w:szCs w:val="24"/>
              </w:rPr>
              <w:t>参数错误</w:t>
            </w:r>
          </w:p>
        </w:tc>
        <w:tc>
          <w:tcPr>
            <w:tcW w:w="4039" w:type="dxa"/>
            <w:shd w:val="clear" w:color="auto" w:fill="F6F9FB"/>
            <w:tcMar>
              <w:top w:w="57" w:type="dxa"/>
              <w:left w:w="57" w:type="dxa"/>
              <w:bottom w:w="57" w:type="dxa"/>
              <w:right w:w="57" w:type="dxa"/>
            </w:tcMar>
            <w:vAlign w:val="center"/>
          </w:tcPr>
          <w:p w14:paraId="337D4290">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参数长度或数据类型错误</w:t>
            </w:r>
          </w:p>
        </w:tc>
      </w:tr>
      <w:tr w14:paraId="3FC7B39B">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tcMar>
              <w:top w:w="57" w:type="dxa"/>
              <w:left w:w="57" w:type="dxa"/>
              <w:bottom w:w="57" w:type="dxa"/>
              <w:right w:w="57" w:type="dxa"/>
            </w:tcMar>
            <w:vAlign w:val="center"/>
          </w:tcPr>
          <w:p w14:paraId="054CB11B">
            <w:pPr>
              <w:spacing w:after="120" w:line="285" w:lineRule="atLeast"/>
              <w:jc w:val="left"/>
              <w:rPr>
                <w:rFonts w:ascii="仿宋" w:hAnsi="仿宋" w:eastAsia="仿宋" w:cs="仿宋"/>
                <w:szCs w:val="24"/>
              </w:rPr>
            </w:pPr>
            <w:r>
              <w:rPr>
                <w:rFonts w:hint="eastAsia" w:ascii="仿宋" w:hAnsi="仿宋" w:eastAsia="仿宋" w:cs="仿宋"/>
                <w:szCs w:val="24"/>
              </w:rPr>
              <w:t>3</w:t>
            </w:r>
          </w:p>
        </w:tc>
        <w:tc>
          <w:tcPr>
            <w:tcW w:w="2989" w:type="dxa"/>
            <w:shd w:val="clear" w:color="auto" w:fill="F6F9FB"/>
            <w:tcMar>
              <w:top w:w="57" w:type="dxa"/>
              <w:left w:w="57" w:type="dxa"/>
              <w:bottom w:w="57" w:type="dxa"/>
              <w:right w:w="57" w:type="dxa"/>
            </w:tcMar>
            <w:vAlign w:val="center"/>
          </w:tcPr>
          <w:p w14:paraId="3827212C">
            <w:pPr>
              <w:spacing w:after="120" w:line="285" w:lineRule="atLeast"/>
              <w:jc w:val="left"/>
              <w:rPr>
                <w:rFonts w:ascii="仿宋" w:hAnsi="仿宋" w:eastAsia="仿宋" w:cs="仿宋"/>
                <w:szCs w:val="24"/>
              </w:rPr>
            </w:pPr>
            <w:r>
              <w:rPr>
                <w:rFonts w:hint="eastAsia" w:ascii="仿宋" w:hAnsi="仿宋" w:eastAsia="仿宋" w:cs="仿宋"/>
                <w:szCs w:val="24"/>
              </w:rPr>
              <w:t>接入编号错误</w:t>
            </w:r>
          </w:p>
        </w:tc>
        <w:tc>
          <w:tcPr>
            <w:tcW w:w="4039" w:type="dxa"/>
            <w:shd w:val="clear" w:color="auto" w:fill="F6F9FB"/>
            <w:tcMar>
              <w:top w:w="57" w:type="dxa"/>
              <w:left w:w="57" w:type="dxa"/>
              <w:bottom w:w="57" w:type="dxa"/>
              <w:right w:w="57" w:type="dxa"/>
            </w:tcMar>
            <w:vAlign w:val="center"/>
          </w:tcPr>
          <w:p w14:paraId="0B3685AC">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接入编号不存在</w:t>
            </w:r>
          </w:p>
        </w:tc>
      </w:tr>
      <w:tr w14:paraId="75CA4412">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tcMar>
              <w:top w:w="57" w:type="dxa"/>
              <w:left w:w="57" w:type="dxa"/>
              <w:bottom w:w="57" w:type="dxa"/>
              <w:right w:w="57" w:type="dxa"/>
            </w:tcMar>
            <w:vAlign w:val="center"/>
          </w:tcPr>
          <w:p w14:paraId="2C4A16D9">
            <w:pPr>
              <w:spacing w:after="120" w:line="285" w:lineRule="atLeast"/>
              <w:jc w:val="left"/>
              <w:rPr>
                <w:rFonts w:ascii="仿宋" w:hAnsi="仿宋" w:eastAsia="仿宋" w:cs="仿宋"/>
                <w:szCs w:val="24"/>
              </w:rPr>
            </w:pPr>
            <w:r>
              <w:rPr>
                <w:rFonts w:hint="eastAsia" w:ascii="仿宋" w:hAnsi="仿宋" w:eastAsia="仿宋" w:cs="仿宋"/>
                <w:szCs w:val="24"/>
              </w:rPr>
              <w:t>201</w:t>
            </w:r>
          </w:p>
        </w:tc>
        <w:tc>
          <w:tcPr>
            <w:tcW w:w="2989" w:type="dxa"/>
            <w:shd w:val="clear" w:color="auto" w:fill="F6F9FB"/>
            <w:tcMar>
              <w:top w:w="57" w:type="dxa"/>
              <w:left w:w="57" w:type="dxa"/>
              <w:bottom w:w="57" w:type="dxa"/>
              <w:right w:w="57" w:type="dxa"/>
            </w:tcMar>
            <w:vAlign w:val="center"/>
          </w:tcPr>
          <w:p w14:paraId="767EE9CF">
            <w:pPr>
              <w:spacing w:after="120" w:line="285" w:lineRule="atLeast"/>
              <w:jc w:val="left"/>
              <w:rPr>
                <w:rFonts w:ascii="仿宋" w:hAnsi="仿宋" w:eastAsia="仿宋" w:cs="仿宋"/>
                <w:szCs w:val="24"/>
              </w:rPr>
            </w:pPr>
            <w:r>
              <w:rPr>
                <w:rFonts w:hint="eastAsia" w:ascii="仿宋" w:hAnsi="仿宋" w:eastAsia="仿宋" w:cs="仿宋"/>
                <w:szCs w:val="24"/>
              </w:rPr>
              <w:t>班组不存在</w:t>
            </w:r>
          </w:p>
        </w:tc>
        <w:tc>
          <w:tcPr>
            <w:tcW w:w="4039" w:type="dxa"/>
            <w:shd w:val="clear" w:color="auto" w:fill="F6F9FB"/>
            <w:tcMar>
              <w:top w:w="57" w:type="dxa"/>
              <w:left w:w="57" w:type="dxa"/>
              <w:bottom w:w="57" w:type="dxa"/>
              <w:right w:w="57" w:type="dxa"/>
            </w:tcMar>
            <w:vAlign w:val="center"/>
          </w:tcPr>
          <w:p w14:paraId="1464083F">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添加修改班组工人时返回</w:t>
            </w:r>
          </w:p>
        </w:tc>
      </w:tr>
      <w:tr w14:paraId="03E3BE67">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tcMar>
              <w:top w:w="57" w:type="dxa"/>
              <w:left w:w="57" w:type="dxa"/>
              <w:bottom w:w="57" w:type="dxa"/>
              <w:right w:w="57" w:type="dxa"/>
            </w:tcMar>
            <w:vAlign w:val="center"/>
          </w:tcPr>
          <w:p w14:paraId="5EB13E03">
            <w:pPr>
              <w:spacing w:after="120" w:line="285" w:lineRule="atLeast"/>
              <w:jc w:val="left"/>
              <w:rPr>
                <w:rFonts w:ascii="仿宋" w:hAnsi="仿宋" w:eastAsia="仿宋" w:cs="仿宋"/>
                <w:szCs w:val="24"/>
              </w:rPr>
            </w:pPr>
            <w:r>
              <w:rPr>
                <w:rFonts w:hint="eastAsia" w:ascii="仿宋" w:hAnsi="仿宋" w:eastAsia="仿宋" w:cs="仿宋"/>
                <w:szCs w:val="24"/>
              </w:rPr>
              <w:t>202</w:t>
            </w:r>
          </w:p>
        </w:tc>
        <w:tc>
          <w:tcPr>
            <w:tcW w:w="2989" w:type="dxa"/>
            <w:shd w:val="clear" w:color="auto" w:fill="F6F9FB"/>
            <w:tcMar>
              <w:top w:w="57" w:type="dxa"/>
              <w:left w:w="57" w:type="dxa"/>
              <w:bottom w:w="57" w:type="dxa"/>
              <w:right w:w="57" w:type="dxa"/>
            </w:tcMar>
            <w:vAlign w:val="center"/>
          </w:tcPr>
          <w:p w14:paraId="7CC45CD1">
            <w:pPr>
              <w:spacing w:after="120" w:line="285" w:lineRule="atLeast"/>
              <w:jc w:val="left"/>
              <w:rPr>
                <w:rFonts w:ascii="仿宋" w:hAnsi="仿宋" w:eastAsia="仿宋" w:cs="仿宋"/>
                <w:szCs w:val="24"/>
              </w:rPr>
            </w:pPr>
            <w:r>
              <w:rPr>
                <w:rFonts w:hint="eastAsia" w:ascii="仿宋" w:hAnsi="仿宋" w:eastAsia="仿宋" w:cs="仿宋"/>
                <w:szCs w:val="24"/>
              </w:rPr>
              <w:t>工人不存在</w:t>
            </w:r>
          </w:p>
        </w:tc>
        <w:tc>
          <w:tcPr>
            <w:tcW w:w="4039" w:type="dxa"/>
            <w:shd w:val="clear" w:color="auto" w:fill="F6F9FB"/>
            <w:tcMar>
              <w:top w:w="57" w:type="dxa"/>
              <w:left w:w="57" w:type="dxa"/>
              <w:bottom w:w="57" w:type="dxa"/>
              <w:right w:w="57" w:type="dxa"/>
            </w:tcMar>
            <w:vAlign w:val="center"/>
          </w:tcPr>
          <w:p w14:paraId="5B8CB76F">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添加修改工人证书、添加修改班组工人时返回</w:t>
            </w:r>
          </w:p>
        </w:tc>
      </w:tr>
      <w:tr w14:paraId="360F0DEB">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tcMar>
              <w:top w:w="57" w:type="dxa"/>
              <w:left w:w="57" w:type="dxa"/>
              <w:bottom w:w="57" w:type="dxa"/>
              <w:right w:w="57" w:type="dxa"/>
            </w:tcMar>
            <w:vAlign w:val="center"/>
          </w:tcPr>
          <w:p w14:paraId="7B311249">
            <w:pPr>
              <w:spacing w:after="120" w:line="285" w:lineRule="atLeast"/>
              <w:jc w:val="left"/>
              <w:rPr>
                <w:rFonts w:ascii="仿宋" w:hAnsi="仿宋" w:eastAsia="仿宋" w:cs="仿宋"/>
                <w:szCs w:val="24"/>
              </w:rPr>
            </w:pPr>
            <w:r>
              <w:rPr>
                <w:rFonts w:hint="eastAsia" w:ascii="仿宋" w:hAnsi="仿宋" w:eastAsia="仿宋" w:cs="仿宋"/>
                <w:szCs w:val="24"/>
              </w:rPr>
              <w:t>203</w:t>
            </w:r>
          </w:p>
        </w:tc>
        <w:tc>
          <w:tcPr>
            <w:tcW w:w="2989" w:type="dxa"/>
            <w:shd w:val="clear" w:color="auto" w:fill="F6F9FB"/>
            <w:tcMar>
              <w:top w:w="57" w:type="dxa"/>
              <w:left w:w="57" w:type="dxa"/>
              <w:bottom w:w="57" w:type="dxa"/>
              <w:right w:w="57" w:type="dxa"/>
            </w:tcMar>
            <w:vAlign w:val="center"/>
          </w:tcPr>
          <w:p w14:paraId="257BD80F">
            <w:pPr>
              <w:spacing w:after="120" w:line="285" w:lineRule="atLeast"/>
              <w:jc w:val="left"/>
              <w:rPr>
                <w:rFonts w:ascii="仿宋" w:hAnsi="仿宋" w:eastAsia="仿宋" w:cs="仿宋"/>
                <w:szCs w:val="24"/>
              </w:rPr>
            </w:pPr>
            <w:r>
              <w:rPr>
                <w:rFonts w:hint="eastAsia" w:ascii="仿宋" w:hAnsi="仿宋" w:eastAsia="仿宋" w:cs="仿宋"/>
                <w:szCs w:val="24"/>
              </w:rPr>
              <w:t>管理员不存在</w:t>
            </w:r>
          </w:p>
        </w:tc>
        <w:tc>
          <w:tcPr>
            <w:tcW w:w="4039" w:type="dxa"/>
            <w:shd w:val="clear" w:color="auto" w:fill="F6F9FB"/>
            <w:tcMar>
              <w:top w:w="57" w:type="dxa"/>
              <w:left w:w="57" w:type="dxa"/>
              <w:bottom w:w="57" w:type="dxa"/>
              <w:right w:w="57" w:type="dxa"/>
            </w:tcMar>
            <w:vAlign w:val="center"/>
          </w:tcPr>
          <w:p w14:paraId="5F305661">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添加修改管理人员工时返回</w:t>
            </w:r>
          </w:p>
        </w:tc>
      </w:tr>
      <w:tr w14:paraId="6589729C">
        <w:tblPrEx>
          <w:tblBorders>
            <w:top w:val="single" w:color="548DD4" w:sz="4" w:space="0"/>
            <w:left w:val="single" w:color="548DD4" w:sz="4" w:space="0"/>
            <w:bottom w:val="single" w:color="548DD4" w:sz="4" w:space="0"/>
            <w:right w:val="single" w:color="548DD4" w:sz="4" w:space="0"/>
            <w:insideH w:val="single" w:color="548DD4" w:sz="4" w:space="0"/>
            <w:insideV w:val="single" w:color="548DD4" w:sz="4" w:space="0"/>
          </w:tblBorders>
          <w:tblCellMar>
            <w:top w:w="0" w:type="dxa"/>
            <w:left w:w="108" w:type="dxa"/>
            <w:bottom w:w="0" w:type="dxa"/>
            <w:right w:w="108" w:type="dxa"/>
          </w:tblCellMar>
        </w:tblPrEx>
        <w:trPr>
          <w:trHeight w:val="319" w:hRule="atLeast"/>
          <w:jc w:val="center"/>
        </w:trPr>
        <w:tc>
          <w:tcPr>
            <w:tcW w:w="1192" w:type="dxa"/>
            <w:shd w:val="clear" w:color="auto" w:fill="F6F9FB"/>
            <w:tcMar>
              <w:top w:w="57" w:type="dxa"/>
              <w:left w:w="57" w:type="dxa"/>
              <w:bottom w:w="57" w:type="dxa"/>
              <w:right w:w="57" w:type="dxa"/>
            </w:tcMar>
            <w:vAlign w:val="center"/>
          </w:tcPr>
          <w:p w14:paraId="2BFB32A8">
            <w:pPr>
              <w:spacing w:after="120" w:line="285" w:lineRule="atLeast"/>
              <w:jc w:val="left"/>
              <w:rPr>
                <w:rFonts w:ascii="仿宋" w:hAnsi="仿宋" w:eastAsia="仿宋" w:cs="仿宋"/>
                <w:szCs w:val="24"/>
              </w:rPr>
            </w:pPr>
            <w:r>
              <w:rPr>
                <w:rFonts w:hint="eastAsia" w:ascii="仿宋" w:hAnsi="仿宋" w:eastAsia="仿宋" w:cs="仿宋"/>
                <w:szCs w:val="24"/>
              </w:rPr>
              <w:t>-1</w:t>
            </w:r>
          </w:p>
        </w:tc>
        <w:tc>
          <w:tcPr>
            <w:tcW w:w="2989" w:type="dxa"/>
            <w:shd w:val="clear" w:color="auto" w:fill="F6F9FB"/>
            <w:tcMar>
              <w:top w:w="57" w:type="dxa"/>
              <w:left w:w="57" w:type="dxa"/>
              <w:bottom w:w="57" w:type="dxa"/>
              <w:right w:w="57" w:type="dxa"/>
            </w:tcMar>
            <w:vAlign w:val="center"/>
          </w:tcPr>
          <w:p w14:paraId="72BFF2C7">
            <w:pPr>
              <w:spacing w:after="120" w:line="285" w:lineRule="atLeast"/>
              <w:jc w:val="left"/>
              <w:rPr>
                <w:rFonts w:ascii="仿宋" w:hAnsi="仿宋" w:eastAsia="仿宋" w:cs="仿宋"/>
                <w:szCs w:val="24"/>
              </w:rPr>
            </w:pPr>
            <w:r>
              <w:rPr>
                <w:rFonts w:hint="eastAsia" w:ascii="仿宋" w:hAnsi="仿宋" w:eastAsia="仿宋" w:cs="仿宋"/>
                <w:szCs w:val="24"/>
              </w:rPr>
              <w:t>系统内部异常:[..],请稍候再试</w:t>
            </w:r>
          </w:p>
        </w:tc>
        <w:tc>
          <w:tcPr>
            <w:tcW w:w="4039" w:type="dxa"/>
            <w:shd w:val="clear" w:color="auto" w:fill="F6F9FB"/>
            <w:tcMar>
              <w:top w:w="57" w:type="dxa"/>
              <w:left w:w="57" w:type="dxa"/>
              <w:bottom w:w="57" w:type="dxa"/>
              <w:right w:w="57" w:type="dxa"/>
            </w:tcMar>
            <w:vAlign w:val="center"/>
          </w:tcPr>
          <w:p w14:paraId="6D17A8C6">
            <w:pPr>
              <w:spacing w:after="120" w:line="285" w:lineRule="atLeast"/>
              <w:ind w:firstLine="0" w:firstLineChars="0"/>
              <w:jc w:val="center"/>
              <w:rPr>
                <w:rFonts w:ascii="仿宋" w:hAnsi="仿宋" w:eastAsia="仿宋" w:cs="仿宋"/>
                <w:szCs w:val="24"/>
              </w:rPr>
            </w:pPr>
            <w:r>
              <w:rPr>
                <w:rFonts w:hint="eastAsia" w:ascii="仿宋" w:hAnsi="仿宋" w:eastAsia="仿宋" w:cs="仿宋"/>
                <w:szCs w:val="24"/>
              </w:rPr>
              <w:t>系统内部异常，返回异常描述</w:t>
            </w:r>
          </w:p>
        </w:tc>
      </w:tr>
    </w:tbl>
    <w:p w14:paraId="2115CBEE">
      <w:pPr>
        <w:spacing w:after="120"/>
        <w:rPr>
          <w:rFonts w:ascii="仿宋" w:hAnsi="仿宋" w:eastAsia="仿宋" w:cs="仿宋"/>
          <w:szCs w:val="21"/>
        </w:rPr>
      </w:pPr>
    </w:p>
    <w:p w14:paraId="79C580B1">
      <w:pPr>
        <w:spacing w:after="120"/>
        <w:ind w:firstLine="600"/>
        <w:rPr>
          <w:rFonts w:ascii="仿宋" w:hAnsi="仿宋" w:eastAsia="仿宋" w:cs="仿宋"/>
          <w:sz w:val="30"/>
          <w:szCs w:val="30"/>
        </w:rPr>
      </w:pPr>
      <w:bookmarkStart w:id="1239" w:name="_Toc529177329"/>
      <w:r>
        <w:rPr>
          <w:rFonts w:hint="eastAsia" w:ascii="仿宋" w:hAnsi="仿宋" w:eastAsia="仿宋" w:cs="仿宋"/>
          <w:sz w:val="30"/>
          <w:szCs w:val="30"/>
        </w:rPr>
        <w:t>2.1.8调用示例</w:t>
      </w:r>
      <w:bookmarkEnd w:id="1239"/>
    </w:p>
    <w:p w14:paraId="2012740E">
      <w:pPr>
        <w:numPr>
          <w:ilvl w:val="0"/>
          <w:numId w:val="40"/>
        </w:numPr>
        <w:tabs>
          <w:tab w:val="left" w:pos="0"/>
        </w:tabs>
        <w:spacing w:after="120"/>
        <w:ind w:firstLine="600"/>
        <w:rPr>
          <w:rFonts w:ascii="仿宋" w:hAnsi="仿宋" w:eastAsia="仿宋" w:cs="仿宋"/>
          <w:sz w:val="30"/>
          <w:szCs w:val="30"/>
        </w:rPr>
      </w:pPr>
      <w:r>
        <w:rPr>
          <w:rFonts w:hint="eastAsia" w:ascii="仿宋" w:hAnsi="仿宋" w:eastAsia="仿宋" w:cs="仿宋"/>
          <w:sz w:val="30"/>
          <w:szCs w:val="30"/>
        </w:rPr>
        <w:t>将参数排序 (以Java TreeMap实现参数名按ASCII字典顺序排序)</w:t>
      </w:r>
    </w:p>
    <w:p w14:paraId="5D16C213">
      <w:pPr>
        <w:spacing w:after="120"/>
        <w:ind w:firstLine="600"/>
        <w:rPr>
          <w:rFonts w:ascii="仿宋" w:hAnsi="仿宋" w:eastAsia="仿宋" w:cs="仿宋"/>
          <w:sz w:val="30"/>
          <w:szCs w:val="30"/>
        </w:rPr>
      </w:pPr>
      <w:r>
        <w:rPr>
          <w:rFonts w:hint="eastAsia" w:ascii="仿宋" w:hAnsi="仿宋" w:eastAsia="仿宋" w:cs="仿宋"/>
          <w:sz w:val="30"/>
          <w:szCs w:val="30"/>
        </w:rPr>
        <w:t>TreeMap&lt;String, String&gt; params = new TreeMap&lt;&gt;();</w:t>
      </w:r>
    </w:p>
    <w:p w14:paraId="1B2ED8EC">
      <w:pPr>
        <w:spacing w:after="120"/>
        <w:ind w:firstLine="600"/>
        <w:rPr>
          <w:rFonts w:ascii="仿宋" w:hAnsi="仿宋" w:eastAsia="仿宋" w:cs="仿宋"/>
          <w:sz w:val="30"/>
          <w:szCs w:val="30"/>
        </w:rPr>
      </w:pPr>
      <w:r>
        <w:rPr>
          <w:rFonts w:hint="eastAsia" w:ascii="仿宋" w:hAnsi="仿宋" w:eastAsia="仿宋" w:cs="仿宋"/>
          <w:sz w:val="30"/>
          <w:szCs w:val="30"/>
        </w:rPr>
        <w:t>params.put(“param1”, urlencode(“value1”, “UTF-8”));</w:t>
      </w:r>
    </w:p>
    <w:p w14:paraId="3F45D8CE">
      <w:pPr>
        <w:spacing w:after="120"/>
        <w:ind w:firstLine="600"/>
        <w:rPr>
          <w:rFonts w:ascii="仿宋" w:hAnsi="仿宋" w:eastAsia="仿宋" w:cs="仿宋"/>
          <w:sz w:val="30"/>
          <w:szCs w:val="30"/>
        </w:rPr>
      </w:pPr>
      <w:r>
        <w:rPr>
          <w:rFonts w:hint="eastAsia" w:ascii="仿宋" w:hAnsi="仿宋" w:eastAsia="仿宋" w:cs="仿宋"/>
          <w:sz w:val="30"/>
          <w:szCs w:val="30"/>
        </w:rPr>
        <w:t>params.put(“param2”, urlencode(“value2”, “UTF-8”));</w:t>
      </w:r>
    </w:p>
    <w:p w14:paraId="1ABDE7EE">
      <w:pPr>
        <w:numPr>
          <w:ilvl w:val="0"/>
          <w:numId w:val="41"/>
        </w:numPr>
        <w:tabs>
          <w:tab w:val="left" w:pos="0"/>
        </w:tabs>
        <w:spacing w:after="120"/>
        <w:ind w:firstLine="600"/>
        <w:rPr>
          <w:rFonts w:ascii="仿宋" w:hAnsi="仿宋" w:eastAsia="仿宋" w:cs="仿宋"/>
          <w:sz w:val="30"/>
          <w:szCs w:val="30"/>
        </w:rPr>
      </w:pPr>
      <w:r>
        <w:rPr>
          <w:rFonts w:hint="eastAsia" w:ascii="仿宋" w:hAnsi="仿宋" w:eastAsia="仿宋" w:cs="仿宋"/>
          <w:sz w:val="30"/>
          <w:szCs w:val="30"/>
        </w:rPr>
        <w:t>将参数拼接成字符串(空值不参与签名)</w:t>
      </w:r>
    </w:p>
    <w:p w14:paraId="513E6FB0">
      <w:pPr>
        <w:spacing w:after="120"/>
        <w:ind w:firstLine="600"/>
        <w:rPr>
          <w:rFonts w:ascii="仿宋" w:hAnsi="仿宋" w:eastAsia="仿宋" w:cs="仿宋"/>
          <w:sz w:val="30"/>
          <w:szCs w:val="30"/>
        </w:rPr>
      </w:pPr>
      <w:r>
        <w:rPr>
          <w:rFonts w:hint="eastAsia" w:ascii="仿宋" w:hAnsi="仿宋" w:eastAsia="仿宋" w:cs="仿宋"/>
          <w:sz w:val="30"/>
          <w:szCs w:val="30"/>
        </w:rPr>
        <w:t>String str = "";</w:t>
      </w:r>
    </w:p>
    <w:p w14:paraId="12F6CFC0">
      <w:pPr>
        <w:spacing w:after="120"/>
        <w:ind w:firstLine="600"/>
        <w:rPr>
          <w:rFonts w:ascii="仿宋" w:hAnsi="仿宋" w:eastAsia="仿宋" w:cs="仿宋"/>
          <w:sz w:val="30"/>
          <w:szCs w:val="30"/>
        </w:rPr>
      </w:pPr>
      <w:r>
        <w:rPr>
          <w:rFonts w:hint="eastAsia" w:ascii="仿宋" w:hAnsi="仿宋" w:eastAsia="仿宋" w:cs="仿宋"/>
          <w:sz w:val="30"/>
          <w:szCs w:val="30"/>
        </w:rPr>
        <w:t>for(param : params){</w:t>
      </w:r>
    </w:p>
    <w:p w14:paraId="424D580F">
      <w:pPr>
        <w:spacing w:after="120"/>
        <w:ind w:firstLine="600"/>
        <w:rPr>
          <w:rFonts w:ascii="仿宋" w:hAnsi="仿宋" w:eastAsia="仿宋" w:cs="仿宋"/>
          <w:sz w:val="30"/>
          <w:szCs w:val="30"/>
        </w:rPr>
      </w:pPr>
      <w:r>
        <w:rPr>
          <w:rFonts w:hint="eastAsia" w:ascii="仿宋" w:hAnsi="仿宋" w:eastAsia="仿宋" w:cs="仿宋"/>
          <w:sz w:val="30"/>
          <w:szCs w:val="30"/>
        </w:rPr>
        <w:t>if(param.value != null &amp;&amp;param.value.length() &gt; 0){</w:t>
      </w:r>
    </w:p>
    <w:p w14:paraId="28E4AA32">
      <w:pPr>
        <w:spacing w:after="120"/>
        <w:ind w:firstLine="600"/>
        <w:rPr>
          <w:rFonts w:ascii="仿宋" w:hAnsi="仿宋" w:eastAsia="仿宋" w:cs="仿宋"/>
          <w:sz w:val="30"/>
          <w:szCs w:val="30"/>
        </w:rPr>
      </w:pPr>
      <w:r>
        <w:rPr>
          <w:rFonts w:hint="eastAsia" w:ascii="仿宋" w:hAnsi="仿宋" w:eastAsia="仿宋" w:cs="仿宋"/>
          <w:sz w:val="30"/>
          <w:szCs w:val="30"/>
        </w:rPr>
        <w:t xml:space="preserve">    str += "&amp;" + param.key + "=" + param.value;  }}</w:t>
      </w:r>
    </w:p>
    <w:p w14:paraId="39973AE1">
      <w:pPr>
        <w:spacing w:after="120"/>
        <w:ind w:firstLine="600"/>
        <w:rPr>
          <w:rFonts w:ascii="仿宋" w:hAnsi="仿宋" w:eastAsia="仿宋" w:cs="仿宋"/>
          <w:sz w:val="30"/>
          <w:szCs w:val="30"/>
        </w:rPr>
      </w:pPr>
      <w:r>
        <w:rPr>
          <w:rFonts w:hint="eastAsia" w:ascii="仿宋" w:hAnsi="仿宋" w:eastAsia="仿宋" w:cs="仿宋"/>
          <w:sz w:val="30"/>
          <w:szCs w:val="30"/>
        </w:rPr>
        <w:t>str = str.substring(1, str.length());</w:t>
      </w:r>
    </w:p>
    <w:p w14:paraId="47F0EEA9">
      <w:pPr>
        <w:numPr>
          <w:ilvl w:val="0"/>
          <w:numId w:val="41"/>
        </w:numPr>
        <w:tabs>
          <w:tab w:val="left" w:pos="0"/>
        </w:tabs>
        <w:spacing w:after="120"/>
        <w:ind w:firstLine="600"/>
        <w:rPr>
          <w:rFonts w:ascii="仿宋" w:hAnsi="仿宋" w:eastAsia="仿宋" w:cs="仿宋"/>
          <w:sz w:val="30"/>
          <w:szCs w:val="30"/>
        </w:rPr>
      </w:pPr>
      <w:r>
        <w:rPr>
          <w:rFonts w:hint="eastAsia" w:ascii="仿宋" w:hAnsi="仿宋" w:eastAsia="仿宋" w:cs="仿宋"/>
          <w:sz w:val="30"/>
          <w:szCs w:val="30"/>
        </w:rPr>
        <w:t>生成签名</w:t>
      </w:r>
    </w:p>
    <w:p w14:paraId="21D1982D">
      <w:pPr>
        <w:spacing w:after="120"/>
        <w:ind w:firstLine="600"/>
        <w:rPr>
          <w:rFonts w:ascii="仿宋" w:hAnsi="仿宋" w:eastAsia="仿宋" w:cs="仿宋"/>
          <w:sz w:val="30"/>
          <w:szCs w:val="30"/>
        </w:rPr>
      </w:pPr>
      <w:r>
        <w:rPr>
          <w:rFonts w:hint="eastAsia" w:ascii="仿宋" w:hAnsi="仿宋" w:eastAsia="仿宋" w:cs="仿宋"/>
          <w:sz w:val="30"/>
          <w:szCs w:val="30"/>
        </w:rPr>
        <w:t>String sign = md5(str + key);</w:t>
      </w:r>
    </w:p>
    <w:p w14:paraId="55FAEC10">
      <w:pPr>
        <w:spacing w:after="120"/>
        <w:ind w:firstLine="600"/>
        <w:rPr>
          <w:rFonts w:ascii="仿宋" w:hAnsi="仿宋" w:eastAsia="仿宋" w:cs="仿宋"/>
          <w:sz w:val="30"/>
          <w:szCs w:val="30"/>
        </w:rPr>
      </w:pPr>
      <w:r>
        <w:rPr>
          <w:rFonts w:hint="eastAsia" w:ascii="仿宋" w:hAnsi="仿宋" w:eastAsia="仿宋" w:cs="仿宋"/>
          <w:sz w:val="30"/>
          <w:szCs w:val="30"/>
        </w:rPr>
        <w:t>params.put("sign", sign);</w:t>
      </w:r>
    </w:p>
    <w:p w14:paraId="29E1B4CC">
      <w:pPr>
        <w:numPr>
          <w:ilvl w:val="0"/>
          <w:numId w:val="41"/>
        </w:numPr>
        <w:tabs>
          <w:tab w:val="left" w:pos="0"/>
        </w:tabs>
        <w:spacing w:after="120"/>
        <w:ind w:firstLine="600"/>
        <w:rPr>
          <w:rFonts w:ascii="仿宋" w:hAnsi="仿宋" w:eastAsia="仿宋" w:cs="仿宋"/>
          <w:sz w:val="30"/>
          <w:szCs w:val="30"/>
        </w:rPr>
      </w:pPr>
      <w:r>
        <w:rPr>
          <w:rFonts w:hint="eastAsia" w:ascii="仿宋" w:hAnsi="仿宋" w:eastAsia="仿宋" w:cs="仿宋"/>
          <w:sz w:val="30"/>
          <w:szCs w:val="30"/>
        </w:rPr>
        <w:t>提交数据</w:t>
      </w:r>
    </w:p>
    <w:p w14:paraId="7B052EBE">
      <w:pPr>
        <w:spacing w:after="120"/>
        <w:ind w:firstLine="600"/>
        <w:rPr>
          <w:rFonts w:ascii="仿宋" w:hAnsi="仿宋" w:eastAsia="仿宋" w:cs="仿宋"/>
          <w:sz w:val="30"/>
          <w:szCs w:val="30"/>
        </w:rPr>
      </w:pPr>
      <w:r>
        <w:rPr>
          <w:rFonts w:hint="eastAsia" w:ascii="仿宋" w:hAnsi="仿宋" w:eastAsia="仿宋" w:cs="仿宋"/>
          <w:sz w:val="30"/>
          <w:szCs w:val="30"/>
        </w:rPr>
        <w:t>http.post(params);</w:t>
      </w:r>
    </w:p>
    <w:p w14:paraId="558D4F4D">
      <w:pPr>
        <w:spacing w:after="120"/>
        <w:ind w:firstLine="600"/>
        <w:rPr>
          <w:rFonts w:ascii="仿宋" w:hAnsi="仿宋" w:eastAsia="仿宋" w:cs="仿宋"/>
          <w:sz w:val="30"/>
          <w:szCs w:val="30"/>
        </w:rPr>
      </w:pPr>
      <w:bookmarkStart w:id="1240" w:name="_Toc663"/>
      <w:bookmarkStart w:id="1241" w:name="_Toc15669"/>
      <w:r>
        <w:rPr>
          <w:rFonts w:hint="eastAsia" w:ascii="仿宋" w:hAnsi="仿宋" w:eastAsia="仿宋" w:cs="仿宋"/>
          <w:sz w:val="30"/>
          <w:szCs w:val="30"/>
        </w:rPr>
        <w:t>2.2环境</w:t>
      </w:r>
      <w:bookmarkEnd w:id="1240"/>
      <w:bookmarkEnd w:id="1241"/>
    </w:p>
    <w:p w14:paraId="76B1C97A">
      <w:pPr>
        <w:spacing w:after="120"/>
        <w:ind w:firstLine="600"/>
        <w:rPr>
          <w:rFonts w:ascii="仿宋" w:hAnsi="仿宋" w:eastAsia="仿宋" w:cs="仿宋"/>
          <w:sz w:val="30"/>
          <w:szCs w:val="30"/>
        </w:rPr>
      </w:pPr>
      <w:r>
        <w:rPr>
          <w:rFonts w:hint="eastAsia" w:ascii="仿宋" w:hAnsi="仿宋" w:eastAsia="仿宋" w:cs="仿宋"/>
          <w:sz w:val="30"/>
          <w:szCs w:val="30"/>
        </w:rPr>
        <w:t>接口调用规则请参照附件1</w:t>
      </w:r>
    </w:p>
    <w:p w14:paraId="13D94723">
      <w:pPr>
        <w:spacing w:after="120"/>
        <w:ind w:firstLine="600"/>
        <w:rPr>
          <w:rFonts w:ascii="仿宋" w:hAnsi="仿宋" w:eastAsia="仿宋" w:cs="仿宋"/>
          <w:sz w:val="30"/>
          <w:szCs w:val="30"/>
        </w:rPr>
      </w:pPr>
      <w:r>
        <w:rPr>
          <w:rFonts w:hint="eastAsia" w:ascii="仿宋" w:hAnsi="仿宋" w:eastAsia="仿宋" w:cs="仿宋"/>
          <w:sz w:val="30"/>
          <w:szCs w:val="30"/>
        </w:rPr>
        <w:t>2.2.1上报环境检测接口</w:t>
      </w:r>
    </w:p>
    <w:p w14:paraId="4BCEFA98">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接口说明</w:t>
      </w:r>
    </w:p>
    <w:p w14:paraId="17C0E0C0">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上报环境监测数据，包括pm2.5,pm10,温度湿度，风向，风速，TSP等信息</w:t>
      </w:r>
    </w:p>
    <w:p w14:paraId="72F6604D">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接口地址</w:t>
      </w:r>
    </w:p>
    <w:p w14:paraId="15073A02">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/gdiapi/gdi/dataupload/environment</w:t>
      </w:r>
    </w:p>
    <w:p w14:paraId="782C4F98">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请求方法</w:t>
      </w:r>
    </w:p>
    <w:p w14:paraId="53902427">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POST</w:t>
      </w:r>
    </w:p>
    <w:p w14:paraId="348A7962">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版本号</w:t>
      </w:r>
    </w:p>
    <w:p w14:paraId="068CD7BF">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1.0.0</w:t>
      </w:r>
    </w:p>
    <w:p w14:paraId="3CA47728">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报送周期</w:t>
      </w:r>
    </w:p>
    <w:p w14:paraId="1FEA478A">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300秒</w:t>
      </w:r>
    </w:p>
    <w:p w14:paraId="68C155D1">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请求参数（data部分）</w:t>
      </w:r>
    </w:p>
    <w:tbl>
      <w:tblPr>
        <w:tblStyle w:val="55"/>
        <w:tblW w:w="10097"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919"/>
        <w:gridCol w:w="1080"/>
        <w:gridCol w:w="1125"/>
        <w:gridCol w:w="3585"/>
        <w:gridCol w:w="1260"/>
        <w:gridCol w:w="1128"/>
      </w:tblGrid>
      <w:tr w14:paraId="4F34FFA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03A64A6D">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参数名称</w:t>
            </w:r>
          </w:p>
        </w:tc>
        <w:tc>
          <w:tcPr>
            <w:tcW w:w="1080"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7033E198">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参数类型</w:t>
            </w:r>
          </w:p>
        </w:tc>
        <w:tc>
          <w:tcPr>
            <w:tcW w:w="1125"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67031572">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是否必须</w:t>
            </w:r>
          </w:p>
        </w:tc>
        <w:tc>
          <w:tcPr>
            <w:tcW w:w="3585"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3A53920B">
            <w:pPr>
              <w:spacing w:after="120"/>
              <w:ind w:firstLine="528"/>
              <w:jc w:val="left"/>
              <w:rPr>
                <w:rFonts w:ascii="仿宋" w:hAnsi="仿宋" w:eastAsia="仿宋" w:cs="仿宋"/>
                <w:spacing w:val="12"/>
                <w:szCs w:val="21"/>
              </w:rPr>
            </w:pPr>
            <w:r>
              <w:rPr>
                <w:rFonts w:hint="eastAsia" w:ascii="仿宋" w:hAnsi="仿宋" w:eastAsia="仿宋" w:cs="仿宋"/>
                <w:spacing w:val="12"/>
                <w:szCs w:val="21"/>
              </w:rPr>
              <w:t>参数说明</w:t>
            </w:r>
          </w:p>
        </w:tc>
        <w:tc>
          <w:tcPr>
            <w:tcW w:w="1260"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53A49953">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默认值</w:t>
            </w:r>
          </w:p>
        </w:tc>
        <w:tc>
          <w:tcPr>
            <w:tcW w:w="1128"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23A9262C">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示例</w:t>
            </w:r>
          </w:p>
        </w:tc>
      </w:tr>
      <w:tr w14:paraId="1404E9C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B09C0FA">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deviceId</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8F99393">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string</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67731B1">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0133564">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设备ID</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AE0653E">
            <w:pPr>
              <w:spacing w:after="120"/>
              <w:ind w:firstLine="528"/>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A04F859">
            <w:pPr>
              <w:spacing w:after="120"/>
              <w:ind w:firstLine="528"/>
              <w:jc w:val="left"/>
              <w:rPr>
                <w:rFonts w:ascii="仿宋" w:hAnsi="仿宋" w:eastAsia="仿宋" w:cs="仿宋"/>
                <w:spacing w:val="12"/>
                <w:szCs w:val="21"/>
              </w:rPr>
            </w:pPr>
          </w:p>
        </w:tc>
      </w:tr>
      <w:tr w14:paraId="1755498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F2A5572">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deviceName</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B250AAE">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string</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D96A964">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CE3F6E7">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设备名称</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25FDFD4">
            <w:pPr>
              <w:spacing w:after="120"/>
              <w:ind w:firstLine="528"/>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9DAF3B8">
            <w:pPr>
              <w:spacing w:after="120"/>
              <w:ind w:firstLine="528"/>
              <w:jc w:val="left"/>
              <w:rPr>
                <w:rFonts w:ascii="仿宋" w:hAnsi="仿宋" w:eastAsia="仿宋" w:cs="仿宋"/>
                <w:spacing w:val="12"/>
                <w:szCs w:val="21"/>
              </w:rPr>
            </w:pPr>
          </w:p>
        </w:tc>
      </w:tr>
      <w:tr w14:paraId="1410A73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03A7E1E">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tsp</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FE32EB3">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double</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5A619C6">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811A29B">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tsp,总悬浮微粒，单位ug/m3</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14D7F9A">
            <w:pPr>
              <w:spacing w:after="120"/>
              <w:ind w:firstLine="528"/>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C8AFE14">
            <w:pPr>
              <w:spacing w:after="120"/>
              <w:ind w:firstLine="528"/>
              <w:jc w:val="left"/>
              <w:rPr>
                <w:rFonts w:ascii="仿宋" w:hAnsi="仿宋" w:eastAsia="仿宋" w:cs="仿宋"/>
                <w:spacing w:val="12"/>
                <w:szCs w:val="21"/>
              </w:rPr>
            </w:pPr>
          </w:p>
        </w:tc>
      </w:tr>
      <w:tr w14:paraId="251C298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A5079F0">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pm2.5</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786AB9F">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double</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DCFF1FB">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6A18A23">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pm2.5，单位ug/m3</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C3A302A">
            <w:pPr>
              <w:spacing w:after="120"/>
              <w:ind w:firstLine="528"/>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1259A0D">
            <w:pPr>
              <w:spacing w:after="120"/>
              <w:ind w:firstLine="528"/>
              <w:jc w:val="left"/>
              <w:rPr>
                <w:rFonts w:ascii="仿宋" w:hAnsi="仿宋" w:eastAsia="仿宋" w:cs="仿宋"/>
                <w:spacing w:val="12"/>
                <w:szCs w:val="21"/>
              </w:rPr>
            </w:pPr>
          </w:p>
        </w:tc>
      </w:tr>
      <w:tr w14:paraId="44337E3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F17F238">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pm10</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AA1D3A8">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double</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50B46A4">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FE58237">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pm10，单位ug/m3</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156C600">
            <w:pPr>
              <w:spacing w:after="120"/>
              <w:ind w:firstLine="528"/>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57BD9B5">
            <w:pPr>
              <w:spacing w:after="120"/>
              <w:ind w:firstLine="528"/>
              <w:jc w:val="left"/>
              <w:rPr>
                <w:rFonts w:ascii="仿宋" w:hAnsi="仿宋" w:eastAsia="仿宋" w:cs="仿宋"/>
                <w:spacing w:val="12"/>
                <w:szCs w:val="21"/>
              </w:rPr>
            </w:pPr>
          </w:p>
        </w:tc>
      </w:tr>
      <w:tr w14:paraId="715DD3B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7867C39">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noise</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3903744">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double</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16A68E6">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8CE2831">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噪声，db</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D792D7B">
            <w:pPr>
              <w:spacing w:after="120"/>
              <w:ind w:firstLine="528"/>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2C10028">
            <w:pPr>
              <w:spacing w:after="120"/>
              <w:ind w:firstLine="528"/>
              <w:jc w:val="left"/>
              <w:rPr>
                <w:rFonts w:ascii="仿宋" w:hAnsi="仿宋" w:eastAsia="仿宋" w:cs="仿宋"/>
                <w:spacing w:val="12"/>
                <w:szCs w:val="21"/>
              </w:rPr>
            </w:pPr>
          </w:p>
        </w:tc>
      </w:tr>
      <w:tr w14:paraId="66993FE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5A4B320">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humidity</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DC814D8">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double</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65A4186">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AE5C3A9">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湿度，%RH，相对湿度</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B0F077E">
            <w:pPr>
              <w:spacing w:after="120"/>
              <w:ind w:firstLine="528"/>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E922FF2">
            <w:pPr>
              <w:spacing w:after="120"/>
              <w:ind w:firstLine="528"/>
              <w:jc w:val="left"/>
              <w:rPr>
                <w:rFonts w:ascii="仿宋" w:hAnsi="仿宋" w:eastAsia="仿宋" w:cs="仿宋"/>
                <w:spacing w:val="12"/>
                <w:szCs w:val="21"/>
              </w:rPr>
            </w:pPr>
          </w:p>
        </w:tc>
      </w:tr>
      <w:tr w14:paraId="4177E56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E7206CC">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windSpeed</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FF83F2C">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double</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7E73716">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14E5609">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风速,KM/H</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F06FE9F">
            <w:pPr>
              <w:spacing w:after="120"/>
              <w:ind w:firstLine="528"/>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4067419">
            <w:pPr>
              <w:spacing w:after="120"/>
              <w:ind w:firstLine="528"/>
              <w:jc w:val="left"/>
              <w:rPr>
                <w:rFonts w:ascii="仿宋" w:hAnsi="仿宋" w:eastAsia="仿宋" w:cs="仿宋"/>
                <w:spacing w:val="12"/>
                <w:szCs w:val="21"/>
              </w:rPr>
            </w:pPr>
          </w:p>
        </w:tc>
      </w:tr>
      <w:tr w14:paraId="756EC72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E18E72D">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windDirection</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EE112BA">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string</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8FCB779">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6DB0125">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风向</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FFD2E51">
            <w:pPr>
              <w:spacing w:after="120"/>
              <w:ind w:firstLine="528"/>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EE5490B">
            <w:pPr>
              <w:spacing w:after="120"/>
              <w:ind w:firstLine="528"/>
              <w:jc w:val="left"/>
              <w:rPr>
                <w:rFonts w:ascii="仿宋" w:hAnsi="仿宋" w:eastAsia="仿宋" w:cs="仿宋"/>
                <w:spacing w:val="12"/>
                <w:szCs w:val="21"/>
              </w:rPr>
            </w:pPr>
          </w:p>
        </w:tc>
      </w:tr>
      <w:tr w14:paraId="10BC43E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649D24F">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temperature</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CB13B96">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double</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51ED9D0">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6BBA233">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温度，°C</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65B94A0">
            <w:pPr>
              <w:spacing w:after="120"/>
              <w:ind w:firstLine="0" w:firstLineChars="0"/>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EA1EDF3">
            <w:pPr>
              <w:spacing w:after="120"/>
              <w:ind w:firstLine="0" w:firstLineChars="0"/>
              <w:jc w:val="left"/>
              <w:rPr>
                <w:rFonts w:ascii="仿宋" w:hAnsi="仿宋" w:eastAsia="仿宋" w:cs="仿宋"/>
                <w:spacing w:val="12"/>
                <w:szCs w:val="21"/>
              </w:rPr>
            </w:pPr>
          </w:p>
        </w:tc>
      </w:tr>
      <w:tr w14:paraId="5ED96CC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919"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77D972B">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airPressure</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D94919D">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string</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350A618">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True</w:t>
            </w:r>
          </w:p>
        </w:tc>
        <w:tc>
          <w:tcPr>
            <w:tcW w:w="358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D983ED1">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气压，kPa</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6174F6E">
            <w:pPr>
              <w:spacing w:after="120"/>
              <w:ind w:firstLine="0" w:firstLineChars="0"/>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D8C5B98">
            <w:pPr>
              <w:spacing w:after="120"/>
              <w:ind w:firstLine="0" w:firstLineChars="0"/>
              <w:jc w:val="left"/>
              <w:rPr>
                <w:rFonts w:ascii="仿宋" w:hAnsi="仿宋" w:eastAsia="仿宋" w:cs="仿宋"/>
                <w:spacing w:val="12"/>
                <w:szCs w:val="21"/>
              </w:rPr>
            </w:pPr>
          </w:p>
        </w:tc>
      </w:tr>
      <w:tr w14:paraId="1B2A4C7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1007" w:hRule="atLeast"/>
        </w:trPr>
        <w:tc>
          <w:tcPr>
            <w:tcW w:w="1919"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31472A0B">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isOnline</w:t>
            </w:r>
          </w:p>
        </w:tc>
        <w:tc>
          <w:tcPr>
            <w:tcW w:w="10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0BEB05C">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int</w:t>
            </w:r>
          </w:p>
        </w:tc>
        <w:tc>
          <w:tcPr>
            <w:tcW w:w="112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479D3B0">
            <w:pPr>
              <w:spacing w:after="120"/>
              <w:ind w:firstLine="0" w:firstLineChars="0"/>
              <w:jc w:val="left"/>
              <w:rPr>
                <w:rFonts w:ascii="仿宋" w:hAnsi="仿宋" w:eastAsia="仿宋" w:cs="仿宋"/>
                <w:spacing w:val="12"/>
                <w:szCs w:val="21"/>
              </w:rPr>
            </w:pPr>
          </w:p>
        </w:tc>
        <w:tc>
          <w:tcPr>
            <w:tcW w:w="3585"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32625ECB">
            <w:pPr>
              <w:spacing w:after="120"/>
              <w:ind w:firstLine="0" w:firstLineChars="0"/>
              <w:jc w:val="left"/>
              <w:rPr>
                <w:rFonts w:ascii="仿宋" w:hAnsi="仿宋" w:eastAsia="仿宋" w:cs="仿宋"/>
                <w:spacing w:val="12"/>
                <w:szCs w:val="21"/>
              </w:rPr>
            </w:pPr>
            <w:r>
              <w:rPr>
                <w:rFonts w:hint="eastAsia" w:ascii="仿宋" w:hAnsi="仿宋" w:eastAsia="仿宋" w:cs="仿宋"/>
                <w:spacing w:val="12"/>
                <w:szCs w:val="21"/>
              </w:rPr>
              <w:t>在线状态 0 离线 1 在线</w:t>
            </w:r>
          </w:p>
        </w:tc>
        <w:tc>
          <w:tcPr>
            <w:tcW w:w="126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0BE057D">
            <w:pPr>
              <w:spacing w:after="120"/>
              <w:ind w:firstLine="0" w:firstLineChars="0"/>
              <w:jc w:val="left"/>
              <w:rPr>
                <w:rFonts w:ascii="仿宋" w:hAnsi="仿宋" w:eastAsia="仿宋" w:cs="仿宋"/>
                <w:spacing w:val="12"/>
                <w:szCs w:val="21"/>
              </w:rPr>
            </w:pPr>
          </w:p>
        </w:tc>
        <w:tc>
          <w:tcPr>
            <w:tcW w:w="1128"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8977810">
            <w:pPr>
              <w:spacing w:after="120"/>
              <w:ind w:firstLine="0" w:firstLineChars="0"/>
              <w:jc w:val="left"/>
              <w:rPr>
                <w:rFonts w:ascii="仿宋" w:hAnsi="仿宋" w:eastAsia="仿宋" w:cs="仿宋"/>
                <w:spacing w:val="12"/>
                <w:szCs w:val="21"/>
              </w:rPr>
            </w:pPr>
          </w:p>
        </w:tc>
      </w:tr>
    </w:tbl>
    <w:p w14:paraId="6C0F4AA2">
      <w:pPr>
        <w:spacing w:after="120"/>
        <w:ind w:firstLine="530"/>
        <w:rPr>
          <w:rFonts w:ascii="仿宋" w:hAnsi="仿宋" w:eastAsia="仿宋" w:cs="仿宋"/>
          <w:b/>
          <w:bCs/>
          <w:spacing w:val="12"/>
        </w:rPr>
      </w:pPr>
    </w:p>
    <w:p w14:paraId="3DEA0E98">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请求示例</w:t>
      </w:r>
    </w:p>
    <w:p w14:paraId="1988BFF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t>
      </w:r>
    </w:p>
    <w:p w14:paraId="7F9E4177">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"data":  [</w:t>
      </w:r>
    </w:p>
    <w:p w14:paraId="3BC37773">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t>
      </w:r>
    </w:p>
    <w:p w14:paraId="6002CD9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"tsp": 55,</w:t>
      </w:r>
    </w:p>
    <w:p w14:paraId="0A8D938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"pm10": 60,</w:t>
      </w:r>
    </w:p>
    <w:p w14:paraId="5F9131C5">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"pm2.5": 40,</w:t>
      </w:r>
    </w:p>
    <w:p w14:paraId="103D895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"noise": "23",</w:t>
      </w:r>
    </w:p>
    <w:p w14:paraId="7B3C13F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"deviceId": "23",</w:t>
      </w:r>
    </w:p>
    <w:p w14:paraId="2C5FD11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"deviceName":"1#扬尘机",</w:t>
      </w:r>
    </w:p>
    <w:p w14:paraId="03F721F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"humidity": "65",</w:t>
      </w:r>
    </w:p>
    <w:p w14:paraId="3F16E8EE">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"windSpeed": "3",</w:t>
      </w:r>
    </w:p>
    <w:p w14:paraId="138E5CF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"temperature": "23",</w:t>
      </w:r>
    </w:p>
    <w:p w14:paraId="2B8DA05F">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"windDirection": "东南",</w:t>
      </w:r>
    </w:p>
    <w:p w14:paraId="5100C7F9">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"airPressure": 101.2,</w:t>
      </w:r>
    </w:p>
    <w:p w14:paraId="62DEFC7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 xml:space="preserve">"isOnline":1 </w:t>
      </w:r>
    </w:p>
    <w:p w14:paraId="43E490E9">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t>
      </w:r>
    </w:p>
    <w:p w14:paraId="28ECB5F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 xml:space="preserve"> {</w:t>
      </w:r>
    </w:p>
    <w:p w14:paraId="4B1ED53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"tsp": 55,</w:t>
      </w:r>
    </w:p>
    <w:p w14:paraId="679873A4">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"pm10": 60,</w:t>
      </w:r>
    </w:p>
    <w:p w14:paraId="7FB4CFE7">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"pm25": 40,</w:t>
      </w:r>
    </w:p>
    <w:p w14:paraId="3A71148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"noise": "23",</w:t>
      </w:r>
    </w:p>
    <w:p w14:paraId="3ABE4D5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"deviceId": "23",</w:t>
      </w:r>
    </w:p>
    <w:p w14:paraId="3C93E97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"deviceName":"2#扬尘机",</w:t>
      </w:r>
    </w:p>
    <w:p w14:paraId="54C40B8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"humidity": "65",</w:t>
      </w:r>
    </w:p>
    <w:p w14:paraId="747C4D3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"windSpeed": "3",</w:t>
      </w:r>
    </w:p>
    <w:p w14:paraId="199C9A9F">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"temperature": "23",</w:t>
      </w:r>
    </w:p>
    <w:p w14:paraId="5598BBE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"windDirection": "东南",</w:t>
      </w:r>
    </w:p>
    <w:p w14:paraId="46DD618E">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"airPressure": 101.2,</w:t>
      </w:r>
    </w:p>
    <w:p w14:paraId="2C2CD3EF">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"isOnline":1 }],</w:t>
      </w:r>
    </w:p>
    <w:p w14:paraId="45CFF02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"projectId": "3232323",</w:t>
      </w:r>
    </w:p>
    <w:p w14:paraId="16EC407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"timestamp": "13449039388",</w:t>
      </w:r>
    </w:p>
    <w:p w14:paraId="375BFC7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"sign": "sign"}</w:t>
      </w:r>
    </w:p>
    <w:p w14:paraId="08FABC61">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响应数据</w:t>
      </w:r>
    </w:p>
    <w:tbl>
      <w:tblPr>
        <w:tblStyle w:val="55"/>
        <w:tblW w:w="5135"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378"/>
        <w:gridCol w:w="1465"/>
        <w:gridCol w:w="1374"/>
        <w:gridCol w:w="4631"/>
        <w:gridCol w:w="1325"/>
      </w:tblGrid>
      <w:tr w14:paraId="22A00B8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677"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0C09EF0C">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参数名称</w:t>
            </w:r>
          </w:p>
        </w:tc>
        <w:tc>
          <w:tcPr>
            <w:tcW w:w="720"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1A50D732">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参数类型</w:t>
            </w:r>
          </w:p>
        </w:tc>
        <w:tc>
          <w:tcPr>
            <w:tcW w:w="675"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39E003BA">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是否必须</w:t>
            </w:r>
          </w:p>
        </w:tc>
        <w:tc>
          <w:tcPr>
            <w:tcW w:w="2275"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107D7B33">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参数说明</w:t>
            </w:r>
          </w:p>
        </w:tc>
        <w:tc>
          <w:tcPr>
            <w:tcW w:w="651"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5FFC0191">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示例</w:t>
            </w:r>
          </w:p>
        </w:tc>
      </w:tr>
      <w:tr w14:paraId="2537E2A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677"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BFD2AE2">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code</w:t>
            </w:r>
          </w:p>
        </w:tc>
        <w:tc>
          <w:tcPr>
            <w:tcW w:w="720"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7E56F76">
            <w:pPr>
              <w:wordWrap/>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integer</w:t>
            </w:r>
          </w:p>
        </w:tc>
        <w:tc>
          <w:tcPr>
            <w:tcW w:w="67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7E93A12">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True</w:t>
            </w:r>
          </w:p>
        </w:tc>
        <w:tc>
          <w:tcPr>
            <w:tcW w:w="227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E3A90EC">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响应码</w:t>
            </w:r>
          </w:p>
        </w:tc>
        <w:tc>
          <w:tcPr>
            <w:tcW w:w="65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82BE867">
            <w:pPr>
              <w:spacing w:after="120"/>
              <w:ind w:firstLine="0" w:firstLineChars="0"/>
              <w:rPr>
                <w:rFonts w:ascii="仿宋" w:hAnsi="仿宋" w:eastAsia="仿宋" w:cs="仿宋"/>
                <w:spacing w:val="12"/>
                <w:szCs w:val="21"/>
              </w:rPr>
            </w:pPr>
            <w:r>
              <w:rPr>
                <w:rFonts w:hint="eastAsia" w:ascii="仿宋" w:hAnsi="仿宋" w:eastAsia="仿宋" w:cs="仿宋"/>
                <w:spacing w:val="12"/>
                <w:szCs w:val="21"/>
              </w:rPr>
              <w:t>200</w:t>
            </w:r>
          </w:p>
        </w:tc>
      </w:tr>
      <w:tr w14:paraId="5BCE592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966" w:hRule="atLeast"/>
        </w:trPr>
        <w:tc>
          <w:tcPr>
            <w:tcW w:w="677"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22F14ED">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msg</w:t>
            </w:r>
          </w:p>
        </w:tc>
        <w:tc>
          <w:tcPr>
            <w:tcW w:w="720"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BA9066B">
            <w:pPr>
              <w:wordWrap/>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string</w:t>
            </w:r>
          </w:p>
        </w:tc>
        <w:tc>
          <w:tcPr>
            <w:tcW w:w="67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1FB5218">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True</w:t>
            </w:r>
          </w:p>
        </w:tc>
        <w:tc>
          <w:tcPr>
            <w:tcW w:w="227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B00CBEE">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响应信息</w:t>
            </w:r>
          </w:p>
        </w:tc>
        <w:tc>
          <w:tcPr>
            <w:tcW w:w="65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B1CB5EB">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上报成功</w:t>
            </w:r>
          </w:p>
        </w:tc>
      </w:tr>
      <w:tr w14:paraId="35713AD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587" w:hRule="atLeast"/>
        </w:trPr>
        <w:tc>
          <w:tcPr>
            <w:tcW w:w="677"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519B81C">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success</w:t>
            </w:r>
          </w:p>
        </w:tc>
        <w:tc>
          <w:tcPr>
            <w:tcW w:w="720"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48DE15C">
            <w:pPr>
              <w:wordWrap/>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bool</w:t>
            </w:r>
          </w:p>
        </w:tc>
        <w:tc>
          <w:tcPr>
            <w:tcW w:w="67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F5D6A8E">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True</w:t>
            </w:r>
          </w:p>
        </w:tc>
        <w:tc>
          <w:tcPr>
            <w:tcW w:w="227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D3E2C07">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是否成功，接口是否成功主要看这个值</w:t>
            </w:r>
          </w:p>
        </w:tc>
        <w:tc>
          <w:tcPr>
            <w:tcW w:w="65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95B8E16">
            <w:pPr>
              <w:spacing w:after="120"/>
              <w:ind w:firstLine="0" w:firstLineChars="0"/>
              <w:rPr>
                <w:rFonts w:ascii="仿宋" w:hAnsi="仿宋" w:eastAsia="仿宋" w:cs="仿宋"/>
                <w:spacing w:val="12"/>
                <w:szCs w:val="21"/>
              </w:rPr>
            </w:pPr>
            <w:r>
              <w:rPr>
                <w:rFonts w:hint="eastAsia" w:ascii="仿宋" w:hAnsi="仿宋" w:eastAsia="仿宋" w:cs="仿宋"/>
                <w:spacing w:val="12"/>
                <w:szCs w:val="21"/>
              </w:rPr>
              <w:t>True</w:t>
            </w:r>
          </w:p>
        </w:tc>
      </w:tr>
      <w:tr w14:paraId="68EE41C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599" w:hRule="atLeast"/>
        </w:trPr>
        <w:tc>
          <w:tcPr>
            <w:tcW w:w="677"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8F2FF8C">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data</w:t>
            </w:r>
          </w:p>
        </w:tc>
        <w:tc>
          <w:tcPr>
            <w:tcW w:w="720"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D51CF8F">
            <w:pPr>
              <w:wordWrap/>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w:t>
            </w:r>
          </w:p>
        </w:tc>
        <w:tc>
          <w:tcPr>
            <w:tcW w:w="67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3F4E65F">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False</w:t>
            </w:r>
          </w:p>
        </w:tc>
        <w:tc>
          <w:tcPr>
            <w:tcW w:w="227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46B647E">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可空，需要返回数据时，这个值返回</w:t>
            </w:r>
          </w:p>
        </w:tc>
        <w:tc>
          <w:tcPr>
            <w:tcW w:w="65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461F387">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w:t>
            </w:r>
          </w:p>
        </w:tc>
      </w:tr>
    </w:tbl>
    <w:p w14:paraId="37CD2A49">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响应示例</w:t>
      </w:r>
    </w:p>
    <w:p w14:paraId="31F4D09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t>
      </w:r>
    </w:p>
    <w:p w14:paraId="02C3CAC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"code": 200,</w:t>
      </w:r>
    </w:p>
    <w:p w14:paraId="208EC04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"success": true,</w:t>
      </w:r>
    </w:p>
    <w:p w14:paraId="41339E4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"data": {},</w:t>
      </w:r>
    </w:p>
    <w:p w14:paraId="1CC3B0C8">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"msg": "上报成功"</w:t>
      </w:r>
    </w:p>
    <w:p w14:paraId="6BAD034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t>
      </w:r>
    </w:p>
    <w:p w14:paraId="191D78D3">
      <w:pPr>
        <w:spacing w:after="120"/>
        <w:ind w:firstLine="600"/>
        <w:rPr>
          <w:rFonts w:ascii="仿宋" w:hAnsi="仿宋" w:eastAsia="仿宋" w:cs="仿宋"/>
          <w:sz w:val="30"/>
          <w:szCs w:val="30"/>
        </w:rPr>
      </w:pPr>
    </w:p>
    <w:p w14:paraId="6834DCDB">
      <w:pPr>
        <w:spacing w:after="120"/>
        <w:ind w:firstLine="600"/>
        <w:rPr>
          <w:rFonts w:ascii="仿宋" w:hAnsi="仿宋" w:eastAsia="仿宋" w:cs="仿宋"/>
          <w:sz w:val="30"/>
          <w:szCs w:val="30"/>
        </w:rPr>
      </w:pPr>
      <w:r>
        <w:rPr>
          <w:rFonts w:hint="eastAsia" w:ascii="仿宋" w:hAnsi="仿宋" w:eastAsia="仿宋" w:cs="仿宋"/>
          <w:sz w:val="30"/>
          <w:szCs w:val="30"/>
        </w:rPr>
        <w:t>2.2.2 环境监测设备信息上报</w:t>
      </w:r>
    </w:p>
    <w:p w14:paraId="11D0FF34">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接口说明</w:t>
      </w:r>
    </w:p>
    <w:p w14:paraId="0FF4C9B9">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上报环境监测设备信息，此为设备静态数据</w:t>
      </w:r>
    </w:p>
    <w:p w14:paraId="4DCC03FA">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接口地址</w:t>
      </w:r>
    </w:p>
    <w:p w14:paraId="7ED801E8">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/gdiapi/gdi/device/environment</w:t>
      </w:r>
    </w:p>
    <w:p w14:paraId="5A2819BE">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请求方法</w:t>
      </w:r>
    </w:p>
    <w:p w14:paraId="5DBEA91A">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POST</w:t>
      </w:r>
    </w:p>
    <w:p w14:paraId="17750FFB">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版本号</w:t>
      </w:r>
    </w:p>
    <w:p w14:paraId="329368C8">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1.0.0</w:t>
      </w:r>
    </w:p>
    <w:p w14:paraId="6C398008">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报送周期</w:t>
      </w:r>
    </w:p>
    <w:p w14:paraId="7E351FC0">
      <w:pPr>
        <w:spacing w:after="120"/>
        <w:ind w:firstLine="648"/>
        <w:jc w:val="left"/>
        <w:rPr>
          <w:rFonts w:ascii="仿宋" w:hAnsi="仿宋" w:eastAsia="仿宋" w:cs="仿宋"/>
          <w:spacing w:val="12"/>
          <w:sz w:val="30"/>
          <w:szCs w:val="30"/>
        </w:rPr>
      </w:pPr>
      <w:r>
        <w:rPr>
          <w:rFonts w:hint="eastAsia" w:ascii="仿宋" w:hAnsi="仿宋" w:eastAsia="仿宋" w:cs="仿宋"/>
          <w:spacing w:val="12"/>
          <w:sz w:val="30"/>
          <w:szCs w:val="30"/>
        </w:rPr>
        <w:t>有新增或修改时报送，服务端根据设备ID新增或更新。</w:t>
      </w:r>
    </w:p>
    <w:p w14:paraId="17D37045">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请求参数（data部分）</w:t>
      </w:r>
    </w:p>
    <w:tbl>
      <w:tblPr>
        <w:tblStyle w:val="55"/>
        <w:tblW w:w="9576"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604"/>
        <w:gridCol w:w="1440"/>
        <w:gridCol w:w="1365"/>
        <w:gridCol w:w="2280"/>
        <w:gridCol w:w="1110"/>
        <w:gridCol w:w="1777"/>
      </w:tblGrid>
      <w:tr w14:paraId="539B9DC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1604"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30EC9D95">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参数名称</w:t>
            </w:r>
          </w:p>
        </w:tc>
        <w:tc>
          <w:tcPr>
            <w:tcW w:w="1440"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0826FE39">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参数类型</w:t>
            </w:r>
          </w:p>
        </w:tc>
        <w:tc>
          <w:tcPr>
            <w:tcW w:w="1365"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41DEF431">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是否必须</w:t>
            </w:r>
          </w:p>
        </w:tc>
        <w:tc>
          <w:tcPr>
            <w:tcW w:w="2280"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4001612E">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参数说明</w:t>
            </w:r>
          </w:p>
        </w:tc>
        <w:tc>
          <w:tcPr>
            <w:tcW w:w="1110"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600CEADF">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默认值</w:t>
            </w:r>
          </w:p>
        </w:tc>
        <w:tc>
          <w:tcPr>
            <w:tcW w:w="1777" w:type="dxa"/>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187BDDEA">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说明</w:t>
            </w:r>
          </w:p>
        </w:tc>
      </w:tr>
      <w:tr w14:paraId="772A360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1604"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46F91E2">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deviceId</w:t>
            </w:r>
          </w:p>
        </w:tc>
        <w:tc>
          <w:tcPr>
            <w:tcW w:w="144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AC9F269">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string</w:t>
            </w:r>
          </w:p>
        </w:tc>
        <w:tc>
          <w:tcPr>
            <w:tcW w:w="136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BA3CD18">
            <w:pPr>
              <w:spacing w:after="120"/>
              <w:ind w:firstLine="528"/>
              <w:jc w:val="center"/>
              <w:rPr>
                <w:rFonts w:ascii="仿宋" w:hAnsi="仿宋" w:eastAsia="仿宋" w:cs="仿宋"/>
                <w:spacing w:val="12"/>
                <w:szCs w:val="21"/>
              </w:rPr>
            </w:pPr>
          </w:p>
        </w:tc>
        <w:tc>
          <w:tcPr>
            <w:tcW w:w="22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AA8529F">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设备ID</w:t>
            </w:r>
          </w:p>
        </w:tc>
        <w:tc>
          <w:tcPr>
            <w:tcW w:w="111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57DA3F6">
            <w:pPr>
              <w:spacing w:after="120"/>
              <w:ind w:firstLine="528"/>
              <w:jc w:val="center"/>
              <w:rPr>
                <w:rFonts w:ascii="仿宋" w:hAnsi="仿宋" w:eastAsia="仿宋" w:cs="仿宋"/>
                <w:spacing w:val="12"/>
                <w:szCs w:val="21"/>
              </w:rPr>
            </w:pPr>
          </w:p>
        </w:tc>
        <w:tc>
          <w:tcPr>
            <w:tcW w:w="1777"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188537B">
            <w:pPr>
              <w:spacing w:after="120"/>
              <w:ind w:firstLine="528"/>
              <w:jc w:val="center"/>
              <w:rPr>
                <w:rFonts w:ascii="仿宋" w:hAnsi="仿宋" w:eastAsia="仿宋" w:cs="仿宋"/>
                <w:spacing w:val="12"/>
                <w:szCs w:val="21"/>
              </w:rPr>
            </w:pPr>
          </w:p>
        </w:tc>
      </w:tr>
      <w:tr w14:paraId="3569E9B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1604"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32D5DF59">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deviceName</w:t>
            </w:r>
          </w:p>
        </w:tc>
        <w:tc>
          <w:tcPr>
            <w:tcW w:w="144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8283690">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string</w:t>
            </w:r>
          </w:p>
        </w:tc>
        <w:tc>
          <w:tcPr>
            <w:tcW w:w="136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E728E02">
            <w:pPr>
              <w:spacing w:after="120"/>
              <w:ind w:firstLine="528"/>
              <w:jc w:val="center"/>
              <w:rPr>
                <w:rFonts w:ascii="仿宋" w:hAnsi="仿宋" w:eastAsia="仿宋" w:cs="仿宋"/>
                <w:spacing w:val="12"/>
                <w:szCs w:val="21"/>
              </w:rPr>
            </w:pPr>
          </w:p>
        </w:tc>
        <w:tc>
          <w:tcPr>
            <w:tcW w:w="2280"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01BFEDCD">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设备名称</w:t>
            </w:r>
          </w:p>
        </w:tc>
        <w:tc>
          <w:tcPr>
            <w:tcW w:w="111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436D4694">
            <w:pPr>
              <w:spacing w:after="120"/>
              <w:ind w:firstLine="528"/>
              <w:jc w:val="center"/>
              <w:rPr>
                <w:rFonts w:ascii="仿宋" w:hAnsi="仿宋" w:eastAsia="仿宋" w:cs="仿宋"/>
                <w:spacing w:val="12"/>
                <w:szCs w:val="21"/>
              </w:rPr>
            </w:pPr>
          </w:p>
        </w:tc>
        <w:tc>
          <w:tcPr>
            <w:tcW w:w="1777"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AB1B91A">
            <w:pPr>
              <w:spacing w:after="120"/>
              <w:ind w:firstLine="528"/>
              <w:jc w:val="center"/>
              <w:rPr>
                <w:rFonts w:ascii="仿宋" w:hAnsi="仿宋" w:eastAsia="仿宋" w:cs="仿宋"/>
                <w:spacing w:val="12"/>
                <w:szCs w:val="21"/>
              </w:rPr>
            </w:pPr>
          </w:p>
        </w:tc>
      </w:tr>
      <w:tr w14:paraId="0CF0F2E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1604"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552592E4">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deviceFactory</w:t>
            </w:r>
          </w:p>
        </w:tc>
        <w:tc>
          <w:tcPr>
            <w:tcW w:w="144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44E6F2E">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string</w:t>
            </w:r>
          </w:p>
        </w:tc>
        <w:tc>
          <w:tcPr>
            <w:tcW w:w="136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AA9926D">
            <w:pPr>
              <w:spacing w:after="120"/>
              <w:ind w:firstLine="528"/>
              <w:jc w:val="center"/>
              <w:rPr>
                <w:rFonts w:ascii="仿宋" w:hAnsi="仿宋" w:eastAsia="仿宋" w:cs="仿宋"/>
                <w:spacing w:val="12"/>
                <w:szCs w:val="21"/>
              </w:rPr>
            </w:pPr>
          </w:p>
        </w:tc>
        <w:tc>
          <w:tcPr>
            <w:tcW w:w="2280"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62238C09">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生产厂家</w:t>
            </w:r>
          </w:p>
        </w:tc>
        <w:tc>
          <w:tcPr>
            <w:tcW w:w="111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C3A80BC">
            <w:pPr>
              <w:spacing w:after="120"/>
              <w:ind w:firstLine="528"/>
              <w:jc w:val="center"/>
              <w:rPr>
                <w:rFonts w:ascii="仿宋" w:hAnsi="仿宋" w:eastAsia="仿宋" w:cs="仿宋"/>
                <w:spacing w:val="12"/>
                <w:szCs w:val="21"/>
              </w:rPr>
            </w:pPr>
          </w:p>
        </w:tc>
        <w:tc>
          <w:tcPr>
            <w:tcW w:w="1777"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46E0F8C2">
            <w:pPr>
              <w:spacing w:after="120"/>
              <w:ind w:firstLine="528"/>
              <w:jc w:val="center"/>
              <w:rPr>
                <w:rFonts w:ascii="仿宋" w:hAnsi="仿宋" w:eastAsia="仿宋" w:cs="仿宋"/>
                <w:spacing w:val="12"/>
                <w:szCs w:val="21"/>
              </w:rPr>
            </w:pPr>
          </w:p>
        </w:tc>
      </w:tr>
      <w:tr w14:paraId="156D57E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1604"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172D0E3E">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deviceSn</w:t>
            </w:r>
          </w:p>
        </w:tc>
        <w:tc>
          <w:tcPr>
            <w:tcW w:w="144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51B67BC">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string</w:t>
            </w:r>
          </w:p>
        </w:tc>
        <w:tc>
          <w:tcPr>
            <w:tcW w:w="136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1D1CE07">
            <w:pPr>
              <w:spacing w:after="120"/>
              <w:ind w:firstLine="528"/>
              <w:jc w:val="center"/>
              <w:rPr>
                <w:rFonts w:ascii="仿宋" w:hAnsi="仿宋" w:eastAsia="仿宋" w:cs="仿宋"/>
                <w:spacing w:val="12"/>
                <w:szCs w:val="21"/>
              </w:rPr>
            </w:pPr>
          </w:p>
        </w:tc>
        <w:tc>
          <w:tcPr>
            <w:tcW w:w="2280"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09D3E30D">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序列号</w:t>
            </w:r>
          </w:p>
        </w:tc>
        <w:tc>
          <w:tcPr>
            <w:tcW w:w="111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0555392">
            <w:pPr>
              <w:spacing w:after="120"/>
              <w:ind w:firstLine="528"/>
              <w:jc w:val="center"/>
              <w:rPr>
                <w:rFonts w:ascii="仿宋" w:hAnsi="仿宋" w:eastAsia="仿宋" w:cs="仿宋"/>
                <w:spacing w:val="12"/>
                <w:szCs w:val="21"/>
              </w:rPr>
            </w:pPr>
          </w:p>
        </w:tc>
        <w:tc>
          <w:tcPr>
            <w:tcW w:w="1777"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FABF168">
            <w:pPr>
              <w:spacing w:after="120"/>
              <w:ind w:firstLine="528"/>
              <w:jc w:val="center"/>
              <w:rPr>
                <w:rFonts w:ascii="仿宋" w:hAnsi="仿宋" w:eastAsia="仿宋" w:cs="仿宋"/>
                <w:spacing w:val="12"/>
                <w:szCs w:val="21"/>
              </w:rPr>
            </w:pPr>
          </w:p>
        </w:tc>
      </w:tr>
      <w:tr w14:paraId="70DA42E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1604"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544FF703">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posX</w:t>
            </w:r>
          </w:p>
        </w:tc>
        <w:tc>
          <w:tcPr>
            <w:tcW w:w="144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504CED0">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string</w:t>
            </w:r>
          </w:p>
        </w:tc>
        <w:tc>
          <w:tcPr>
            <w:tcW w:w="136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43481FF">
            <w:pPr>
              <w:spacing w:after="120"/>
              <w:ind w:firstLine="528"/>
              <w:jc w:val="center"/>
              <w:rPr>
                <w:rFonts w:ascii="仿宋" w:hAnsi="仿宋" w:eastAsia="仿宋" w:cs="仿宋"/>
                <w:spacing w:val="12"/>
                <w:szCs w:val="21"/>
              </w:rPr>
            </w:pPr>
          </w:p>
        </w:tc>
        <w:tc>
          <w:tcPr>
            <w:tcW w:w="2280"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3928D4CA">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经度</w:t>
            </w:r>
          </w:p>
        </w:tc>
        <w:tc>
          <w:tcPr>
            <w:tcW w:w="111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7DF146A">
            <w:pPr>
              <w:spacing w:after="120"/>
              <w:ind w:firstLine="528"/>
              <w:jc w:val="center"/>
              <w:rPr>
                <w:rFonts w:ascii="仿宋" w:hAnsi="仿宋" w:eastAsia="仿宋" w:cs="仿宋"/>
                <w:spacing w:val="12"/>
                <w:szCs w:val="21"/>
              </w:rPr>
            </w:pPr>
          </w:p>
        </w:tc>
        <w:tc>
          <w:tcPr>
            <w:tcW w:w="1777"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1CAE56B">
            <w:pPr>
              <w:spacing w:after="120"/>
              <w:ind w:firstLine="528"/>
              <w:jc w:val="center"/>
              <w:rPr>
                <w:rFonts w:ascii="仿宋" w:hAnsi="仿宋" w:eastAsia="仿宋" w:cs="仿宋"/>
                <w:spacing w:val="12"/>
                <w:szCs w:val="21"/>
              </w:rPr>
            </w:pPr>
          </w:p>
        </w:tc>
      </w:tr>
      <w:tr w14:paraId="4AFCFD4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1604"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004F3FBB">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posY</w:t>
            </w:r>
          </w:p>
        </w:tc>
        <w:tc>
          <w:tcPr>
            <w:tcW w:w="144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EDD3608">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string</w:t>
            </w:r>
          </w:p>
        </w:tc>
        <w:tc>
          <w:tcPr>
            <w:tcW w:w="136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12A9414">
            <w:pPr>
              <w:spacing w:after="120"/>
              <w:ind w:firstLine="528"/>
              <w:jc w:val="center"/>
              <w:rPr>
                <w:rFonts w:ascii="仿宋" w:hAnsi="仿宋" w:eastAsia="仿宋" w:cs="仿宋"/>
                <w:spacing w:val="12"/>
                <w:szCs w:val="21"/>
              </w:rPr>
            </w:pPr>
          </w:p>
        </w:tc>
        <w:tc>
          <w:tcPr>
            <w:tcW w:w="2280"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4A49FE1C">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纬度</w:t>
            </w:r>
          </w:p>
        </w:tc>
        <w:tc>
          <w:tcPr>
            <w:tcW w:w="111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AD4EEEE">
            <w:pPr>
              <w:spacing w:after="120"/>
              <w:ind w:firstLine="528"/>
              <w:jc w:val="center"/>
              <w:rPr>
                <w:rFonts w:ascii="仿宋" w:hAnsi="仿宋" w:eastAsia="仿宋" w:cs="仿宋"/>
                <w:spacing w:val="12"/>
                <w:szCs w:val="21"/>
              </w:rPr>
            </w:pPr>
          </w:p>
        </w:tc>
        <w:tc>
          <w:tcPr>
            <w:tcW w:w="1777"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AE159A9">
            <w:pPr>
              <w:spacing w:after="120"/>
              <w:ind w:firstLine="528"/>
              <w:jc w:val="center"/>
              <w:rPr>
                <w:rFonts w:ascii="仿宋" w:hAnsi="仿宋" w:eastAsia="仿宋" w:cs="仿宋"/>
                <w:spacing w:val="12"/>
                <w:szCs w:val="21"/>
              </w:rPr>
            </w:pPr>
          </w:p>
        </w:tc>
      </w:tr>
      <w:tr w14:paraId="5E871EF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1604"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C97813F">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posZ</w:t>
            </w:r>
          </w:p>
        </w:tc>
        <w:tc>
          <w:tcPr>
            <w:tcW w:w="144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4D6C92D">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string</w:t>
            </w:r>
          </w:p>
        </w:tc>
        <w:tc>
          <w:tcPr>
            <w:tcW w:w="136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C41919B">
            <w:pPr>
              <w:spacing w:after="120"/>
              <w:ind w:firstLine="528"/>
              <w:jc w:val="center"/>
              <w:rPr>
                <w:rFonts w:ascii="仿宋" w:hAnsi="仿宋" w:eastAsia="仿宋" w:cs="仿宋"/>
                <w:spacing w:val="12"/>
                <w:szCs w:val="21"/>
              </w:rPr>
            </w:pPr>
          </w:p>
        </w:tc>
        <w:tc>
          <w:tcPr>
            <w:tcW w:w="228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C3733AB">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海拔</w:t>
            </w:r>
          </w:p>
        </w:tc>
        <w:tc>
          <w:tcPr>
            <w:tcW w:w="111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82C597A">
            <w:pPr>
              <w:spacing w:after="120"/>
              <w:ind w:firstLine="528"/>
              <w:jc w:val="center"/>
              <w:rPr>
                <w:rFonts w:ascii="仿宋" w:hAnsi="仿宋" w:eastAsia="仿宋" w:cs="仿宋"/>
                <w:spacing w:val="12"/>
                <w:szCs w:val="21"/>
              </w:rPr>
            </w:pPr>
          </w:p>
        </w:tc>
        <w:tc>
          <w:tcPr>
            <w:tcW w:w="1777"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7E9C7AF">
            <w:pPr>
              <w:spacing w:after="120"/>
              <w:ind w:firstLine="528"/>
              <w:jc w:val="center"/>
              <w:rPr>
                <w:rFonts w:ascii="仿宋" w:hAnsi="仿宋" w:eastAsia="仿宋" w:cs="仿宋"/>
                <w:spacing w:val="12"/>
                <w:szCs w:val="21"/>
              </w:rPr>
            </w:pPr>
          </w:p>
        </w:tc>
      </w:tr>
      <w:tr w14:paraId="3987567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83" w:hRule="atLeast"/>
        </w:trPr>
        <w:tc>
          <w:tcPr>
            <w:tcW w:w="1604"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27D42104">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isOnline</w:t>
            </w:r>
          </w:p>
        </w:tc>
        <w:tc>
          <w:tcPr>
            <w:tcW w:w="144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AE90D42">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int</w:t>
            </w:r>
          </w:p>
        </w:tc>
        <w:tc>
          <w:tcPr>
            <w:tcW w:w="1365"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4B7B024">
            <w:pPr>
              <w:spacing w:after="120"/>
              <w:ind w:firstLine="528"/>
              <w:jc w:val="center"/>
              <w:rPr>
                <w:rFonts w:ascii="仿宋" w:hAnsi="仿宋" w:eastAsia="仿宋" w:cs="仿宋"/>
                <w:spacing w:val="12"/>
                <w:szCs w:val="21"/>
              </w:rPr>
            </w:pPr>
          </w:p>
        </w:tc>
        <w:tc>
          <w:tcPr>
            <w:tcW w:w="2280" w:type="dxa"/>
            <w:tcBorders>
              <w:top w:val="single" w:color="D9D9D9" w:sz="6" w:space="0"/>
              <w:left w:val="single" w:color="D9D9D9" w:sz="6" w:space="0"/>
              <w:bottom w:val="single" w:color="D9D9D9" w:sz="6" w:space="0"/>
              <w:right w:val="single" w:color="D9D9D9" w:sz="6" w:space="0"/>
            </w:tcBorders>
            <w:shd w:val="clear" w:color="auto" w:fill="auto"/>
            <w:tcMar>
              <w:top w:w="60" w:type="dxa"/>
              <w:left w:w="120" w:type="dxa"/>
              <w:bottom w:w="60" w:type="dxa"/>
              <w:right w:w="120" w:type="dxa"/>
            </w:tcMar>
            <w:vAlign w:val="center"/>
          </w:tcPr>
          <w:p w14:paraId="5A0FA92E">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在线状态 0 离线 1 在线</w:t>
            </w:r>
          </w:p>
        </w:tc>
        <w:tc>
          <w:tcPr>
            <w:tcW w:w="1110"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8BA5180">
            <w:pPr>
              <w:spacing w:after="120"/>
              <w:ind w:firstLine="528"/>
              <w:jc w:val="center"/>
              <w:rPr>
                <w:rFonts w:ascii="仿宋" w:hAnsi="仿宋" w:eastAsia="仿宋" w:cs="仿宋"/>
                <w:spacing w:val="12"/>
                <w:szCs w:val="21"/>
              </w:rPr>
            </w:pPr>
          </w:p>
        </w:tc>
        <w:tc>
          <w:tcPr>
            <w:tcW w:w="1777" w:type="dxa"/>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5A96835">
            <w:pPr>
              <w:spacing w:after="120"/>
              <w:ind w:firstLine="528"/>
              <w:jc w:val="center"/>
              <w:rPr>
                <w:rFonts w:ascii="仿宋" w:hAnsi="仿宋" w:eastAsia="仿宋" w:cs="仿宋"/>
                <w:spacing w:val="12"/>
                <w:szCs w:val="21"/>
              </w:rPr>
            </w:pPr>
          </w:p>
        </w:tc>
      </w:tr>
    </w:tbl>
    <w:p w14:paraId="24205066">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请求示例</w:t>
      </w:r>
    </w:p>
    <w:p w14:paraId="1C8F7A7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t>
      </w:r>
    </w:p>
    <w:p w14:paraId="22D63F2E">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"projectId":"13449039388",</w:t>
      </w:r>
    </w:p>
    <w:p w14:paraId="654A048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"data":[</w:t>
      </w:r>
    </w:p>
    <w:p w14:paraId="63BE5921">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 xml:space="preserve">        {</w:t>
      </w:r>
    </w:p>
    <w:p w14:paraId="078E62B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"deviceId": "W0000009",</w:t>
      </w:r>
    </w:p>
    <w:p w14:paraId="4921314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"deviceName": "9号通道",</w:t>
      </w:r>
    </w:p>
    <w:p w14:paraId="2CFCFA7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"deviceFactory": "生产厂家",</w:t>
      </w:r>
    </w:p>
    <w:p w14:paraId="405A622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"deviceSn": "WKSN122SAD",</w:t>
      </w:r>
    </w:p>
    <w:p w14:paraId="24949240">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"posX": "111.1222",</w:t>
      </w:r>
    </w:p>
    <w:p w14:paraId="40FADAA4">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"posY": "23.1212",</w:t>
      </w:r>
    </w:p>
    <w:p w14:paraId="4E44FC9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"posZ": "0",</w:t>
      </w:r>
    </w:p>
    <w:p w14:paraId="7635ABD2">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"isOnline": 0</w:t>
      </w:r>
    </w:p>
    <w:p w14:paraId="21B09BBA">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 xml:space="preserve">        }</w:t>
      </w:r>
    </w:p>
    <w:p w14:paraId="10F53DED">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 xml:space="preserve">    ]</w:t>
      </w:r>
    </w:p>
    <w:p w14:paraId="1D29A1A3">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"timestamp": "13449039388",</w:t>
      </w:r>
    </w:p>
    <w:p w14:paraId="705E5564">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"sign": "sign"</w:t>
      </w:r>
    </w:p>
    <w:p w14:paraId="3AE71CD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t>
      </w:r>
    </w:p>
    <w:p w14:paraId="5D8B42FD">
      <w:pPr>
        <w:spacing w:after="120"/>
        <w:ind w:firstLine="530"/>
        <w:rPr>
          <w:rFonts w:ascii="仿宋" w:hAnsi="仿宋" w:eastAsia="仿宋" w:cs="仿宋"/>
          <w:b/>
          <w:bCs/>
          <w:spacing w:val="12"/>
        </w:rPr>
      </w:pPr>
    </w:p>
    <w:p w14:paraId="2C1DF418">
      <w:pPr>
        <w:spacing w:after="120"/>
        <w:ind w:firstLine="530"/>
        <w:rPr>
          <w:rFonts w:ascii="仿宋" w:hAnsi="仿宋" w:eastAsia="仿宋" w:cs="仿宋"/>
          <w:b/>
          <w:bCs/>
          <w:spacing w:val="12"/>
        </w:rPr>
      </w:pPr>
    </w:p>
    <w:p w14:paraId="1824D03C">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响应数据</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931"/>
        <w:gridCol w:w="1429"/>
        <w:gridCol w:w="1461"/>
        <w:gridCol w:w="3473"/>
        <w:gridCol w:w="1612"/>
      </w:tblGrid>
      <w:tr w14:paraId="029B195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4"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29583E45">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参数名称</w:t>
            </w:r>
          </w:p>
        </w:tc>
        <w:tc>
          <w:tcPr>
            <w:tcW w:w="721"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7BE3FA7E">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参数类型</w:t>
            </w:r>
          </w:p>
        </w:tc>
        <w:tc>
          <w:tcPr>
            <w:tcW w:w="737"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5C7DC9E0">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是否必须</w:t>
            </w:r>
          </w:p>
        </w:tc>
        <w:tc>
          <w:tcPr>
            <w:tcW w:w="1752"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39746739">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参数说明</w:t>
            </w:r>
          </w:p>
        </w:tc>
        <w:tc>
          <w:tcPr>
            <w:tcW w:w="813"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71848BE3">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示例</w:t>
            </w:r>
          </w:p>
        </w:tc>
      </w:tr>
      <w:tr w14:paraId="1CBDFBD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2E4E093">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code</w:t>
            </w:r>
          </w:p>
        </w:tc>
        <w:tc>
          <w:tcPr>
            <w:tcW w:w="72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A2C80BB">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integer</w:t>
            </w:r>
          </w:p>
        </w:tc>
        <w:tc>
          <w:tcPr>
            <w:tcW w:w="737"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4FF9107">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True</w:t>
            </w:r>
          </w:p>
        </w:tc>
        <w:tc>
          <w:tcPr>
            <w:tcW w:w="175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FD09059">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响应码</w:t>
            </w:r>
          </w:p>
        </w:tc>
        <w:tc>
          <w:tcPr>
            <w:tcW w:w="8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987845D">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200</w:t>
            </w:r>
          </w:p>
        </w:tc>
      </w:tr>
      <w:tr w14:paraId="20D8AAC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3A9E51D">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msg</w:t>
            </w:r>
          </w:p>
        </w:tc>
        <w:tc>
          <w:tcPr>
            <w:tcW w:w="72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043DEFE">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string</w:t>
            </w:r>
          </w:p>
        </w:tc>
        <w:tc>
          <w:tcPr>
            <w:tcW w:w="737"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362AF58">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True</w:t>
            </w:r>
          </w:p>
        </w:tc>
        <w:tc>
          <w:tcPr>
            <w:tcW w:w="175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3E302E7">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响应信息</w:t>
            </w:r>
          </w:p>
        </w:tc>
        <w:tc>
          <w:tcPr>
            <w:tcW w:w="8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464143F">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上报成功</w:t>
            </w:r>
          </w:p>
        </w:tc>
      </w:tr>
      <w:tr w14:paraId="7BBBCA9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30B15D4">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success</w:t>
            </w:r>
          </w:p>
        </w:tc>
        <w:tc>
          <w:tcPr>
            <w:tcW w:w="72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DB3711F">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bool</w:t>
            </w:r>
          </w:p>
        </w:tc>
        <w:tc>
          <w:tcPr>
            <w:tcW w:w="737"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1A78FB7">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True</w:t>
            </w:r>
          </w:p>
        </w:tc>
        <w:tc>
          <w:tcPr>
            <w:tcW w:w="175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C142C6A">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是否成功，接口是否成功主要看这个值</w:t>
            </w:r>
          </w:p>
        </w:tc>
        <w:tc>
          <w:tcPr>
            <w:tcW w:w="8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7762056">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True</w:t>
            </w:r>
          </w:p>
        </w:tc>
      </w:tr>
      <w:tr w14:paraId="7D5D93B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34CC2C0">
            <w:pPr>
              <w:spacing w:after="120"/>
              <w:ind w:firstLine="528"/>
              <w:jc w:val="center"/>
              <w:rPr>
                <w:rFonts w:ascii="仿宋" w:hAnsi="仿宋" w:eastAsia="仿宋" w:cs="仿宋"/>
                <w:spacing w:val="12"/>
                <w:szCs w:val="21"/>
              </w:rPr>
            </w:pPr>
            <w:r>
              <w:rPr>
                <w:rFonts w:hint="eastAsia" w:ascii="仿宋" w:hAnsi="仿宋" w:eastAsia="仿宋" w:cs="仿宋"/>
                <w:spacing w:val="12"/>
                <w:szCs w:val="21"/>
              </w:rPr>
              <w:t>data</w:t>
            </w:r>
          </w:p>
        </w:tc>
        <w:tc>
          <w:tcPr>
            <w:tcW w:w="72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32A62AB">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w:t>
            </w:r>
          </w:p>
        </w:tc>
        <w:tc>
          <w:tcPr>
            <w:tcW w:w="737"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6FF5050">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False</w:t>
            </w:r>
          </w:p>
        </w:tc>
        <w:tc>
          <w:tcPr>
            <w:tcW w:w="175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E851F13">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可空，需要返回数据时，这个值返回</w:t>
            </w:r>
          </w:p>
        </w:tc>
        <w:tc>
          <w:tcPr>
            <w:tcW w:w="8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ECA6F9B">
            <w:pPr>
              <w:spacing w:after="120"/>
              <w:ind w:firstLine="0" w:firstLineChars="0"/>
              <w:jc w:val="center"/>
              <w:rPr>
                <w:rFonts w:ascii="仿宋" w:hAnsi="仿宋" w:eastAsia="仿宋" w:cs="仿宋"/>
                <w:spacing w:val="12"/>
                <w:szCs w:val="21"/>
              </w:rPr>
            </w:pPr>
            <w:r>
              <w:rPr>
                <w:rFonts w:hint="eastAsia" w:ascii="仿宋" w:hAnsi="仿宋" w:eastAsia="仿宋" w:cs="仿宋"/>
                <w:spacing w:val="12"/>
                <w:szCs w:val="21"/>
              </w:rPr>
              <w:t>{}</w:t>
            </w:r>
          </w:p>
        </w:tc>
      </w:tr>
    </w:tbl>
    <w:p w14:paraId="6AFC6ED2">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响应示例</w:t>
      </w:r>
    </w:p>
    <w:p w14:paraId="367AA8C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t>
      </w:r>
    </w:p>
    <w:p w14:paraId="0B71BFB6">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"code": 200,</w:t>
      </w:r>
    </w:p>
    <w:p w14:paraId="3C88A48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"success": true,</w:t>
      </w:r>
    </w:p>
    <w:p w14:paraId="0FF89F2B">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"data": {},</w:t>
      </w:r>
    </w:p>
    <w:p w14:paraId="36A9FE97">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"msg": "上报成功"</w:t>
      </w:r>
    </w:p>
    <w:p w14:paraId="63A7853E">
      <w:pP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left"/>
        <w:rPr>
          <w:rFonts w:ascii="仿宋" w:hAnsi="仿宋" w:eastAsia="仿宋" w:cs="仿宋"/>
        </w:rPr>
      </w:pPr>
      <w:r>
        <w:rPr>
          <w:rFonts w:hint="eastAsia" w:ascii="仿宋" w:hAnsi="仿宋" w:eastAsia="仿宋" w:cs="仿宋"/>
        </w:rPr>
        <w:t>}</w:t>
      </w:r>
    </w:p>
    <w:p w14:paraId="4B333297">
      <w:pPr>
        <w:spacing w:after="120"/>
        <w:ind w:firstLine="600"/>
        <w:rPr>
          <w:rFonts w:ascii="仿宋" w:hAnsi="仿宋" w:eastAsia="仿宋" w:cs="仿宋"/>
          <w:sz w:val="30"/>
          <w:szCs w:val="30"/>
        </w:rPr>
      </w:pPr>
      <w:bookmarkStart w:id="1242" w:name="_Toc8427"/>
      <w:bookmarkStart w:id="1243" w:name="_Toc27213"/>
      <w:r>
        <w:rPr>
          <w:rFonts w:hint="eastAsia" w:ascii="仿宋" w:hAnsi="仿宋" w:eastAsia="仿宋" w:cs="仿宋"/>
          <w:sz w:val="30"/>
          <w:szCs w:val="30"/>
        </w:rPr>
        <w:t>2.3车辆</w:t>
      </w:r>
      <w:bookmarkEnd w:id="1242"/>
      <w:bookmarkEnd w:id="1243"/>
    </w:p>
    <w:p w14:paraId="7C0DA8F8">
      <w:pPr>
        <w:spacing w:after="120"/>
        <w:ind w:firstLine="600"/>
        <w:rPr>
          <w:rFonts w:ascii="仿宋" w:hAnsi="仿宋" w:eastAsia="仿宋" w:cs="仿宋"/>
          <w:sz w:val="30"/>
          <w:szCs w:val="30"/>
        </w:rPr>
      </w:pPr>
      <w:r>
        <w:rPr>
          <w:rFonts w:hint="eastAsia" w:ascii="仿宋" w:hAnsi="仿宋" w:eastAsia="仿宋" w:cs="仿宋"/>
          <w:sz w:val="30"/>
          <w:szCs w:val="30"/>
        </w:rPr>
        <w:t>接口调用规则请参照附件1</w:t>
      </w:r>
    </w:p>
    <w:p w14:paraId="1595265C">
      <w:pPr>
        <w:spacing w:after="120"/>
        <w:ind w:firstLine="600"/>
        <w:rPr>
          <w:rFonts w:ascii="仿宋" w:hAnsi="仿宋" w:eastAsia="仿宋" w:cs="仿宋"/>
          <w:kern w:val="36"/>
          <w:sz w:val="30"/>
          <w:szCs w:val="30"/>
        </w:rPr>
      </w:pPr>
      <w:r>
        <w:rPr>
          <w:rFonts w:hint="eastAsia" w:ascii="仿宋" w:hAnsi="仿宋" w:eastAsia="仿宋" w:cs="仿宋"/>
          <w:sz w:val="30"/>
          <w:szCs w:val="30"/>
        </w:rPr>
        <w:t>2.3.1上报车辆进出记录</w:t>
      </w:r>
    </w:p>
    <w:p w14:paraId="14A3E9EF">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接口说明</w:t>
      </w:r>
    </w:p>
    <w:p w14:paraId="5AB1B778">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上报车辆进出数据，上传进出车辆的详细信息</w:t>
      </w:r>
    </w:p>
    <w:p w14:paraId="70AE1587">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接口地址</w:t>
      </w:r>
    </w:p>
    <w:p w14:paraId="23391F2C">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/gdiapi/gdi/dataupload/vehicle_info</w:t>
      </w:r>
    </w:p>
    <w:p w14:paraId="2B872C21">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请求方法</w:t>
      </w:r>
    </w:p>
    <w:p w14:paraId="7928A872">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POST</w:t>
      </w:r>
    </w:p>
    <w:p w14:paraId="1564EA4B">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版本号</w:t>
      </w:r>
    </w:p>
    <w:p w14:paraId="53D06005">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1.0.0</w:t>
      </w:r>
    </w:p>
    <w:p w14:paraId="2E99C9C4">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报送周期</w:t>
      </w:r>
    </w:p>
    <w:p w14:paraId="2E564F40">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建议实时上报，最长延迟不过10分钟，延迟过长影响统计数据</w:t>
      </w:r>
    </w:p>
    <w:p w14:paraId="113AD2FF">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请求参数（data部分）</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2069"/>
        <w:gridCol w:w="1320"/>
        <w:gridCol w:w="1019"/>
        <w:gridCol w:w="3147"/>
        <w:gridCol w:w="856"/>
        <w:gridCol w:w="1495"/>
      </w:tblGrid>
      <w:tr w14:paraId="038558C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4BD306E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参数名称</w:t>
            </w:r>
          </w:p>
        </w:tc>
        <w:tc>
          <w:tcPr>
            <w:tcW w:w="666"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3920397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参数类型</w:t>
            </w:r>
          </w:p>
        </w:tc>
        <w:tc>
          <w:tcPr>
            <w:tcW w:w="514"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32C90B1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是否必须</w:t>
            </w:r>
          </w:p>
        </w:tc>
        <w:tc>
          <w:tcPr>
            <w:tcW w:w="1588"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6B550B8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参数说明</w:t>
            </w:r>
          </w:p>
        </w:tc>
        <w:tc>
          <w:tcPr>
            <w:tcW w:w="432"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75D1DA9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默认值</w:t>
            </w:r>
          </w:p>
        </w:tc>
        <w:tc>
          <w:tcPr>
            <w:tcW w:w="754"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20D38DE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说明</w:t>
            </w:r>
          </w:p>
        </w:tc>
      </w:tr>
      <w:tr w14:paraId="37FFEA2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7BB63F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plateNumber</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573F1C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637C06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True</w:t>
            </w:r>
          </w:p>
        </w:tc>
        <w:tc>
          <w:tcPr>
            <w:tcW w:w="158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8CE8F07">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车牌号</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4D1B483D">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460CB93">
            <w:pPr>
              <w:pStyle w:val="49"/>
              <w:spacing w:before="0" w:beforeAutospacing="0" w:afterAutospacing="0"/>
              <w:jc w:val="center"/>
              <w:rPr>
                <w:rFonts w:ascii="仿宋" w:hAnsi="仿宋" w:eastAsia="仿宋" w:cs="仿宋"/>
                <w:spacing w:val="2"/>
                <w:szCs w:val="24"/>
              </w:rPr>
            </w:pPr>
          </w:p>
        </w:tc>
      </w:tr>
      <w:tr w14:paraId="2031A46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2BEB2955">
            <w:pPr>
              <w:pStyle w:val="48"/>
              <w:jc w:val="center"/>
              <w:rPr>
                <w:rFonts w:ascii="仿宋" w:hAnsi="仿宋" w:eastAsia="仿宋" w:cs="仿宋"/>
                <w:szCs w:val="24"/>
              </w:rPr>
            </w:pPr>
            <w:r>
              <w:rPr>
                <w:rFonts w:hint="eastAsia" w:ascii="仿宋" w:hAnsi="仿宋" w:eastAsia="仿宋" w:cs="仿宋"/>
                <w:szCs w:val="24"/>
              </w:rPr>
              <w:t>vehicleColor</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71229EE">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2F6555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0CD3B557">
            <w:pPr>
              <w:pStyle w:val="48"/>
              <w:jc w:val="center"/>
              <w:rPr>
                <w:rFonts w:ascii="仿宋" w:hAnsi="仿宋" w:eastAsia="仿宋" w:cs="仿宋"/>
                <w:szCs w:val="24"/>
              </w:rPr>
            </w:pPr>
            <w:r>
              <w:rPr>
                <w:rFonts w:hint="eastAsia" w:ascii="仿宋" w:hAnsi="仿宋" w:eastAsia="仿宋" w:cs="仿宋"/>
                <w:szCs w:val="24"/>
              </w:rPr>
              <w:t>车身颜色</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F5181EC">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2DA825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有值尽量上报</w:t>
            </w:r>
          </w:p>
        </w:tc>
      </w:tr>
      <w:tr w14:paraId="465E18F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32AF3D28">
            <w:pPr>
              <w:pStyle w:val="48"/>
              <w:jc w:val="center"/>
              <w:rPr>
                <w:rFonts w:ascii="仿宋" w:hAnsi="仿宋" w:eastAsia="仿宋" w:cs="仿宋"/>
                <w:szCs w:val="24"/>
              </w:rPr>
            </w:pPr>
            <w:r>
              <w:rPr>
                <w:rFonts w:hint="eastAsia" w:ascii="仿宋" w:hAnsi="仿宋" w:eastAsia="仿宋" w:cs="仿宋"/>
                <w:szCs w:val="24"/>
              </w:rPr>
              <w:t>vehicleType</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48B58D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4055DF2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3B04B953">
            <w:pPr>
              <w:pStyle w:val="48"/>
              <w:jc w:val="center"/>
              <w:rPr>
                <w:rFonts w:ascii="仿宋" w:hAnsi="仿宋" w:eastAsia="仿宋" w:cs="仿宋"/>
                <w:szCs w:val="24"/>
              </w:rPr>
            </w:pPr>
            <w:r>
              <w:rPr>
                <w:rFonts w:hint="eastAsia" w:ascii="仿宋" w:hAnsi="仿宋" w:eastAsia="仿宋" w:cs="仿宋"/>
                <w:szCs w:val="24"/>
              </w:rPr>
              <w:t>车辆类型</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445A7275">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6A235D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有值尽量上报</w:t>
            </w:r>
          </w:p>
        </w:tc>
      </w:tr>
      <w:tr w14:paraId="12F9C86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608BB9E4">
            <w:pPr>
              <w:pStyle w:val="48"/>
              <w:jc w:val="center"/>
              <w:rPr>
                <w:rFonts w:ascii="仿宋" w:hAnsi="仿宋" w:eastAsia="仿宋" w:cs="仿宋"/>
                <w:szCs w:val="24"/>
              </w:rPr>
            </w:pPr>
            <w:r>
              <w:rPr>
                <w:rFonts w:hint="eastAsia" w:ascii="仿宋" w:hAnsi="仿宋" w:eastAsia="仿宋" w:cs="仿宋"/>
                <w:szCs w:val="24"/>
              </w:rPr>
              <w:t>vehicleLogo</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280A9CE">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9D78BE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5B4BFB4A">
            <w:pPr>
              <w:pStyle w:val="48"/>
              <w:jc w:val="center"/>
              <w:rPr>
                <w:rFonts w:ascii="仿宋" w:hAnsi="仿宋" w:eastAsia="仿宋" w:cs="仿宋"/>
                <w:szCs w:val="24"/>
              </w:rPr>
            </w:pPr>
            <w:r>
              <w:rPr>
                <w:rFonts w:hint="eastAsia" w:ascii="仿宋" w:hAnsi="仿宋" w:eastAsia="仿宋" w:cs="仿宋"/>
                <w:szCs w:val="24"/>
              </w:rPr>
              <w:t>品牌</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F954F29">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60676B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有值尽量上报</w:t>
            </w:r>
          </w:p>
        </w:tc>
      </w:tr>
      <w:tr w14:paraId="3A6AE14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1E7C7A29">
            <w:pPr>
              <w:pStyle w:val="48"/>
              <w:jc w:val="center"/>
              <w:rPr>
                <w:rFonts w:ascii="仿宋" w:hAnsi="仿宋" w:eastAsia="仿宋" w:cs="仿宋"/>
                <w:szCs w:val="24"/>
              </w:rPr>
            </w:pPr>
            <w:r>
              <w:rPr>
                <w:rFonts w:hint="eastAsia" w:ascii="仿宋" w:hAnsi="仿宋" w:eastAsia="仿宋" w:cs="仿宋"/>
                <w:szCs w:val="24"/>
              </w:rPr>
              <w:t>vehicleSubLogo</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796373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CE9984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010AABC5">
            <w:pPr>
              <w:pStyle w:val="48"/>
              <w:jc w:val="center"/>
              <w:rPr>
                <w:rFonts w:ascii="仿宋" w:hAnsi="仿宋" w:eastAsia="仿宋" w:cs="仿宋"/>
                <w:szCs w:val="24"/>
              </w:rPr>
            </w:pPr>
            <w:r>
              <w:rPr>
                <w:rFonts w:hint="eastAsia" w:ascii="仿宋" w:hAnsi="仿宋" w:eastAsia="仿宋" w:cs="仿宋"/>
                <w:szCs w:val="24"/>
              </w:rPr>
              <w:t>车辆子品牌或型号</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CC8CF95">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460B29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有值尽量上报</w:t>
            </w:r>
          </w:p>
        </w:tc>
      </w:tr>
      <w:tr w14:paraId="52F7339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7E391D61">
            <w:pPr>
              <w:pStyle w:val="48"/>
              <w:jc w:val="center"/>
              <w:rPr>
                <w:rFonts w:ascii="仿宋" w:hAnsi="仿宋" w:eastAsia="仿宋" w:cs="仿宋"/>
                <w:szCs w:val="24"/>
              </w:rPr>
            </w:pPr>
            <w:r>
              <w:rPr>
                <w:rFonts w:hint="eastAsia" w:ascii="仿宋" w:hAnsi="仿宋" w:eastAsia="仿宋" w:cs="仿宋"/>
                <w:szCs w:val="24"/>
              </w:rPr>
              <w:t>vehicleState</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7A94BE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integer</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4BC3CE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True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5276394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车出入状态 0驶出  1 驶入</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FA85706">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F113951">
            <w:pPr>
              <w:pStyle w:val="49"/>
              <w:spacing w:before="0" w:beforeAutospacing="0" w:afterAutospacing="0"/>
              <w:jc w:val="center"/>
              <w:rPr>
                <w:rFonts w:ascii="仿宋" w:hAnsi="仿宋" w:eastAsia="仿宋" w:cs="仿宋"/>
                <w:spacing w:val="2"/>
                <w:szCs w:val="24"/>
              </w:rPr>
            </w:pPr>
          </w:p>
        </w:tc>
      </w:tr>
      <w:tr w14:paraId="63BB05F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C0FF85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inoutTime</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2DBC49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587957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True</w:t>
            </w:r>
          </w:p>
        </w:tc>
        <w:tc>
          <w:tcPr>
            <w:tcW w:w="158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3892D8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车辆出入时间</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CCA0670">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211313A">
            <w:pPr>
              <w:pStyle w:val="49"/>
              <w:spacing w:before="0" w:beforeAutospacing="0" w:afterAutospacing="0"/>
              <w:jc w:val="center"/>
              <w:rPr>
                <w:rFonts w:ascii="仿宋" w:hAnsi="仿宋" w:eastAsia="仿宋" w:cs="仿宋"/>
                <w:spacing w:val="2"/>
                <w:szCs w:val="24"/>
              </w:rPr>
            </w:pPr>
          </w:p>
        </w:tc>
      </w:tr>
      <w:tr w14:paraId="7DAEE06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4F22BE05">
            <w:pPr>
              <w:pStyle w:val="48"/>
              <w:jc w:val="center"/>
              <w:rPr>
                <w:rFonts w:ascii="仿宋" w:hAnsi="仿宋" w:eastAsia="仿宋" w:cs="仿宋"/>
                <w:szCs w:val="24"/>
              </w:rPr>
            </w:pPr>
            <w:r>
              <w:rPr>
                <w:rFonts w:hint="eastAsia" w:ascii="仿宋" w:hAnsi="仿宋" w:eastAsia="仿宋" w:cs="仿宋"/>
                <w:szCs w:val="24"/>
              </w:rPr>
              <w:t>imagecamerameodel</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7F3EDC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B4CDBC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7C093819">
            <w:pPr>
              <w:pStyle w:val="48"/>
              <w:jc w:val="center"/>
              <w:rPr>
                <w:rFonts w:ascii="仿宋" w:hAnsi="仿宋" w:eastAsia="仿宋" w:cs="仿宋"/>
                <w:szCs w:val="24"/>
              </w:rPr>
            </w:pPr>
            <w:r>
              <w:rPr>
                <w:rFonts w:hint="eastAsia" w:ascii="仿宋" w:hAnsi="仿宋" w:eastAsia="仿宋" w:cs="仿宋"/>
                <w:szCs w:val="24"/>
              </w:rPr>
              <w:t>图片拍摄设备型号</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E86F653">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5B8E27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有值尽量上报</w:t>
            </w:r>
          </w:p>
        </w:tc>
      </w:tr>
      <w:tr w14:paraId="229262D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67783BF3">
            <w:pPr>
              <w:pStyle w:val="48"/>
              <w:jc w:val="center"/>
              <w:rPr>
                <w:rFonts w:ascii="仿宋" w:hAnsi="仿宋" w:eastAsia="仿宋" w:cs="仿宋"/>
                <w:szCs w:val="24"/>
              </w:rPr>
            </w:pPr>
            <w:r>
              <w:rPr>
                <w:rFonts w:hint="eastAsia" w:ascii="仿宋" w:hAnsi="仿宋" w:eastAsia="仿宋" w:cs="仿宋"/>
                <w:szCs w:val="24"/>
              </w:rPr>
              <w:t>imagecameraid</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DF1524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A8CCBD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0E45C49A">
            <w:pPr>
              <w:pStyle w:val="48"/>
              <w:jc w:val="center"/>
              <w:rPr>
                <w:rFonts w:ascii="仿宋" w:hAnsi="仿宋" w:eastAsia="仿宋" w:cs="仿宋"/>
                <w:szCs w:val="24"/>
              </w:rPr>
            </w:pPr>
            <w:r>
              <w:rPr>
                <w:rFonts w:hint="eastAsia" w:ascii="仿宋" w:hAnsi="仿宋" w:eastAsia="仿宋" w:cs="仿宋"/>
                <w:szCs w:val="24"/>
              </w:rPr>
              <w:t>图片拍摄设备ID</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2D98AA3E">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493B533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有值尽量上报</w:t>
            </w:r>
          </w:p>
        </w:tc>
      </w:tr>
      <w:tr w14:paraId="18407DD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7550A89B">
            <w:pPr>
              <w:pStyle w:val="48"/>
              <w:jc w:val="center"/>
              <w:rPr>
                <w:rFonts w:ascii="仿宋" w:hAnsi="仿宋" w:eastAsia="仿宋" w:cs="仿宋"/>
                <w:szCs w:val="24"/>
              </w:rPr>
            </w:pPr>
            <w:r>
              <w:rPr>
                <w:rFonts w:hint="eastAsia" w:ascii="仿宋" w:hAnsi="仿宋" w:eastAsia="仿宋" w:cs="仿宋"/>
                <w:szCs w:val="24"/>
              </w:rPr>
              <w:t>imagestr</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FFAE26E">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F87FC1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6CD99510">
            <w:pPr>
              <w:pStyle w:val="48"/>
              <w:jc w:val="center"/>
              <w:rPr>
                <w:rFonts w:ascii="仿宋" w:hAnsi="仿宋" w:eastAsia="仿宋" w:cs="仿宋"/>
                <w:szCs w:val="24"/>
              </w:rPr>
            </w:pPr>
            <w:r>
              <w:rPr>
                <w:rFonts w:hint="eastAsia" w:ascii="仿宋" w:hAnsi="仿宋" w:eastAsia="仿宋" w:cs="仿宋"/>
                <w:szCs w:val="24"/>
              </w:rPr>
              <w:t>图片地址</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EDE86D0">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338C441">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有值尽量上报</w:t>
            </w:r>
          </w:p>
        </w:tc>
      </w:tr>
      <w:tr w14:paraId="0B75813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3A3E8AE6">
            <w:pPr>
              <w:pStyle w:val="48"/>
              <w:jc w:val="center"/>
              <w:rPr>
                <w:rFonts w:ascii="仿宋" w:hAnsi="仿宋" w:eastAsia="仿宋" w:cs="仿宋"/>
                <w:szCs w:val="24"/>
              </w:rPr>
            </w:pPr>
            <w:r>
              <w:rPr>
                <w:rFonts w:hint="eastAsia" w:ascii="仿宋" w:hAnsi="仿宋" w:eastAsia="仿宋" w:cs="仿宋"/>
                <w:szCs w:val="24"/>
              </w:rPr>
              <w:t>imagetime</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7AA6F5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F91512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2DBB6C3D">
            <w:pPr>
              <w:pStyle w:val="48"/>
              <w:jc w:val="center"/>
              <w:rPr>
                <w:rFonts w:ascii="仿宋" w:hAnsi="仿宋" w:eastAsia="仿宋" w:cs="仿宋"/>
                <w:szCs w:val="24"/>
              </w:rPr>
            </w:pPr>
            <w:r>
              <w:rPr>
                <w:rFonts w:hint="eastAsia" w:ascii="仿宋" w:hAnsi="仿宋" w:eastAsia="仿宋" w:cs="仿宋"/>
                <w:szCs w:val="24"/>
              </w:rPr>
              <w:t>图片拍摄时间</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6C7C5D5">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E781FA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有值尽量上报</w:t>
            </w:r>
          </w:p>
        </w:tc>
      </w:tr>
      <w:tr w14:paraId="29DC998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143C450E">
            <w:pPr>
              <w:pStyle w:val="48"/>
              <w:jc w:val="center"/>
              <w:rPr>
                <w:rFonts w:ascii="仿宋" w:hAnsi="仿宋" w:eastAsia="仿宋" w:cs="仿宋"/>
                <w:szCs w:val="24"/>
              </w:rPr>
            </w:pPr>
            <w:r>
              <w:rPr>
                <w:rFonts w:hint="eastAsia" w:ascii="仿宋" w:hAnsi="仿宋" w:eastAsia="仿宋" w:cs="仿宋"/>
                <w:szCs w:val="24"/>
              </w:rPr>
              <w:t>rect</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68B01D1">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95EBB0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1588"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33CB5B8A">
            <w:pPr>
              <w:pStyle w:val="48"/>
              <w:jc w:val="center"/>
              <w:rPr>
                <w:rFonts w:ascii="仿宋" w:hAnsi="仿宋" w:eastAsia="仿宋" w:cs="仿宋"/>
                <w:szCs w:val="24"/>
              </w:rPr>
            </w:pPr>
            <w:r>
              <w:rPr>
                <w:rFonts w:hint="eastAsia" w:ascii="仿宋" w:hAnsi="仿宋" w:eastAsia="仿宋" w:cs="仿宋"/>
                <w:szCs w:val="24"/>
              </w:rPr>
              <w:t>车辆在图片中的位置</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9A1F6D9">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7E9446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有值尽量上报</w:t>
            </w:r>
          </w:p>
        </w:tc>
      </w:tr>
      <w:tr w14:paraId="432E29E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CBA168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+x</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91A919E">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integer</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6CFA556">
            <w:pPr>
              <w:pStyle w:val="49"/>
              <w:spacing w:before="0" w:beforeAutospacing="0" w:afterAutospacing="0"/>
              <w:jc w:val="center"/>
              <w:rPr>
                <w:rFonts w:ascii="仿宋" w:hAnsi="仿宋" w:eastAsia="仿宋" w:cs="仿宋"/>
                <w:spacing w:val="2"/>
                <w:szCs w:val="24"/>
              </w:rPr>
            </w:pPr>
          </w:p>
        </w:tc>
        <w:tc>
          <w:tcPr>
            <w:tcW w:w="158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CB5109D">
            <w:pPr>
              <w:spacing w:after="120"/>
              <w:ind w:firstLine="0" w:firstLineChars="0"/>
              <w:jc w:val="center"/>
              <w:rPr>
                <w:rFonts w:ascii="仿宋" w:hAnsi="仿宋" w:eastAsia="仿宋" w:cs="仿宋"/>
                <w:szCs w:val="24"/>
              </w:rPr>
            </w:pPr>
            <w:r>
              <w:rPr>
                <w:rFonts w:hint="eastAsia" w:ascii="仿宋" w:hAnsi="仿宋" w:eastAsia="仿宋" w:cs="仿宋"/>
                <w:szCs w:val="24"/>
                <w:shd w:val="clear" w:color="auto" w:fill="FFFFFF"/>
              </w:rPr>
              <w:t>车辆在图片中左上角的横坐标,单位px</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61D5A9B">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A93151E">
            <w:pPr>
              <w:pStyle w:val="49"/>
              <w:spacing w:before="0" w:beforeAutospacing="0" w:afterAutospacing="0"/>
              <w:jc w:val="center"/>
              <w:rPr>
                <w:rFonts w:ascii="仿宋" w:hAnsi="仿宋" w:eastAsia="仿宋" w:cs="仿宋"/>
                <w:spacing w:val="2"/>
                <w:szCs w:val="24"/>
              </w:rPr>
            </w:pPr>
          </w:p>
        </w:tc>
      </w:tr>
      <w:tr w14:paraId="050B3F3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C162F6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+y</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0A8CBD2">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integer</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3FB08DB">
            <w:pPr>
              <w:pStyle w:val="49"/>
              <w:spacing w:before="0" w:beforeAutospacing="0" w:afterAutospacing="0"/>
              <w:jc w:val="center"/>
              <w:rPr>
                <w:rFonts w:ascii="仿宋" w:hAnsi="仿宋" w:eastAsia="仿宋" w:cs="仿宋"/>
                <w:spacing w:val="2"/>
                <w:szCs w:val="24"/>
              </w:rPr>
            </w:pPr>
          </w:p>
        </w:tc>
        <w:tc>
          <w:tcPr>
            <w:tcW w:w="158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326A4F7A">
            <w:pPr>
              <w:spacing w:after="120"/>
              <w:ind w:firstLine="0" w:firstLineChars="0"/>
              <w:jc w:val="center"/>
              <w:rPr>
                <w:rFonts w:ascii="仿宋" w:hAnsi="仿宋" w:eastAsia="仿宋" w:cs="仿宋"/>
                <w:szCs w:val="24"/>
              </w:rPr>
            </w:pPr>
            <w:r>
              <w:rPr>
                <w:rFonts w:hint="eastAsia" w:ascii="仿宋" w:hAnsi="仿宋" w:eastAsia="仿宋" w:cs="仿宋"/>
                <w:szCs w:val="24"/>
                <w:shd w:val="clear" w:color="auto" w:fill="F9F9F9"/>
              </w:rPr>
              <w:t>车辆在图片中左上角的纵坐标,单位px</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EDA09A0">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59DD093">
            <w:pPr>
              <w:pStyle w:val="49"/>
              <w:spacing w:before="0" w:beforeAutospacing="0" w:afterAutospacing="0"/>
              <w:jc w:val="center"/>
              <w:rPr>
                <w:rFonts w:ascii="仿宋" w:hAnsi="仿宋" w:eastAsia="仿宋" w:cs="仿宋"/>
                <w:spacing w:val="2"/>
                <w:szCs w:val="24"/>
              </w:rPr>
            </w:pPr>
          </w:p>
        </w:tc>
      </w:tr>
      <w:tr w14:paraId="3FB1835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43BF7B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+width</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A17C6B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integer</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1D1D21B4">
            <w:pPr>
              <w:pStyle w:val="49"/>
              <w:spacing w:before="0" w:beforeAutospacing="0" w:afterAutospacing="0"/>
              <w:jc w:val="center"/>
              <w:rPr>
                <w:rFonts w:ascii="仿宋" w:hAnsi="仿宋" w:eastAsia="仿宋" w:cs="仿宋"/>
                <w:spacing w:val="2"/>
                <w:szCs w:val="24"/>
              </w:rPr>
            </w:pPr>
          </w:p>
        </w:tc>
        <w:tc>
          <w:tcPr>
            <w:tcW w:w="158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C49BF52">
            <w:pPr>
              <w:spacing w:after="120"/>
              <w:ind w:firstLine="0" w:firstLineChars="0"/>
              <w:jc w:val="center"/>
              <w:rPr>
                <w:rFonts w:ascii="仿宋" w:hAnsi="仿宋" w:eastAsia="仿宋" w:cs="仿宋"/>
                <w:szCs w:val="24"/>
              </w:rPr>
            </w:pPr>
            <w:r>
              <w:rPr>
                <w:rFonts w:hint="eastAsia" w:ascii="仿宋" w:hAnsi="仿宋" w:eastAsia="仿宋" w:cs="仿宋"/>
                <w:szCs w:val="24"/>
                <w:shd w:val="clear" w:color="auto" w:fill="FFFFFF"/>
              </w:rPr>
              <w:t>车辆的高度,单位px</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964B188">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386840C">
            <w:pPr>
              <w:pStyle w:val="49"/>
              <w:spacing w:before="0" w:beforeAutospacing="0" w:afterAutospacing="0"/>
              <w:jc w:val="center"/>
              <w:rPr>
                <w:rFonts w:ascii="仿宋" w:hAnsi="仿宋" w:eastAsia="仿宋" w:cs="仿宋"/>
                <w:spacing w:val="2"/>
                <w:szCs w:val="24"/>
              </w:rPr>
            </w:pPr>
          </w:p>
        </w:tc>
      </w:tr>
      <w:tr w14:paraId="089287C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4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927040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+height</w:t>
            </w:r>
          </w:p>
        </w:tc>
        <w:tc>
          <w:tcPr>
            <w:tcW w:w="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EB491E2">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integer</w:t>
            </w:r>
          </w:p>
        </w:tc>
        <w:tc>
          <w:tcPr>
            <w:tcW w:w="51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5AB589CA">
            <w:pPr>
              <w:pStyle w:val="49"/>
              <w:spacing w:before="0" w:beforeAutospacing="0" w:afterAutospacing="0"/>
              <w:jc w:val="center"/>
              <w:rPr>
                <w:rFonts w:ascii="仿宋" w:hAnsi="仿宋" w:eastAsia="仿宋" w:cs="仿宋"/>
                <w:spacing w:val="2"/>
                <w:szCs w:val="24"/>
              </w:rPr>
            </w:pPr>
          </w:p>
        </w:tc>
        <w:tc>
          <w:tcPr>
            <w:tcW w:w="158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6581BDA2">
            <w:pPr>
              <w:spacing w:after="120"/>
              <w:ind w:firstLine="0" w:firstLineChars="0"/>
              <w:jc w:val="center"/>
              <w:rPr>
                <w:rFonts w:ascii="仿宋" w:hAnsi="仿宋" w:eastAsia="仿宋" w:cs="仿宋"/>
                <w:szCs w:val="24"/>
              </w:rPr>
            </w:pPr>
            <w:r>
              <w:rPr>
                <w:rFonts w:hint="eastAsia" w:ascii="仿宋" w:hAnsi="仿宋" w:eastAsia="仿宋" w:cs="仿宋"/>
                <w:szCs w:val="24"/>
                <w:shd w:val="clear" w:color="auto" w:fill="F9F9F9"/>
              </w:rPr>
              <w:t>车辆的宽度,单位px</w:t>
            </w:r>
          </w:p>
        </w:tc>
        <w:tc>
          <w:tcPr>
            <w:tcW w:w="432"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71606FC1">
            <w:pPr>
              <w:pStyle w:val="49"/>
              <w:spacing w:before="0" w:beforeAutospacing="0" w:afterAutospacing="0"/>
              <w:jc w:val="center"/>
              <w:rPr>
                <w:rFonts w:ascii="仿宋" w:hAnsi="仿宋" w:eastAsia="仿宋" w:cs="仿宋"/>
                <w:spacing w:val="2"/>
                <w:szCs w:val="24"/>
              </w:rPr>
            </w:pPr>
          </w:p>
        </w:tc>
        <w:tc>
          <w:tcPr>
            <w:tcW w:w="75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vAlign w:val="center"/>
          </w:tcPr>
          <w:p w14:paraId="08B7F384">
            <w:pPr>
              <w:pStyle w:val="49"/>
              <w:spacing w:before="0" w:beforeAutospacing="0" w:afterAutospacing="0"/>
              <w:jc w:val="center"/>
              <w:rPr>
                <w:rFonts w:ascii="仿宋" w:hAnsi="仿宋" w:eastAsia="仿宋" w:cs="仿宋"/>
                <w:spacing w:val="2"/>
                <w:szCs w:val="24"/>
              </w:rPr>
            </w:pPr>
          </w:p>
        </w:tc>
      </w:tr>
    </w:tbl>
    <w:p w14:paraId="45DEE919">
      <w:pPr>
        <w:spacing w:after="120"/>
        <w:ind w:firstLine="528"/>
        <w:rPr>
          <w:rFonts w:ascii="仿宋" w:hAnsi="仿宋" w:eastAsia="仿宋" w:cs="仿宋"/>
          <w:spacing w:val="12"/>
        </w:rPr>
      </w:pPr>
    </w:p>
    <w:p w14:paraId="3DC3E156">
      <w:pPr>
        <w:spacing w:after="120"/>
        <w:ind w:firstLine="648"/>
        <w:rPr>
          <w:rFonts w:ascii="仿宋" w:hAnsi="仿宋" w:eastAsia="仿宋" w:cs="仿宋"/>
        </w:rPr>
      </w:pPr>
      <w:r>
        <w:rPr>
          <w:rFonts w:hint="eastAsia" w:ascii="仿宋" w:hAnsi="仿宋" w:eastAsia="仿宋" w:cs="仿宋"/>
          <w:spacing w:val="12"/>
          <w:sz w:val="30"/>
          <w:szCs w:val="30"/>
        </w:rPr>
        <w:t>请求示例</w:t>
      </w:r>
    </w:p>
    <w:p w14:paraId="4932CA53">
      <w:pPr>
        <w:pStyle w:val="25"/>
        <w:shd w:val="clear" w:color="auto" w:fill="F9F9F9"/>
        <w:spacing w:after="120"/>
        <w:ind w:left="960"/>
        <w:rPr>
          <w:rFonts w:ascii="仿宋" w:hAnsi="仿宋" w:eastAsia="仿宋" w:cs="仿宋"/>
        </w:rPr>
      </w:pPr>
      <w:r>
        <w:rPr>
          <w:rFonts w:hint="eastAsia" w:ascii="仿宋" w:hAnsi="仿宋" w:eastAsia="仿宋" w:cs="仿宋"/>
        </w:rPr>
        <w:t>{</w:t>
      </w:r>
    </w:p>
    <w:p w14:paraId="72D5795A">
      <w:pPr>
        <w:pStyle w:val="25"/>
        <w:shd w:val="clear" w:color="auto" w:fill="F9F9F9"/>
        <w:spacing w:after="120"/>
        <w:ind w:left="960"/>
        <w:rPr>
          <w:rFonts w:ascii="仿宋" w:hAnsi="仿宋" w:eastAsia="仿宋" w:cs="仿宋"/>
        </w:rPr>
      </w:pPr>
      <w:r>
        <w:rPr>
          <w:rFonts w:hint="eastAsia" w:ascii="仿宋" w:hAnsi="仿宋" w:eastAsia="仿宋" w:cs="仿宋"/>
        </w:rPr>
        <w:t>"projectId":"13449039388",</w:t>
      </w:r>
    </w:p>
    <w:p w14:paraId="253CE520">
      <w:pPr>
        <w:pStyle w:val="25"/>
        <w:shd w:val="clear" w:color="auto" w:fill="F9F9F9"/>
        <w:spacing w:after="120"/>
        <w:ind w:left="960"/>
        <w:rPr>
          <w:rFonts w:ascii="仿宋" w:hAnsi="仿宋" w:eastAsia="仿宋" w:cs="仿宋"/>
        </w:rPr>
      </w:pPr>
      <w:r>
        <w:rPr>
          <w:rFonts w:hint="eastAsia" w:ascii="仿宋" w:hAnsi="仿宋" w:eastAsia="仿宋" w:cs="仿宋"/>
        </w:rPr>
        <w:t>"data":[</w:t>
      </w:r>
    </w:p>
    <w:p w14:paraId="064E5222">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722FB692">
      <w:pPr>
        <w:pStyle w:val="25"/>
        <w:shd w:val="clear" w:color="auto" w:fill="F9F9F9"/>
        <w:spacing w:after="120"/>
        <w:ind w:left="960"/>
        <w:rPr>
          <w:rFonts w:ascii="仿宋" w:hAnsi="仿宋" w:eastAsia="仿宋" w:cs="仿宋"/>
        </w:rPr>
      </w:pPr>
      <w:r>
        <w:rPr>
          <w:rFonts w:hint="eastAsia" w:ascii="仿宋" w:hAnsi="仿宋" w:eastAsia="仿宋" w:cs="仿宋"/>
        </w:rPr>
        <w:t>"plate_number": "鲁BQE888",</w:t>
      </w:r>
    </w:p>
    <w:p w14:paraId="1EF653DA">
      <w:pPr>
        <w:pStyle w:val="25"/>
        <w:shd w:val="clear" w:color="auto" w:fill="F9F9F9"/>
        <w:spacing w:after="120"/>
        <w:ind w:left="960"/>
        <w:rPr>
          <w:rFonts w:ascii="仿宋" w:hAnsi="仿宋" w:eastAsia="仿宋" w:cs="仿宋"/>
        </w:rPr>
      </w:pPr>
      <w:r>
        <w:rPr>
          <w:rFonts w:hint="eastAsia" w:ascii="仿宋" w:hAnsi="仿宋" w:eastAsia="仿宋" w:cs="仿宋"/>
        </w:rPr>
        <w:t>"vehicleColor": "珍珠白",</w:t>
      </w:r>
    </w:p>
    <w:p w14:paraId="39AA1F6B">
      <w:pPr>
        <w:pStyle w:val="25"/>
        <w:shd w:val="clear" w:color="auto" w:fill="F9F9F9"/>
        <w:spacing w:after="120"/>
        <w:ind w:left="960"/>
        <w:rPr>
          <w:rFonts w:ascii="仿宋" w:hAnsi="仿宋" w:eastAsia="仿宋" w:cs="仿宋"/>
        </w:rPr>
      </w:pPr>
      <w:r>
        <w:rPr>
          <w:rFonts w:hint="eastAsia" w:ascii="仿宋" w:hAnsi="仿宋" w:eastAsia="仿宋" w:cs="仿宋"/>
        </w:rPr>
        <w:t>"vehicleType": "轿车",</w:t>
      </w:r>
    </w:p>
    <w:p w14:paraId="3340B688">
      <w:pPr>
        <w:pStyle w:val="25"/>
        <w:shd w:val="clear" w:color="auto" w:fill="F9F9F9"/>
        <w:spacing w:after="120"/>
        <w:ind w:left="960"/>
        <w:rPr>
          <w:rFonts w:ascii="仿宋" w:hAnsi="仿宋" w:eastAsia="仿宋" w:cs="仿宋"/>
        </w:rPr>
      </w:pPr>
      <w:r>
        <w:rPr>
          <w:rFonts w:hint="eastAsia" w:ascii="仿宋" w:hAnsi="仿宋" w:eastAsia="仿宋" w:cs="仿宋"/>
        </w:rPr>
        <w:t>"vehicleLogo": "奥迪",</w:t>
      </w:r>
    </w:p>
    <w:p w14:paraId="1CEC6A4B">
      <w:pPr>
        <w:pStyle w:val="25"/>
        <w:shd w:val="clear" w:color="auto" w:fill="F9F9F9"/>
        <w:spacing w:after="120"/>
        <w:ind w:left="960"/>
        <w:rPr>
          <w:rFonts w:ascii="仿宋" w:hAnsi="仿宋" w:eastAsia="仿宋" w:cs="仿宋"/>
        </w:rPr>
      </w:pPr>
      <w:r>
        <w:rPr>
          <w:rFonts w:hint="eastAsia" w:ascii="仿宋" w:hAnsi="仿宋" w:eastAsia="仿宋" w:cs="仿宋"/>
        </w:rPr>
        <w:t>"vehicleSubLogo": "A6",</w:t>
      </w:r>
    </w:p>
    <w:p w14:paraId="3EFDD6A0">
      <w:pPr>
        <w:pStyle w:val="25"/>
        <w:shd w:val="clear" w:color="auto" w:fill="F9F9F9"/>
        <w:spacing w:after="120"/>
        <w:ind w:left="960"/>
        <w:rPr>
          <w:rFonts w:ascii="仿宋" w:hAnsi="仿宋" w:eastAsia="仿宋" w:cs="仿宋"/>
        </w:rPr>
      </w:pPr>
      <w:r>
        <w:rPr>
          <w:rFonts w:hint="eastAsia" w:ascii="仿宋" w:hAnsi="仿宋" w:eastAsia="仿宋" w:cs="仿宋"/>
        </w:rPr>
        <w:t>"vehicleState": 1,</w:t>
      </w:r>
    </w:p>
    <w:p w14:paraId="3B4B4E04">
      <w:pPr>
        <w:pStyle w:val="25"/>
        <w:shd w:val="clear" w:color="auto" w:fill="F9F9F9"/>
        <w:spacing w:after="120"/>
        <w:ind w:left="960"/>
        <w:rPr>
          <w:rFonts w:ascii="仿宋" w:hAnsi="仿宋" w:eastAsia="仿宋" w:cs="仿宋"/>
        </w:rPr>
      </w:pPr>
      <w:r>
        <w:rPr>
          <w:rFonts w:hint="eastAsia" w:ascii="仿宋" w:hAnsi="仿宋" w:eastAsia="仿宋" w:cs="仿宋"/>
        </w:rPr>
        <w:t>"inoutTime": "2021-03-18 17:37:22",</w:t>
      </w:r>
    </w:p>
    <w:p w14:paraId="29C8D68A">
      <w:pPr>
        <w:pStyle w:val="25"/>
        <w:shd w:val="clear" w:color="auto" w:fill="F9F9F9"/>
        <w:spacing w:after="120"/>
        <w:ind w:left="960"/>
        <w:rPr>
          <w:rFonts w:ascii="仿宋" w:hAnsi="仿宋" w:eastAsia="仿宋" w:cs="仿宋"/>
        </w:rPr>
      </w:pPr>
      <w:r>
        <w:rPr>
          <w:rFonts w:hint="eastAsia" w:ascii="仿宋" w:hAnsi="仿宋" w:eastAsia="仿宋" w:cs="仿宋"/>
        </w:rPr>
        <w:t>"imagecamerameodel": "",</w:t>
      </w:r>
    </w:p>
    <w:p w14:paraId="1628306F">
      <w:pPr>
        <w:pStyle w:val="25"/>
        <w:shd w:val="clear" w:color="auto" w:fill="F9F9F9"/>
        <w:spacing w:after="120"/>
        <w:ind w:left="960"/>
        <w:rPr>
          <w:rFonts w:ascii="仿宋" w:hAnsi="仿宋" w:eastAsia="仿宋" w:cs="仿宋"/>
        </w:rPr>
      </w:pPr>
      <w:r>
        <w:rPr>
          <w:rFonts w:hint="eastAsia" w:ascii="仿宋" w:hAnsi="仿宋" w:eastAsia="仿宋" w:cs="仿宋"/>
        </w:rPr>
        <w:t>"imagecameraid": "",</w:t>
      </w:r>
    </w:p>
    <w:p w14:paraId="56B781D8">
      <w:pPr>
        <w:pStyle w:val="25"/>
        <w:shd w:val="clear" w:color="auto" w:fill="F9F9F9"/>
        <w:spacing w:after="120"/>
        <w:ind w:left="960"/>
        <w:rPr>
          <w:rFonts w:ascii="仿宋" w:hAnsi="仿宋" w:eastAsia="仿宋" w:cs="仿宋"/>
        </w:rPr>
      </w:pPr>
      <w:r>
        <w:rPr>
          <w:rFonts w:hint="eastAsia" w:ascii="仿宋" w:hAnsi="仿宋" w:eastAsia="仿宋" w:cs="仿宋"/>
        </w:rPr>
        <w:t>"imagestr": "",</w:t>
      </w:r>
    </w:p>
    <w:p w14:paraId="1789DDD2">
      <w:pPr>
        <w:pStyle w:val="25"/>
        <w:shd w:val="clear" w:color="auto" w:fill="F9F9F9"/>
        <w:spacing w:after="120"/>
        <w:ind w:left="960"/>
        <w:rPr>
          <w:rFonts w:ascii="仿宋" w:hAnsi="仿宋" w:eastAsia="仿宋" w:cs="仿宋"/>
        </w:rPr>
      </w:pPr>
      <w:r>
        <w:rPr>
          <w:rFonts w:hint="eastAsia" w:ascii="仿宋" w:hAnsi="仿宋" w:eastAsia="仿宋" w:cs="仿宋"/>
        </w:rPr>
        <w:t>"imagetime": "",</w:t>
      </w:r>
    </w:p>
    <w:p w14:paraId="05044DB7">
      <w:pPr>
        <w:pStyle w:val="25"/>
        <w:shd w:val="clear" w:color="auto" w:fill="F9F9F9"/>
        <w:spacing w:after="120"/>
        <w:ind w:left="960"/>
        <w:rPr>
          <w:rFonts w:ascii="仿宋" w:hAnsi="仿宋" w:eastAsia="仿宋" w:cs="仿宋"/>
        </w:rPr>
      </w:pPr>
      <w:r>
        <w:rPr>
          <w:rFonts w:hint="eastAsia" w:ascii="仿宋" w:hAnsi="仿宋" w:eastAsia="仿宋" w:cs="仿宋"/>
        </w:rPr>
        <w:t>"rect": {}</w:t>
      </w:r>
    </w:p>
    <w:p w14:paraId="0C9A7469">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6130544E">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58D03E38">
      <w:pPr>
        <w:pStyle w:val="25"/>
        <w:shd w:val="clear" w:color="auto" w:fill="F9F9F9"/>
        <w:spacing w:after="120"/>
        <w:ind w:left="960"/>
        <w:rPr>
          <w:rFonts w:ascii="仿宋" w:hAnsi="仿宋" w:eastAsia="仿宋" w:cs="仿宋"/>
        </w:rPr>
      </w:pPr>
      <w:r>
        <w:rPr>
          <w:rFonts w:hint="eastAsia" w:ascii="仿宋" w:hAnsi="仿宋" w:eastAsia="仿宋" w:cs="仿宋"/>
        </w:rPr>
        <w:t>"timestamp": "13449039388",</w:t>
      </w:r>
    </w:p>
    <w:p w14:paraId="721C9DEF">
      <w:pPr>
        <w:pStyle w:val="25"/>
        <w:shd w:val="clear" w:color="auto" w:fill="F9F9F9"/>
        <w:spacing w:after="120"/>
        <w:ind w:left="960"/>
        <w:rPr>
          <w:rFonts w:ascii="仿宋" w:hAnsi="仿宋" w:eastAsia="仿宋" w:cs="仿宋"/>
        </w:rPr>
      </w:pPr>
      <w:r>
        <w:rPr>
          <w:rFonts w:hint="eastAsia" w:ascii="仿宋" w:hAnsi="仿宋" w:eastAsia="仿宋" w:cs="仿宋"/>
        </w:rPr>
        <w:t>"sign": "sign"</w:t>
      </w:r>
    </w:p>
    <w:p w14:paraId="2BC53BC7">
      <w:pPr>
        <w:pStyle w:val="25"/>
        <w:shd w:val="clear" w:color="auto" w:fill="F9F9F9"/>
        <w:spacing w:after="120"/>
        <w:ind w:left="960"/>
        <w:rPr>
          <w:rFonts w:ascii="仿宋" w:hAnsi="仿宋" w:eastAsia="仿宋" w:cs="仿宋"/>
        </w:rPr>
      </w:pPr>
      <w:r>
        <w:rPr>
          <w:rFonts w:hint="eastAsia" w:ascii="仿宋" w:hAnsi="仿宋" w:eastAsia="仿宋" w:cs="仿宋"/>
        </w:rPr>
        <w:t>}</w:t>
      </w:r>
    </w:p>
    <w:p w14:paraId="665C3249">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响应数据</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305"/>
        <w:gridCol w:w="1306"/>
        <w:gridCol w:w="1306"/>
        <w:gridCol w:w="4683"/>
        <w:gridCol w:w="1306"/>
      </w:tblGrid>
      <w:tr w14:paraId="5711EDF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7A3D804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参数名称</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495CAF0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参数类型</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7D76D9D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是否必须</w:t>
            </w:r>
          </w:p>
        </w:tc>
        <w:tc>
          <w:tcPr>
            <w:tcW w:w="2363"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08445B4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参数说明</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4BAFFA6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示例</w:t>
            </w:r>
          </w:p>
        </w:tc>
      </w:tr>
      <w:tr w14:paraId="7905F5F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28E411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code</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8940CD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integer</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C48524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6436C2E">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响应码</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E4822B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200</w:t>
            </w:r>
          </w:p>
        </w:tc>
      </w:tr>
      <w:tr w14:paraId="395DDB0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30D5E3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msg</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60AFD4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06A8BF1">
            <w:pPr>
              <w:spacing w:after="120"/>
              <w:ind w:firstLine="0" w:firstLineChars="0"/>
              <w:jc w:val="center"/>
              <w:rPr>
                <w:rFonts w:ascii="仿宋" w:hAnsi="仿宋" w:eastAsia="仿宋" w:cs="仿宋"/>
                <w:szCs w:val="24"/>
              </w:rPr>
            </w:pPr>
            <w:r>
              <w:rPr>
                <w:rFonts w:hint="eastAsia" w:ascii="仿宋" w:hAnsi="仿宋" w:eastAsia="仿宋" w:cs="仿宋"/>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7C6BDC7">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响应信息</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AA6259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上报成功</w:t>
            </w:r>
          </w:p>
        </w:tc>
      </w:tr>
      <w:tr w14:paraId="7B06069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7B03B7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success</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044631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bool</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04365A2">
            <w:pPr>
              <w:spacing w:after="120"/>
              <w:ind w:firstLine="0" w:firstLineChars="0"/>
              <w:jc w:val="center"/>
              <w:rPr>
                <w:rFonts w:ascii="仿宋" w:hAnsi="仿宋" w:eastAsia="仿宋" w:cs="仿宋"/>
                <w:szCs w:val="24"/>
              </w:rPr>
            </w:pPr>
            <w:r>
              <w:rPr>
                <w:rFonts w:hint="eastAsia" w:ascii="仿宋" w:hAnsi="仿宋" w:eastAsia="仿宋" w:cs="仿宋"/>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9A3F747">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是否成功，接口是否成功主要看这个值</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650B7F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True</w:t>
            </w:r>
          </w:p>
        </w:tc>
      </w:tr>
      <w:tr w14:paraId="0913B40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8EB948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data</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3442D2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CECC582">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FE6E21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可空，需要返回数据时，这个值返回</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10355E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w:t>
            </w:r>
          </w:p>
        </w:tc>
      </w:tr>
    </w:tbl>
    <w:p w14:paraId="6A9BAAD1">
      <w:pPr>
        <w:spacing w:after="120"/>
        <w:ind w:firstLine="648"/>
        <w:rPr>
          <w:rFonts w:ascii="仿宋" w:hAnsi="仿宋" w:eastAsia="仿宋" w:cs="仿宋"/>
          <w:b/>
          <w:bCs/>
          <w:spacing w:val="12"/>
          <w:sz w:val="30"/>
          <w:szCs w:val="30"/>
        </w:rPr>
      </w:pPr>
      <w:r>
        <w:rPr>
          <w:rFonts w:hint="eastAsia" w:ascii="仿宋" w:hAnsi="仿宋" w:eastAsia="仿宋" w:cs="仿宋"/>
          <w:spacing w:val="12"/>
          <w:sz w:val="30"/>
          <w:szCs w:val="30"/>
        </w:rPr>
        <w:t>响应示例</w:t>
      </w:r>
    </w:p>
    <w:p w14:paraId="37985E27">
      <w:pPr>
        <w:pStyle w:val="25"/>
        <w:shd w:val="clear" w:color="auto" w:fill="F9F9F9"/>
        <w:spacing w:after="120"/>
        <w:ind w:left="960"/>
        <w:rPr>
          <w:rFonts w:ascii="仿宋" w:hAnsi="仿宋" w:eastAsia="仿宋" w:cs="仿宋"/>
        </w:rPr>
      </w:pPr>
      <w:r>
        <w:rPr>
          <w:rFonts w:hint="eastAsia" w:ascii="仿宋" w:hAnsi="仿宋" w:eastAsia="仿宋" w:cs="仿宋"/>
        </w:rPr>
        <w:t>{</w:t>
      </w:r>
    </w:p>
    <w:p w14:paraId="0314E59C">
      <w:pPr>
        <w:pStyle w:val="25"/>
        <w:shd w:val="clear" w:color="auto" w:fill="F9F9F9"/>
        <w:spacing w:after="120"/>
        <w:ind w:left="960"/>
        <w:rPr>
          <w:rFonts w:ascii="仿宋" w:hAnsi="仿宋" w:eastAsia="仿宋" w:cs="仿宋"/>
        </w:rPr>
      </w:pPr>
      <w:r>
        <w:rPr>
          <w:rFonts w:hint="eastAsia" w:ascii="仿宋" w:hAnsi="仿宋" w:eastAsia="仿宋" w:cs="仿宋"/>
        </w:rPr>
        <w:t>"code": 200,</w:t>
      </w:r>
    </w:p>
    <w:p w14:paraId="40A2E5E2">
      <w:pPr>
        <w:pStyle w:val="25"/>
        <w:shd w:val="clear" w:color="auto" w:fill="F9F9F9"/>
        <w:spacing w:after="120"/>
        <w:ind w:left="960"/>
        <w:rPr>
          <w:rFonts w:ascii="仿宋" w:hAnsi="仿宋" w:eastAsia="仿宋" w:cs="仿宋"/>
        </w:rPr>
      </w:pPr>
      <w:r>
        <w:rPr>
          <w:rFonts w:hint="eastAsia" w:ascii="仿宋" w:hAnsi="仿宋" w:eastAsia="仿宋" w:cs="仿宋"/>
        </w:rPr>
        <w:t xml:space="preserve">"success": </w:t>
      </w:r>
      <w:r>
        <w:rPr>
          <w:rStyle w:val="161"/>
          <w:rFonts w:hint="eastAsia" w:ascii="仿宋" w:hAnsi="仿宋" w:eastAsia="仿宋" w:cs="仿宋"/>
        </w:rPr>
        <w:t>true</w:t>
      </w:r>
      <w:r>
        <w:rPr>
          <w:rFonts w:hint="eastAsia" w:ascii="仿宋" w:hAnsi="仿宋" w:eastAsia="仿宋" w:cs="仿宋"/>
        </w:rPr>
        <w:t>,</w:t>
      </w:r>
    </w:p>
    <w:p w14:paraId="6D79D611">
      <w:pPr>
        <w:pStyle w:val="25"/>
        <w:shd w:val="clear" w:color="auto" w:fill="F9F9F9"/>
        <w:spacing w:after="120"/>
        <w:ind w:left="960"/>
        <w:rPr>
          <w:rFonts w:ascii="仿宋" w:hAnsi="仿宋" w:eastAsia="仿宋" w:cs="仿宋"/>
        </w:rPr>
      </w:pPr>
      <w:r>
        <w:rPr>
          <w:rFonts w:hint="eastAsia" w:ascii="仿宋" w:hAnsi="仿宋" w:eastAsia="仿宋" w:cs="仿宋"/>
        </w:rPr>
        <w:t>"data": {},</w:t>
      </w:r>
    </w:p>
    <w:p w14:paraId="2B4CC620">
      <w:pPr>
        <w:pStyle w:val="25"/>
        <w:shd w:val="clear" w:color="auto" w:fill="F9F9F9"/>
        <w:spacing w:after="120"/>
        <w:ind w:left="960"/>
        <w:rPr>
          <w:rFonts w:ascii="仿宋" w:hAnsi="仿宋" w:eastAsia="仿宋" w:cs="仿宋"/>
        </w:rPr>
      </w:pPr>
      <w:r>
        <w:rPr>
          <w:rFonts w:hint="eastAsia" w:ascii="仿宋" w:hAnsi="仿宋" w:eastAsia="仿宋" w:cs="仿宋"/>
        </w:rPr>
        <w:t>"msg": "上报成功"</w:t>
      </w:r>
    </w:p>
    <w:p w14:paraId="4CB134BD">
      <w:pPr>
        <w:pStyle w:val="25"/>
        <w:shd w:val="clear" w:color="auto" w:fill="F9F9F9"/>
        <w:spacing w:after="120"/>
        <w:ind w:left="960"/>
        <w:rPr>
          <w:rFonts w:ascii="仿宋" w:hAnsi="仿宋" w:eastAsia="仿宋" w:cs="仿宋"/>
        </w:rPr>
      </w:pPr>
      <w:r>
        <w:rPr>
          <w:rFonts w:hint="eastAsia" w:ascii="仿宋" w:hAnsi="仿宋" w:eastAsia="仿宋" w:cs="仿宋"/>
        </w:rPr>
        <w:t>}</w:t>
      </w:r>
    </w:p>
    <w:p w14:paraId="6FD00A2C">
      <w:pPr>
        <w:pStyle w:val="27"/>
        <w:spacing w:after="120"/>
        <w:ind w:left="3360" w:firstLine="468"/>
        <w:rPr>
          <w:rFonts w:ascii="仿宋" w:hAnsi="仿宋" w:eastAsia="仿宋" w:cs="仿宋"/>
          <w:spacing w:val="2"/>
          <w:sz w:val="23"/>
          <w:szCs w:val="23"/>
        </w:rPr>
      </w:pPr>
    </w:p>
    <w:p w14:paraId="7510B17E">
      <w:pPr>
        <w:spacing w:after="120"/>
        <w:ind w:firstLine="600"/>
        <w:rPr>
          <w:rFonts w:ascii="仿宋" w:hAnsi="仿宋" w:eastAsia="仿宋" w:cs="仿宋"/>
          <w:sz w:val="30"/>
          <w:szCs w:val="30"/>
        </w:rPr>
      </w:pPr>
      <w:r>
        <w:rPr>
          <w:rFonts w:hint="eastAsia" w:ascii="仿宋" w:hAnsi="仿宋" w:eastAsia="仿宋" w:cs="仿宋"/>
          <w:sz w:val="30"/>
          <w:szCs w:val="30"/>
        </w:rPr>
        <w:t>2.3.2上报车辆进出监控设备信息</w:t>
      </w:r>
    </w:p>
    <w:p w14:paraId="2EFEB6DC">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接口说明</w:t>
      </w:r>
    </w:p>
    <w:p w14:paraId="5CBF9C83">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上报车辆进出监控设备信息，此为设备静态数据</w:t>
      </w:r>
    </w:p>
    <w:p w14:paraId="31E3B911">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接口地址</w:t>
      </w:r>
    </w:p>
    <w:p w14:paraId="35615E4D">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/gdiapi/gdi/device/vehicle</w:t>
      </w:r>
    </w:p>
    <w:p w14:paraId="7B4763A3">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请求方法</w:t>
      </w:r>
    </w:p>
    <w:p w14:paraId="791BEBDE">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POST</w:t>
      </w:r>
    </w:p>
    <w:p w14:paraId="0F440717">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版本号</w:t>
      </w:r>
    </w:p>
    <w:p w14:paraId="5314842A">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1.0.0</w:t>
      </w:r>
    </w:p>
    <w:p w14:paraId="6EB646B1">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报送周期</w:t>
      </w:r>
    </w:p>
    <w:p w14:paraId="3D495DE9">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有新增或修改时报送，服务端根据设备ID新增或更新。</w:t>
      </w:r>
    </w:p>
    <w:p w14:paraId="1010EB6E">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请求参数（data部分）</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2031"/>
        <w:gridCol w:w="1357"/>
        <w:gridCol w:w="1357"/>
        <w:gridCol w:w="3255"/>
        <w:gridCol w:w="1088"/>
        <w:gridCol w:w="818"/>
      </w:tblGrid>
      <w:tr w14:paraId="0ED525A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4420EED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参数名称</w:t>
            </w:r>
          </w:p>
        </w:tc>
        <w:tc>
          <w:tcPr>
            <w:tcW w:w="685"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1BA4489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参数类型</w:t>
            </w:r>
          </w:p>
        </w:tc>
        <w:tc>
          <w:tcPr>
            <w:tcW w:w="685"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42FD96E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是否必须</w:t>
            </w:r>
          </w:p>
        </w:tc>
        <w:tc>
          <w:tcPr>
            <w:tcW w:w="1643"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1E734B7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参数说明</w:t>
            </w:r>
          </w:p>
        </w:tc>
        <w:tc>
          <w:tcPr>
            <w:tcW w:w="54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7493DC41">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默认值</w:t>
            </w:r>
          </w:p>
        </w:tc>
        <w:tc>
          <w:tcPr>
            <w:tcW w:w="413"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004D6B41">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说明</w:t>
            </w:r>
          </w:p>
        </w:tc>
      </w:tr>
      <w:tr w14:paraId="6D95E55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5D2263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deviceId</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85BF90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BE64411">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283B7CE">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设备ID</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14B028E">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A0C8C39">
            <w:pPr>
              <w:pStyle w:val="49"/>
              <w:spacing w:before="0" w:beforeAutospacing="0" w:afterAutospacing="0"/>
              <w:jc w:val="center"/>
              <w:rPr>
                <w:rFonts w:ascii="仿宋" w:hAnsi="仿宋" w:eastAsia="仿宋" w:cs="仿宋"/>
                <w:spacing w:val="2"/>
                <w:szCs w:val="24"/>
              </w:rPr>
            </w:pPr>
          </w:p>
        </w:tc>
      </w:tr>
      <w:tr w14:paraId="2567DAE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17A779B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deviceName</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173C27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DD852CC">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2949B8C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设备名称</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E8739EE">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6697072">
            <w:pPr>
              <w:pStyle w:val="49"/>
              <w:spacing w:before="0" w:beforeAutospacing="0" w:afterAutospacing="0"/>
              <w:jc w:val="center"/>
              <w:rPr>
                <w:rFonts w:ascii="仿宋" w:hAnsi="仿宋" w:eastAsia="仿宋" w:cs="仿宋"/>
                <w:spacing w:val="2"/>
                <w:szCs w:val="24"/>
              </w:rPr>
            </w:pPr>
          </w:p>
        </w:tc>
      </w:tr>
      <w:tr w14:paraId="4FC0123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05D81E8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deviceFactory</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6897171">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CCC1C0D">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3BBF243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生产厂家</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1D1B315">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4E7F2EB">
            <w:pPr>
              <w:pStyle w:val="49"/>
              <w:spacing w:before="0" w:beforeAutospacing="0" w:afterAutospacing="0"/>
              <w:jc w:val="center"/>
              <w:rPr>
                <w:rFonts w:ascii="仿宋" w:hAnsi="仿宋" w:eastAsia="仿宋" w:cs="仿宋"/>
                <w:spacing w:val="2"/>
                <w:szCs w:val="24"/>
              </w:rPr>
            </w:pPr>
          </w:p>
        </w:tc>
      </w:tr>
      <w:tr w14:paraId="68EBBB7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209A366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deviceSn</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B6DBBC7">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FBC4F97">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1EAA831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序列号</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9AF6E01">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04841D9">
            <w:pPr>
              <w:pStyle w:val="49"/>
              <w:spacing w:before="0" w:beforeAutospacing="0" w:afterAutospacing="0"/>
              <w:jc w:val="center"/>
              <w:rPr>
                <w:rFonts w:ascii="仿宋" w:hAnsi="仿宋" w:eastAsia="仿宋" w:cs="仿宋"/>
                <w:spacing w:val="2"/>
                <w:szCs w:val="24"/>
              </w:rPr>
            </w:pPr>
          </w:p>
        </w:tc>
      </w:tr>
      <w:tr w14:paraId="6F05257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41AD97A1">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posX</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4BCA23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3AC1FEE">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4AB043A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经度</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9E94EA0">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01A130B">
            <w:pPr>
              <w:pStyle w:val="49"/>
              <w:spacing w:before="0" w:beforeAutospacing="0" w:afterAutospacing="0"/>
              <w:jc w:val="center"/>
              <w:rPr>
                <w:rFonts w:ascii="仿宋" w:hAnsi="仿宋" w:eastAsia="仿宋" w:cs="仿宋"/>
                <w:spacing w:val="2"/>
                <w:szCs w:val="24"/>
              </w:rPr>
            </w:pPr>
          </w:p>
        </w:tc>
      </w:tr>
      <w:tr w14:paraId="4131C88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146EAB6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posY</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DE2EA2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13B6BED">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4AAF0A0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纬度</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F947999">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6FA992B">
            <w:pPr>
              <w:pStyle w:val="49"/>
              <w:spacing w:before="0" w:beforeAutospacing="0" w:afterAutospacing="0"/>
              <w:jc w:val="center"/>
              <w:rPr>
                <w:rFonts w:ascii="仿宋" w:hAnsi="仿宋" w:eastAsia="仿宋" w:cs="仿宋"/>
                <w:spacing w:val="2"/>
                <w:szCs w:val="24"/>
              </w:rPr>
            </w:pPr>
          </w:p>
        </w:tc>
      </w:tr>
      <w:tr w14:paraId="4553B2C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0D74EB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posZ</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675CAC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0205653">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643C18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海拔</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3C17CA9">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0C45439">
            <w:pPr>
              <w:pStyle w:val="49"/>
              <w:spacing w:before="0" w:beforeAutospacing="0" w:afterAutospacing="0"/>
              <w:jc w:val="center"/>
              <w:rPr>
                <w:rFonts w:ascii="仿宋" w:hAnsi="仿宋" w:eastAsia="仿宋" w:cs="仿宋"/>
                <w:spacing w:val="2"/>
                <w:szCs w:val="24"/>
              </w:rPr>
            </w:pPr>
          </w:p>
        </w:tc>
      </w:tr>
      <w:tr w14:paraId="017E511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5A9CE89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isOnline</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F3CE57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532EFF2">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6D6A6BC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在线状态 0 离线 1 在线</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DAF5039">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C92BA98">
            <w:pPr>
              <w:pStyle w:val="49"/>
              <w:spacing w:before="0" w:beforeAutospacing="0" w:afterAutospacing="0"/>
              <w:jc w:val="center"/>
              <w:rPr>
                <w:rFonts w:ascii="仿宋" w:hAnsi="仿宋" w:eastAsia="仿宋" w:cs="仿宋"/>
                <w:spacing w:val="2"/>
                <w:szCs w:val="24"/>
              </w:rPr>
            </w:pPr>
          </w:p>
        </w:tc>
      </w:tr>
    </w:tbl>
    <w:p w14:paraId="00C09426">
      <w:pPr>
        <w:pStyle w:val="26"/>
        <w:spacing w:after="120"/>
        <w:jc w:val="center"/>
      </w:pPr>
    </w:p>
    <w:p w14:paraId="488394BA">
      <w:pPr>
        <w:spacing w:after="120"/>
        <w:ind w:firstLine="648"/>
        <w:rPr>
          <w:rFonts w:ascii="仿宋" w:hAnsi="仿宋" w:eastAsia="仿宋" w:cs="仿宋"/>
          <w:sz w:val="30"/>
          <w:szCs w:val="30"/>
        </w:rPr>
      </w:pPr>
      <w:r>
        <w:rPr>
          <w:rFonts w:hint="eastAsia" w:ascii="仿宋" w:hAnsi="仿宋" w:eastAsia="仿宋" w:cs="仿宋"/>
          <w:spacing w:val="12"/>
          <w:sz w:val="30"/>
          <w:szCs w:val="30"/>
        </w:rPr>
        <w:t>请求示例</w:t>
      </w:r>
    </w:p>
    <w:p w14:paraId="23772982">
      <w:pPr>
        <w:pStyle w:val="25"/>
        <w:shd w:val="clear" w:color="auto" w:fill="F9F9F9"/>
        <w:spacing w:after="120"/>
        <w:ind w:left="960"/>
        <w:rPr>
          <w:rFonts w:ascii="仿宋" w:hAnsi="仿宋" w:eastAsia="仿宋" w:cs="仿宋"/>
        </w:rPr>
      </w:pPr>
      <w:r>
        <w:rPr>
          <w:rFonts w:hint="eastAsia" w:ascii="仿宋" w:hAnsi="仿宋" w:eastAsia="仿宋" w:cs="仿宋"/>
        </w:rPr>
        <w:t>{</w:t>
      </w:r>
    </w:p>
    <w:p w14:paraId="4D023D70">
      <w:pPr>
        <w:pStyle w:val="25"/>
        <w:shd w:val="clear" w:color="auto" w:fill="F9F9F9"/>
        <w:spacing w:after="120"/>
        <w:ind w:left="960"/>
        <w:rPr>
          <w:rFonts w:ascii="仿宋" w:hAnsi="仿宋" w:eastAsia="仿宋" w:cs="仿宋"/>
        </w:rPr>
      </w:pPr>
      <w:r>
        <w:rPr>
          <w:rFonts w:hint="eastAsia" w:ascii="仿宋" w:hAnsi="仿宋" w:eastAsia="仿宋" w:cs="仿宋"/>
        </w:rPr>
        <w:t>"projectId":"13449039388",</w:t>
      </w:r>
    </w:p>
    <w:p w14:paraId="280BE23B">
      <w:pPr>
        <w:pStyle w:val="25"/>
        <w:shd w:val="clear" w:color="auto" w:fill="F9F9F9"/>
        <w:spacing w:after="120"/>
        <w:ind w:left="960"/>
        <w:rPr>
          <w:rFonts w:ascii="仿宋" w:hAnsi="仿宋" w:eastAsia="仿宋" w:cs="仿宋"/>
        </w:rPr>
      </w:pPr>
      <w:r>
        <w:rPr>
          <w:rFonts w:hint="eastAsia" w:ascii="仿宋" w:hAnsi="仿宋" w:eastAsia="仿宋" w:cs="仿宋"/>
        </w:rPr>
        <w:t>"data":[</w:t>
      </w:r>
    </w:p>
    <w:p w14:paraId="14E38016">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5DDC1381">
      <w:pPr>
        <w:pStyle w:val="25"/>
        <w:shd w:val="clear" w:color="auto" w:fill="F9F9F9"/>
        <w:spacing w:after="120"/>
        <w:ind w:left="960"/>
        <w:rPr>
          <w:rFonts w:ascii="仿宋" w:hAnsi="仿宋" w:eastAsia="仿宋" w:cs="仿宋"/>
        </w:rPr>
      </w:pPr>
      <w:r>
        <w:rPr>
          <w:rFonts w:hint="eastAsia" w:ascii="仿宋" w:hAnsi="仿宋" w:eastAsia="仿宋" w:cs="仿宋"/>
        </w:rPr>
        <w:t>"deviceId": "W0000009",</w:t>
      </w:r>
    </w:p>
    <w:p w14:paraId="4E6F2DEC">
      <w:pPr>
        <w:pStyle w:val="25"/>
        <w:shd w:val="clear" w:color="auto" w:fill="F9F9F9"/>
        <w:spacing w:after="120"/>
        <w:ind w:left="960"/>
        <w:rPr>
          <w:rFonts w:ascii="仿宋" w:hAnsi="仿宋" w:eastAsia="仿宋" w:cs="仿宋"/>
        </w:rPr>
      </w:pPr>
      <w:r>
        <w:rPr>
          <w:rFonts w:hint="eastAsia" w:ascii="仿宋" w:hAnsi="仿宋" w:eastAsia="仿宋" w:cs="仿宋"/>
        </w:rPr>
        <w:t>"deviceName": "9号通道",</w:t>
      </w:r>
    </w:p>
    <w:p w14:paraId="51BB6231">
      <w:pPr>
        <w:pStyle w:val="25"/>
        <w:shd w:val="clear" w:color="auto" w:fill="F9F9F9"/>
        <w:spacing w:after="120"/>
        <w:ind w:left="960"/>
        <w:rPr>
          <w:rFonts w:ascii="仿宋" w:hAnsi="仿宋" w:eastAsia="仿宋" w:cs="仿宋"/>
        </w:rPr>
      </w:pPr>
      <w:r>
        <w:rPr>
          <w:rFonts w:hint="eastAsia" w:ascii="仿宋" w:hAnsi="仿宋" w:eastAsia="仿宋" w:cs="仿宋"/>
        </w:rPr>
        <w:t>"deviceFactory": "生产厂家",</w:t>
      </w:r>
    </w:p>
    <w:p w14:paraId="7AA29D6C">
      <w:pPr>
        <w:pStyle w:val="25"/>
        <w:shd w:val="clear" w:color="auto" w:fill="F9F9F9"/>
        <w:spacing w:after="120"/>
        <w:ind w:left="960"/>
        <w:rPr>
          <w:rFonts w:ascii="仿宋" w:hAnsi="仿宋" w:eastAsia="仿宋" w:cs="仿宋"/>
        </w:rPr>
      </w:pPr>
      <w:r>
        <w:rPr>
          <w:rFonts w:hint="eastAsia" w:ascii="仿宋" w:hAnsi="仿宋" w:eastAsia="仿宋" w:cs="仿宋"/>
        </w:rPr>
        <w:t>"deviceSn": "WKSN122SAD",</w:t>
      </w:r>
    </w:p>
    <w:p w14:paraId="1CDD5A6F">
      <w:pPr>
        <w:pStyle w:val="25"/>
        <w:shd w:val="clear" w:color="auto" w:fill="F9F9F9"/>
        <w:spacing w:after="120"/>
        <w:ind w:left="960"/>
        <w:rPr>
          <w:rFonts w:ascii="仿宋" w:hAnsi="仿宋" w:eastAsia="仿宋" w:cs="仿宋"/>
        </w:rPr>
      </w:pPr>
      <w:r>
        <w:rPr>
          <w:rFonts w:hint="eastAsia" w:ascii="仿宋" w:hAnsi="仿宋" w:eastAsia="仿宋" w:cs="仿宋"/>
        </w:rPr>
        <w:t>"posX": "111.1222",</w:t>
      </w:r>
    </w:p>
    <w:p w14:paraId="5B26DF68">
      <w:pPr>
        <w:pStyle w:val="25"/>
        <w:shd w:val="clear" w:color="auto" w:fill="F9F9F9"/>
        <w:spacing w:after="120"/>
        <w:ind w:left="960"/>
        <w:rPr>
          <w:rFonts w:ascii="仿宋" w:hAnsi="仿宋" w:eastAsia="仿宋" w:cs="仿宋"/>
        </w:rPr>
      </w:pPr>
      <w:r>
        <w:rPr>
          <w:rFonts w:hint="eastAsia" w:ascii="仿宋" w:hAnsi="仿宋" w:eastAsia="仿宋" w:cs="仿宋"/>
        </w:rPr>
        <w:t>"posY": "23.1212",</w:t>
      </w:r>
    </w:p>
    <w:p w14:paraId="6774B480">
      <w:pPr>
        <w:pStyle w:val="25"/>
        <w:shd w:val="clear" w:color="auto" w:fill="F9F9F9"/>
        <w:spacing w:after="120"/>
        <w:ind w:left="960"/>
        <w:rPr>
          <w:rFonts w:ascii="仿宋" w:hAnsi="仿宋" w:eastAsia="仿宋" w:cs="仿宋"/>
        </w:rPr>
      </w:pPr>
      <w:r>
        <w:rPr>
          <w:rFonts w:hint="eastAsia" w:ascii="仿宋" w:hAnsi="仿宋" w:eastAsia="仿宋" w:cs="仿宋"/>
        </w:rPr>
        <w:t>"posZ": "0",</w:t>
      </w:r>
    </w:p>
    <w:p w14:paraId="75C7AC61">
      <w:pPr>
        <w:pStyle w:val="25"/>
        <w:shd w:val="clear" w:color="auto" w:fill="F9F9F9"/>
        <w:spacing w:after="120"/>
        <w:ind w:left="960"/>
        <w:rPr>
          <w:rFonts w:ascii="仿宋" w:hAnsi="仿宋" w:eastAsia="仿宋" w:cs="仿宋"/>
        </w:rPr>
      </w:pPr>
      <w:r>
        <w:rPr>
          <w:rFonts w:hint="eastAsia" w:ascii="仿宋" w:hAnsi="仿宋" w:eastAsia="仿宋" w:cs="仿宋"/>
        </w:rPr>
        <w:t>"isOnline": 0</w:t>
      </w:r>
    </w:p>
    <w:p w14:paraId="3C14875A">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42364E6C">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7DD89C7E">
      <w:pPr>
        <w:pStyle w:val="25"/>
        <w:shd w:val="clear" w:color="auto" w:fill="F9F9F9"/>
        <w:spacing w:after="120"/>
        <w:ind w:left="960"/>
        <w:rPr>
          <w:rFonts w:ascii="仿宋" w:hAnsi="仿宋" w:eastAsia="仿宋" w:cs="仿宋"/>
        </w:rPr>
      </w:pPr>
      <w:r>
        <w:rPr>
          <w:rFonts w:hint="eastAsia" w:ascii="仿宋" w:hAnsi="仿宋" w:eastAsia="仿宋" w:cs="仿宋"/>
        </w:rPr>
        <w:t>"timestamp": "13449039388",</w:t>
      </w:r>
    </w:p>
    <w:p w14:paraId="1020F8F2">
      <w:pPr>
        <w:pStyle w:val="25"/>
        <w:shd w:val="clear" w:color="auto" w:fill="F9F9F9"/>
        <w:spacing w:after="120"/>
        <w:ind w:left="960"/>
        <w:rPr>
          <w:rFonts w:ascii="仿宋" w:hAnsi="仿宋" w:eastAsia="仿宋" w:cs="仿宋"/>
        </w:rPr>
      </w:pPr>
      <w:r>
        <w:rPr>
          <w:rFonts w:hint="eastAsia" w:ascii="仿宋" w:hAnsi="仿宋" w:eastAsia="仿宋" w:cs="仿宋"/>
        </w:rPr>
        <w:t>"sign": "sign"</w:t>
      </w:r>
    </w:p>
    <w:p w14:paraId="6A657C74">
      <w:pPr>
        <w:pStyle w:val="25"/>
        <w:shd w:val="clear" w:color="auto" w:fill="F9F9F9"/>
        <w:spacing w:after="120"/>
        <w:ind w:left="960"/>
        <w:rPr>
          <w:rFonts w:ascii="仿宋" w:hAnsi="仿宋" w:eastAsia="仿宋" w:cs="仿宋"/>
        </w:rPr>
      </w:pPr>
      <w:r>
        <w:rPr>
          <w:rFonts w:hint="eastAsia" w:ascii="仿宋" w:hAnsi="仿宋" w:eastAsia="仿宋" w:cs="仿宋"/>
        </w:rPr>
        <w:t>}</w:t>
      </w:r>
    </w:p>
    <w:p w14:paraId="20E27948">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响应数据</w:t>
      </w:r>
    </w:p>
    <w:p w14:paraId="259AC2D3">
      <w:pPr>
        <w:pStyle w:val="26"/>
        <w:spacing w:after="120"/>
      </w:pP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304"/>
        <w:gridCol w:w="1306"/>
        <w:gridCol w:w="1306"/>
        <w:gridCol w:w="4683"/>
        <w:gridCol w:w="1307"/>
      </w:tblGrid>
      <w:tr w14:paraId="027C285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8"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5F9317DD">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参数名称</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4E209F65">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参数类型</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153FA826">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是否必须</w:t>
            </w:r>
          </w:p>
        </w:tc>
        <w:tc>
          <w:tcPr>
            <w:tcW w:w="2363"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03C2BAF6">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参数说明</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673C39FF">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示例</w:t>
            </w:r>
          </w:p>
        </w:tc>
      </w:tr>
      <w:tr w14:paraId="191FF9C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C80A3BB">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code</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4427E7C">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integer</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9AD0803">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030DA07">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响应码</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0C2FA2B">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200</w:t>
            </w:r>
          </w:p>
        </w:tc>
      </w:tr>
      <w:tr w14:paraId="4963A6D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CCBA01B">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msg</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33FC81D">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string</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D9190EC">
            <w:pPr>
              <w:spacing w:after="120"/>
              <w:ind w:firstLine="0" w:firstLineChars="0"/>
              <w:rPr>
                <w:rFonts w:ascii="仿宋" w:hAnsi="仿宋" w:eastAsia="仿宋" w:cs="仿宋"/>
                <w:szCs w:val="24"/>
              </w:rPr>
            </w:pPr>
            <w:r>
              <w:rPr>
                <w:rFonts w:hint="eastAsia" w:ascii="仿宋" w:hAnsi="仿宋" w:eastAsia="仿宋" w:cs="仿宋"/>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7F0D9AA">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响应信息</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B755599">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上报成功</w:t>
            </w:r>
          </w:p>
        </w:tc>
      </w:tr>
      <w:tr w14:paraId="776AFC6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2862F01">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success</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A9FA9B7">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bool</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E8C0F70">
            <w:pPr>
              <w:spacing w:after="120"/>
              <w:ind w:firstLine="0" w:firstLineChars="0"/>
              <w:rPr>
                <w:rFonts w:ascii="仿宋" w:hAnsi="仿宋" w:eastAsia="仿宋" w:cs="仿宋"/>
                <w:szCs w:val="24"/>
              </w:rPr>
            </w:pPr>
            <w:r>
              <w:rPr>
                <w:rFonts w:hint="eastAsia" w:ascii="仿宋" w:hAnsi="仿宋" w:eastAsia="仿宋" w:cs="仿宋"/>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95580AE">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是否成功，接口是否成功主要看这个值</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37BF1FA">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True</w:t>
            </w:r>
          </w:p>
        </w:tc>
      </w:tr>
      <w:tr w14:paraId="2EA58A6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8F49156">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data</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64FCC30">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70D30EB">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False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F60A4F9">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可空，需要返回数据时，这个值返回</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A33BAE9">
            <w:pPr>
              <w:pStyle w:val="49"/>
              <w:spacing w:before="0" w:beforeAutospacing="0" w:afterAutospacing="0"/>
              <w:rPr>
                <w:rFonts w:ascii="仿宋" w:hAnsi="仿宋" w:eastAsia="仿宋" w:cs="仿宋"/>
                <w:spacing w:val="2"/>
                <w:szCs w:val="24"/>
              </w:rPr>
            </w:pPr>
            <w:r>
              <w:rPr>
                <w:rFonts w:hint="eastAsia" w:ascii="仿宋" w:hAnsi="仿宋" w:eastAsia="仿宋" w:cs="仿宋"/>
                <w:spacing w:val="2"/>
                <w:szCs w:val="24"/>
              </w:rPr>
              <w:t>{}</w:t>
            </w:r>
          </w:p>
        </w:tc>
      </w:tr>
    </w:tbl>
    <w:p w14:paraId="4A3B06A7">
      <w:pPr>
        <w:pStyle w:val="26"/>
        <w:spacing w:after="120"/>
        <w:rPr>
          <w:rFonts w:ascii="仿宋" w:hAnsi="仿宋" w:eastAsia="仿宋" w:cs="仿宋"/>
        </w:rPr>
      </w:pPr>
    </w:p>
    <w:p w14:paraId="206D2D05">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响应示例</w:t>
      </w:r>
    </w:p>
    <w:p w14:paraId="201FD179">
      <w:pPr>
        <w:pStyle w:val="25"/>
        <w:shd w:val="clear" w:color="auto" w:fill="F9F9F9"/>
        <w:spacing w:after="120"/>
        <w:ind w:left="960"/>
        <w:rPr>
          <w:rFonts w:ascii="仿宋" w:hAnsi="仿宋" w:eastAsia="仿宋" w:cs="仿宋"/>
        </w:rPr>
      </w:pPr>
      <w:r>
        <w:rPr>
          <w:rFonts w:hint="eastAsia" w:ascii="仿宋" w:hAnsi="仿宋" w:eastAsia="仿宋" w:cs="仿宋"/>
        </w:rPr>
        <w:t>{</w:t>
      </w:r>
    </w:p>
    <w:p w14:paraId="50079288">
      <w:pPr>
        <w:pStyle w:val="25"/>
        <w:shd w:val="clear" w:color="auto" w:fill="F9F9F9"/>
        <w:spacing w:after="120"/>
        <w:ind w:left="960"/>
        <w:rPr>
          <w:rFonts w:ascii="仿宋" w:hAnsi="仿宋" w:eastAsia="仿宋" w:cs="仿宋"/>
        </w:rPr>
      </w:pPr>
      <w:r>
        <w:rPr>
          <w:rFonts w:hint="eastAsia" w:ascii="仿宋" w:hAnsi="仿宋" w:eastAsia="仿宋" w:cs="仿宋"/>
        </w:rPr>
        <w:t>"code": 200,</w:t>
      </w:r>
    </w:p>
    <w:p w14:paraId="0178C287">
      <w:pPr>
        <w:pStyle w:val="25"/>
        <w:shd w:val="clear" w:color="auto" w:fill="F9F9F9"/>
        <w:spacing w:after="120"/>
        <w:ind w:left="960"/>
        <w:rPr>
          <w:rFonts w:ascii="仿宋" w:hAnsi="仿宋" w:eastAsia="仿宋" w:cs="仿宋"/>
        </w:rPr>
      </w:pPr>
      <w:r>
        <w:rPr>
          <w:rFonts w:hint="eastAsia" w:ascii="仿宋" w:hAnsi="仿宋" w:eastAsia="仿宋" w:cs="仿宋"/>
        </w:rPr>
        <w:t xml:space="preserve">"success": </w:t>
      </w:r>
      <w:r>
        <w:rPr>
          <w:rStyle w:val="161"/>
          <w:rFonts w:hint="eastAsia" w:ascii="仿宋" w:hAnsi="仿宋" w:eastAsia="仿宋" w:cs="仿宋"/>
        </w:rPr>
        <w:t>true</w:t>
      </w:r>
      <w:r>
        <w:rPr>
          <w:rFonts w:hint="eastAsia" w:ascii="仿宋" w:hAnsi="仿宋" w:eastAsia="仿宋" w:cs="仿宋"/>
        </w:rPr>
        <w:t>,</w:t>
      </w:r>
    </w:p>
    <w:p w14:paraId="02398724">
      <w:pPr>
        <w:pStyle w:val="25"/>
        <w:shd w:val="clear" w:color="auto" w:fill="F9F9F9"/>
        <w:spacing w:after="120"/>
        <w:ind w:left="960"/>
        <w:rPr>
          <w:rFonts w:ascii="仿宋" w:hAnsi="仿宋" w:eastAsia="仿宋" w:cs="仿宋"/>
        </w:rPr>
      </w:pPr>
      <w:r>
        <w:rPr>
          <w:rFonts w:hint="eastAsia" w:ascii="仿宋" w:hAnsi="仿宋" w:eastAsia="仿宋" w:cs="仿宋"/>
        </w:rPr>
        <w:t>"data": {},</w:t>
      </w:r>
    </w:p>
    <w:p w14:paraId="446E6001">
      <w:pPr>
        <w:pStyle w:val="25"/>
        <w:shd w:val="clear" w:color="auto" w:fill="F9F9F9"/>
        <w:spacing w:after="120"/>
        <w:ind w:left="960"/>
        <w:rPr>
          <w:rFonts w:ascii="仿宋" w:hAnsi="仿宋" w:eastAsia="仿宋" w:cs="仿宋"/>
        </w:rPr>
      </w:pPr>
      <w:r>
        <w:rPr>
          <w:rFonts w:hint="eastAsia" w:ascii="仿宋" w:hAnsi="仿宋" w:eastAsia="仿宋" w:cs="仿宋"/>
        </w:rPr>
        <w:t>"msg": "上报成功"</w:t>
      </w:r>
    </w:p>
    <w:p w14:paraId="683D5BF3">
      <w:pPr>
        <w:pStyle w:val="25"/>
        <w:shd w:val="clear" w:color="auto" w:fill="F9F9F9"/>
        <w:spacing w:after="120"/>
        <w:ind w:left="960"/>
        <w:rPr>
          <w:rFonts w:ascii="仿宋" w:hAnsi="仿宋" w:eastAsia="仿宋" w:cs="仿宋"/>
        </w:rPr>
      </w:pPr>
      <w:r>
        <w:rPr>
          <w:rFonts w:hint="eastAsia" w:ascii="仿宋" w:hAnsi="仿宋" w:eastAsia="仿宋" w:cs="仿宋"/>
        </w:rPr>
        <w:t>}</w:t>
      </w:r>
    </w:p>
    <w:p w14:paraId="52BCD538">
      <w:pPr>
        <w:spacing w:after="120"/>
        <w:ind w:firstLine="600"/>
        <w:rPr>
          <w:rFonts w:ascii="仿宋" w:hAnsi="仿宋" w:eastAsia="仿宋" w:cs="仿宋"/>
          <w:sz w:val="30"/>
          <w:szCs w:val="30"/>
        </w:rPr>
      </w:pPr>
    </w:p>
    <w:p w14:paraId="1B3F6BE3">
      <w:pPr>
        <w:spacing w:after="120"/>
        <w:ind w:firstLine="600"/>
        <w:rPr>
          <w:rFonts w:ascii="仿宋" w:hAnsi="仿宋" w:eastAsia="仿宋" w:cs="仿宋"/>
          <w:sz w:val="30"/>
          <w:szCs w:val="30"/>
        </w:rPr>
      </w:pPr>
      <w:bookmarkStart w:id="1244" w:name="_Toc25879"/>
      <w:bookmarkStart w:id="1245" w:name="_Toc11446"/>
      <w:r>
        <w:rPr>
          <w:rFonts w:hint="eastAsia" w:ascii="仿宋" w:hAnsi="仿宋" w:eastAsia="仿宋" w:cs="仿宋"/>
          <w:sz w:val="30"/>
          <w:szCs w:val="30"/>
        </w:rPr>
        <w:t>2.4用电</w:t>
      </w:r>
      <w:bookmarkEnd w:id="1244"/>
      <w:bookmarkEnd w:id="1245"/>
    </w:p>
    <w:p w14:paraId="01FA3D37">
      <w:pPr>
        <w:spacing w:after="120"/>
        <w:ind w:firstLine="600"/>
        <w:rPr>
          <w:rFonts w:ascii="仿宋" w:hAnsi="仿宋" w:eastAsia="仿宋" w:cs="仿宋"/>
          <w:sz w:val="30"/>
          <w:szCs w:val="30"/>
        </w:rPr>
      </w:pPr>
      <w:r>
        <w:rPr>
          <w:rFonts w:hint="eastAsia" w:ascii="仿宋" w:hAnsi="仿宋" w:eastAsia="仿宋" w:cs="仿宋"/>
          <w:sz w:val="30"/>
          <w:szCs w:val="30"/>
        </w:rPr>
        <w:t>接口调用规则请参照附件1</w:t>
      </w:r>
    </w:p>
    <w:p w14:paraId="524590CD">
      <w:pPr>
        <w:spacing w:after="120"/>
        <w:ind w:firstLine="600"/>
        <w:rPr>
          <w:rFonts w:ascii="仿宋" w:hAnsi="仿宋" w:eastAsia="仿宋" w:cs="仿宋"/>
          <w:kern w:val="36"/>
          <w:sz w:val="30"/>
          <w:szCs w:val="30"/>
        </w:rPr>
      </w:pPr>
      <w:r>
        <w:rPr>
          <w:rFonts w:hint="eastAsia" w:ascii="仿宋" w:hAnsi="仿宋" w:eastAsia="仿宋" w:cs="仿宋"/>
          <w:sz w:val="30"/>
          <w:szCs w:val="30"/>
        </w:rPr>
        <w:t>2.4.1上报用电量数据</w:t>
      </w:r>
    </w:p>
    <w:p w14:paraId="49386A9F">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接口说明</w:t>
      </w:r>
    </w:p>
    <w:p w14:paraId="67A83610">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报送用电统计和趋势数据</w:t>
      </w:r>
    </w:p>
    <w:p w14:paraId="2A6F7855">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接口地址</w:t>
      </w:r>
    </w:p>
    <w:p w14:paraId="17B902AA">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/gdiapi/gdi/dataupload/electricity</w:t>
      </w:r>
    </w:p>
    <w:p w14:paraId="76C899BC">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请求方法</w:t>
      </w:r>
    </w:p>
    <w:p w14:paraId="7DC422B8">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POST</w:t>
      </w:r>
    </w:p>
    <w:p w14:paraId="75D37320">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版本号</w:t>
      </w:r>
    </w:p>
    <w:p w14:paraId="576A4DCB">
      <w:pPr>
        <w:spacing w:after="120"/>
        <w:ind w:firstLine="608"/>
        <w:rPr>
          <w:rFonts w:ascii="仿宋" w:hAnsi="仿宋" w:eastAsia="仿宋" w:cs="仿宋"/>
          <w:spacing w:val="2"/>
          <w:sz w:val="30"/>
          <w:szCs w:val="30"/>
        </w:rPr>
      </w:pPr>
      <w:r>
        <w:rPr>
          <w:rStyle w:val="162"/>
          <w:rFonts w:hint="eastAsia" w:ascii="仿宋" w:hAnsi="仿宋" w:eastAsia="仿宋" w:cs="仿宋"/>
          <w:spacing w:val="2"/>
          <w:sz w:val="30"/>
          <w:szCs w:val="30"/>
        </w:rPr>
        <w:t>1.0.0</w:t>
      </w:r>
    </w:p>
    <w:p w14:paraId="2D9C415E">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报送周期</w:t>
      </w:r>
    </w:p>
    <w:p w14:paraId="22C2B99E">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300秒</w:t>
      </w:r>
    </w:p>
    <w:p w14:paraId="10FBCEF6">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请求参数（data部分，数组）</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924"/>
        <w:gridCol w:w="1375"/>
        <w:gridCol w:w="1375"/>
        <w:gridCol w:w="3301"/>
        <w:gridCol w:w="1102"/>
        <w:gridCol w:w="829"/>
      </w:tblGrid>
      <w:tr w14:paraId="706EE4B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6EF81A0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参数名称</w:t>
            </w:r>
          </w:p>
        </w:tc>
        <w:tc>
          <w:tcPr>
            <w:tcW w:w="694"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4D80A6E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参数类型</w:t>
            </w:r>
          </w:p>
        </w:tc>
        <w:tc>
          <w:tcPr>
            <w:tcW w:w="694"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19FFA70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是否必须</w:t>
            </w:r>
          </w:p>
        </w:tc>
        <w:tc>
          <w:tcPr>
            <w:tcW w:w="1666"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20C9575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参数说明</w:t>
            </w:r>
          </w:p>
        </w:tc>
        <w:tc>
          <w:tcPr>
            <w:tcW w:w="556"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63C2510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默认值</w:t>
            </w:r>
          </w:p>
        </w:tc>
        <w:tc>
          <w:tcPr>
            <w:tcW w:w="418"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1A1EFB7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示例</w:t>
            </w:r>
          </w:p>
        </w:tc>
      </w:tr>
      <w:tr w14:paraId="19AFF77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C255E8D">
            <w:pPr>
              <w:spacing w:after="120"/>
              <w:jc w:val="center"/>
              <w:rPr>
                <w:rFonts w:ascii="仿宋" w:hAnsi="仿宋" w:eastAsia="仿宋" w:cs="仿宋"/>
                <w:szCs w:val="24"/>
              </w:rPr>
            </w:pPr>
            <w:r>
              <w:rPr>
                <w:rFonts w:hint="eastAsia" w:ascii="仿宋" w:hAnsi="仿宋" w:eastAsia="仿宋" w:cs="仿宋"/>
                <w:szCs w:val="24"/>
              </w:rPr>
              <w:t>deviceId</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042ACC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3C66BB0">
            <w:pPr>
              <w:pStyle w:val="49"/>
              <w:spacing w:before="0" w:beforeAutospacing="0" w:afterAutospacing="0"/>
              <w:jc w:val="center"/>
              <w:rPr>
                <w:rFonts w:ascii="仿宋" w:hAnsi="仿宋" w:eastAsia="仿宋" w:cs="仿宋"/>
                <w:spacing w:val="2"/>
                <w:szCs w:val="24"/>
              </w:rPr>
            </w:pPr>
          </w:p>
        </w:tc>
        <w:tc>
          <w:tcPr>
            <w:tcW w:w="1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769FD27">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电箱唯一标识，ID</w:t>
            </w:r>
          </w:p>
        </w:tc>
        <w:tc>
          <w:tcPr>
            <w:tcW w:w="55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7990801">
            <w:pPr>
              <w:pStyle w:val="49"/>
              <w:spacing w:before="0" w:beforeAutospacing="0" w:afterAutospacing="0"/>
              <w:jc w:val="center"/>
              <w:rPr>
                <w:rFonts w:ascii="仿宋" w:hAnsi="仿宋" w:eastAsia="仿宋" w:cs="仿宋"/>
                <w:spacing w:val="2"/>
                <w:szCs w:val="24"/>
              </w:rPr>
            </w:pPr>
          </w:p>
        </w:tc>
        <w:tc>
          <w:tcPr>
            <w:tcW w:w="41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0AC3A34">
            <w:pPr>
              <w:pStyle w:val="49"/>
              <w:spacing w:before="0" w:beforeAutospacing="0" w:afterAutospacing="0"/>
              <w:jc w:val="center"/>
              <w:rPr>
                <w:rFonts w:ascii="仿宋" w:hAnsi="仿宋" w:eastAsia="仿宋" w:cs="仿宋"/>
                <w:spacing w:val="2"/>
                <w:szCs w:val="24"/>
              </w:rPr>
            </w:pPr>
          </w:p>
        </w:tc>
      </w:tr>
      <w:tr w14:paraId="6377AE8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4269454">
            <w:pPr>
              <w:spacing w:after="120"/>
              <w:jc w:val="center"/>
              <w:rPr>
                <w:rFonts w:ascii="仿宋" w:hAnsi="仿宋" w:eastAsia="仿宋" w:cs="仿宋"/>
                <w:szCs w:val="24"/>
              </w:rPr>
            </w:pPr>
            <w:r>
              <w:rPr>
                <w:rFonts w:hint="eastAsia" w:ascii="仿宋" w:hAnsi="仿宋" w:eastAsia="仿宋" w:cs="仿宋"/>
                <w:szCs w:val="24"/>
              </w:rPr>
              <w:t>deviceName</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BC831F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B37EA3D">
            <w:pPr>
              <w:pStyle w:val="49"/>
              <w:spacing w:before="0" w:beforeAutospacing="0" w:afterAutospacing="0"/>
              <w:jc w:val="center"/>
              <w:rPr>
                <w:rFonts w:ascii="仿宋" w:hAnsi="仿宋" w:eastAsia="仿宋" w:cs="仿宋"/>
                <w:spacing w:val="2"/>
                <w:szCs w:val="24"/>
              </w:rPr>
            </w:pPr>
          </w:p>
        </w:tc>
        <w:tc>
          <w:tcPr>
            <w:tcW w:w="1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DB836C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电箱设备名称</w:t>
            </w:r>
          </w:p>
        </w:tc>
        <w:tc>
          <w:tcPr>
            <w:tcW w:w="55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05D7702">
            <w:pPr>
              <w:pStyle w:val="49"/>
              <w:spacing w:before="0" w:beforeAutospacing="0" w:afterAutospacing="0"/>
              <w:jc w:val="center"/>
              <w:rPr>
                <w:rFonts w:ascii="仿宋" w:hAnsi="仿宋" w:eastAsia="仿宋" w:cs="仿宋"/>
                <w:spacing w:val="2"/>
                <w:szCs w:val="24"/>
              </w:rPr>
            </w:pPr>
          </w:p>
        </w:tc>
        <w:tc>
          <w:tcPr>
            <w:tcW w:w="41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BF50BC0">
            <w:pPr>
              <w:pStyle w:val="49"/>
              <w:spacing w:before="0" w:beforeAutospacing="0" w:afterAutospacing="0"/>
              <w:jc w:val="center"/>
              <w:rPr>
                <w:rFonts w:ascii="仿宋" w:hAnsi="仿宋" w:eastAsia="仿宋" w:cs="仿宋"/>
                <w:spacing w:val="2"/>
                <w:szCs w:val="24"/>
              </w:rPr>
            </w:pPr>
          </w:p>
        </w:tc>
      </w:tr>
      <w:tr w14:paraId="7420330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9D67DA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totalWattage</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48B852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double</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E5B5536">
            <w:pPr>
              <w:pStyle w:val="49"/>
              <w:spacing w:before="0" w:beforeAutospacing="0" w:afterAutospacing="0"/>
              <w:jc w:val="center"/>
              <w:rPr>
                <w:rFonts w:ascii="仿宋" w:hAnsi="仿宋" w:eastAsia="仿宋" w:cs="仿宋"/>
                <w:spacing w:val="2"/>
                <w:szCs w:val="24"/>
              </w:rPr>
            </w:pPr>
          </w:p>
        </w:tc>
        <w:tc>
          <w:tcPr>
            <w:tcW w:w="1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97680D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总用电量</w:t>
            </w:r>
          </w:p>
        </w:tc>
        <w:tc>
          <w:tcPr>
            <w:tcW w:w="55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FBE1E70">
            <w:pPr>
              <w:pStyle w:val="49"/>
              <w:spacing w:before="0" w:beforeAutospacing="0" w:afterAutospacing="0"/>
              <w:jc w:val="center"/>
              <w:rPr>
                <w:rFonts w:ascii="仿宋" w:hAnsi="仿宋" w:eastAsia="仿宋" w:cs="仿宋"/>
                <w:spacing w:val="2"/>
                <w:szCs w:val="24"/>
              </w:rPr>
            </w:pPr>
          </w:p>
        </w:tc>
        <w:tc>
          <w:tcPr>
            <w:tcW w:w="41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917FAA9">
            <w:pPr>
              <w:pStyle w:val="49"/>
              <w:spacing w:before="0" w:beforeAutospacing="0" w:afterAutospacing="0"/>
              <w:jc w:val="center"/>
              <w:rPr>
                <w:rFonts w:ascii="仿宋" w:hAnsi="仿宋" w:eastAsia="仿宋" w:cs="仿宋"/>
                <w:spacing w:val="2"/>
                <w:szCs w:val="24"/>
              </w:rPr>
            </w:pPr>
          </w:p>
        </w:tc>
      </w:tr>
      <w:tr w14:paraId="241F79E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FFBFA51">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lng</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2C3980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double</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0EAC3F8">
            <w:pPr>
              <w:pStyle w:val="49"/>
              <w:spacing w:before="0" w:beforeAutospacing="0" w:afterAutospacing="0"/>
              <w:jc w:val="center"/>
              <w:rPr>
                <w:rFonts w:ascii="仿宋" w:hAnsi="仿宋" w:eastAsia="仿宋" w:cs="仿宋"/>
                <w:spacing w:val="2"/>
                <w:szCs w:val="24"/>
              </w:rPr>
            </w:pPr>
          </w:p>
        </w:tc>
        <w:tc>
          <w:tcPr>
            <w:tcW w:w="1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F838A1E">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电箱当前坐标-经度</w:t>
            </w:r>
          </w:p>
        </w:tc>
        <w:tc>
          <w:tcPr>
            <w:tcW w:w="55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DF91B97">
            <w:pPr>
              <w:pStyle w:val="49"/>
              <w:spacing w:before="0" w:beforeAutospacing="0" w:afterAutospacing="0"/>
              <w:jc w:val="center"/>
              <w:rPr>
                <w:rFonts w:ascii="仿宋" w:hAnsi="仿宋" w:eastAsia="仿宋" w:cs="仿宋"/>
                <w:spacing w:val="2"/>
                <w:szCs w:val="24"/>
              </w:rPr>
            </w:pPr>
          </w:p>
        </w:tc>
        <w:tc>
          <w:tcPr>
            <w:tcW w:w="41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5EA41CE">
            <w:pPr>
              <w:pStyle w:val="49"/>
              <w:spacing w:before="0" w:beforeAutospacing="0" w:afterAutospacing="0"/>
              <w:jc w:val="center"/>
              <w:rPr>
                <w:rFonts w:ascii="仿宋" w:hAnsi="仿宋" w:eastAsia="仿宋" w:cs="仿宋"/>
                <w:spacing w:val="2"/>
                <w:szCs w:val="24"/>
              </w:rPr>
            </w:pPr>
          </w:p>
        </w:tc>
      </w:tr>
      <w:tr w14:paraId="0A79AD4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971"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19999B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lat</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959AA1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double</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1B52DBC">
            <w:pPr>
              <w:pStyle w:val="49"/>
              <w:spacing w:before="0" w:beforeAutospacing="0" w:afterAutospacing="0"/>
              <w:jc w:val="center"/>
              <w:rPr>
                <w:rFonts w:ascii="仿宋" w:hAnsi="仿宋" w:eastAsia="仿宋" w:cs="仿宋"/>
                <w:spacing w:val="2"/>
                <w:szCs w:val="24"/>
              </w:rPr>
            </w:pPr>
          </w:p>
        </w:tc>
        <w:tc>
          <w:tcPr>
            <w:tcW w:w="166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E99D06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电箱当前坐标-纬度</w:t>
            </w:r>
          </w:p>
        </w:tc>
        <w:tc>
          <w:tcPr>
            <w:tcW w:w="55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72FADE7">
            <w:pPr>
              <w:pStyle w:val="49"/>
              <w:spacing w:before="0" w:beforeAutospacing="0" w:afterAutospacing="0"/>
              <w:jc w:val="center"/>
              <w:rPr>
                <w:rFonts w:ascii="仿宋" w:hAnsi="仿宋" w:eastAsia="仿宋" w:cs="仿宋"/>
                <w:spacing w:val="2"/>
                <w:szCs w:val="24"/>
              </w:rPr>
            </w:pPr>
          </w:p>
        </w:tc>
        <w:tc>
          <w:tcPr>
            <w:tcW w:w="41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7F238DB">
            <w:pPr>
              <w:pStyle w:val="49"/>
              <w:spacing w:before="0" w:beforeAutospacing="0" w:afterAutospacing="0"/>
              <w:jc w:val="center"/>
              <w:rPr>
                <w:rFonts w:ascii="仿宋" w:hAnsi="仿宋" w:eastAsia="仿宋" w:cs="仿宋"/>
                <w:spacing w:val="2"/>
                <w:szCs w:val="24"/>
              </w:rPr>
            </w:pPr>
          </w:p>
        </w:tc>
      </w:tr>
      <w:tr w14:paraId="4F3E0F4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c>
          <w:tcPr>
            <w:tcW w:w="971"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6F5B526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isOnline</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F479B31">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w:t>
            </w:r>
          </w:p>
        </w:tc>
        <w:tc>
          <w:tcPr>
            <w:tcW w:w="694"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B989846">
            <w:pPr>
              <w:pStyle w:val="49"/>
              <w:spacing w:before="0" w:beforeAutospacing="0" w:afterAutospacing="0"/>
              <w:jc w:val="center"/>
              <w:rPr>
                <w:rFonts w:ascii="仿宋" w:hAnsi="仿宋" w:eastAsia="仿宋" w:cs="仿宋"/>
                <w:spacing w:val="2"/>
                <w:szCs w:val="24"/>
              </w:rPr>
            </w:pPr>
          </w:p>
        </w:tc>
        <w:tc>
          <w:tcPr>
            <w:tcW w:w="1666"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44BE649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在线状态 0 离线 1 在线</w:t>
            </w:r>
          </w:p>
        </w:tc>
        <w:tc>
          <w:tcPr>
            <w:tcW w:w="556"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FB42E80">
            <w:pPr>
              <w:pStyle w:val="49"/>
              <w:spacing w:before="0" w:beforeAutospacing="0" w:afterAutospacing="0"/>
              <w:jc w:val="center"/>
              <w:rPr>
                <w:rFonts w:ascii="仿宋" w:hAnsi="仿宋" w:eastAsia="仿宋" w:cs="仿宋"/>
                <w:spacing w:val="2"/>
                <w:szCs w:val="24"/>
              </w:rPr>
            </w:pPr>
          </w:p>
        </w:tc>
        <w:tc>
          <w:tcPr>
            <w:tcW w:w="418"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89BFA3B">
            <w:pPr>
              <w:pStyle w:val="49"/>
              <w:spacing w:before="0" w:beforeAutospacing="0" w:afterAutospacing="0"/>
              <w:jc w:val="center"/>
              <w:rPr>
                <w:rFonts w:ascii="仿宋" w:hAnsi="仿宋" w:eastAsia="仿宋" w:cs="仿宋"/>
                <w:spacing w:val="2"/>
                <w:szCs w:val="24"/>
              </w:rPr>
            </w:pPr>
          </w:p>
        </w:tc>
      </w:tr>
    </w:tbl>
    <w:p w14:paraId="3077ACBF">
      <w:pPr>
        <w:pStyle w:val="26"/>
        <w:spacing w:after="120"/>
        <w:jc w:val="center"/>
        <w:rPr>
          <w:rFonts w:ascii="仿宋" w:hAnsi="仿宋" w:eastAsia="仿宋" w:cs="仿宋"/>
        </w:rPr>
      </w:pPr>
    </w:p>
    <w:p w14:paraId="4CA77A38">
      <w:pPr>
        <w:spacing w:after="120"/>
        <w:ind w:firstLine="648"/>
        <w:rPr>
          <w:rFonts w:ascii="仿宋" w:hAnsi="仿宋" w:eastAsia="仿宋" w:cs="仿宋"/>
          <w:b/>
          <w:bCs/>
          <w:spacing w:val="2"/>
          <w:sz w:val="30"/>
          <w:szCs w:val="30"/>
        </w:rPr>
      </w:pPr>
      <w:r>
        <w:rPr>
          <w:rFonts w:hint="eastAsia" w:ascii="仿宋" w:hAnsi="仿宋" w:eastAsia="仿宋" w:cs="仿宋"/>
          <w:spacing w:val="12"/>
          <w:sz w:val="30"/>
          <w:szCs w:val="30"/>
        </w:rPr>
        <w:t>请求示例</w:t>
      </w:r>
    </w:p>
    <w:p w14:paraId="399D63F3">
      <w:pPr>
        <w:spacing w:after="120"/>
        <w:rPr>
          <w:rFonts w:ascii="仿宋" w:hAnsi="仿宋" w:eastAsia="仿宋" w:cs="仿宋"/>
        </w:rPr>
      </w:pPr>
    </w:p>
    <w:p w14:paraId="3A1CF10C">
      <w:pPr>
        <w:pStyle w:val="25"/>
        <w:shd w:val="clear" w:color="auto" w:fill="F9F9F9"/>
        <w:spacing w:after="120"/>
        <w:ind w:left="960"/>
        <w:rPr>
          <w:rFonts w:ascii="仿宋" w:hAnsi="仿宋" w:eastAsia="仿宋" w:cs="仿宋"/>
        </w:rPr>
      </w:pPr>
      <w:r>
        <w:rPr>
          <w:rFonts w:hint="eastAsia" w:ascii="仿宋" w:hAnsi="仿宋" w:eastAsia="仿宋" w:cs="仿宋"/>
        </w:rPr>
        <w:t>{</w:t>
      </w:r>
    </w:p>
    <w:p w14:paraId="67458663">
      <w:pPr>
        <w:pStyle w:val="25"/>
        <w:shd w:val="clear" w:color="auto" w:fill="F9F9F9"/>
        <w:spacing w:after="120"/>
        <w:ind w:left="960"/>
        <w:rPr>
          <w:rFonts w:ascii="仿宋" w:hAnsi="仿宋" w:eastAsia="仿宋" w:cs="仿宋"/>
        </w:rPr>
      </w:pPr>
      <w:r>
        <w:rPr>
          <w:rFonts w:hint="eastAsia" w:ascii="仿宋" w:hAnsi="仿宋" w:eastAsia="仿宋" w:cs="仿宋"/>
        </w:rPr>
        <w:t>"data": [{</w:t>
      </w:r>
    </w:p>
    <w:p w14:paraId="0B0AFB36">
      <w:pPr>
        <w:pStyle w:val="25"/>
        <w:shd w:val="clear" w:color="auto" w:fill="F9F9F9"/>
        <w:spacing w:after="120"/>
        <w:ind w:left="960"/>
        <w:rPr>
          <w:rFonts w:ascii="仿宋" w:hAnsi="仿宋" w:eastAsia="仿宋" w:cs="仿宋"/>
        </w:rPr>
      </w:pPr>
      <w:r>
        <w:rPr>
          <w:rFonts w:hint="eastAsia" w:ascii="仿宋" w:hAnsi="仿宋" w:eastAsia="仿宋" w:cs="仿宋"/>
        </w:rPr>
        <w:t>"deviceId":"电箱唯一ID",</w:t>
      </w:r>
    </w:p>
    <w:p w14:paraId="341C403A">
      <w:pPr>
        <w:pStyle w:val="25"/>
        <w:shd w:val="clear" w:color="auto" w:fill="F9F9F9"/>
        <w:spacing w:after="120"/>
        <w:ind w:left="960"/>
        <w:rPr>
          <w:rFonts w:ascii="仿宋" w:hAnsi="仿宋" w:eastAsia="仿宋" w:cs="仿宋"/>
        </w:rPr>
      </w:pPr>
      <w:r>
        <w:rPr>
          <w:rFonts w:hint="eastAsia" w:ascii="仿宋" w:hAnsi="仿宋" w:eastAsia="仿宋" w:cs="仿宋"/>
        </w:rPr>
        <w:t>"deviceName":"电箱名称",</w:t>
      </w:r>
    </w:p>
    <w:p w14:paraId="0318854B">
      <w:pPr>
        <w:pStyle w:val="25"/>
        <w:shd w:val="clear" w:color="auto" w:fill="F9F9F9"/>
        <w:spacing w:after="120"/>
        <w:ind w:left="960"/>
        <w:rPr>
          <w:rFonts w:ascii="仿宋" w:hAnsi="仿宋" w:eastAsia="仿宋" w:cs="仿宋"/>
        </w:rPr>
      </w:pPr>
      <w:r>
        <w:rPr>
          <w:rFonts w:hint="eastAsia" w:ascii="仿宋" w:hAnsi="仿宋" w:eastAsia="仿宋" w:cs="仿宋"/>
        </w:rPr>
        <w:t>"totalWattage":1234,</w:t>
      </w:r>
    </w:p>
    <w:p w14:paraId="4D44F329">
      <w:pPr>
        <w:pStyle w:val="25"/>
        <w:shd w:val="clear" w:color="auto" w:fill="F9F9F9"/>
        <w:spacing w:after="120"/>
        <w:ind w:left="960"/>
        <w:rPr>
          <w:rFonts w:ascii="仿宋" w:hAnsi="仿宋" w:eastAsia="仿宋" w:cs="仿宋"/>
        </w:rPr>
      </w:pPr>
      <w:r>
        <w:rPr>
          <w:rFonts w:hint="eastAsia" w:ascii="仿宋" w:hAnsi="仿宋" w:eastAsia="仿宋" w:cs="仿宋"/>
        </w:rPr>
        <w:t>"lng":121.999,</w:t>
      </w:r>
    </w:p>
    <w:p w14:paraId="56A28578">
      <w:pPr>
        <w:pStyle w:val="25"/>
        <w:shd w:val="clear" w:color="auto" w:fill="F9F9F9"/>
        <w:spacing w:after="120"/>
        <w:ind w:left="960"/>
        <w:rPr>
          <w:rFonts w:ascii="仿宋" w:hAnsi="仿宋" w:eastAsia="仿宋" w:cs="仿宋"/>
        </w:rPr>
      </w:pPr>
      <w:r>
        <w:rPr>
          <w:rFonts w:hint="eastAsia" w:ascii="仿宋" w:hAnsi="仿宋" w:eastAsia="仿宋" w:cs="仿宋"/>
        </w:rPr>
        <w:t>"lat":30.223466,</w:t>
      </w:r>
    </w:p>
    <w:p w14:paraId="27A93B02">
      <w:pPr>
        <w:pStyle w:val="25"/>
        <w:shd w:val="clear" w:color="auto" w:fill="F9F9F9"/>
        <w:spacing w:after="120"/>
        <w:ind w:left="960"/>
        <w:rPr>
          <w:rFonts w:ascii="仿宋" w:hAnsi="仿宋" w:eastAsia="仿宋" w:cs="仿宋"/>
        </w:rPr>
      </w:pPr>
      <w:r>
        <w:rPr>
          <w:rFonts w:hint="eastAsia" w:ascii="仿宋" w:hAnsi="仿宋" w:eastAsia="仿宋" w:cs="仿宋"/>
        </w:rPr>
        <w:t>"isOnline": 1</w:t>
      </w:r>
    </w:p>
    <w:p w14:paraId="7EE0857F">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73CE3511">
      <w:pPr>
        <w:pStyle w:val="25"/>
        <w:shd w:val="clear" w:color="auto" w:fill="F9F9F9"/>
        <w:spacing w:after="120"/>
        <w:ind w:left="960"/>
        <w:rPr>
          <w:rFonts w:ascii="仿宋" w:hAnsi="仿宋" w:eastAsia="仿宋" w:cs="仿宋"/>
        </w:rPr>
      </w:pPr>
      <w:r>
        <w:rPr>
          <w:rFonts w:hint="eastAsia" w:ascii="仿宋" w:hAnsi="仿宋" w:eastAsia="仿宋" w:cs="仿宋"/>
        </w:rPr>
        <w:t>"deviceId":"电箱唯一ID",</w:t>
      </w:r>
    </w:p>
    <w:p w14:paraId="6CA59B51">
      <w:pPr>
        <w:pStyle w:val="25"/>
        <w:shd w:val="clear" w:color="auto" w:fill="F9F9F9"/>
        <w:spacing w:after="120"/>
        <w:ind w:left="960"/>
        <w:rPr>
          <w:rFonts w:ascii="仿宋" w:hAnsi="仿宋" w:eastAsia="仿宋" w:cs="仿宋"/>
        </w:rPr>
      </w:pPr>
      <w:r>
        <w:rPr>
          <w:rFonts w:hint="eastAsia" w:ascii="仿宋" w:hAnsi="仿宋" w:eastAsia="仿宋" w:cs="仿宋"/>
        </w:rPr>
        <w:t>"deviceName":"电箱名称",</w:t>
      </w:r>
    </w:p>
    <w:p w14:paraId="5063A04A">
      <w:pPr>
        <w:pStyle w:val="25"/>
        <w:shd w:val="clear" w:color="auto" w:fill="F9F9F9"/>
        <w:spacing w:after="120"/>
        <w:ind w:left="960"/>
        <w:rPr>
          <w:rFonts w:ascii="仿宋" w:hAnsi="仿宋" w:eastAsia="仿宋" w:cs="仿宋"/>
        </w:rPr>
      </w:pPr>
      <w:r>
        <w:rPr>
          <w:rFonts w:hint="eastAsia" w:ascii="仿宋" w:hAnsi="仿宋" w:eastAsia="仿宋" w:cs="仿宋"/>
        </w:rPr>
        <w:t>"totalWattage":1234,</w:t>
      </w:r>
    </w:p>
    <w:p w14:paraId="28D0D106">
      <w:pPr>
        <w:pStyle w:val="25"/>
        <w:shd w:val="clear" w:color="auto" w:fill="F9F9F9"/>
        <w:spacing w:after="120"/>
        <w:ind w:left="960"/>
        <w:rPr>
          <w:rFonts w:ascii="仿宋" w:hAnsi="仿宋" w:eastAsia="仿宋" w:cs="仿宋"/>
        </w:rPr>
      </w:pPr>
      <w:r>
        <w:rPr>
          <w:rFonts w:hint="eastAsia" w:ascii="仿宋" w:hAnsi="仿宋" w:eastAsia="仿宋" w:cs="仿宋"/>
        </w:rPr>
        <w:t>"lng":121.988,</w:t>
      </w:r>
    </w:p>
    <w:p w14:paraId="128A226D">
      <w:pPr>
        <w:pStyle w:val="25"/>
        <w:shd w:val="clear" w:color="auto" w:fill="F9F9F9"/>
        <w:spacing w:after="120"/>
        <w:ind w:left="960"/>
        <w:rPr>
          <w:rFonts w:ascii="仿宋" w:hAnsi="仿宋" w:eastAsia="仿宋" w:cs="仿宋"/>
        </w:rPr>
      </w:pPr>
      <w:r>
        <w:rPr>
          <w:rFonts w:hint="eastAsia" w:ascii="仿宋" w:hAnsi="仿宋" w:eastAsia="仿宋" w:cs="仿宋"/>
        </w:rPr>
        <w:t>"lat":30.223451,</w:t>
      </w:r>
    </w:p>
    <w:p w14:paraId="6C4A283C">
      <w:pPr>
        <w:pStyle w:val="25"/>
        <w:shd w:val="clear" w:color="auto" w:fill="F9F9F9"/>
        <w:spacing w:after="120"/>
        <w:ind w:left="960"/>
        <w:rPr>
          <w:rFonts w:ascii="仿宋" w:hAnsi="仿宋" w:eastAsia="仿宋" w:cs="仿宋"/>
        </w:rPr>
      </w:pPr>
      <w:r>
        <w:rPr>
          <w:rFonts w:hint="eastAsia" w:ascii="仿宋" w:hAnsi="仿宋" w:eastAsia="仿宋" w:cs="仿宋"/>
        </w:rPr>
        <w:t>"isOnline": 1</w:t>
      </w:r>
    </w:p>
    <w:p w14:paraId="4554D5F6">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64CB5C46">
      <w:pPr>
        <w:pStyle w:val="25"/>
        <w:shd w:val="clear" w:color="auto" w:fill="F9F9F9"/>
        <w:spacing w:after="120"/>
        <w:ind w:left="960"/>
        <w:rPr>
          <w:rFonts w:ascii="仿宋" w:hAnsi="仿宋" w:eastAsia="仿宋" w:cs="仿宋"/>
        </w:rPr>
      </w:pPr>
      <w:r>
        <w:rPr>
          <w:rFonts w:hint="eastAsia" w:ascii="仿宋" w:hAnsi="仿宋" w:eastAsia="仿宋" w:cs="仿宋"/>
        </w:rPr>
        <w:t>"projectId": "3232323",</w:t>
      </w:r>
    </w:p>
    <w:p w14:paraId="09BFB05C">
      <w:pPr>
        <w:pStyle w:val="25"/>
        <w:shd w:val="clear" w:color="auto" w:fill="F9F9F9"/>
        <w:spacing w:after="120"/>
        <w:ind w:left="960"/>
        <w:rPr>
          <w:rFonts w:ascii="仿宋" w:hAnsi="仿宋" w:eastAsia="仿宋" w:cs="仿宋"/>
        </w:rPr>
      </w:pPr>
      <w:r>
        <w:rPr>
          <w:rFonts w:hint="eastAsia" w:ascii="仿宋" w:hAnsi="仿宋" w:eastAsia="仿宋" w:cs="仿宋"/>
        </w:rPr>
        <w:t>"timestamp": "13449039388",</w:t>
      </w:r>
    </w:p>
    <w:p w14:paraId="7C884453">
      <w:pPr>
        <w:pStyle w:val="25"/>
        <w:shd w:val="clear" w:color="auto" w:fill="F9F9F9"/>
        <w:spacing w:after="120"/>
        <w:ind w:left="960"/>
        <w:rPr>
          <w:rFonts w:ascii="仿宋" w:hAnsi="仿宋" w:eastAsia="仿宋" w:cs="仿宋"/>
        </w:rPr>
      </w:pPr>
      <w:r>
        <w:rPr>
          <w:rFonts w:hint="eastAsia" w:ascii="仿宋" w:hAnsi="仿宋" w:eastAsia="仿宋" w:cs="仿宋"/>
        </w:rPr>
        <w:t>"sign": "sign"</w:t>
      </w:r>
    </w:p>
    <w:p w14:paraId="38B6456C">
      <w:pPr>
        <w:pStyle w:val="25"/>
        <w:shd w:val="clear" w:color="auto" w:fill="F9F9F9"/>
        <w:spacing w:after="120"/>
        <w:ind w:left="960"/>
        <w:rPr>
          <w:rFonts w:ascii="仿宋" w:hAnsi="仿宋" w:eastAsia="仿宋" w:cs="仿宋"/>
        </w:rPr>
      </w:pPr>
      <w:r>
        <w:rPr>
          <w:rFonts w:hint="eastAsia" w:ascii="仿宋" w:hAnsi="仿宋" w:eastAsia="仿宋" w:cs="仿宋"/>
        </w:rPr>
        <w:t>}</w:t>
      </w:r>
    </w:p>
    <w:p w14:paraId="56F7E175">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响应数据</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305"/>
        <w:gridCol w:w="1306"/>
        <w:gridCol w:w="1306"/>
        <w:gridCol w:w="4683"/>
        <w:gridCol w:w="1306"/>
      </w:tblGrid>
      <w:tr w14:paraId="0B92D4B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48AB626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参数名称</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6AEB8A1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参数类型</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5E2CD07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是否必须</w:t>
            </w:r>
          </w:p>
        </w:tc>
        <w:tc>
          <w:tcPr>
            <w:tcW w:w="2363"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085004E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参数说明</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7375245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示例</w:t>
            </w:r>
          </w:p>
        </w:tc>
      </w:tr>
      <w:tr w14:paraId="00BB524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059BEE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code</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53708B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integer</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FC0F63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A6AA08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响应码</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AB360F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200</w:t>
            </w:r>
          </w:p>
        </w:tc>
      </w:tr>
      <w:tr w14:paraId="5875571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A3F68A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msg</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8FFE43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205296B">
            <w:pPr>
              <w:spacing w:after="120"/>
              <w:ind w:firstLine="0" w:firstLineChars="0"/>
              <w:jc w:val="center"/>
              <w:rPr>
                <w:rFonts w:ascii="仿宋" w:hAnsi="仿宋" w:eastAsia="仿宋" w:cs="仿宋"/>
                <w:szCs w:val="24"/>
              </w:rPr>
            </w:pPr>
            <w:r>
              <w:rPr>
                <w:rFonts w:hint="eastAsia" w:ascii="仿宋" w:hAnsi="仿宋" w:eastAsia="仿宋" w:cs="仿宋"/>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DE4D3C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响应信息</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367542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上报成功</w:t>
            </w:r>
          </w:p>
        </w:tc>
      </w:tr>
      <w:tr w14:paraId="6DD20DD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E636AA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success</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1FE79E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bool</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5416C87">
            <w:pPr>
              <w:spacing w:after="120"/>
              <w:ind w:firstLine="0" w:firstLineChars="0"/>
              <w:jc w:val="center"/>
              <w:rPr>
                <w:rFonts w:ascii="仿宋" w:hAnsi="仿宋" w:eastAsia="仿宋" w:cs="仿宋"/>
                <w:szCs w:val="24"/>
              </w:rPr>
            </w:pPr>
            <w:r>
              <w:rPr>
                <w:rFonts w:hint="eastAsia" w:ascii="仿宋" w:hAnsi="仿宋" w:eastAsia="仿宋" w:cs="仿宋"/>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1B9D80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是否成功，接口是否成功主要看这个值</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8540F2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True</w:t>
            </w:r>
          </w:p>
        </w:tc>
      </w:tr>
      <w:tr w14:paraId="77F275A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E6BCA1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data</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4285D4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82DAD0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2D6AF6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可空，需要返回数据时，这个值返回</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57BD28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w:t>
            </w:r>
          </w:p>
        </w:tc>
      </w:tr>
    </w:tbl>
    <w:p w14:paraId="36318AA0">
      <w:pPr>
        <w:pStyle w:val="26"/>
        <w:spacing w:after="120"/>
        <w:rPr>
          <w:rFonts w:ascii="仿宋" w:hAnsi="仿宋" w:eastAsia="仿宋" w:cs="仿宋"/>
        </w:rPr>
      </w:pPr>
    </w:p>
    <w:p w14:paraId="1DB61FA7">
      <w:pPr>
        <w:spacing w:after="120"/>
        <w:ind w:firstLine="530"/>
        <w:rPr>
          <w:rFonts w:ascii="仿宋" w:hAnsi="仿宋" w:eastAsia="仿宋" w:cs="仿宋"/>
          <w:b/>
          <w:bCs/>
          <w:spacing w:val="12"/>
        </w:rPr>
      </w:pPr>
      <w:r>
        <w:rPr>
          <w:rFonts w:hint="eastAsia" w:ascii="仿宋" w:hAnsi="仿宋" w:eastAsia="仿宋" w:cs="仿宋"/>
          <w:b/>
          <w:bCs/>
          <w:spacing w:val="12"/>
        </w:rPr>
        <w:t>响应示例</w:t>
      </w:r>
    </w:p>
    <w:p w14:paraId="3A6F477B">
      <w:pPr>
        <w:pStyle w:val="25"/>
        <w:shd w:val="clear" w:color="auto" w:fill="F9F9F9"/>
        <w:spacing w:after="120"/>
        <w:ind w:left="960"/>
        <w:rPr>
          <w:rFonts w:ascii="仿宋" w:hAnsi="仿宋" w:eastAsia="仿宋" w:cs="仿宋"/>
        </w:rPr>
      </w:pPr>
      <w:r>
        <w:rPr>
          <w:rFonts w:hint="eastAsia" w:ascii="仿宋" w:hAnsi="仿宋" w:eastAsia="仿宋" w:cs="仿宋"/>
        </w:rPr>
        <w:t>{</w:t>
      </w:r>
    </w:p>
    <w:p w14:paraId="06AAA6B6">
      <w:pPr>
        <w:pStyle w:val="25"/>
        <w:shd w:val="clear" w:color="auto" w:fill="F9F9F9"/>
        <w:spacing w:after="120"/>
        <w:ind w:left="960"/>
        <w:rPr>
          <w:rFonts w:ascii="仿宋" w:hAnsi="仿宋" w:eastAsia="仿宋" w:cs="仿宋"/>
        </w:rPr>
      </w:pPr>
      <w:r>
        <w:rPr>
          <w:rFonts w:hint="eastAsia" w:ascii="仿宋" w:hAnsi="仿宋" w:eastAsia="仿宋" w:cs="仿宋"/>
        </w:rPr>
        <w:t>"code": 200,</w:t>
      </w:r>
    </w:p>
    <w:p w14:paraId="75833EDC">
      <w:pPr>
        <w:pStyle w:val="25"/>
        <w:shd w:val="clear" w:color="auto" w:fill="F9F9F9"/>
        <w:spacing w:after="120"/>
        <w:ind w:left="960"/>
        <w:rPr>
          <w:rFonts w:ascii="仿宋" w:hAnsi="仿宋" w:eastAsia="仿宋" w:cs="仿宋"/>
        </w:rPr>
      </w:pPr>
      <w:r>
        <w:rPr>
          <w:rFonts w:hint="eastAsia" w:ascii="仿宋" w:hAnsi="仿宋" w:eastAsia="仿宋" w:cs="仿宋"/>
        </w:rPr>
        <w:t xml:space="preserve">"success": </w:t>
      </w:r>
      <w:r>
        <w:rPr>
          <w:rStyle w:val="161"/>
          <w:rFonts w:hint="eastAsia" w:ascii="仿宋" w:hAnsi="仿宋" w:eastAsia="仿宋" w:cs="仿宋"/>
        </w:rPr>
        <w:t>true</w:t>
      </w:r>
      <w:r>
        <w:rPr>
          <w:rFonts w:hint="eastAsia" w:ascii="仿宋" w:hAnsi="仿宋" w:eastAsia="仿宋" w:cs="仿宋"/>
        </w:rPr>
        <w:t>,</w:t>
      </w:r>
    </w:p>
    <w:p w14:paraId="36D9835B">
      <w:pPr>
        <w:pStyle w:val="25"/>
        <w:shd w:val="clear" w:color="auto" w:fill="F9F9F9"/>
        <w:spacing w:after="120"/>
        <w:ind w:left="960"/>
        <w:rPr>
          <w:rFonts w:ascii="仿宋" w:hAnsi="仿宋" w:eastAsia="仿宋" w:cs="仿宋"/>
        </w:rPr>
      </w:pPr>
      <w:r>
        <w:rPr>
          <w:rFonts w:hint="eastAsia" w:ascii="仿宋" w:hAnsi="仿宋" w:eastAsia="仿宋" w:cs="仿宋"/>
        </w:rPr>
        <w:t>"data": {},</w:t>
      </w:r>
    </w:p>
    <w:p w14:paraId="41439E7A">
      <w:pPr>
        <w:pStyle w:val="25"/>
        <w:shd w:val="clear" w:color="auto" w:fill="F9F9F9"/>
        <w:spacing w:after="120"/>
        <w:ind w:left="960"/>
        <w:rPr>
          <w:rFonts w:ascii="仿宋" w:hAnsi="仿宋" w:eastAsia="仿宋" w:cs="仿宋"/>
        </w:rPr>
      </w:pPr>
      <w:r>
        <w:rPr>
          <w:rFonts w:hint="eastAsia" w:ascii="仿宋" w:hAnsi="仿宋" w:eastAsia="仿宋" w:cs="仿宋"/>
        </w:rPr>
        <w:t>"msg": "上报成功"</w:t>
      </w:r>
    </w:p>
    <w:p w14:paraId="3B915BC8">
      <w:pPr>
        <w:pStyle w:val="25"/>
        <w:shd w:val="clear" w:color="auto" w:fill="F9F9F9"/>
        <w:spacing w:after="120"/>
        <w:ind w:left="960"/>
        <w:rPr>
          <w:rFonts w:ascii="仿宋" w:hAnsi="仿宋" w:eastAsia="仿宋" w:cs="仿宋"/>
        </w:rPr>
      </w:pPr>
      <w:r>
        <w:rPr>
          <w:rFonts w:hint="eastAsia" w:ascii="仿宋" w:hAnsi="仿宋" w:eastAsia="仿宋" w:cs="仿宋"/>
        </w:rPr>
        <w:t>}</w:t>
      </w:r>
    </w:p>
    <w:p w14:paraId="6E819E89">
      <w:pPr>
        <w:spacing w:after="120"/>
        <w:ind w:firstLine="600"/>
        <w:rPr>
          <w:rFonts w:ascii="仿宋" w:hAnsi="仿宋" w:eastAsia="仿宋" w:cs="仿宋"/>
          <w:sz w:val="30"/>
          <w:szCs w:val="30"/>
        </w:rPr>
      </w:pPr>
      <w:r>
        <w:rPr>
          <w:rFonts w:hint="eastAsia" w:ascii="仿宋" w:hAnsi="仿宋" w:eastAsia="仿宋" w:cs="仿宋"/>
          <w:sz w:val="30"/>
          <w:szCs w:val="30"/>
        </w:rPr>
        <w:t>2.4.2上报用电设备信息</w:t>
      </w:r>
    </w:p>
    <w:p w14:paraId="2E5FCE82">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接口说明</w:t>
      </w:r>
    </w:p>
    <w:p w14:paraId="284C0F24">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上报用电设备信息，此为设备静态数据</w:t>
      </w:r>
    </w:p>
    <w:p w14:paraId="1427ED43">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接口地址</w:t>
      </w:r>
    </w:p>
    <w:p w14:paraId="28E0D8B4">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/gdiapi/gdi/device/electricity</w:t>
      </w:r>
    </w:p>
    <w:p w14:paraId="09788E27">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请求方法</w:t>
      </w:r>
    </w:p>
    <w:p w14:paraId="51B80981">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POST</w:t>
      </w:r>
    </w:p>
    <w:p w14:paraId="13CAD6BE">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版本号</w:t>
      </w:r>
    </w:p>
    <w:p w14:paraId="75114ACA">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1.0.0</w:t>
      </w:r>
    </w:p>
    <w:p w14:paraId="5A696FA6">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报送周期</w:t>
      </w:r>
    </w:p>
    <w:p w14:paraId="0D5B3BD5">
      <w:pPr>
        <w:spacing w:after="120"/>
        <w:ind w:firstLine="608"/>
        <w:rPr>
          <w:rFonts w:ascii="仿宋" w:hAnsi="仿宋" w:eastAsia="仿宋" w:cs="仿宋"/>
          <w:spacing w:val="2"/>
          <w:sz w:val="30"/>
          <w:szCs w:val="30"/>
        </w:rPr>
      </w:pPr>
      <w:r>
        <w:rPr>
          <w:rFonts w:hint="eastAsia" w:ascii="仿宋" w:hAnsi="仿宋" w:eastAsia="仿宋" w:cs="仿宋"/>
          <w:spacing w:val="2"/>
          <w:sz w:val="30"/>
          <w:szCs w:val="30"/>
        </w:rPr>
        <w:t>有新增或修改时报送，服务端根据设备ID新增或更新。</w:t>
      </w:r>
    </w:p>
    <w:p w14:paraId="62416794">
      <w:pPr>
        <w:pStyle w:val="26"/>
        <w:spacing w:after="120"/>
        <w:ind w:firstLine="608"/>
        <w:rPr>
          <w:rFonts w:ascii="仿宋" w:hAnsi="仿宋" w:eastAsia="仿宋" w:cs="仿宋"/>
          <w:spacing w:val="2"/>
          <w:sz w:val="30"/>
          <w:szCs w:val="30"/>
        </w:rPr>
      </w:pPr>
    </w:p>
    <w:p w14:paraId="4076477F">
      <w:pPr>
        <w:pStyle w:val="26"/>
        <w:spacing w:after="120"/>
        <w:ind w:firstLine="608"/>
        <w:rPr>
          <w:rFonts w:ascii="仿宋" w:hAnsi="仿宋" w:eastAsia="仿宋" w:cs="仿宋"/>
          <w:spacing w:val="2"/>
          <w:sz w:val="30"/>
          <w:szCs w:val="30"/>
        </w:rPr>
      </w:pPr>
    </w:p>
    <w:p w14:paraId="24A98D8D">
      <w:pPr>
        <w:pStyle w:val="26"/>
        <w:spacing w:after="120"/>
        <w:ind w:firstLine="608"/>
        <w:rPr>
          <w:rFonts w:ascii="仿宋" w:hAnsi="仿宋" w:eastAsia="仿宋" w:cs="仿宋"/>
          <w:spacing w:val="2"/>
          <w:sz w:val="30"/>
          <w:szCs w:val="30"/>
        </w:rPr>
      </w:pPr>
    </w:p>
    <w:p w14:paraId="0DFAED65">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请求参数（data部分）</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2031"/>
        <w:gridCol w:w="1357"/>
        <w:gridCol w:w="1357"/>
        <w:gridCol w:w="3255"/>
        <w:gridCol w:w="1088"/>
        <w:gridCol w:w="818"/>
      </w:tblGrid>
      <w:tr w14:paraId="4BE29DD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257AD44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参数名称</w:t>
            </w:r>
          </w:p>
        </w:tc>
        <w:tc>
          <w:tcPr>
            <w:tcW w:w="685"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0A07CDF1">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参数类型</w:t>
            </w:r>
          </w:p>
        </w:tc>
        <w:tc>
          <w:tcPr>
            <w:tcW w:w="685"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0AA2E462">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是否必须</w:t>
            </w:r>
          </w:p>
        </w:tc>
        <w:tc>
          <w:tcPr>
            <w:tcW w:w="1643"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513B01F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参数说明</w:t>
            </w:r>
          </w:p>
        </w:tc>
        <w:tc>
          <w:tcPr>
            <w:tcW w:w="54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74D0627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默认值</w:t>
            </w:r>
          </w:p>
        </w:tc>
        <w:tc>
          <w:tcPr>
            <w:tcW w:w="413"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4EB59EC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说明</w:t>
            </w:r>
          </w:p>
        </w:tc>
      </w:tr>
      <w:tr w14:paraId="1B77FE9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112EA5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deviceId</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453252A">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220EAFB">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96A8A32">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设备ID</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234E162">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F3964B8">
            <w:pPr>
              <w:pStyle w:val="49"/>
              <w:spacing w:before="0" w:beforeAutospacing="0" w:afterAutospacing="0"/>
              <w:jc w:val="center"/>
              <w:rPr>
                <w:rFonts w:ascii="仿宋" w:hAnsi="仿宋" w:eastAsia="仿宋" w:cs="仿宋"/>
                <w:spacing w:val="2"/>
                <w:szCs w:val="24"/>
              </w:rPr>
            </w:pPr>
          </w:p>
        </w:tc>
      </w:tr>
      <w:tr w14:paraId="3A08CBA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3186EED2">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deviceName</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4C612B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F678F08">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278C574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设备名称</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394B748">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A28620C">
            <w:pPr>
              <w:pStyle w:val="49"/>
              <w:spacing w:before="0" w:beforeAutospacing="0" w:afterAutospacing="0"/>
              <w:jc w:val="center"/>
              <w:rPr>
                <w:rFonts w:ascii="仿宋" w:hAnsi="仿宋" w:eastAsia="仿宋" w:cs="仿宋"/>
                <w:spacing w:val="2"/>
                <w:szCs w:val="24"/>
              </w:rPr>
            </w:pPr>
          </w:p>
        </w:tc>
      </w:tr>
      <w:tr w14:paraId="644C999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47E730E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deviceFactory</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CB9236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9AD2CE7">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16245FC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生产厂家</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23C1776">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348C839">
            <w:pPr>
              <w:pStyle w:val="49"/>
              <w:spacing w:before="0" w:beforeAutospacing="0" w:afterAutospacing="0"/>
              <w:jc w:val="center"/>
              <w:rPr>
                <w:rFonts w:ascii="仿宋" w:hAnsi="仿宋" w:eastAsia="仿宋" w:cs="仿宋"/>
                <w:spacing w:val="2"/>
                <w:szCs w:val="24"/>
              </w:rPr>
            </w:pPr>
          </w:p>
        </w:tc>
      </w:tr>
      <w:tr w14:paraId="1D90A8A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073D28C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deviceSn</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C22855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2774780">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2BB798B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序列号</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232FA94">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D5C3CA7">
            <w:pPr>
              <w:pStyle w:val="49"/>
              <w:spacing w:before="0" w:beforeAutospacing="0" w:afterAutospacing="0"/>
              <w:jc w:val="center"/>
              <w:rPr>
                <w:rFonts w:ascii="仿宋" w:hAnsi="仿宋" w:eastAsia="仿宋" w:cs="仿宋"/>
                <w:spacing w:val="2"/>
                <w:szCs w:val="24"/>
              </w:rPr>
            </w:pPr>
          </w:p>
        </w:tc>
      </w:tr>
      <w:tr w14:paraId="3D35C28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57C820B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posX</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46B616F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5CFD6D6">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14D0374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经度</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893B4CB">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E255817">
            <w:pPr>
              <w:pStyle w:val="49"/>
              <w:spacing w:before="0" w:beforeAutospacing="0" w:afterAutospacing="0"/>
              <w:jc w:val="center"/>
              <w:rPr>
                <w:rFonts w:ascii="仿宋" w:hAnsi="仿宋" w:eastAsia="仿宋" w:cs="仿宋"/>
                <w:spacing w:val="2"/>
                <w:szCs w:val="24"/>
              </w:rPr>
            </w:pPr>
          </w:p>
        </w:tc>
      </w:tr>
      <w:tr w14:paraId="7BAF669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367560E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posY</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F7D271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5235367">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46517F5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纬度</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15015EC">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F51E7A8">
            <w:pPr>
              <w:pStyle w:val="49"/>
              <w:spacing w:before="0" w:beforeAutospacing="0" w:afterAutospacing="0"/>
              <w:jc w:val="center"/>
              <w:rPr>
                <w:rFonts w:ascii="仿宋" w:hAnsi="仿宋" w:eastAsia="仿宋" w:cs="仿宋"/>
                <w:spacing w:val="2"/>
                <w:szCs w:val="24"/>
              </w:rPr>
            </w:pPr>
          </w:p>
        </w:tc>
      </w:tr>
      <w:tr w14:paraId="5C844A5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6F410E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posZ</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BBC30F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F3B81FB">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2BC9B1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海拔</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D39914F">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3E4A513">
            <w:pPr>
              <w:pStyle w:val="49"/>
              <w:spacing w:before="0" w:beforeAutospacing="0" w:afterAutospacing="0"/>
              <w:jc w:val="center"/>
              <w:rPr>
                <w:rFonts w:ascii="仿宋" w:hAnsi="仿宋" w:eastAsia="仿宋" w:cs="仿宋"/>
                <w:spacing w:val="2"/>
                <w:szCs w:val="24"/>
              </w:rPr>
            </w:pPr>
          </w:p>
        </w:tc>
      </w:tr>
      <w:tr w14:paraId="195B4B1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025"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0197C9C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isOnline</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286963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w:t>
            </w:r>
          </w:p>
        </w:tc>
        <w:tc>
          <w:tcPr>
            <w:tcW w:w="685"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D41E2B4">
            <w:pPr>
              <w:pStyle w:val="49"/>
              <w:spacing w:before="0" w:beforeAutospacing="0" w:afterAutospacing="0"/>
              <w:jc w:val="center"/>
              <w:rPr>
                <w:rFonts w:ascii="仿宋" w:hAnsi="仿宋" w:eastAsia="仿宋" w:cs="仿宋"/>
                <w:spacing w:val="2"/>
                <w:szCs w:val="24"/>
              </w:rPr>
            </w:pPr>
          </w:p>
        </w:tc>
        <w:tc>
          <w:tcPr>
            <w:tcW w:w="1643" w:type="pct"/>
            <w:tcBorders>
              <w:top w:val="single" w:color="D9D9D9" w:sz="6" w:space="0"/>
              <w:left w:val="single" w:color="D9D9D9" w:sz="6" w:space="0"/>
              <w:bottom w:val="single" w:color="D9D9D9" w:sz="6" w:space="0"/>
              <w:right w:val="single" w:color="D9D9D9" w:sz="6" w:space="0"/>
            </w:tcBorders>
            <w:tcMar>
              <w:top w:w="60" w:type="dxa"/>
              <w:left w:w="120" w:type="dxa"/>
              <w:bottom w:w="60" w:type="dxa"/>
              <w:right w:w="120" w:type="dxa"/>
            </w:tcMar>
            <w:vAlign w:val="center"/>
          </w:tcPr>
          <w:p w14:paraId="4F899A2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在线状态 0 离线 1 在线</w:t>
            </w:r>
          </w:p>
        </w:tc>
        <w:tc>
          <w:tcPr>
            <w:tcW w:w="54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F9D43AE">
            <w:pPr>
              <w:pStyle w:val="49"/>
              <w:spacing w:before="0" w:beforeAutospacing="0" w:afterAutospacing="0"/>
              <w:jc w:val="center"/>
              <w:rPr>
                <w:rFonts w:ascii="仿宋" w:hAnsi="仿宋" w:eastAsia="仿宋" w:cs="仿宋"/>
                <w:spacing w:val="2"/>
                <w:szCs w:val="24"/>
              </w:rPr>
            </w:pPr>
          </w:p>
        </w:tc>
        <w:tc>
          <w:tcPr>
            <w:tcW w:w="41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ED6B0EC">
            <w:pPr>
              <w:pStyle w:val="49"/>
              <w:spacing w:before="0" w:beforeAutospacing="0" w:afterAutospacing="0"/>
              <w:jc w:val="center"/>
              <w:rPr>
                <w:rFonts w:ascii="仿宋" w:hAnsi="仿宋" w:eastAsia="仿宋" w:cs="仿宋"/>
                <w:spacing w:val="2"/>
                <w:szCs w:val="24"/>
              </w:rPr>
            </w:pPr>
          </w:p>
        </w:tc>
      </w:tr>
    </w:tbl>
    <w:p w14:paraId="3770C49F">
      <w:pPr>
        <w:spacing w:after="120"/>
        <w:ind w:firstLine="650"/>
        <w:rPr>
          <w:rFonts w:ascii="仿宋" w:hAnsi="仿宋" w:eastAsia="仿宋" w:cs="仿宋"/>
          <w:b/>
          <w:bCs/>
          <w:spacing w:val="12"/>
          <w:sz w:val="30"/>
          <w:szCs w:val="30"/>
        </w:rPr>
      </w:pPr>
    </w:p>
    <w:p w14:paraId="7C494281">
      <w:pPr>
        <w:spacing w:after="120"/>
        <w:ind w:firstLine="650"/>
        <w:rPr>
          <w:rFonts w:ascii="仿宋" w:hAnsi="仿宋" w:eastAsia="仿宋" w:cs="仿宋"/>
        </w:rPr>
      </w:pPr>
      <w:r>
        <w:rPr>
          <w:rFonts w:hint="eastAsia" w:ascii="仿宋" w:hAnsi="仿宋" w:eastAsia="仿宋" w:cs="仿宋"/>
          <w:b/>
          <w:bCs/>
          <w:spacing w:val="12"/>
          <w:sz w:val="30"/>
          <w:szCs w:val="30"/>
        </w:rPr>
        <w:t>请求示例</w:t>
      </w:r>
    </w:p>
    <w:p w14:paraId="6092100B">
      <w:pPr>
        <w:pStyle w:val="25"/>
        <w:shd w:val="clear" w:color="auto" w:fill="F9F9F9"/>
        <w:spacing w:after="120"/>
        <w:ind w:left="960"/>
        <w:rPr>
          <w:rFonts w:ascii="仿宋" w:hAnsi="仿宋" w:eastAsia="仿宋" w:cs="仿宋"/>
        </w:rPr>
      </w:pPr>
      <w:r>
        <w:rPr>
          <w:rFonts w:hint="eastAsia" w:ascii="仿宋" w:hAnsi="仿宋" w:eastAsia="仿宋" w:cs="仿宋"/>
        </w:rPr>
        <w:t>{</w:t>
      </w:r>
    </w:p>
    <w:p w14:paraId="0F238242">
      <w:pPr>
        <w:pStyle w:val="25"/>
        <w:shd w:val="clear" w:color="auto" w:fill="F9F9F9"/>
        <w:spacing w:after="120"/>
        <w:ind w:left="960"/>
        <w:rPr>
          <w:rFonts w:ascii="仿宋" w:hAnsi="仿宋" w:eastAsia="仿宋" w:cs="仿宋"/>
        </w:rPr>
      </w:pPr>
      <w:r>
        <w:rPr>
          <w:rFonts w:hint="eastAsia" w:ascii="仿宋" w:hAnsi="仿宋" w:eastAsia="仿宋" w:cs="仿宋"/>
        </w:rPr>
        <w:t>"projectId":"13449039388",</w:t>
      </w:r>
    </w:p>
    <w:p w14:paraId="579EA51D">
      <w:pPr>
        <w:pStyle w:val="25"/>
        <w:shd w:val="clear" w:color="auto" w:fill="F9F9F9"/>
        <w:spacing w:after="120"/>
        <w:ind w:left="960"/>
        <w:rPr>
          <w:rFonts w:ascii="仿宋" w:hAnsi="仿宋" w:eastAsia="仿宋" w:cs="仿宋"/>
        </w:rPr>
      </w:pPr>
      <w:r>
        <w:rPr>
          <w:rFonts w:hint="eastAsia" w:ascii="仿宋" w:hAnsi="仿宋" w:eastAsia="仿宋" w:cs="仿宋"/>
        </w:rPr>
        <w:t>"data":[</w:t>
      </w:r>
    </w:p>
    <w:p w14:paraId="293571C9">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05DBE6E9">
      <w:pPr>
        <w:pStyle w:val="25"/>
        <w:shd w:val="clear" w:color="auto" w:fill="F9F9F9"/>
        <w:spacing w:after="120"/>
        <w:ind w:left="960"/>
        <w:rPr>
          <w:rFonts w:ascii="仿宋" w:hAnsi="仿宋" w:eastAsia="仿宋" w:cs="仿宋"/>
        </w:rPr>
      </w:pPr>
      <w:r>
        <w:rPr>
          <w:rFonts w:hint="eastAsia" w:ascii="仿宋" w:hAnsi="仿宋" w:eastAsia="仿宋" w:cs="仿宋"/>
        </w:rPr>
        <w:t>"deviceId": "W0000009",</w:t>
      </w:r>
    </w:p>
    <w:p w14:paraId="1B6D0934">
      <w:pPr>
        <w:pStyle w:val="25"/>
        <w:shd w:val="clear" w:color="auto" w:fill="F9F9F9"/>
        <w:spacing w:after="120"/>
        <w:ind w:left="960"/>
        <w:rPr>
          <w:rFonts w:ascii="仿宋" w:hAnsi="仿宋" w:eastAsia="仿宋" w:cs="仿宋"/>
        </w:rPr>
      </w:pPr>
      <w:r>
        <w:rPr>
          <w:rFonts w:hint="eastAsia" w:ascii="仿宋" w:hAnsi="仿宋" w:eastAsia="仿宋" w:cs="仿宋"/>
        </w:rPr>
        <w:t>"deviceName": "9号通道",</w:t>
      </w:r>
    </w:p>
    <w:p w14:paraId="49E35C94">
      <w:pPr>
        <w:pStyle w:val="25"/>
        <w:shd w:val="clear" w:color="auto" w:fill="F9F9F9"/>
        <w:spacing w:after="120"/>
        <w:ind w:left="960"/>
        <w:rPr>
          <w:rFonts w:ascii="仿宋" w:hAnsi="仿宋" w:eastAsia="仿宋" w:cs="仿宋"/>
        </w:rPr>
      </w:pPr>
      <w:r>
        <w:rPr>
          <w:rFonts w:hint="eastAsia" w:ascii="仿宋" w:hAnsi="仿宋" w:eastAsia="仿宋" w:cs="仿宋"/>
        </w:rPr>
        <w:t>"deviceFactory": "生产厂家",</w:t>
      </w:r>
    </w:p>
    <w:p w14:paraId="0A9369E1">
      <w:pPr>
        <w:pStyle w:val="25"/>
        <w:shd w:val="clear" w:color="auto" w:fill="F9F9F9"/>
        <w:spacing w:after="120"/>
        <w:ind w:left="960"/>
        <w:rPr>
          <w:rFonts w:ascii="仿宋" w:hAnsi="仿宋" w:eastAsia="仿宋" w:cs="仿宋"/>
        </w:rPr>
      </w:pPr>
      <w:r>
        <w:rPr>
          <w:rFonts w:hint="eastAsia" w:ascii="仿宋" w:hAnsi="仿宋" w:eastAsia="仿宋" w:cs="仿宋"/>
        </w:rPr>
        <w:t>"deviceSn": "WKSN122SAD",</w:t>
      </w:r>
    </w:p>
    <w:p w14:paraId="1EDA4CDC">
      <w:pPr>
        <w:pStyle w:val="25"/>
        <w:shd w:val="clear" w:color="auto" w:fill="F9F9F9"/>
        <w:spacing w:after="120"/>
        <w:ind w:left="960"/>
        <w:rPr>
          <w:rFonts w:ascii="仿宋" w:hAnsi="仿宋" w:eastAsia="仿宋" w:cs="仿宋"/>
        </w:rPr>
      </w:pPr>
      <w:r>
        <w:rPr>
          <w:rFonts w:hint="eastAsia" w:ascii="仿宋" w:hAnsi="仿宋" w:eastAsia="仿宋" w:cs="仿宋"/>
        </w:rPr>
        <w:t>"posX": "111.1222",</w:t>
      </w:r>
    </w:p>
    <w:p w14:paraId="4BE598A1">
      <w:pPr>
        <w:pStyle w:val="25"/>
        <w:shd w:val="clear" w:color="auto" w:fill="F9F9F9"/>
        <w:spacing w:after="120"/>
        <w:ind w:left="960"/>
        <w:rPr>
          <w:rFonts w:ascii="仿宋" w:hAnsi="仿宋" w:eastAsia="仿宋" w:cs="仿宋"/>
        </w:rPr>
      </w:pPr>
      <w:r>
        <w:rPr>
          <w:rFonts w:hint="eastAsia" w:ascii="仿宋" w:hAnsi="仿宋" w:eastAsia="仿宋" w:cs="仿宋"/>
        </w:rPr>
        <w:t>"posY": "23.1212",</w:t>
      </w:r>
    </w:p>
    <w:p w14:paraId="08362C39">
      <w:pPr>
        <w:pStyle w:val="25"/>
        <w:shd w:val="clear" w:color="auto" w:fill="F9F9F9"/>
        <w:spacing w:after="120"/>
        <w:ind w:left="960"/>
        <w:rPr>
          <w:rFonts w:ascii="仿宋" w:hAnsi="仿宋" w:eastAsia="仿宋" w:cs="仿宋"/>
        </w:rPr>
      </w:pPr>
      <w:r>
        <w:rPr>
          <w:rFonts w:hint="eastAsia" w:ascii="仿宋" w:hAnsi="仿宋" w:eastAsia="仿宋" w:cs="仿宋"/>
        </w:rPr>
        <w:t>"posZ": "0",</w:t>
      </w:r>
    </w:p>
    <w:p w14:paraId="38468E28">
      <w:pPr>
        <w:pStyle w:val="25"/>
        <w:shd w:val="clear" w:color="auto" w:fill="F9F9F9"/>
        <w:spacing w:after="120"/>
        <w:ind w:left="960"/>
        <w:rPr>
          <w:rFonts w:ascii="仿宋" w:hAnsi="仿宋" w:eastAsia="仿宋" w:cs="仿宋"/>
        </w:rPr>
      </w:pPr>
      <w:r>
        <w:rPr>
          <w:rFonts w:hint="eastAsia" w:ascii="仿宋" w:hAnsi="仿宋" w:eastAsia="仿宋" w:cs="仿宋"/>
        </w:rPr>
        <w:t>"isOnline": 0</w:t>
      </w:r>
    </w:p>
    <w:p w14:paraId="549B1D9C">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6DE18AA5">
      <w:pPr>
        <w:pStyle w:val="25"/>
        <w:shd w:val="clear" w:color="auto" w:fill="F9F9F9"/>
        <w:spacing w:after="120"/>
        <w:ind w:left="960"/>
        <w:rPr>
          <w:rFonts w:ascii="仿宋" w:hAnsi="仿宋" w:eastAsia="仿宋" w:cs="仿宋"/>
        </w:rPr>
      </w:pPr>
      <w:r>
        <w:rPr>
          <w:rFonts w:hint="eastAsia" w:ascii="仿宋" w:hAnsi="仿宋" w:eastAsia="仿宋" w:cs="仿宋"/>
        </w:rPr>
        <w:t xml:space="preserve">    ]</w:t>
      </w:r>
    </w:p>
    <w:p w14:paraId="4409C5FB">
      <w:pPr>
        <w:pStyle w:val="25"/>
        <w:shd w:val="clear" w:color="auto" w:fill="F9F9F9"/>
        <w:spacing w:after="120"/>
        <w:ind w:left="960"/>
        <w:rPr>
          <w:rFonts w:ascii="仿宋" w:hAnsi="仿宋" w:eastAsia="仿宋" w:cs="仿宋"/>
        </w:rPr>
      </w:pPr>
      <w:r>
        <w:rPr>
          <w:rFonts w:hint="eastAsia" w:ascii="仿宋" w:hAnsi="仿宋" w:eastAsia="仿宋" w:cs="仿宋"/>
        </w:rPr>
        <w:t>"timestamp": "13449039388",</w:t>
      </w:r>
    </w:p>
    <w:p w14:paraId="16D15A9A">
      <w:pPr>
        <w:pStyle w:val="25"/>
        <w:shd w:val="clear" w:color="auto" w:fill="F9F9F9"/>
        <w:spacing w:after="120"/>
        <w:ind w:left="960"/>
        <w:rPr>
          <w:rFonts w:ascii="仿宋" w:hAnsi="仿宋" w:eastAsia="仿宋" w:cs="仿宋"/>
        </w:rPr>
      </w:pPr>
      <w:r>
        <w:rPr>
          <w:rFonts w:hint="eastAsia" w:ascii="仿宋" w:hAnsi="仿宋" w:eastAsia="仿宋" w:cs="仿宋"/>
        </w:rPr>
        <w:t>"sign": "sign"</w:t>
      </w:r>
    </w:p>
    <w:p w14:paraId="13F5765D">
      <w:pPr>
        <w:pStyle w:val="25"/>
        <w:shd w:val="clear" w:color="auto" w:fill="F9F9F9"/>
        <w:spacing w:after="120"/>
        <w:ind w:left="960"/>
        <w:rPr>
          <w:rFonts w:ascii="仿宋" w:hAnsi="仿宋" w:eastAsia="仿宋" w:cs="仿宋"/>
        </w:rPr>
      </w:pPr>
      <w:r>
        <w:rPr>
          <w:rFonts w:hint="eastAsia" w:ascii="仿宋" w:hAnsi="仿宋" w:eastAsia="仿宋" w:cs="仿宋"/>
        </w:rPr>
        <w:t>}</w:t>
      </w:r>
    </w:p>
    <w:p w14:paraId="00F34552">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响应数据</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305"/>
        <w:gridCol w:w="1306"/>
        <w:gridCol w:w="1306"/>
        <w:gridCol w:w="4683"/>
        <w:gridCol w:w="1306"/>
      </w:tblGrid>
      <w:tr w14:paraId="67C5EB0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6C22CC67">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参数名称</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5441A40C">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参数类型</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vAlign w:val="center"/>
          </w:tcPr>
          <w:p w14:paraId="3F0E87C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是否必须</w:t>
            </w:r>
          </w:p>
        </w:tc>
        <w:tc>
          <w:tcPr>
            <w:tcW w:w="2363"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10C702D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参数说明</w:t>
            </w:r>
          </w:p>
        </w:tc>
        <w:tc>
          <w:tcPr>
            <w:tcW w:w="659" w:type="pct"/>
            <w:tcBorders>
              <w:top w:val="single" w:color="D9D9D9" w:sz="6" w:space="0"/>
              <w:left w:val="single" w:color="D9D9D9" w:sz="6" w:space="0"/>
              <w:bottom w:val="single" w:color="D9D9D9" w:sz="6" w:space="0"/>
              <w:right w:val="single" w:color="D9D9D9" w:sz="6" w:space="0"/>
            </w:tcBorders>
            <w:shd w:val="clear" w:color="auto" w:fill="D4EEFC"/>
            <w:tcMar>
              <w:top w:w="60" w:type="dxa"/>
              <w:left w:w="120" w:type="dxa"/>
              <w:bottom w:w="60" w:type="dxa"/>
              <w:right w:w="120" w:type="dxa"/>
            </w:tcMar>
          </w:tcPr>
          <w:p w14:paraId="5E7A8E3E">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示例</w:t>
            </w:r>
          </w:p>
        </w:tc>
      </w:tr>
      <w:tr w14:paraId="39E2200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A79E04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code</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95D0157">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integer</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7770EB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9D455F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响应码</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D3502EB">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200</w:t>
            </w:r>
          </w:p>
        </w:tc>
      </w:tr>
      <w:tr w14:paraId="4B2D4D2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0F9955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msg</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2ED587F">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string</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003ED50">
            <w:pPr>
              <w:spacing w:after="120"/>
              <w:ind w:firstLine="0" w:firstLineChars="0"/>
              <w:jc w:val="center"/>
              <w:rPr>
                <w:rFonts w:ascii="仿宋" w:hAnsi="仿宋" w:eastAsia="仿宋" w:cs="仿宋"/>
                <w:szCs w:val="24"/>
              </w:rPr>
            </w:pPr>
            <w:r>
              <w:rPr>
                <w:rFonts w:hint="eastAsia" w:ascii="仿宋" w:hAnsi="仿宋" w:eastAsia="仿宋" w:cs="仿宋"/>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EE6FAC4">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响应信息</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38B0F21E">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上报成功</w:t>
            </w:r>
          </w:p>
        </w:tc>
      </w:tr>
      <w:tr w14:paraId="59C2ACA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5701793">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success</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0A0D1EA5">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bool</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10BF741E">
            <w:pPr>
              <w:spacing w:after="120"/>
              <w:ind w:firstLine="0" w:firstLineChars="0"/>
              <w:jc w:val="center"/>
              <w:rPr>
                <w:rFonts w:ascii="仿宋" w:hAnsi="仿宋" w:eastAsia="仿宋" w:cs="仿宋"/>
                <w:szCs w:val="24"/>
              </w:rPr>
            </w:pPr>
            <w:r>
              <w:rPr>
                <w:rFonts w:hint="eastAsia" w:ascii="仿宋" w:hAnsi="仿宋" w:eastAsia="仿宋" w:cs="仿宋"/>
                <w:szCs w:val="24"/>
              </w:rPr>
              <w:t>True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5F7878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是否成功，接口是否成功主要看这个值</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728ACF98">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True</w:t>
            </w:r>
          </w:p>
        </w:tc>
      </w:tr>
      <w:tr w14:paraId="7A36F86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61D2B679">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data</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1C02D3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E92C670">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False</w:t>
            </w:r>
          </w:p>
        </w:tc>
        <w:tc>
          <w:tcPr>
            <w:tcW w:w="2363"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52A762F6">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可空，需要返回数据时，这个值返回</w:t>
            </w:r>
          </w:p>
        </w:tc>
        <w:tc>
          <w:tcPr>
            <w:tcW w:w="659" w:type="pct"/>
            <w:tcBorders>
              <w:top w:val="single" w:color="D9D9D9" w:sz="6" w:space="0"/>
              <w:left w:val="single" w:color="D9D9D9" w:sz="6" w:space="0"/>
              <w:bottom w:val="single" w:color="D9D9D9" w:sz="6" w:space="0"/>
              <w:right w:val="single" w:color="D9D9D9" w:sz="6" w:space="0"/>
            </w:tcBorders>
            <w:shd w:val="clear" w:color="auto" w:fill="FFFFFF"/>
            <w:tcMar>
              <w:top w:w="60" w:type="dxa"/>
              <w:left w:w="120" w:type="dxa"/>
              <w:bottom w:w="60" w:type="dxa"/>
              <w:right w:w="120" w:type="dxa"/>
            </w:tcMar>
          </w:tcPr>
          <w:p w14:paraId="25FAAC5D">
            <w:pPr>
              <w:pStyle w:val="49"/>
              <w:spacing w:before="0" w:beforeAutospacing="0" w:afterAutospacing="0"/>
              <w:jc w:val="center"/>
              <w:rPr>
                <w:rFonts w:ascii="仿宋" w:hAnsi="仿宋" w:eastAsia="仿宋" w:cs="仿宋"/>
                <w:spacing w:val="2"/>
                <w:szCs w:val="24"/>
              </w:rPr>
            </w:pPr>
            <w:r>
              <w:rPr>
                <w:rFonts w:hint="eastAsia" w:ascii="仿宋" w:hAnsi="仿宋" w:eastAsia="仿宋" w:cs="仿宋"/>
                <w:spacing w:val="2"/>
                <w:szCs w:val="24"/>
              </w:rPr>
              <w:t>{}</w:t>
            </w:r>
          </w:p>
        </w:tc>
      </w:tr>
    </w:tbl>
    <w:p w14:paraId="04FEC84D">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响应示例</w:t>
      </w:r>
    </w:p>
    <w:p w14:paraId="03D68DCC">
      <w:pPr>
        <w:pStyle w:val="25"/>
        <w:shd w:val="clear" w:color="auto" w:fill="F9F9F9"/>
        <w:spacing w:after="120"/>
        <w:ind w:left="960"/>
        <w:rPr>
          <w:rFonts w:ascii="仿宋" w:hAnsi="仿宋" w:eastAsia="仿宋" w:cs="仿宋"/>
        </w:rPr>
      </w:pPr>
      <w:r>
        <w:rPr>
          <w:rFonts w:hint="eastAsia" w:ascii="仿宋" w:hAnsi="仿宋" w:eastAsia="仿宋" w:cs="仿宋"/>
        </w:rPr>
        <w:t>{</w:t>
      </w:r>
    </w:p>
    <w:p w14:paraId="045B1360">
      <w:pPr>
        <w:pStyle w:val="25"/>
        <w:shd w:val="clear" w:color="auto" w:fill="F9F9F9"/>
        <w:spacing w:after="120"/>
        <w:ind w:left="960"/>
        <w:rPr>
          <w:rFonts w:ascii="仿宋" w:hAnsi="仿宋" w:eastAsia="仿宋" w:cs="仿宋"/>
        </w:rPr>
      </w:pPr>
      <w:r>
        <w:rPr>
          <w:rFonts w:hint="eastAsia" w:ascii="仿宋" w:hAnsi="仿宋" w:eastAsia="仿宋" w:cs="仿宋"/>
        </w:rPr>
        <w:t>"code": 200,</w:t>
      </w:r>
    </w:p>
    <w:p w14:paraId="71FD9B40">
      <w:pPr>
        <w:pStyle w:val="25"/>
        <w:shd w:val="clear" w:color="auto" w:fill="F9F9F9"/>
        <w:spacing w:after="120"/>
        <w:ind w:left="960"/>
        <w:rPr>
          <w:rFonts w:ascii="仿宋" w:hAnsi="仿宋" w:eastAsia="仿宋" w:cs="仿宋"/>
        </w:rPr>
      </w:pPr>
      <w:r>
        <w:rPr>
          <w:rFonts w:hint="eastAsia" w:ascii="仿宋" w:hAnsi="仿宋" w:eastAsia="仿宋" w:cs="仿宋"/>
        </w:rPr>
        <w:t xml:space="preserve">"success": </w:t>
      </w:r>
      <w:r>
        <w:rPr>
          <w:rStyle w:val="161"/>
          <w:rFonts w:hint="eastAsia" w:ascii="仿宋" w:hAnsi="仿宋" w:eastAsia="仿宋" w:cs="仿宋"/>
        </w:rPr>
        <w:t>true</w:t>
      </w:r>
      <w:r>
        <w:rPr>
          <w:rFonts w:hint="eastAsia" w:ascii="仿宋" w:hAnsi="仿宋" w:eastAsia="仿宋" w:cs="仿宋"/>
        </w:rPr>
        <w:t>,</w:t>
      </w:r>
    </w:p>
    <w:p w14:paraId="0EC8AB62">
      <w:pPr>
        <w:pStyle w:val="25"/>
        <w:shd w:val="clear" w:color="auto" w:fill="F9F9F9"/>
        <w:spacing w:after="120"/>
        <w:ind w:left="960"/>
        <w:rPr>
          <w:rFonts w:ascii="仿宋" w:hAnsi="仿宋" w:eastAsia="仿宋" w:cs="仿宋"/>
        </w:rPr>
      </w:pPr>
      <w:r>
        <w:rPr>
          <w:rFonts w:hint="eastAsia" w:ascii="仿宋" w:hAnsi="仿宋" w:eastAsia="仿宋" w:cs="仿宋"/>
        </w:rPr>
        <w:t>"data": {},</w:t>
      </w:r>
    </w:p>
    <w:p w14:paraId="0C0483E5">
      <w:pPr>
        <w:pStyle w:val="25"/>
        <w:shd w:val="clear" w:color="auto" w:fill="F9F9F9"/>
        <w:spacing w:after="120"/>
        <w:ind w:left="960"/>
        <w:rPr>
          <w:rFonts w:ascii="仿宋" w:hAnsi="仿宋" w:eastAsia="仿宋" w:cs="仿宋"/>
        </w:rPr>
      </w:pPr>
      <w:r>
        <w:rPr>
          <w:rFonts w:hint="eastAsia" w:ascii="仿宋" w:hAnsi="仿宋" w:eastAsia="仿宋" w:cs="仿宋"/>
        </w:rPr>
        <w:t>"msg": "上报成功"</w:t>
      </w:r>
    </w:p>
    <w:p w14:paraId="1FA414DA">
      <w:pPr>
        <w:pStyle w:val="25"/>
        <w:shd w:val="clear" w:color="auto" w:fill="F9F9F9"/>
        <w:spacing w:after="120"/>
        <w:ind w:left="960"/>
        <w:rPr>
          <w:rFonts w:ascii="仿宋" w:hAnsi="仿宋" w:eastAsia="仿宋" w:cs="仿宋"/>
        </w:rPr>
      </w:pPr>
      <w:r>
        <w:rPr>
          <w:rFonts w:hint="eastAsia" w:ascii="仿宋" w:hAnsi="仿宋" w:eastAsia="仿宋" w:cs="仿宋"/>
        </w:rPr>
        <w:t>}</w:t>
      </w:r>
    </w:p>
    <w:p w14:paraId="292D482E">
      <w:pPr>
        <w:spacing w:after="120"/>
        <w:rPr>
          <w:rFonts w:ascii="仿宋" w:hAnsi="仿宋" w:eastAsia="仿宋" w:cs="仿宋"/>
        </w:rPr>
      </w:pPr>
    </w:p>
    <w:p w14:paraId="6B05C3ED">
      <w:pPr>
        <w:spacing w:after="120"/>
        <w:rPr>
          <w:rFonts w:ascii="仿宋" w:hAnsi="仿宋" w:eastAsia="仿宋" w:cs="仿宋"/>
        </w:rPr>
      </w:pPr>
    </w:p>
    <w:p w14:paraId="29EBDF91">
      <w:pPr>
        <w:spacing w:after="120"/>
        <w:ind w:firstLine="600"/>
        <w:rPr>
          <w:rFonts w:ascii="仿宋" w:hAnsi="仿宋" w:eastAsia="仿宋" w:cs="仿宋"/>
          <w:sz w:val="30"/>
          <w:szCs w:val="30"/>
        </w:rPr>
      </w:pPr>
      <w:bookmarkStart w:id="1246" w:name="_Toc6603"/>
      <w:bookmarkStart w:id="1247" w:name="_Toc10523"/>
      <w:r>
        <w:rPr>
          <w:rFonts w:hint="eastAsia" w:ascii="仿宋" w:hAnsi="仿宋" w:eastAsia="仿宋" w:cs="仿宋"/>
          <w:sz w:val="30"/>
          <w:szCs w:val="30"/>
        </w:rPr>
        <w:t>2.5塔吊</w:t>
      </w:r>
      <w:bookmarkEnd w:id="1246"/>
      <w:bookmarkEnd w:id="1247"/>
    </w:p>
    <w:p w14:paraId="2FF69BD6">
      <w:pPr>
        <w:spacing w:after="120"/>
        <w:ind w:firstLine="600"/>
        <w:rPr>
          <w:rStyle w:val="163"/>
          <w:rFonts w:ascii="仿宋" w:hAnsi="仿宋" w:eastAsia="仿宋" w:cs="仿宋"/>
          <w:sz w:val="30"/>
          <w:szCs w:val="30"/>
        </w:rPr>
      </w:pPr>
      <w:r>
        <w:rPr>
          <w:rFonts w:hint="eastAsia" w:ascii="仿宋" w:hAnsi="仿宋" w:eastAsia="仿宋" w:cs="仿宋"/>
          <w:sz w:val="30"/>
          <w:szCs w:val="30"/>
        </w:rPr>
        <w:t>接口调用规则请参照附件1</w:t>
      </w:r>
    </w:p>
    <w:p w14:paraId="13CBDA76">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接口说明</w:t>
      </w:r>
    </w:p>
    <w:p w14:paraId="4F0D260B">
      <w:pPr>
        <w:spacing w:after="120"/>
        <w:ind w:firstLine="600"/>
        <w:rPr>
          <w:rFonts w:ascii="仿宋" w:hAnsi="仿宋" w:eastAsia="仿宋" w:cs="仿宋"/>
          <w:sz w:val="30"/>
          <w:szCs w:val="30"/>
        </w:rPr>
      </w:pPr>
      <w:r>
        <w:rPr>
          <w:rStyle w:val="163"/>
          <w:rFonts w:hint="eastAsia" w:ascii="仿宋" w:hAnsi="仿宋" w:eastAsia="仿宋" w:cs="仿宋"/>
          <w:sz w:val="30"/>
          <w:szCs w:val="30"/>
        </w:rPr>
        <w:t>上报塔吊运行数据，定时循环周期上报。</w:t>
      </w:r>
    </w:p>
    <w:p w14:paraId="27B0946E">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接口地址</w:t>
      </w:r>
    </w:p>
    <w:p w14:paraId="6694EF5D">
      <w:pPr>
        <w:spacing w:after="120"/>
        <w:ind w:firstLine="600"/>
        <w:rPr>
          <w:rFonts w:ascii="仿宋" w:hAnsi="仿宋" w:eastAsia="仿宋" w:cs="仿宋"/>
          <w:sz w:val="30"/>
          <w:szCs w:val="30"/>
        </w:rPr>
      </w:pPr>
      <w:r>
        <w:rPr>
          <w:rStyle w:val="163"/>
          <w:rFonts w:hint="eastAsia" w:ascii="仿宋" w:hAnsi="仿宋" w:eastAsia="仿宋" w:cs="仿宋"/>
          <w:sz w:val="30"/>
          <w:szCs w:val="30"/>
        </w:rPr>
        <w:t>/gdiapi/gdi/dataupload/tower_crane/as/workingpush</w:t>
      </w:r>
    </w:p>
    <w:p w14:paraId="24FEF617">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请求方法</w:t>
      </w:r>
    </w:p>
    <w:p w14:paraId="2DCAAAA2">
      <w:pPr>
        <w:spacing w:after="120"/>
        <w:ind w:firstLine="600"/>
        <w:rPr>
          <w:rFonts w:ascii="仿宋" w:hAnsi="仿宋" w:eastAsia="仿宋" w:cs="仿宋"/>
          <w:sz w:val="30"/>
          <w:szCs w:val="30"/>
        </w:rPr>
      </w:pPr>
      <w:r>
        <w:rPr>
          <w:rStyle w:val="163"/>
          <w:rFonts w:hint="eastAsia" w:ascii="仿宋" w:hAnsi="仿宋" w:eastAsia="仿宋" w:cs="仿宋"/>
          <w:sz w:val="30"/>
          <w:szCs w:val="30"/>
        </w:rPr>
        <w:t>POST</w:t>
      </w:r>
    </w:p>
    <w:p w14:paraId="40AF6085">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版本号</w:t>
      </w:r>
    </w:p>
    <w:p w14:paraId="0ED4401E">
      <w:pPr>
        <w:spacing w:after="120"/>
        <w:ind w:firstLine="600"/>
        <w:rPr>
          <w:rFonts w:ascii="仿宋" w:hAnsi="仿宋" w:eastAsia="仿宋" w:cs="仿宋"/>
          <w:sz w:val="30"/>
          <w:szCs w:val="30"/>
        </w:rPr>
      </w:pPr>
      <w:r>
        <w:rPr>
          <w:rStyle w:val="163"/>
          <w:rFonts w:hint="eastAsia" w:ascii="仿宋" w:hAnsi="仿宋" w:eastAsia="仿宋" w:cs="仿宋"/>
          <w:sz w:val="30"/>
          <w:szCs w:val="30"/>
        </w:rPr>
        <w:t>1.0.0</w:t>
      </w:r>
    </w:p>
    <w:p w14:paraId="667D7E3B">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报送周期</w:t>
      </w:r>
    </w:p>
    <w:p w14:paraId="7775BC38">
      <w:pPr>
        <w:spacing w:after="120"/>
        <w:ind w:firstLine="600"/>
        <w:rPr>
          <w:rFonts w:ascii="仿宋" w:hAnsi="仿宋" w:eastAsia="仿宋" w:cs="仿宋"/>
          <w:sz w:val="30"/>
          <w:szCs w:val="30"/>
        </w:rPr>
      </w:pPr>
      <w:r>
        <w:rPr>
          <w:rStyle w:val="163"/>
          <w:rFonts w:hint="eastAsia" w:ascii="仿宋" w:hAnsi="仿宋" w:eastAsia="仿宋" w:cs="仿宋"/>
          <w:sz w:val="30"/>
          <w:szCs w:val="30"/>
        </w:rPr>
        <w:t>60秒</w:t>
      </w:r>
    </w:p>
    <w:p w14:paraId="2C3BD074">
      <w:pPr>
        <w:spacing w:after="120"/>
        <w:ind w:firstLine="602"/>
        <w:rPr>
          <w:rStyle w:val="163"/>
          <w:rFonts w:ascii="仿宋" w:hAnsi="仿宋" w:eastAsia="仿宋" w:cs="仿宋"/>
          <w:b/>
          <w:bCs/>
          <w:sz w:val="30"/>
          <w:szCs w:val="30"/>
        </w:rPr>
      </w:pPr>
      <w:r>
        <w:rPr>
          <w:rStyle w:val="163"/>
          <w:rFonts w:hint="eastAsia" w:ascii="仿宋" w:hAnsi="仿宋" w:eastAsia="仿宋" w:cs="仿宋"/>
          <w:b/>
          <w:bCs/>
          <w:sz w:val="30"/>
          <w:szCs w:val="30"/>
        </w:rPr>
        <w:t>请求参数（data部分）</w:t>
      </w:r>
    </w:p>
    <w:tbl>
      <w:tblPr>
        <w:tblStyle w:val="55"/>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3029"/>
        <w:gridCol w:w="1095"/>
        <w:gridCol w:w="945"/>
        <w:gridCol w:w="3315"/>
        <w:gridCol w:w="846"/>
        <w:gridCol w:w="466"/>
      </w:tblGrid>
      <w:tr w14:paraId="55C6958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1152021D">
            <w:pPr>
              <w:spacing w:after="120"/>
              <w:rPr>
                <w:rFonts w:ascii="仿宋" w:hAnsi="仿宋" w:eastAsia="仿宋" w:cs="仿宋"/>
                <w:szCs w:val="24"/>
              </w:rPr>
            </w:pPr>
            <w:r>
              <w:rPr>
                <w:rStyle w:val="163"/>
                <w:rFonts w:hint="eastAsia" w:ascii="仿宋" w:hAnsi="仿宋" w:eastAsia="仿宋" w:cs="仿宋"/>
                <w:szCs w:val="24"/>
              </w:rPr>
              <w:t>参数名称</w:t>
            </w:r>
          </w:p>
        </w:tc>
        <w:tc>
          <w:tcPr>
            <w:tcW w:w="1095"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680F08CB">
            <w:pPr>
              <w:spacing w:after="120"/>
              <w:ind w:firstLine="0" w:firstLineChars="0"/>
              <w:rPr>
                <w:rFonts w:ascii="仿宋" w:hAnsi="仿宋" w:eastAsia="仿宋" w:cs="仿宋"/>
                <w:szCs w:val="24"/>
              </w:rPr>
            </w:pPr>
            <w:r>
              <w:rPr>
                <w:rStyle w:val="163"/>
                <w:rFonts w:hint="eastAsia" w:ascii="仿宋" w:hAnsi="仿宋" w:eastAsia="仿宋" w:cs="仿宋"/>
                <w:szCs w:val="24"/>
              </w:rPr>
              <w:t>参数类型</w:t>
            </w:r>
          </w:p>
        </w:tc>
        <w:tc>
          <w:tcPr>
            <w:tcW w:w="945"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4069A42D">
            <w:pPr>
              <w:spacing w:after="120"/>
              <w:ind w:firstLine="0" w:firstLineChars="0"/>
              <w:rPr>
                <w:rFonts w:ascii="仿宋" w:hAnsi="仿宋" w:eastAsia="仿宋" w:cs="仿宋"/>
                <w:szCs w:val="24"/>
              </w:rPr>
            </w:pPr>
            <w:r>
              <w:rPr>
                <w:rStyle w:val="163"/>
                <w:rFonts w:hint="eastAsia" w:ascii="仿宋" w:hAnsi="仿宋" w:eastAsia="仿宋" w:cs="仿宋"/>
                <w:szCs w:val="24"/>
              </w:rPr>
              <w:t>是否必须</w:t>
            </w:r>
          </w:p>
        </w:tc>
        <w:tc>
          <w:tcPr>
            <w:tcW w:w="3315"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1F235105">
            <w:pPr>
              <w:spacing w:after="120"/>
              <w:rPr>
                <w:rFonts w:ascii="仿宋" w:hAnsi="仿宋" w:eastAsia="仿宋" w:cs="仿宋"/>
                <w:szCs w:val="24"/>
              </w:rPr>
            </w:pPr>
            <w:r>
              <w:rPr>
                <w:rStyle w:val="163"/>
                <w:rFonts w:hint="eastAsia" w:ascii="仿宋" w:hAnsi="仿宋" w:eastAsia="仿宋" w:cs="仿宋"/>
                <w:szCs w:val="24"/>
              </w:rPr>
              <w:t>参数说明</w:t>
            </w:r>
          </w:p>
        </w:tc>
        <w:tc>
          <w:tcPr>
            <w:tcW w:w="846"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24BA934C">
            <w:pPr>
              <w:spacing w:after="120"/>
              <w:ind w:firstLine="0" w:firstLineChars="0"/>
              <w:rPr>
                <w:rFonts w:ascii="仿宋" w:hAnsi="仿宋" w:eastAsia="仿宋" w:cs="仿宋"/>
                <w:szCs w:val="24"/>
              </w:rPr>
            </w:pPr>
            <w:r>
              <w:rPr>
                <w:rStyle w:val="163"/>
                <w:rFonts w:hint="eastAsia" w:ascii="仿宋" w:hAnsi="仿宋" w:eastAsia="仿宋" w:cs="仿宋"/>
                <w:szCs w:val="24"/>
              </w:rPr>
              <w:t>默认值</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27740EC3">
            <w:pPr>
              <w:spacing w:after="120"/>
              <w:ind w:firstLine="0" w:firstLineChars="0"/>
              <w:rPr>
                <w:rFonts w:ascii="仿宋" w:hAnsi="仿宋" w:eastAsia="仿宋" w:cs="仿宋"/>
                <w:szCs w:val="24"/>
              </w:rPr>
            </w:pPr>
            <w:r>
              <w:rPr>
                <w:rStyle w:val="163"/>
                <w:rFonts w:hint="eastAsia" w:ascii="仿宋" w:hAnsi="仿宋" w:eastAsia="仿宋" w:cs="仿宋"/>
                <w:szCs w:val="24"/>
              </w:rPr>
              <w:t>示例</w:t>
            </w:r>
          </w:p>
        </w:tc>
      </w:tr>
      <w:tr w14:paraId="48DA4D6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76FDBBD0">
            <w:pPr>
              <w:spacing w:after="120"/>
              <w:rPr>
                <w:rFonts w:ascii="仿宋" w:hAnsi="仿宋" w:eastAsia="仿宋" w:cs="仿宋"/>
                <w:szCs w:val="24"/>
              </w:rPr>
            </w:pPr>
            <w:r>
              <w:rPr>
                <w:rStyle w:val="163"/>
                <w:rFonts w:hint="eastAsia" w:ascii="仿宋" w:hAnsi="仿宋" w:eastAsia="仿宋" w:cs="仿宋"/>
                <w:szCs w:val="24"/>
              </w:rPr>
              <w:t>id</w:t>
            </w:r>
          </w:p>
        </w:tc>
        <w:tc>
          <w:tcPr>
            <w:tcW w:w="1095" w:type="dxa"/>
            <w:tcBorders>
              <w:top w:val="single" w:color="D9D9D9" w:sz="6" w:space="0"/>
              <w:left w:val="single" w:color="D9D9D9" w:sz="6" w:space="0"/>
              <w:bottom w:val="single" w:color="D9D9D9" w:sz="6" w:space="0"/>
              <w:right w:val="single" w:color="D9D9D9" w:sz="6" w:space="0"/>
            </w:tcBorders>
            <w:vAlign w:val="center"/>
          </w:tcPr>
          <w:p w14:paraId="02FC59AC">
            <w:pPr>
              <w:spacing w:after="120"/>
              <w:ind w:firstLine="0" w:firstLineChars="0"/>
              <w:rPr>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4F182AAD">
            <w:pPr>
              <w:spacing w:after="120"/>
              <w:ind w:firstLine="0" w:firstLineChars="0"/>
              <w:rPr>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71560E4F">
            <w:pPr>
              <w:spacing w:after="120"/>
              <w:rPr>
                <w:rFonts w:ascii="仿宋" w:hAnsi="仿宋" w:eastAsia="仿宋" w:cs="仿宋"/>
                <w:szCs w:val="24"/>
              </w:rPr>
            </w:pPr>
            <w:r>
              <w:rPr>
                <w:rStyle w:val="163"/>
                <w:rFonts w:hint="eastAsia" w:ascii="仿宋" w:hAnsi="仿宋" w:eastAsia="仿宋" w:cs="仿宋"/>
                <w:szCs w:val="24"/>
              </w:rPr>
              <w:t>id</w:t>
            </w:r>
          </w:p>
        </w:tc>
        <w:tc>
          <w:tcPr>
            <w:tcW w:w="846" w:type="dxa"/>
            <w:tcBorders>
              <w:top w:val="single" w:color="D9D9D9" w:sz="6" w:space="0"/>
              <w:left w:val="single" w:color="D9D9D9" w:sz="6" w:space="0"/>
              <w:bottom w:val="single" w:color="D9D9D9" w:sz="6" w:space="0"/>
              <w:right w:val="single" w:color="D9D9D9" w:sz="6" w:space="0"/>
            </w:tcBorders>
            <w:vAlign w:val="center"/>
          </w:tcPr>
          <w:p w14:paraId="22E6B619">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48CE687F">
            <w:pPr>
              <w:spacing w:after="120"/>
              <w:rPr>
                <w:rFonts w:ascii="仿宋" w:hAnsi="仿宋" w:eastAsia="仿宋" w:cs="仿宋"/>
                <w:szCs w:val="24"/>
              </w:rPr>
            </w:pPr>
          </w:p>
        </w:tc>
      </w:tr>
      <w:tr w14:paraId="39CF448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56EF252F">
            <w:pPr>
              <w:spacing w:after="120"/>
              <w:rPr>
                <w:rFonts w:ascii="仿宋" w:hAnsi="仿宋" w:eastAsia="仿宋" w:cs="仿宋"/>
                <w:szCs w:val="24"/>
              </w:rPr>
            </w:pPr>
            <w:r>
              <w:rPr>
                <w:rStyle w:val="163"/>
                <w:rFonts w:hint="eastAsia" w:ascii="仿宋" w:hAnsi="仿宋" w:eastAsia="仿宋" w:cs="仿宋"/>
                <w:szCs w:val="24"/>
              </w:rPr>
              <w:t>sn</w:t>
            </w:r>
          </w:p>
        </w:tc>
        <w:tc>
          <w:tcPr>
            <w:tcW w:w="1095" w:type="dxa"/>
            <w:tcBorders>
              <w:top w:val="single" w:color="D9D9D9" w:sz="6" w:space="0"/>
              <w:left w:val="single" w:color="D9D9D9" w:sz="6" w:space="0"/>
              <w:bottom w:val="single" w:color="D9D9D9" w:sz="6" w:space="0"/>
              <w:right w:val="single" w:color="D9D9D9" w:sz="6" w:space="0"/>
            </w:tcBorders>
            <w:vAlign w:val="center"/>
          </w:tcPr>
          <w:p w14:paraId="2A1D36A7">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vAlign w:val="center"/>
          </w:tcPr>
          <w:p w14:paraId="695E937E">
            <w:pPr>
              <w:spacing w:after="120"/>
              <w:ind w:firstLine="0" w:firstLineChars="0"/>
              <w:rPr>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43A1F420">
            <w:pPr>
              <w:spacing w:after="120"/>
              <w:rPr>
                <w:rFonts w:ascii="仿宋" w:hAnsi="仿宋" w:eastAsia="仿宋" w:cs="仿宋"/>
                <w:szCs w:val="24"/>
              </w:rPr>
            </w:pPr>
            <w:r>
              <w:rPr>
                <w:rStyle w:val="163"/>
                <w:rFonts w:hint="eastAsia" w:ascii="仿宋" w:hAnsi="仿宋" w:eastAsia="仿宋" w:cs="仿宋"/>
                <w:szCs w:val="24"/>
              </w:rPr>
              <w:t>塔机编号</w:t>
            </w:r>
          </w:p>
        </w:tc>
        <w:tc>
          <w:tcPr>
            <w:tcW w:w="846" w:type="dxa"/>
            <w:tcBorders>
              <w:top w:val="single" w:color="D9D9D9" w:sz="6" w:space="0"/>
              <w:left w:val="single" w:color="D9D9D9" w:sz="6" w:space="0"/>
              <w:bottom w:val="single" w:color="D9D9D9" w:sz="6" w:space="0"/>
              <w:right w:val="single" w:color="D9D9D9" w:sz="6" w:space="0"/>
            </w:tcBorders>
            <w:vAlign w:val="center"/>
          </w:tcPr>
          <w:p w14:paraId="189E816B">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15AB6ECF">
            <w:pPr>
              <w:spacing w:after="120"/>
              <w:rPr>
                <w:rFonts w:ascii="仿宋" w:hAnsi="仿宋" w:eastAsia="仿宋" w:cs="仿宋"/>
                <w:szCs w:val="24"/>
              </w:rPr>
            </w:pPr>
          </w:p>
        </w:tc>
      </w:tr>
      <w:tr w14:paraId="43FDA7E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13124098">
            <w:pPr>
              <w:spacing w:after="120"/>
              <w:rPr>
                <w:rFonts w:ascii="仿宋" w:hAnsi="仿宋" w:eastAsia="仿宋" w:cs="仿宋"/>
                <w:szCs w:val="24"/>
              </w:rPr>
            </w:pPr>
            <w:r>
              <w:rPr>
                <w:rStyle w:val="163"/>
                <w:rFonts w:hint="eastAsia" w:ascii="仿宋" w:hAnsi="仿宋" w:eastAsia="仿宋" w:cs="仿宋"/>
                <w:szCs w:val="24"/>
              </w:rPr>
              <w:t>DataTime</w:t>
            </w:r>
          </w:p>
        </w:tc>
        <w:tc>
          <w:tcPr>
            <w:tcW w:w="1095" w:type="dxa"/>
            <w:tcBorders>
              <w:top w:val="single" w:color="D9D9D9" w:sz="6" w:space="0"/>
              <w:left w:val="single" w:color="D9D9D9" w:sz="6" w:space="0"/>
              <w:bottom w:val="single" w:color="D9D9D9" w:sz="6" w:space="0"/>
              <w:right w:val="single" w:color="D9D9D9" w:sz="6" w:space="0"/>
            </w:tcBorders>
            <w:vAlign w:val="center"/>
          </w:tcPr>
          <w:p w14:paraId="0BF789CB">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vAlign w:val="center"/>
          </w:tcPr>
          <w:p w14:paraId="1D1B87F1">
            <w:pPr>
              <w:spacing w:after="120"/>
              <w:ind w:firstLine="0" w:firstLineChars="0"/>
              <w:rPr>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50EA045F">
            <w:pPr>
              <w:spacing w:after="120"/>
              <w:rPr>
                <w:rFonts w:ascii="仿宋" w:hAnsi="仿宋" w:eastAsia="仿宋" w:cs="仿宋"/>
                <w:szCs w:val="24"/>
              </w:rPr>
            </w:pPr>
            <w:r>
              <w:rPr>
                <w:rStyle w:val="163"/>
                <w:rFonts w:hint="eastAsia" w:ascii="仿宋" w:hAnsi="仿宋" w:eastAsia="仿宋" w:cs="仿宋"/>
                <w:szCs w:val="24"/>
              </w:rPr>
              <w:t>运行时间</w:t>
            </w:r>
          </w:p>
        </w:tc>
        <w:tc>
          <w:tcPr>
            <w:tcW w:w="846" w:type="dxa"/>
            <w:tcBorders>
              <w:top w:val="single" w:color="D9D9D9" w:sz="6" w:space="0"/>
              <w:left w:val="single" w:color="D9D9D9" w:sz="6" w:space="0"/>
              <w:bottom w:val="single" w:color="D9D9D9" w:sz="6" w:space="0"/>
              <w:right w:val="single" w:color="D9D9D9" w:sz="6" w:space="0"/>
            </w:tcBorders>
            <w:vAlign w:val="center"/>
          </w:tcPr>
          <w:p w14:paraId="07C442B7">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0E332970">
            <w:pPr>
              <w:spacing w:after="120"/>
              <w:rPr>
                <w:rFonts w:ascii="仿宋" w:hAnsi="仿宋" w:eastAsia="仿宋" w:cs="仿宋"/>
                <w:szCs w:val="24"/>
              </w:rPr>
            </w:pPr>
          </w:p>
        </w:tc>
      </w:tr>
      <w:tr w14:paraId="6DAEB0F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5FF6E33D">
            <w:pPr>
              <w:spacing w:after="120"/>
              <w:rPr>
                <w:rFonts w:ascii="仿宋" w:hAnsi="仿宋" w:eastAsia="仿宋" w:cs="仿宋"/>
                <w:szCs w:val="24"/>
              </w:rPr>
            </w:pPr>
            <w:r>
              <w:rPr>
                <w:rStyle w:val="163"/>
                <w:rFonts w:hint="eastAsia" w:ascii="仿宋" w:hAnsi="仿宋" w:eastAsia="仿宋" w:cs="仿宋"/>
                <w:szCs w:val="24"/>
              </w:rPr>
              <w:t>RTDipAngle</w:t>
            </w:r>
          </w:p>
        </w:tc>
        <w:tc>
          <w:tcPr>
            <w:tcW w:w="1095" w:type="dxa"/>
            <w:tcBorders>
              <w:top w:val="single" w:color="D9D9D9" w:sz="6" w:space="0"/>
              <w:left w:val="single" w:color="D9D9D9" w:sz="6" w:space="0"/>
              <w:bottom w:val="single" w:color="D9D9D9" w:sz="6" w:space="0"/>
              <w:right w:val="single" w:color="D9D9D9" w:sz="6" w:space="0"/>
            </w:tcBorders>
            <w:vAlign w:val="center"/>
          </w:tcPr>
          <w:p w14:paraId="2BC582FC">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vAlign w:val="center"/>
          </w:tcPr>
          <w:p w14:paraId="6417C300">
            <w:pPr>
              <w:spacing w:after="120"/>
              <w:ind w:firstLine="0" w:firstLineChars="0"/>
              <w:rPr>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11364118">
            <w:pPr>
              <w:spacing w:after="120"/>
              <w:rPr>
                <w:rFonts w:ascii="仿宋" w:hAnsi="仿宋" w:eastAsia="仿宋" w:cs="仿宋"/>
                <w:szCs w:val="24"/>
              </w:rPr>
            </w:pPr>
            <w:r>
              <w:rPr>
                <w:rStyle w:val="163"/>
                <w:rFonts w:hint="eastAsia" w:ascii="仿宋" w:hAnsi="仿宋" w:eastAsia="仿宋" w:cs="仿宋"/>
                <w:szCs w:val="24"/>
              </w:rPr>
              <w:t>倾角（度）</w:t>
            </w:r>
          </w:p>
        </w:tc>
        <w:tc>
          <w:tcPr>
            <w:tcW w:w="846" w:type="dxa"/>
            <w:tcBorders>
              <w:top w:val="single" w:color="D9D9D9" w:sz="6" w:space="0"/>
              <w:left w:val="single" w:color="D9D9D9" w:sz="6" w:space="0"/>
              <w:bottom w:val="single" w:color="D9D9D9" w:sz="6" w:space="0"/>
              <w:right w:val="single" w:color="D9D9D9" w:sz="6" w:space="0"/>
            </w:tcBorders>
            <w:vAlign w:val="center"/>
          </w:tcPr>
          <w:p w14:paraId="2462EAE4">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58BEF2FD">
            <w:pPr>
              <w:spacing w:after="120"/>
              <w:rPr>
                <w:rFonts w:ascii="仿宋" w:hAnsi="仿宋" w:eastAsia="仿宋" w:cs="仿宋"/>
                <w:szCs w:val="24"/>
              </w:rPr>
            </w:pPr>
          </w:p>
        </w:tc>
      </w:tr>
      <w:tr w14:paraId="0D1CB86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27904C48">
            <w:pPr>
              <w:spacing w:after="120"/>
              <w:rPr>
                <w:rFonts w:ascii="仿宋" w:hAnsi="仿宋" w:eastAsia="仿宋" w:cs="仿宋"/>
                <w:szCs w:val="24"/>
              </w:rPr>
            </w:pPr>
            <w:r>
              <w:rPr>
                <w:rStyle w:val="163"/>
                <w:rFonts w:hint="eastAsia" w:ascii="仿宋" w:hAnsi="仿宋" w:eastAsia="仿宋" w:cs="仿宋"/>
                <w:szCs w:val="24"/>
              </w:rPr>
              <w:t>RTWindSPD</w:t>
            </w:r>
          </w:p>
        </w:tc>
        <w:tc>
          <w:tcPr>
            <w:tcW w:w="1095" w:type="dxa"/>
            <w:tcBorders>
              <w:top w:val="single" w:color="D9D9D9" w:sz="6" w:space="0"/>
              <w:left w:val="single" w:color="D9D9D9" w:sz="6" w:space="0"/>
              <w:bottom w:val="single" w:color="D9D9D9" w:sz="6" w:space="0"/>
              <w:right w:val="single" w:color="D9D9D9" w:sz="6" w:space="0"/>
            </w:tcBorders>
            <w:vAlign w:val="center"/>
          </w:tcPr>
          <w:p w14:paraId="078B553F">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vAlign w:val="center"/>
          </w:tcPr>
          <w:p w14:paraId="6682C13B">
            <w:pPr>
              <w:spacing w:after="120"/>
              <w:ind w:firstLine="0" w:firstLineChars="0"/>
              <w:rPr>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2471AC99">
            <w:pPr>
              <w:spacing w:after="120"/>
              <w:rPr>
                <w:rFonts w:ascii="仿宋" w:hAnsi="仿宋" w:eastAsia="仿宋" w:cs="仿宋"/>
                <w:szCs w:val="24"/>
              </w:rPr>
            </w:pPr>
            <w:r>
              <w:rPr>
                <w:rStyle w:val="163"/>
                <w:rFonts w:hint="eastAsia" w:ascii="仿宋" w:hAnsi="仿宋" w:eastAsia="仿宋" w:cs="仿宋"/>
                <w:szCs w:val="24"/>
              </w:rPr>
              <w:t>风速（m/s）</w:t>
            </w:r>
          </w:p>
        </w:tc>
        <w:tc>
          <w:tcPr>
            <w:tcW w:w="846" w:type="dxa"/>
            <w:tcBorders>
              <w:top w:val="single" w:color="D9D9D9" w:sz="6" w:space="0"/>
              <w:left w:val="single" w:color="D9D9D9" w:sz="6" w:space="0"/>
              <w:bottom w:val="single" w:color="D9D9D9" w:sz="6" w:space="0"/>
              <w:right w:val="single" w:color="D9D9D9" w:sz="6" w:space="0"/>
            </w:tcBorders>
            <w:vAlign w:val="center"/>
          </w:tcPr>
          <w:p w14:paraId="69DEBB13">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0E6C0E50">
            <w:pPr>
              <w:spacing w:after="120"/>
              <w:rPr>
                <w:rFonts w:ascii="仿宋" w:hAnsi="仿宋" w:eastAsia="仿宋" w:cs="仿宋"/>
                <w:szCs w:val="24"/>
              </w:rPr>
            </w:pPr>
          </w:p>
        </w:tc>
      </w:tr>
      <w:tr w14:paraId="631E97C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1B023882">
            <w:pPr>
              <w:spacing w:after="120"/>
              <w:rPr>
                <w:rFonts w:ascii="仿宋" w:hAnsi="仿宋" w:eastAsia="仿宋" w:cs="仿宋"/>
                <w:szCs w:val="24"/>
              </w:rPr>
            </w:pPr>
            <w:r>
              <w:rPr>
                <w:rStyle w:val="163"/>
                <w:rFonts w:hint="eastAsia" w:ascii="仿宋" w:hAnsi="仿宋" w:eastAsia="仿宋" w:cs="仿宋"/>
                <w:szCs w:val="24"/>
              </w:rPr>
              <w:t>RTRotate</w:t>
            </w:r>
          </w:p>
        </w:tc>
        <w:tc>
          <w:tcPr>
            <w:tcW w:w="1095" w:type="dxa"/>
            <w:tcBorders>
              <w:top w:val="single" w:color="D9D9D9" w:sz="6" w:space="0"/>
              <w:left w:val="single" w:color="D9D9D9" w:sz="6" w:space="0"/>
              <w:bottom w:val="single" w:color="D9D9D9" w:sz="6" w:space="0"/>
              <w:right w:val="single" w:color="D9D9D9" w:sz="6" w:space="0"/>
            </w:tcBorders>
            <w:vAlign w:val="center"/>
          </w:tcPr>
          <w:p w14:paraId="3F154A5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vAlign w:val="center"/>
          </w:tcPr>
          <w:p w14:paraId="40A3FAF4">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70685E57">
            <w:pPr>
              <w:spacing w:after="120"/>
              <w:rPr>
                <w:rFonts w:ascii="仿宋" w:hAnsi="仿宋" w:eastAsia="仿宋" w:cs="仿宋"/>
                <w:szCs w:val="24"/>
              </w:rPr>
            </w:pPr>
            <w:r>
              <w:rPr>
                <w:rStyle w:val="163"/>
                <w:rFonts w:hint="eastAsia" w:ascii="仿宋" w:hAnsi="仿宋" w:eastAsia="仿宋" w:cs="仿宋"/>
                <w:szCs w:val="24"/>
              </w:rPr>
              <w:t>回转(度)</w:t>
            </w:r>
          </w:p>
        </w:tc>
        <w:tc>
          <w:tcPr>
            <w:tcW w:w="846" w:type="dxa"/>
            <w:tcBorders>
              <w:top w:val="single" w:color="D9D9D9" w:sz="6" w:space="0"/>
              <w:left w:val="single" w:color="D9D9D9" w:sz="6" w:space="0"/>
              <w:bottom w:val="single" w:color="D9D9D9" w:sz="6" w:space="0"/>
              <w:right w:val="single" w:color="D9D9D9" w:sz="6" w:space="0"/>
            </w:tcBorders>
            <w:vAlign w:val="center"/>
          </w:tcPr>
          <w:p w14:paraId="21464A04">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16F583CC">
            <w:pPr>
              <w:spacing w:after="120"/>
              <w:rPr>
                <w:rFonts w:ascii="仿宋" w:hAnsi="仿宋" w:eastAsia="仿宋" w:cs="仿宋"/>
                <w:szCs w:val="24"/>
              </w:rPr>
            </w:pPr>
          </w:p>
        </w:tc>
      </w:tr>
      <w:tr w14:paraId="252D805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7384F746">
            <w:pPr>
              <w:spacing w:after="120"/>
              <w:rPr>
                <w:rFonts w:ascii="仿宋" w:hAnsi="仿宋" w:eastAsia="仿宋" w:cs="仿宋"/>
                <w:szCs w:val="24"/>
              </w:rPr>
            </w:pPr>
            <w:r>
              <w:rPr>
                <w:rStyle w:val="163"/>
                <w:rFonts w:hint="eastAsia" w:ascii="仿宋" w:hAnsi="仿宋" w:eastAsia="仿宋" w:cs="仿宋"/>
                <w:szCs w:val="24"/>
              </w:rPr>
              <w:t>RTWeight</w:t>
            </w:r>
          </w:p>
        </w:tc>
        <w:tc>
          <w:tcPr>
            <w:tcW w:w="1095" w:type="dxa"/>
            <w:tcBorders>
              <w:top w:val="single" w:color="D9D9D9" w:sz="6" w:space="0"/>
              <w:left w:val="single" w:color="D9D9D9" w:sz="6" w:space="0"/>
              <w:bottom w:val="single" w:color="D9D9D9" w:sz="6" w:space="0"/>
              <w:right w:val="single" w:color="D9D9D9" w:sz="6" w:space="0"/>
            </w:tcBorders>
            <w:vAlign w:val="center"/>
          </w:tcPr>
          <w:p w14:paraId="47A85770">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vAlign w:val="center"/>
          </w:tcPr>
          <w:p w14:paraId="3F9EE256">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692CB8E5">
            <w:pPr>
              <w:spacing w:after="120"/>
              <w:rPr>
                <w:rFonts w:ascii="仿宋" w:hAnsi="仿宋" w:eastAsia="仿宋" w:cs="仿宋"/>
                <w:szCs w:val="24"/>
              </w:rPr>
            </w:pPr>
            <w:r>
              <w:rPr>
                <w:rStyle w:val="163"/>
                <w:rFonts w:hint="eastAsia" w:ascii="仿宋" w:hAnsi="仿宋" w:eastAsia="仿宋" w:cs="仿宋"/>
                <w:szCs w:val="24"/>
              </w:rPr>
              <w:t>重量(t)</w:t>
            </w:r>
          </w:p>
        </w:tc>
        <w:tc>
          <w:tcPr>
            <w:tcW w:w="846" w:type="dxa"/>
            <w:tcBorders>
              <w:top w:val="single" w:color="D9D9D9" w:sz="6" w:space="0"/>
              <w:left w:val="single" w:color="D9D9D9" w:sz="6" w:space="0"/>
              <w:bottom w:val="single" w:color="D9D9D9" w:sz="6" w:space="0"/>
              <w:right w:val="single" w:color="D9D9D9" w:sz="6" w:space="0"/>
            </w:tcBorders>
            <w:vAlign w:val="center"/>
          </w:tcPr>
          <w:p w14:paraId="5FD463EA">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0D04FC6D">
            <w:pPr>
              <w:spacing w:after="120"/>
              <w:rPr>
                <w:rFonts w:ascii="仿宋" w:hAnsi="仿宋" w:eastAsia="仿宋" w:cs="仿宋"/>
                <w:szCs w:val="24"/>
              </w:rPr>
            </w:pPr>
          </w:p>
        </w:tc>
      </w:tr>
      <w:tr w14:paraId="72620B9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16546200">
            <w:pPr>
              <w:spacing w:after="120"/>
              <w:rPr>
                <w:rFonts w:ascii="仿宋" w:hAnsi="仿宋" w:eastAsia="仿宋" w:cs="仿宋"/>
                <w:szCs w:val="24"/>
              </w:rPr>
            </w:pPr>
            <w:r>
              <w:rPr>
                <w:rStyle w:val="163"/>
                <w:rFonts w:hint="eastAsia" w:ascii="仿宋" w:hAnsi="仿宋" w:eastAsia="仿宋" w:cs="仿宋"/>
                <w:szCs w:val="24"/>
              </w:rPr>
              <w:t>RTHeight</w:t>
            </w:r>
          </w:p>
        </w:tc>
        <w:tc>
          <w:tcPr>
            <w:tcW w:w="1095"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4CF5854E">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6A285466">
            <w:pPr>
              <w:spacing w:after="120"/>
              <w:ind w:firstLine="0" w:firstLineChars="0"/>
              <w:rPr>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shd w:val="clear" w:color="auto" w:fill="auto"/>
            <w:vAlign w:val="center"/>
          </w:tcPr>
          <w:p w14:paraId="31B0A5C9">
            <w:pPr>
              <w:spacing w:after="120"/>
              <w:rPr>
                <w:rFonts w:ascii="仿宋" w:hAnsi="仿宋" w:eastAsia="仿宋" w:cs="仿宋"/>
                <w:szCs w:val="24"/>
              </w:rPr>
            </w:pPr>
            <w:r>
              <w:rPr>
                <w:rStyle w:val="163"/>
                <w:rFonts w:hint="eastAsia" w:ascii="仿宋" w:hAnsi="仿宋" w:eastAsia="仿宋" w:cs="仿宋"/>
                <w:szCs w:val="24"/>
              </w:rPr>
              <w:t>高度(m)</w:t>
            </w:r>
          </w:p>
        </w:tc>
        <w:tc>
          <w:tcPr>
            <w:tcW w:w="846"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7C076C63">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37811350">
            <w:pPr>
              <w:spacing w:after="120"/>
              <w:rPr>
                <w:rFonts w:ascii="仿宋" w:hAnsi="仿宋" w:eastAsia="仿宋" w:cs="仿宋"/>
                <w:szCs w:val="24"/>
              </w:rPr>
            </w:pPr>
          </w:p>
        </w:tc>
      </w:tr>
      <w:tr w14:paraId="210D964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284D6012">
            <w:pPr>
              <w:spacing w:after="120"/>
              <w:rPr>
                <w:rFonts w:ascii="仿宋" w:hAnsi="仿宋" w:eastAsia="仿宋" w:cs="仿宋"/>
                <w:szCs w:val="24"/>
              </w:rPr>
            </w:pPr>
            <w:r>
              <w:rPr>
                <w:rStyle w:val="163"/>
                <w:rFonts w:hint="eastAsia" w:ascii="仿宋" w:hAnsi="仿宋" w:eastAsia="仿宋" w:cs="仿宋"/>
                <w:szCs w:val="24"/>
              </w:rPr>
              <w:t>RTLength</w:t>
            </w:r>
          </w:p>
        </w:tc>
        <w:tc>
          <w:tcPr>
            <w:tcW w:w="1095" w:type="dxa"/>
            <w:tcBorders>
              <w:top w:val="single" w:color="D9D9D9" w:sz="6" w:space="0"/>
              <w:left w:val="single" w:color="D9D9D9" w:sz="6" w:space="0"/>
              <w:bottom w:val="single" w:color="D9D9D9" w:sz="6" w:space="0"/>
              <w:right w:val="single" w:color="D9D9D9" w:sz="6" w:space="0"/>
            </w:tcBorders>
            <w:vAlign w:val="center"/>
          </w:tcPr>
          <w:p w14:paraId="17FBCB43">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vAlign w:val="center"/>
          </w:tcPr>
          <w:p w14:paraId="6BC53A7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3E3EAC1A">
            <w:pPr>
              <w:spacing w:after="120"/>
              <w:rPr>
                <w:rFonts w:ascii="仿宋" w:hAnsi="仿宋" w:eastAsia="仿宋" w:cs="仿宋"/>
                <w:szCs w:val="24"/>
              </w:rPr>
            </w:pPr>
            <w:r>
              <w:rPr>
                <w:rStyle w:val="163"/>
                <w:rFonts w:hint="eastAsia" w:ascii="仿宋" w:hAnsi="仿宋" w:eastAsia="仿宋" w:cs="仿宋"/>
                <w:szCs w:val="24"/>
              </w:rPr>
              <w:t>幅度(m)</w:t>
            </w:r>
          </w:p>
        </w:tc>
        <w:tc>
          <w:tcPr>
            <w:tcW w:w="846" w:type="dxa"/>
            <w:tcBorders>
              <w:top w:val="single" w:color="D9D9D9" w:sz="6" w:space="0"/>
              <w:left w:val="single" w:color="D9D9D9" w:sz="6" w:space="0"/>
              <w:bottom w:val="single" w:color="D9D9D9" w:sz="6" w:space="0"/>
              <w:right w:val="single" w:color="D9D9D9" w:sz="6" w:space="0"/>
            </w:tcBorders>
            <w:vAlign w:val="center"/>
          </w:tcPr>
          <w:p w14:paraId="38EDFAA4">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7F45D2CF">
            <w:pPr>
              <w:spacing w:after="120"/>
              <w:rPr>
                <w:rFonts w:ascii="仿宋" w:hAnsi="仿宋" w:eastAsia="仿宋" w:cs="仿宋"/>
                <w:szCs w:val="24"/>
              </w:rPr>
            </w:pPr>
          </w:p>
        </w:tc>
      </w:tr>
      <w:tr w14:paraId="7C090EE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65E00D9B">
            <w:pPr>
              <w:spacing w:after="120"/>
              <w:rPr>
                <w:rFonts w:ascii="仿宋" w:hAnsi="仿宋" w:eastAsia="仿宋" w:cs="仿宋"/>
                <w:szCs w:val="24"/>
              </w:rPr>
            </w:pPr>
            <w:r>
              <w:rPr>
                <w:rStyle w:val="163"/>
                <w:rFonts w:hint="eastAsia" w:ascii="仿宋" w:hAnsi="仿宋" w:eastAsia="仿宋" w:cs="仿宋"/>
                <w:szCs w:val="24"/>
              </w:rPr>
              <w:t>IsAlarm</w:t>
            </w:r>
          </w:p>
        </w:tc>
        <w:tc>
          <w:tcPr>
            <w:tcW w:w="1095" w:type="dxa"/>
            <w:tcBorders>
              <w:top w:val="single" w:color="D9D9D9" w:sz="6" w:space="0"/>
              <w:left w:val="single" w:color="D9D9D9" w:sz="6" w:space="0"/>
              <w:bottom w:val="single" w:color="D9D9D9" w:sz="6" w:space="0"/>
              <w:right w:val="single" w:color="D9D9D9" w:sz="6" w:space="0"/>
            </w:tcBorders>
            <w:vAlign w:val="center"/>
          </w:tcPr>
          <w:p w14:paraId="0285578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vAlign w:val="center"/>
          </w:tcPr>
          <w:p w14:paraId="4C1F6A5C">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10174938">
            <w:pPr>
              <w:spacing w:after="120"/>
              <w:ind w:firstLine="0" w:firstLineChars="0"/>
              <w:rPr>
                <w:rFonts w:ascii="仿宋" w:hAnsi="仿宋" w:eastAsia="仿宋" w:cs="仿宋"/>
                <w:szCs w:val="24"/>
              </w:rPr>
            </w:pPr>
            <w:r>
              <w:rPr>
                <w:rStyle w:val="163"/>
                <w:rFonts w:hint="eastAsia" w:ascii="仿宋" w:hAnsi="仿宋" w:eastAsia="仿宋" w:cs="仿宋"/>
                <w:szCs w:val="24"/>
              </w:rPr>
              <w:t>报警状态（0正常1预警2报警）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700A2FE5">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2DF69795">
            <w:pPr>
              <w:spacing w:after="120"/>
              <w:rPr>
                <w:rFonts w:ascii="仿宋" w:hAnsi="仿宋" w:eastAsia="仿宋" w:cs="仿宋"/>
                <w:szCs w:val="24"/>
              </w:rPr>
            </w:pPr>
          </w:p>
        </w:tc>
      </w:tr>
      <w:tr w14:paraId="4A934E9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3E1A366C">
            <w:pPr>
              <w:spacing w:after="120"/>
              <w:rPr>
                <w:rFonts w:ascii="仿宋" w:hAnsi="仿宋" w:eastAsia="仿宋" w:cs="仿宋"/>
                <w:szCs w:val="24"/>
              </w:rPr>
            </w:pPr>
            <w:r>
              <w:rPr>
                <w:rStyle w:val="163"/>
                <w:rFonts w:hint="eastAsia" w:ascii="仿宋" w:hAnsi="仿宋" w:eastAsia="仿宋" w:cs="仿宋"/>
                <w:szCs w:val="24"/>
              </w:rPr>
              <w:t>DriverNumber</w:t>
            </w:r>
          </w:p>
        </w:tc>
        <w:tc>
          <w:tcPr>
            <w:tcW w:w="1095" w:type="dxa"/>
            <w:tcBorders>
              <w:top w:val="single" w:color="D9D9D9" w:sz="6" w:space="0"/>
              <w:left w:val="single" w:color="D9D9D9" w:sz="6" w:space="0"/>
              <w:bottom w:val="single" w:color="D9D9D9" w:sz="6" w:space="0"/>
              <w:right w:val="single" w:color="D9D9D9" w:sz="6" w:space="0"/>
            </w:tcBorders>
            <w:vAlign w:val="center"/>
          </w:tcPr>
          <w:p w14:paraId="04589737">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945" w:type="dxa"/>
            <w:tcBorders>
              <w:top w:val="single" w:color="D9D9D9" w:sz="6" w:space="0"/>
              <w:left w:val="single" w:color="D9D9D9" w:sz="6" w:space="0"/>
              <w:bottom w:val="single" w:color="D9D9D9" w:sz="6" w:space="0"/>
              <w:right w:val="single" w:color="D9D9D9" w:sz="6" w:space="0"/>
            </w:tcBorders>
            <w:vAlign w:val="center"/>
          </w:tcPr>
          <w:p w14:paraId="6B11F427">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12FBF586">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司机序列号</w:t>
            </w:r>
          </w:p>
        </w:tc>
        <w:tc>
          <w:tcPr>
            <w:tcW w:w="846" w:type="dxa"/>
            <w:tcBorders>
              <w:top w:val="single" w:color="D9D9D9" w:sz="6" w:space="0"/>
              <w:left w:val="single" w:color="D9D9D9" w:sz="6" w:space="0"/>
              <w:bottom w:val="single" w:color="D9D9D9" w:sz="6" w:space="0"/>
              <w:right w:val="single" w:color="D9D9D9" w:sz="6" w:space="0"/>
            </w:tcBorders>
            <w:vAlign w:val="center"/>
          </w:tcPr>
          <w:p w14:paraId="6008B8A0">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788C33F7">
            <w:pPr>
              <w:spacing w:after="120"/>
              <w:rPr>
                <w:rFonts w:ascii="仿宋" w:hAnsi="仿宋" w:eastAsia="仿宋" w:cs="仿宋"/>
                <w:szCs w:val="24"/>
              </w:rPr>
            </w:pPr>
          </w:p>
        </w:tc>
      </w:tr>
      <w:tr w14:paraId="7240C52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59D8AFA7">
            <w:pPr>
              <w:spacing w:after="120"/>
              <w:rPr>
                <w:rFonts w:ascii="仿宋" w:hAnsi="仿宋" w:eastAsia="仿宋" w:cs="仿宋"/>
                <w:szCs w:val="24"/>
              </w:rPr>
            </w:pPr>
            <w:r>
              <w:rPr>
                <w:rStyle w:val="163"/>
                <w:rFonts w:hint="eastAsia" w:ascii="仿宋" w:hAnsi="仿宋" w:eastAsia="仿宋" w:cs="仿宋"/>
                <w:szCs w:val="24"/>
              </w:rPr>
              <w:t>AL_ForbiddenZone</w:t>
            </w:r>
          </w:p>
        </w:tc>
        <w:tc>
          <w:tcPr>
            <w:tcW w:w="1095" w:type="dxa"/>
            <w:tcBorders>
              <w:top w:val="single" w:color="D9D9D9" w:sz="6" w:space="0"/>
              <w:left w:val="single" w:color="D9D9D9" w:sz="6" w:space="0"/>
              <w:bottom w:val="single" w:color="D9D9D9" w:sz="6" w:space="0"/>
              <w:right w:val="single" w:color="D9D9D9" w:sz="6" w:space="0"/>
            </w:tcBorders>
            <w:vAlign w:val="center"/>
          </w:tcPr>
          <w:p w14:paraId="79A8D3FE">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2F9460EE">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0E67905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禁行区报警（0正常，1预警，2正常）</w:t>
            </w:r>
          </w:p>
        </w:tc>
        <w:tc>
          <w:tcPr>
            <w:tcW w:w="846" w:type="dxa"/>
            <w:tcBorders>
              <w:top w:val="single" w:color="D9D9D9" w:sz="6" w:space="0"/>
              <w:left w:val="single" w:color="D9D9D9" w:sz="6" w:space="0"/>
              <w:bottom w:val="single" w:color="D9D9D9" w:sz="6" w:space="0"/>
              <w:right w:val="single" w:color="D9D9D9" w:sz="6" w:space="0"/>
            </w:tcBorders>
            <w:vAlign w:val="center"/>
          </w:tcPr>
          <w:p w14:paraId="4879E9AA">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562F77CB">
            <w:pPr>
              <w:spacing w:after="120"/>
              <w:rPr>
                <w:rFonts w:ascii="仿宋" w:hAnsi="仿宋" w:eastAsia="仿宋" w:cs="仿宋"/>
                <w:szCs w:val="24"/>
              </w:rPr>
            </w:pPr>
          </w:p>
        </w:tc>
      </w:tr>
      <w:tr w14:paraId="1F9025E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248532E1">
            <w:pPr>
              <w:spacing w:after="120"/>
              <w:rPr>
                <w:rFonts w:ascii="仿宋" w:hAnsi="仿宋" w:eastAsia="仿宋" w:cs="仿宋"/>
                <w:szCs w:val="24"/>
              </w:rPr>
            </w:pPr>
            <w:r>
              <w:rPr>
                <w:rStyle w:val="163"/>
                <w:rFonts w:hint="eastAsia" w:ascii="仿宋" w:hAnsi="仿宋" w:eastAsia="仿宋" w:cs="仿宋"/>
                <w:szCs w:val="24"/>
              </w:rPr>
              <w:t>AL_ObstacleCollision</w:t>
            </w:r>
          </w:p>
        </w:tc>
        <w:tc>
          <w:tcPr>
            <w:tcW w:w="1095" w:type="dxa"/>
            <w:tcBorders>
              <w:top w:val="single" w:color="D9D9D9" w:sz="6" w:space="0"/>
              <w:left w:val="single" w:color="D9D9D9" w:sz="6" w:space="0"/>
              <w:bottom w:val="single" w:color="D9D9D9" w:sz="6" w:space="0"/>
              <w:right w:val="single" w:color="D9D9D9" w:sz="6" w:space="0"/>
            </w:tcBorders>
            <w:vAlign w:val="center"/>
          </w:tcPr>
          <w:p w14:paraId="76B2913C">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650887CD">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005BE2B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障碍物碰撞报警（0正常，1预警，2报警）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73ADC1EA">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64389460">
            <w:pPr>
              <w:spacing w:after="120"/>
              <w:rPr>
                <w:rFonts w:ascii="仿宋" w:hAnsi="仿宋" w:eastAsia="仿宋" w:cs="仿宋"/>
                <w:szCs w:val="24"/>
              </w:rPr>
            </w:pPr>
          </w:p>
        </w:tc>
      </w:tr>
      <w:tr w14:paraId="22573C2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110F2258">
            <w:pPr>
              <w:spacing w:after="120"/>
              <w:rPr>
                <w:rFonts w:ascii="仿宋" w:hAnsi="仿宋" w:eastAsia="仿宋" w:cs="仿宋"/>
                <w:szCs w:val="24"/>
              </w:rPr>
            </w:pPr>
            <w:r>
              <w:rPr>
                <w:rStyle w:val="163"/>
                <w:rFonts w:hint="eastAsia" w:ascii="仿宋" w:hAnsi="仿宋" w:eastAsia="仿宋" w:cs="仿宋"/>
                <w:szCs w:val="24"/>
              </w:rPr>
              <w:t>AL_TowerCollision</w:t>
            </w:r>
          </w:p>
        </w:tc>
        <w:tc>
          <w:tcPr>
            <w:tcW w:w="1095" w:type="dxa"/>
            <w:tcBorders>
              <w:top w:val="single" w:color="D9D9D9" w:sz="6" w:space="0"/>
              <w:left w:val="single" w:color="D9D9D9" w:sz="6" w:space="0"/>
              <w:bottom w:val="single" w:color="D9D9D9" w:sz="6" w:space="0"/>
              <w:right w:val="single" w:color="D9D9D9" w:sz="6" w:space="0"/>
            </w:tcBorders>
            <w:vAlign w:val="center"/>
          </w:tcPr>
          <w:p w14:paraId="1FC01CF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2DCB04F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0F1B4A86">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塔吊间碰撞（0正常，1预警，2报警）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78890762">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797A7C11">
            <w:pPr>
              <w:spacing w:after="120"/>
              <w:rPr>
                <w:rFonts w:ascii="仿宋" w:hAnsi="仿宋" w:eastAsia="仿宋" w:cs="仿宋"/>
                <w:szCs w:val="24"/>
              </w:rPr>
            </w:pPr>
          </w:p>
        </w:tc>
      </w:tr>
      <w:tr w14:paraId="46DD190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0BB9FD7D">
            <w:pPr>
              <w:spacing w:after="120"/>
              <w:rPr>
                <w:rFonts w:ascii="仿宋" w:hAnsi="仿宋" w:eastAsia="仿宋" w:cs="仿宋"/>
                <w:szCs w:val="24"/>
              </w:rPr>
            </w:pPr>
            <w:r>
              <w:rPr>
                <w:rStyle w:val="163"/>
                <w:rFonts w:hint="eastAsia" w:ascii="仿宋" w:hAnsi="仿宋" w:eastAsia="仿宋" w:cs="仿宋"/>
                <w:szCs w:val="24"/>
              </w:rPr>
              <w:t>AL_Incline</w:t>
            </w:r>
          </w:p>
        </w:tc>
        <w:tc>
          <w:tcPr>
            <w:tcW w:w="1095" w:type="dxa"/>
            <w:tcBorders>
              <w:top w:val="single" w:color="D9D9D9" w:sz="6" w:space="0"/>
              <w:left w:val="single" w:color="D9D9D9" w:sz="6" w:space="0"/>
              <w:bottom w:val="single" w:color="D9D9D9" w:sz="6" w:space="0"/>
              <w:right w:val="single" w:color="D9D9D9" w:sz="6" w:space="0"/>
            </w:tcBorders>
            <w:vAlign w:val="center"/>
          </w:tcPr>
          <w:p w14:paraId="44F99D4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37AE4E10">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08403817">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倾斜报警（0正常，1预警，2报警）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636D78DB">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62F4300C">
            <w:pPr>
              <w:spacing w:after="120"/>
              <w:rPr>
                <w:rFonts w:ascii="仿宋" w:hAnsi="仿宋" w:eastAsia="仿宋" w:cs="仿宋"/>
                <w:szCs w:val="24"/>
              </w:rPr>
            </w:pPr>
          </w:p>
        </w:tc>
      </w:tr>
      <w:tr w14:paraId="35C84AF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717D3A84">
            <w:pPr>
              <w:spacing w:after="120"/>
              <w:rPr>
                <w:rFonts w:ascii="仿宋" w:hAnsi="仿宋" w:eastAsia="仿宋" w:cs="仿宋"/>
                <w:szCs w:val="24"/>
              </w:rPr>
            </w:pPr>
            <w:r>
              <w:rPr>
                <w:rStyle w:val="163"/>
                <w:rFonts w:hint="eastAsia" w:ascii="仿宋" w:hAnsi="仿宋" w:eastAsia="仿宋" w:cs="仿宋"/>
                <w:szCs w:val="24"/>
              </w:rPr>
              <w:t>AL_Windspeed</w:t>
            </w:r>
          </w:p>
        </w:tc>
        <w:tc>
          <w:tcPr>
            <w:tcW w:w="1095" w:type="dxa"/>
            <w:tcBorders>
              <w:top w:val="single" w:color="D9D9D9" w:sz="6" w:space="0"/>
              <w:left w:val="single" w:color="D9D9D9" w:sz="6" w:space="0"/>
              <w:bottom w:val="single" w:color="D9D9D9" w:sz="6" w:space="0"/>
              <w:right w:val="single" w:color="D9D9D9" w:sz="6" w:space="0"/>
            </w:tcBorders>
            <w:vAlign w:val="center"/>
          </w:tcPr>
          <w:p w14:paraId="7F47C473">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51D07CDA">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57E6F434">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风速报警（0正常，1预警，2报警）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01A34B13">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785571DE">
            <w:pPr>
              <w:spacing w:after="120"/>
              <w:rPr>
                <w:rFonts w:ascii="仿宋" w:hAnsi="仿宋" w:eastAsia="仿宋" w:cs="仿宋"/>
                <w:szCs w:val="24"/>
              </w:rPr>
            </w:pPr>
          </w:p>
        </w:tc>
      </w:tr>
      <w:tr w14:paraId="3740973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6A980FB9">
            <w:pPr>
              <w:spacing w:after="120"/>
              <w:rPr>
                <w:rFonts w:ascii="仿宋" w:hAnsi="仿宋" w:eastAsia="仿宋" w:cs="仿宋"/>
                <w:szCs w:val="24"/>
              </w:rPr>
            </w:pPr>
            <w:r>
              <w:rPr>
                <w:rStyle w:val="163"/>
                <w:rFonts w:hint="eastAsia" w:ascii="仿宋" w:hAnsi="仿宋" w:eastAsia="仿宋" w:cs="仿宋"/>
                <w:szCs w:val="24"/>
              </w:rPr>
              <w:t>AL_Load</w:t>
            </w:r>
          </w:p>
        </w:tc>
        <w:tc>
          <w:tcPr>
            <w:tcW w:w="1095" w:type="dxa"/>
            <w:tcBorders>
              <w:top w:val="single" w:color="D9D9D9" w:sz="6" w:space="0"/>
              <w:left w:val="single" w:color="D9D9D9" w:sz="6" w:space="0"/>
              <w:bottom w:val="single" w:color="D9D9D9" w:sz="6" w:space="0"/>
              <w:right w:val="single" w:color="D9D9D9" w:sz="6" w:space="0"/>
            </w:tcBorders>
            <w:vAlign w:val="center"/>
          </w:tcPr>
          <w:p w14:paraId="61A7FD31">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7A24ED5C">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1EC3207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超重报警（0正常，1预警，2报警）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3626B898">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7331CF72">
            <w:pPr>
              <w:spacing w:after="120"/>
              <w:rPr>
                <w:rFonts w:ascii="仿宋" w:hAnsi="仿宋" w:eastAsia="仿宋" w:cs="仿宋"/>
                <w:szCs w:val="24"/>
              </w:rPr>
            </w:pPr>
          </w:p>
        </w:tc>
      </w:tr>
      <w:tr w14:paraId="6E03B09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2B3C68FD">
            <w:pPr>
              <w:spacing w:after="120"/>
              <w:rPr>
                <w:rFonts w:ascii="仿宋" w:hAnsi="仿宋" w:eastAsia="仿宋" w:cs="仿宋"/>
                <w:szCs w:val="24"/>
              </w:rPr>
            </w:pPr>
            <w:r>
              <w:rPr>
                <w:rStyle w:val="163"/>
                <w:rFonts w:hint="eastAsia" w:ascii="仿宋" w:hAnsi="仿宋" w:eastAsia="仿宋" w:cs="仿宋"/>
                <w:szCs w:val="24"/>
              </w:rPr>
              <w:t>AL_HardwareFault</w:t>
            </w:r>
          </w:p>
        </w:tc>
        <w:tc>
          <w:tcPr>
            <w:tcW w:w="1095" w:type="dxa"/>
            <w:tcBorders>
              <w:top w:val="single" w:color="D9D9D9" w:sz="6" w:space="0"/>
              <w:left w:val="single" w:color="D9D9D9" w:sz="6" w:space="0"/>
              <w:bottom w:val="single" w:color="D9D9D9" w:sz="6" w:space="0"/>
              <w:right w:val="single" w:color="D9D9D9" w:sz="6" w:space="0"/>
            </w:tcBorders>
            <w:vAlign w:val="center"/>
          </w:tcPr>
          <w:p w14:paraId="3C958EBA">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343024B4">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115EF58E">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传感器故障（0正常，1预警，2报警）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5924FA8B">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0620D241">
            <w:pPr>
              <w:spacing w:after="120"/>
              <w:rPr>
                <w:rFonts w:ascii="仿宋" w:hAnsi="仿宋" w:eastAsia="仿宋" w:cs="仿宋"/>
                <w:szCs w:val="24"/>
              </w:rPr>
            </w:pPr>
          </w:p>
        </w:tc>
      </w:tr>
      <w:tr w14:paraId="6AFBFEE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121DDAD3">
            <w:pPr>
              <w:spacing w:after="120"/>
              <w:rPr>
                <w:rFonts w:ascii="仿宋" w:hAnsi="仿宋" w:eastAsia="仿宋" w:cs="仿宋"/>
                <w:szCs w:val="24"/>
              </w:rPr>
            </w:pPr>
            <w:r>
              <w:rPr>
                <w:rStyle w:val="163"/>
                <w:rFonts w:hint="eastAsia" w:ascii="仿宋" w:hAnsi="仿宋" w:eastAsia="仿宋" w:cs="仿宋"/>
                <w:szCs w:val="24"/>
              </w:rPr>
              <w:t>AL_Limit</w:t>
            </w:r>
          </w:p>
        </w:tc>
        <w:tc>
          <w:tcPr>
            <w:tcW w:w="1095" w:type="dxa"/>
            <w:tcBorders>
              <w:top w:val="single" w:color="D9D9D9" w:sz="6" w:space="0"/>
              <w:left w:val="single" w:color="D9D9D9" w:sz="6" w:space="0"/>
              <w:bottom w:val="single" w:color="D9D9D9" w:sz="6" w:space="0"/>
              <w:right w:val="single" w:color="D9D9D9" w:sz="6" w:space="0"/>
            </w:tcBorders>
            <w:vAlign w:val="center"/>
          </w:tcPr>
          <w:p w14:paraId="6F79AC9E">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7C18F30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0BA1885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限位报警（0正常，1预警，2报警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7D3AC087">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76D2688A">
            <w:pPr>
              <w:spacing w:after="120"/>
              <w:rPr>
                <w:rFonts w:ascii="仿宋" w:hAnsi="仿宋" w:eastAsia="仿宋" w:cs="仿宋"/>
                <w:szCs w:val="24"/>
              </w:rPr>
            </w:pPr>
          </w:p>
        </w:tc>
      </w:tr>
      <w:tr w14:paraId="68F03AA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2C99613E">
            <w:pPr>
              <w:spacing w:after="120"/>
              <w:rPr>
                <w:rFonts w:ascii="仿宋" w:hAnsi="仿宋" w:eastAsia="仿宋" w:cs="仿宋"/>
                <w:szCs w:val="24"/>
              </w:rPr>
            </w:pPr>
            <w:r>
              <w:rPr>
                <w:rStyle w:val="163"/>
                <w:rFonts w:hint="eastAsia" w:ascii="仿宋" w:hAnsi="仿宋" w:eastAsia="仿宋" w:cs="仿宋"/>
                <w:szCs w:val="24"/>
              </w:rPr>
              <w:t>AL_FrontLimit</w:t>
            </w:r>
          </w:p>
        </w:tc>
        <w:tc>
          <w:tcPr>
            <w:tcW w:w="1095" w:type="dxa"/>
            <w:tcBorders>
              <w:top w:val="single" w:color="D9D9D9" w:sz="6" w:space="0"/>
              <w:left w:val="single" w:color="D9D9D9" w:sz="6" w:space="0"/>
              <w:bottom w:val="single" w:color="D9D9D9" w:sz="6" w:space="0"/>
              <w:right w:val="single" w:color="D9D9D9" w:sz="6" w:space="0"/>
            </w:tcBorders>
            <w:vAlign w:val="center"/>
          </w:tcPr>
          <w:p w14:paraId="0BEFCC1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7BCA581C">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683AD21D">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前限位（0正常，1预警2报警）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759477A5">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7D234400">
            <w:pPr>
              <w:spacing w:after="120"/>
              <w:rPr>
                <w:rFonts w:ascii="仿宋" w:hAnsi="仿宋" w:eastAsia="仿宋" w:cs="仿宋"/>
                <w:szCs w:val="24"/>
              </w:rPr>
            </w:pPr>
          </w:p>
        </w:tc>
      </w:tr>
      <w:tr w14:paraId="69DB0ED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45742AB2">
            <w:pPr>
              <w:spacing w:after="120"/>
              <w:rPr>
                <w:rFonts w:ascii="仿宋" w:hAnsi="仿宋" w:eastAsia="仿宋" w:cs="仿宋"/>
                <w:szCs w:val="24"/>
              </w:rPr>
            </w:pPr>
            <w:r>
              <w:rPr>
                <w:rStyle w:val="163"/>
                <w:rFonts w:hint="eastAsia" w:ascii="仿宋" w:hAnsi="仿宋" w:eastAsia="仿宋" w:cs="仿宋"/>
                <w:szCs w:val="24"/>
              </w:rPr>
              <w:t>AL_BackLimit</w:t>
            </w:r>
          </w:p>
        </w:tc>
        <w:tc>
          <w:tcPr>
            <w:tcW w:w="1095" w:type="dxa"/>
            <w:tcBorders>
              <w:top w:val="single" w:color="D9D9D9" w:sz="6" w:space="0"/>
              <w:left w:val="single" w:color="D9D9D9" w:sz="6" w:space="0"/>
              <w:bottom w:val="single" w:color="D9D9D9" w:sz="6" w:space="0"/>
              <w:right w:val="single" w:color="D9D9D9" w:sz="6" w:space="0"/>
            </w:tcBorders>
            <w:vAlign w:val="center"/>
          </w:tcPr>
          <w:p w14:paraId="44426662">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057AC7B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79F74713">
            <w:pPr>
              <w:spacing w:after="120"/>
              <w:ind w:firstLine="0" w:firstLineChars="0"/>
              <w:rPr>
                <w:rFonts w:ascii="仿宋" w:hAnsi="仿宋" w:eastAsia="仿宋" w:cs="仿宋"/>
                <w:szCs w:val="24"/>
              </w:rPr>
            </w:pPr>
            <w:r>
              <w:rPr>
                <w:rStyle w:val="163"/>
                <w:rFonts w:hint="eastAsia" w:ascii="仿宋" w:hAnsi="仿宋" w:eastAsia="仿宋" w:cs="仿宋"/>
                <w:szCs w:val="24"/>
              </w:rPr>
              <w:t>后限位（0正常，1预警2报警）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272E6F38">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1739CE08">
            <w:pPr>
              <w:spacing w:after="120"/>
              <w:rPr>
                <w:rFonts w:ascii="仿宋" w:hAnsi="仿宋" w:eastAsia="仿宋" w:cs="仿宋"/>
                <w:szCs w:val="24"/>
              </w:rPr>
            </w:pPr>
          </w:p>
        </w:tc>
      </w:tr>
      <w:tr w14:paraId="5B154A0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0C3D86E2">
            <w:pPr>
              <w:spacing w:after="120"/>
              <w:rPr>
                <w:rFonts w:ascii="仿宋" w:hAnsi="仿宋" w:eastAsia="仿宋" w:cs="仿宋"/>
                <w:szCs w:val="24"/>
              </w:rPr>
            </w:pPr>
            <w:r>
              <w:rPr>
                <w:rStyle w:val="163"/>
                <w:rFonts w:hint="eastAsia" w:ascii="仿宋" w:hAnsi="仿宋" w:eastAsia="仿宋" w:cs="仿宋"/>
                <w:szCs w:val="24"/>
              </w:rPr>
              <w:t>AL_LeftLimit</w:t>
            </w:r>
          </w:p>
        </w:tc>
        <w:tc>
          <w:tcPr>
            <w:tcW w:w="1095" w:type="dxa"/>
            <w:tcBorders>
              <w:top w:val="single" w:color="D9D9D9" w:sz="6" w:space="0"/>
              <w:left w:val="single" w:color="D9D9D9" w:sz="6" w:space="0"/>
              <w:bottom w:val="single" w:color="D9D9D9" w:sz="6" w:space="0"/>
              <w:right w:val="single" w:color="D9D9D9" w:sz="6" w:space="0"/>
            </w:tcBorders>
            <w:vAlign w:val="center"/>
          </w:tcPr>
          <w:p w14:paraId="6A1A38CA">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51400497">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67A1D4DE">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左限位（0正常，1预警2报警）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756A46B1">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6A0BFA01">
            <w:pPr>
              <w:spacing w:after="120"/>
              <w:rPr>
                <w:rFonts w:ascii="仿宋" w:hAnsi="仿宋" w:eastAsia="仿宋" w:cs="仿宋"/>
                <w:szCs w:val="24"/>
              </w:rPr>
            </w:pPr>
          </w:p>
        </w:tc>
      </w:tr>
      <w:tr w14:paraId="3F19C81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477B1957">
            <w:pPr>
              <w:spacing w:after="120"/>
              <w:rPr>
                <w:rFonts w:ascii="仿宋" w:hAnsi="仿宋" w:eastAsia="仿宋" w:cs="仿宋"/>
                <w:szCs w:val="24"/>
              </w:rPr>
            </w:pPr>
            <w:r>
              <w:rPr>
                <w:rStyle w:val="163"/>
                <w:rFonts w:hint="eastAsia" w:ascii="仿宋" w:hAnsi="仿宋" w:eastAsia="仿宋" w:cs="仿宋"/>
                <w:szCs w:val="24"/>
              </w:rPr>
              <w:t>AL_RightLimit</w:t>
            </w:r>
          </w:p>
        </w:tc>
        <w:tc>
          <w:tcPr>
            <w:tcW w:w="1095" w:type="dxa"/>
            <w:tcBorders>
              <w:top w:val="single" w:color="D9D9D9" w:sz="6" w:space="0"/>
              <w:left w:val="single" w:color="D9D9D9" w:sz="6" w:space="0"/>
              <w:bottom w:val="single" w:color="D9D9D9" w:sz="6" w:space="0"/>
              <w:right w:val="single" w:color="D9D9D9" w:sz="6" w:space="0"/>
            </w:tcBorders>
            <w:vAlign w:val="center"/>
          </w:tcPr>
          <w:p w14:paraId="578B1B1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1A1FCEE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7B1AF66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右限位（0正常，1预警2报警）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18C6B17B">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481E75B8">
            <w:pPr>
              <w:spacing w:after="120"/>
              <w:rPr>
                <w:rFonts w:ascii="仿宋" w:hAnsi="仿宋" w:eastAsia="仿宋" w:cs="仿宋"/>
                <w:szCs w:val="24"/>
              </w:rPr>
            </w:pPr>
          </w:p>
        </w:tc>
      </w:tr>
      <w:tr w14:paraId="1E689C1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522964E6">
            <w:pPr>
              <w:spacing w:after="120"/>
              <w:rPr>
                <w:rFonts w:ascii="仿宋" w:hAnsi="仿宋" w:eastAsia="仿宋" w:cs="仿宋"/>
                <w:szCs w:val="24"/>
              </w:rPr>
            </w:pPr>
            <w:r>
              <w:rPr>
                <w:rStyle w:val="163"/>
                <w:rFonts w:hint="eastAsia" w:ascii="仿宋" w:hAnsi="仿宋" w:eastAsia="仿宋" w:cs="仿宋"/>
                <w:szCs w:val="24"/>
              </w:rPr>
              <w:t>AL_TopLimit</w:t>
            </w:r>
          </w:p>
        </w:tc>
        <w:tc>
          <w:tcPr>
            <w:tcW w:w="1095" w:type="dxa"/>
            <w:tcBorders>
              <w:top w:val="single" w:color="D9D9D9" w:sz="6" w:space="0"/>
              <w:left w:val="single" w:color="D9D9D9" w:sz="6" w:space="0"/>
              <w:bottom w:val="single" w:color="D9D9D9" w:sz="6" w:space="0"/>
              <w:right w:val="single" w:color="D9D9D9" w:sz="6" w:space="0"/>
            </w:tcBorders>
            <w:vAlign w:val="center"/>
          </w:tcPr>
          <w:p w14:paraId="480934DD">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2B10698E">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477BA15E">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上限位（0正常，1预警2报警）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56C9B930">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2D4C9F5C">
            <w:pPr>
              <w:spacing w:after="120"/>
              <w:rPr>
                <w:rFonts w:ascii="仿宋" w:hAnsi="仿宋" w:eastAsia="仿宋" w:cs="仿宋"/>
                <w:szCs w:val="24"/>
              </w:rPr>
            </w:pPr>
          </w:p>
        </w:tc>
      </w:tr>
      <w:tr w14:paraId="12AE135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3029" w:type="dxa"/>
            <w:tcBorders>
              <w:top w:val="single" w:color="D9D9D9" w:sz="6" w:space="0"/>
              <w:left w:val="single" w:color="D9D9D9" w:sz="6" w:space="0"/>
              <w:bottom w:val="single" w:color="D9D9D9" w:sz="6" w:space="0"/>
              <w:right w:val="single" w:color="D9D9D9" w:sz="6" w:space="0"/>
            </w:tcBorders>
            <w:vAlign w:val="center"/>
          </w:tcPr>
          <w:p w14:paraId="61BB7948">
            <w:pPr>
              <w:spacing w:after="120"/>
              <w:rPr>
                <w:rFonts w:ascii="仿宋" w:hAnsi="仿宋" w:eastAsia="仿宋" w:cs="仿宋"/>
                <w:szCs w:val="24"/>
              </w:rPr>
            </w:pPr>
            <w:r>
              <w:rPr>
                <w:rStyle w:val="163"/>
                <w:rFonts w:hint="eastAsia" w:ascii="仿宋" w:hAnsi="仿宋" w:eastAsia="仿宋" w:cs="仿宋"/>
                <w:szCs w:val="24"/>
              </w:rPr>
              <w:t>AL_DownLimit</w:t>
            </w:r>
          </w:p>
        </w:tc>
        <w:tc>
          <w:tcPr>
            <w:tcW w:w="1095" w:type="dxa"/>
            <w:tcBorders>
              <w:top w:val="single" w:color="D9D9D9" w:sz="6" w:space="0"/>
              <w:left w:val="single" w:color="D9D9D9" w:sz="6" w:space="0"/>
              <w:bottom w:val="single" w:color="D9D9D9" w:sz="6" w:space="0"/>
              <w:right w:val="single" w:color="D9D9D9" w:sz="6" w:space="0"/>
            </w:tcBorders>
            <w:vAlign w:val="center"/>
          </w:tcPr>
          <w:p w14:paraId="179EBF32">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945" w:type="dxa"/>
            <w:tcBorders>
              <w:top w:val="single" w:color="D9D9D9" w:sz="6" w:space="0"/>
              <w:left w:val="single" w:color="D9D9D9" w:sz="6" w:space="0"/>
              <w:bottom w:val="single" w:color="D9D9D9" w:sz="6" w:space="0"/>
              <w:right w:val="single" w:color="D9D9D9" w:sz="6" w:space="0"/>
            </w:tcBorders>
            <w:vAlign w:val="center"/>
          </w:tcPr>
          <w:p w14:paraId="6A4169B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3315" w:type="dxa"/>
            <w:tcBorders>
              <w:top w:val="single" w:color="D9D9D9" w:sz="6" w:space="0"/>
              <w:left w:val="single" w:color="D9D9D9" w:sz="6" w:space="0"/>
              <w:bottom w:val="single" w:color="D9D9D9" w:sz="6" w:space="0"/>
              <w:right w:val="single" w:color="D9D9D9" w:sz="6" w:space="0"/>
            </w:tcBorders>
            <w:vAlign w:val="center"/>
          </w:tcPr>
          <w:p w14:paraId="11F7B2A9">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下限位（0正常，1预警2报警）</w:t>
            </w:r>
          </w:p>
        </w:tc>
        <w:tc>
          <w:tcPr>
            <w:tcW w:w="846" w:type="dxa"/>
            <w:tcBorders>
              <w:top w:val="single" w:color="D9D9D9" w:sz="6" w:space="0"/>
              <w:left w:val="single" w:color="D9D9D9" w:sz="6" w:space="0"/>
              <w:bottom w:val="single" w:color="D9D9D9" w:sz="6" w:space="0"/>
              <w:right w:val="single" w:color="D9D9D9" w:sz="6" w:space="0"/>
            </w:tcBorders>
            <w:vAlign w:val="center"/>
          </w:tcPr>
          <w:p w14:paraId="600A08E9">
            <w:pPr>
              <w:spacing w:after="120"/>
              <w:rPr>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vAlign w:val="center"/>
          </w:tcPr>
          <w:p w14:paraId="6437867A">
            <w:pPr>
              <w:spacing w:after="120"/>
              <w:rPr>
                <w:rFonts w:ascii="仿宋" w:hAnsi="仿宋" w:eastAsia="仿宋" w:cs="仿宋"/>
                <w:szCs w:val="24"/>
              </w:rPr>
            </w:pPr>
          </w:p>
        </w:tc>
      </w:tr>
    </w:tbl>
    <w:p w14:paraId="7CB3A36D">
      <w:pPr>
        <w:spacing w:after="120"/>
        <w:ind w:firstLine="602"/>
        <w:rPr>
          <w:rStyle w:val="163"/>
          <w:rFonts w:ascii="仿宋" w:hAnsi="仿宋" w:eastAsia="仿宋" w:cs="仿宋"/>
          <w:b/>
          <w:bCs/>
          <w:sz w:val="30"/>
          <w:szCs w:val="30"/>
        </w:rPr>
      </w:pPr>
      <w:r>
        <w:rPr>
          <w:rStyle w:val="163"/>
          <w:rFonts w:hint="eastAsia" w:ascii="仿宋" w:hAnsi="仿宋" w:eastAsia="仿宋" w:cs="仿宋"/>
          <w:b/>
          <w:bCs/>
          <w:sz w:val="30"/>
          <w:szCs w:val="30"/>
        </w:rPr>
        <w:t>请求示例</w:t>
      </w:r>
    </w:p>
    <w:p w14:paraId="5E93BB84">
      <w:pPr>
        <w:spacing w:after="120"/>
        <w:rPr>
          <w:rFonts w:ascii="仿宋" w:hAnsi="仿宋" w:eastAsia="仿宋" w:cs="仿宋"/>
          <w:szCs w:val="24"/>
        </w:rPr>
      </w:pPr>
      <w:r>
        <w:rPr>
          <w:rFonts w:hint="eastAsia" w:ascii="仿宋" w:hAnsi="仿宋" w:eastAsia="仿宋" w:cs="仿宋"/>
          <w:szCs w:val="24"/>
        </w:rPr>
        <w:t>{</w:t>
      </w:r>
    </w:p>
    <w:p w14:paraId="71825448">
      <w:pPr>
        <w:spacing w:after="120"/>
        <w:rPr>
          <w:rFonts w:ascii="仿宋" w:hAnsi="仿宋" w:eastAsia="仿宋" w:cs="仿宋"/>
          <w:szCs w:val="24"/>
        </w:rPr>
      </w:pPr>
      <w:r>
        <w:rPr>
          <w:rFonts w:hint="eastAsia" w:ascii="仿宋" w:hAnsi="仿宋" w:eastAsia="仿宋" w:cs="仿宋"/>
          <w:szCs w:val="24"/>
        </w:rPr>
        <w:tab/>
      </w:r>
      <w:r>
        <w:rPr>
          <w:rFonts w:hint="eastAsia" w:ascii="仿宋" w:hAnsi="仿宋" w:eastAsia="仿宋" w:cs="仿宋"/>
          <w:szCs w:val="24"/>
        </w:rPr>
        <w:t>"data": [</w:t>
      </w:r>
    </w:p>
    <w:p w14:paraId="6FB7FEA4">
      <w:pPr>
        <w:spacing w:after="120"/>
        <w:rPr>
          <w:rFonts w:ascii="仿宋" w:hAnsi="仿宋" w:eastAsia="仿宋" w:cs="仿宋"/>
          <w:szCs w:val="24"/>
        </w:rPr>
      </w:pPr>
      <w:r>
        <w:rPr>
          <w:rFonts w:hint="eastAsia" w:ascii="仿宋" w:hAnsi="仿宋" w:eastAsia="仿宋" w:cs="仿宋"/>
          <w:szCs w:val="24"/>
        </w:rPr>
        <w:tab/>
      </w:r>
      <w:r>
        <w:rPr>
          <w:rFonts w:hint="eastAsia" w:ascii="仿宋" w:hAnsi="仿宋" w:eastAsia="仿宋" w:cs="仿宋"/>
          <w:szCs w:val="24"/>
        </w:rPr>
        <w:tab/>
      </w:r>
      <w:r>
        <w:rPr>
          <w:rFonts w:hint="eastAsia" w:ascii="仿宋" w:hAnsi="仿宋" w:eastAsia="仿宋" w:cs="仿宋"/>
          <w:szCs w:val="24"/>
        </w:rPr>
        <w:t>{</w:t>
      </w:r>
    </w:p>
    <w:p w14:paraId="2CD99B5A">
      <w:pPr>
        <w:spacing w:after="120"/>
        <w:rPr>
          <w:rFonts w:ascii="仿宋" w:hAnsi="仿宋" w:eastAsia="仿宋" w:cs="仿宋"/>
          <w:szCs w:val="24"/>
        </w:rPr>
      </w:pPr>
      <w:r>
        <w:rPr>
          <w:rFonts w:hint="eastAsia" w:ascii="仿宋" w:hAnsi="仿宋" w:eastAsia="仿宋" w:cs="仿宋"/>
          <w:szCs w:val="24"/>
        </w:rPr>
        <w:t>"id": 13969820,</w:t>
      </w:r>
    </w:p>
    <w:p w14:paraId="5F0A929D">
      <w:pPr>
        <w:spacing w:after="120"/>
        <w:rPr>
          <w:rFonts w:ascii="仿宋" w:hAnsi="仿宋" w:eastAsia="仿宋" w:cs="仿宋"/>
          <w:szCs w:val="24"/>
        </w:rPr>
      </w:pPr>
      <w:r>
        <w:rPr>
          <w:rFonts w:hint="eastAsia" w:ascii="仿宋" w:hAnsi="仿宋" w:eastAsia="仿宋" w:cs="仿宋"/>
          <w:szCs w:val="24"/>
        </w:rPr>
        <w:t xml:space="preserve">"sn": "xxxx",     </w:t>
      </w:r>
    </w:p>
    <w:p w14:paraId="06210986">
      <w:pPr>
        <w:spacing w:after="120"/>
        <w:rPr>
          <w:rFonts w:ascii="仿宋" w:hAnsi="仿宋" w:eastAsia="仿宋" w:cs="仿宋"/>
          <w:szCs w:val="24"/>
        </w:rPr>
      </w:pPr>
      <w:r>
        <w:rPr>
          <w:rFonts w:hint="eastAsia" w:ascii="仿宋" w:hAnsi="仿宋" w:eastAsia="仿宋" w:cs="仿宋"/>
          <w:szCs w:val="24"/>
        </w:rPr>
        <w:t xml:space="preserve">"DataTime": "2020-11-17 11:03:14",   </w:t>
      </w:r>
    </w:p>
    <w:p w14:paraId="0D0E7CAB">
      <w:pPr>
        <w:spacing w:after="120"/>
        <w:rPr>
          <w:rFonts w:ascii="仿宋" w:hAnsi="仿宋" w:eastAsia="仿宋" w:cs="仿宋"/>
          <w:szCs w:val="24"/>
        </w:rPr>
      </w:pPr>
      <w:r>
        <w:rPr>
          <w:rFonts w:hint="eastAsia" w:ascii="仿宋" w:hAnsi="仿宋" w:eastAsia="仿宋" w:cs="仿宋"/>
          <w:szCs w:val="24"/>
        </w:rPr>
        <w:t xml:space="preserve">"RTDipAngle": "0",                     </w:t>
      </w:r>
    </w:p>
    <w:p w14:paraId="0E30FCE8">
      <w:pPr>
        <w:spacing w:after="120"/>
        <w:rPr>
          <w:rFonts w:ascii="仿宋" w:hAnsi="仿宋" w:eastAsia="仿宋" w:cs="仿宋"/>
          <w:szCs w:val="24"/>
        </w:rPr>
      </w:pPr>
      <w:r>
        <w:rPr>
          <w:rFonts w:hint="eastAsia" w:ascii="仿宋" w:hAnsi="仿宋" w:eastAsia="仿宋" w:cs="仿宋"/>
          <w:szCs w:val="24"/>
        </w:rPr>
        <w:t xml:space="preserve">"RTWindSPD": "0",                     </w:t>
      </w:r>
    </w:p>
    <w:p w14:paraId="115F4891">
      <w:pPr>
        <w:spacing w:after="120"/>
        <w:rPr>
          <w:rFonts w:ascii="仿宋" w:hAnsi="仿宋" w:eastAsia="仿宋" w:cs="仿宋"/>
          <w:szCs w:val="24"/>
        </w:rPr>
      </w:pPr>
      <w:r>
        <w:rPr>
          <w:rFonts w:hint="eastAsia" w:ascii="仿宋" w:hAnsi="仿宋" w:eastAsia="仿宋" w:cs="仿宋"/>
          <w:szCs w:val="24"/>
        </w:rPr>
        <w:t xml:space="preserve">"RTRotate": "29.42",                  </w:t>
      </w:r>
    </w:p>
    <w:p w14:paraId="3747FD8F">
      <w:pPr>
        <w:spacing w:after="120"/>
        <w:rPr>
          <w:rFonts w:ascii="仿宋" w:hAnsi="仿宋" w:eastAsia="仿宋" w:cs="仿宋"/>
          <w:szCs w:val="24"/>
        </w:rPr>
      </w:pPr>
      <w:r>
        <w:rPr>
          <w:rFonts w:hint="eastAsia" w:ascii="仿宋" w:hAnsi="仿宋" w:eastAsia="仿宋" w:cs="仿宋"/>
          <w:szCs w:val="24"/>
        </w:rPr>
        <w:t xml:space="preserve">"RTWeight": "0",                      </w:t>
      </w:r>
    </w:p>
    <w:p w14:paraId="07EFC2A4">
      <w:pPr>
        <w:spacing w:after="120"/>
        <w:rPr>
          <w:rFonts w:ascii="仿宋" w:hAnsi="仿宋" w:eastAsia="仿宋" w:cs="仿宋"/>
          <w:szCs w:val="24"/>
        </w:rPr>
      </w:pPr>
      <w:r>
        <w:rPr>
          <w:rFonts w:hint="eastAsia" w:ascii="仿宋" w:hAnsi="仿宋" w:eastAsia="仿宋" w:cs="仿宋"/>
          <w:szCs w:val="24"/>
        </w:rPr>
        <w:t xml:space="preserve">"RTHeight": "3.45",                   </w:t>
      </w:r>
    </w:p>
    <w:p w14:paraId="603B786C">
      <w:pPr>
        <w:spacing w:after="120"/>
        <w:rPr>
          <w:rFonts w:ascii="仿宋" w:hAnsi="仿宋" w:eastAsia="仿宋" w:cs="仿宋"/>
          <w:szCs w:val="24"/>
        </w:rPr>
      </w:pPr>
      <w:r>
        <w:rPr>
          <w:rFonts w:hint="eastAsia" w:ascii="仿宋" w:hAnsi="仿宋" w:eastAsia="仿宋" w:cs="仿宋"/>
          <w:szCs w:val="24"/>
        </w:rPr>
        <w:t xml:space="preserve">"RTLength": "17.48",                </w:t>
      </w:r>
    </w:p>
    <w:p w14:paraId="037887C0">
      <w:pPr>
        <w:spacing w:after="120"/>
        <w:rPr>
          <w:rFonts w:ascii="仿宋" w:hAnsi="仿宋" w:eastAsia="仿宋" w:cs="仿宋"/>
          <w:szCs w:val="24"/>
        </w:rPr>
      </w:pPr>
      <w:r>
        <w:rPr>
          <w:rFonts w:hint="eastAsia" w:ascii="仿宋" w:hAnsi="仿宋" w:eastAsia="仿宋" w:cs="仿宋"/>
          <w:szCs w:val="24"/>
        </w:rPr>
        <w:t xml:space="preserve">"IsAlarm": "0",                      </w:t>
      </w:r>
    </w:p>
    <w:p w14:paraId="014CD63B">
      <w:pPr>
        <w:spacing w:after="120"/>
        <w:rPr>
          <w:rFonts w:ascii="仿宋" w:hAnsi="仿宋" w:eastAsia="仿宋" w:cs="仿宋"/>
          <w:szCs w:val="24"/>
        </w:rPr>
      </w:pPr>
      <w:r>
        <w:rPr>
          <w:rFonts w:hint="eastAsia" w:ascii="仿宋" w:hAnsi="仿宋" w:eastAsia="仿宋" w:cs="仿宋"/>
          <w:szCs w:val="24"/>
        </w:rPr>
        <w:t xml:space="preserve">"DriverNumber": null,              </w:t>
      </w:r>
    </w:p>
    <w:p w14:paraId="00D608A6">
      <w:pPr>
        <w:spacing w:after="120"/>
        <w:rPr>
          <w:rFonts w:ascii="仿宋" w:hAnsi="仿宋" w:eastAsia="仿宋" w:cs="仿宋"/>
          <w:szCs w:val="24"/>
        </w:rPr>
      </w:pPr>
      <w:r>
        <w:rPr>
          <w:rFonts w:hint="eastAsia" w:ascii="仿宋" w:hAnsi="仿宋" w:eastAsia="仿宋" w:cs="仿宋"/>
          <w:szCs w:val="24"/>
        </w:rPr>
        <w:t xml:space="preserve">"AL_ForbiddenZone": 0,              </w:t>
      </w:r>
    </w:p>
    <w:p w14:paraId="309D434E">
      <w:pPr>
        <w:spacing w:after="120"/>
        <w:rPr>
          <w:rFonts w:ascii="仿宋" w:hAnsi="仿宋" w:eastAsia="仿宋" w:cs="仿宋"/>
          <w:szCs w:val="24"/>
        </w:rPr>
      </w:pPr>
      <w:r>
        <w:rPr>
          <w:rFonts w:hint="eastAsia" w:ascii="仿宋" w:hAnsi="仿宋" w:eastAsia="仿宋" w:cs="仿宋"/>
          <w:szCs w:val="24"/>
        </w:rPr>
        <w:t xml:space="preserve">"AL_ObstacleCollision": 0,        </w:t>
      </w:r>
    </w:p>
    <w:p w14:paraId="50FDFA1E">
      <w:pPr>
        <w:spacing w:after="120"/>
        <w:rPr>
          <w:rFonts w:ascii="仿宋" w:hAnsi="仿宋" w:eastAsia="仿宋" w:cs="仿宋"/>
          <w:szCs w:val="24"/>
        </w:rPr>
      </w:pPr>
      <w:r>
        <w:rPr>
          <w:rFonts w:hint="eastAsia" w:ascii="仿宋" w:hAnsi="仿宋" w:eastAsia="仿宋" w:cs="仿宋"/>
          <w:szCs w:val="24"/>
        </w:rPr>
        <w:t xml:space="preserve">"AL_TowerCollision": 0,            </w:t>
      </w:r>
    </w:p>
    <w:p w14:paraId="6E0C579C">
      <w:pPr>
        <w:spacing w:after="120"/>
        <w:rPr>
          <w:rFonts w:ascii="仿宋" w:hAnsi="仿宋" w:eastAsia="仿宋" w:cs="仿宋"/>
          <w:szCs w:val="24"/>
        </w:rPr>
      </w:pPr>
      <w:r>
        <w:rPr>
          <w:rFonts w:hint="eastAsia" w:ascii="仿宋" w:hAnsi="仿宋" w:eastAsia="仿宋" w:cs="仿宋"/>
          <w:szCs w:val="24"/>
        </w:rPr>
        <w:t xml:space="preserve">"AL_Incline": 0,                   </w:t>
      </w:r>
    </w:p>
    <w:p w14:paraId="3A0F5628">
      <w:pPr>
        <w:spacing w:after="120"/>
        <w:rPr>
          <w:rFonts w:ascii="仿宋" w:hAnsi="仿宋" w:eastAsia="仿宋" w:cs="仿宋"/>
          <w:szCs w:val="24"/>
        </w:rPr>
      </w:pPr>
      <w:r>
        <w:rPr>
          <w:rFonts w:hint="eastAsia" w:ascii="仿宋" w:hAnsi="仿宋" w:eastAsia="仿宋" w:cs="仿宋"/>
          <w:szCs w:val="24"/>
        </w:rPr>
        <w:t xml:space="preserve">"AL_Windspeed": 0,                 </w:t>
      </w:r>
    </w:p>
    <w:p w14:paraId="05E1E8CE">
      <w:pPr>
        <w:spacing w:after="120"/>
        <w:rPr>
          <w:rFonts w:ascii="仿宋" w:hAnsi="仿宋" w:eastAsia="仿宋" w:cs="仿宋"/>
          <w:szCs w:val="24"/>
        </w:rPr>
      </w:pPr>
      <w:r>
        <w:rPr>
          <w:rFonts w:hint="eastAsia" w:ascii="仿宋" w:hAnsi="仿宋" w:eastAsia="仿宋" w:cs="仿宋"/>
          <w:szCs w:val="24"/>
        </w:rPr>
        <w:t xml:space="preserve">"AL_Load": 0,                      </w:t>
      </w:r>
    </w:p>
    <w:p w14:paraId="34F68A26">
      <w:pPr>
        <w:spacing w:after="120"/>
        <w:rPr>
          <w:rFonts w:ascii="仿宋" w:hAnsi="仿宋" w:eastAsia="仿宋" w:cs="仿宋"/>
          <w:szCs w:val="24"/>
        </w:rPr>
      </w:pPr>
      <w:r>
        <w:rPr>
          <w:rFonts w:hint="eastAsia" w:ascii="仿宋" w:hAnsi="仿宋" w:eastAsia="仿宋" w:cs="仿宋"/>
          <w:szCs w:val="24"/>
        </w:rPr>
        <w:t xml:space="preserve">"AL_HardwareFault": 0,            </w:t>
      </w:r>
    </w:p>
    <w:p w14:paraId="7E106CF3">
      <w:pPr>
        <w:spacing w:after="120"/>
        <w:rPr>
          <w:rFonts w:ascii="仿宋" w:hAnsi="仿宋" w:eastAsia="仿宋" w:cs="仿宋"/>
          <w:szCs w:val="24"/>
        </w:rPr>
      </w:pPr>
      <w:r>
        <w:rPr>
          <w:rFonts w:hint="eastAsia" w:ascii="仿宋" w:hAnsi="仿宋" w:eastAsia="仿宋" w:cs="仿宋"/>
          <w:szCs w:val="24"/>
        </w:rPr>
        <w:t xml:space="preserve">"AL_Limit": "0",                   </w:t>
      </w:r>
    </w:p>
    <w:p w14:paraId="79847444">
      <w:pPr>
        <w:spacing w:after="120"/>
        <w:rPr>
          <w:rFonts w:ascii="仿宋" w:hAnsi="仿宋" w:eastAsia="仿宋" w:cs="仿宋"/>
          <w:szCs w:val="24"/>
        </w:rPr>
      </w:pPr>
      <w:r>
        <w:rPr>
          <w:rFonts w:hint="eastAsia" w:ascii="仿宋" w:hAnsi="仿宋" w:eastAsia="仿宋" w:cs="仿宋"/>
          <w:szCs w:val="24"/>
        </w:rPr>
        <w:t xml:space="preserve">"AL_FrontLimit": 0,               </w:t>
      </w:r>
    </w:p>
    <w:p w14:paraId="002A2C74">
      <w:pPr>
        <w:spacing w:after="120"/>
        <w:rPr>
          <w:rFonts w:ascii="仿宋" w:hAnsi="仿宋" w:eastAsia="仿宋" w:cs="仿宋"/>
          <w:szCs w:val="24"/>
        </w:rPr>
      </w:pPr>
      <w:r>
        <w:rPr>
          <w:rFonts w:hint="eastAsia" w:ascii="仿宋" w:hAnsi="仿宋" w:eastAsia="仿宋" w:cs="仿宋"/>
          <w:szCs w:val="24"/>
        </w:rPr>
        <w:t xml:space="preserve">"AL_BackLimit": 0,               </w:t>
      </w:r>
    </w:p>
    <w:p w14:paraId="312DB164">
      <w:pPr>
        <w:spacing w:after="120"/>
        <w:rPr>
          <w:rFonts w:ascii="仿宋" w:hAnsi="仿宋" w:eastAsia="仿宋" w:cs="仿宋"/>
          <w:szCs w:val="24"/>
        </w:rPr>
      </w:pPr>
      <w:r>
        <w:rPr>
          <w:rFonts w:hint="eastAsia" w:ascii="仿宋" w:hAnsi="仿宋" w:eastAsia="仿宋" w:cs="仿宋"/>
          <w:szCs w:val="24"/>
        </w:rPr>
        <w:t xml:space="preserve">"AL_LeftLimit": 0,               </w:t>
      </w:r>
    </w:p>
    <w:p w14:paraId="63287186">
      <w:pPr>
        <w:spacing w:after="120"/>
        <w:rPr>
          <w:rFonts w:ascii="仿宋" w:hAnsi="仿宋" w:eastAsia="仿宋" w:cs="仿宋"/>
          <w:szCs w:val="24"/>
        </w:rPr>
      </w:pPr>
      <w:r>
        <w:rPr>
          <w:rFonts w:hint="eastAsia" w:ascii="仿宋" w:hAnsi="仿宋" w:eastAsia="仿宋" w:cs="仿宋"/>
          <w:szCs w:val="24"/>
        </w:rPr>
        <w:t xml:space="preserve">"AL_RightLimit": 0,             </w:t>
      </w:r>
    </w:p>
    <w:p w14:paraId="09AF67C0">
      <w:pPr>
        <w:spacing w:after="120"/>
        <w:rPr>
          <w:rFonts w:ascii="仿宋" w:hAnsi="仿宋" w:eastAsia="仿宋" w:cs="仿宋"/>
          <w:szCs w:val="24"/>
        </w:rPr>
      </w:pPr>
      <w:r>
        <w:rPr>
          <w:rFonts w:hint="eastAsia" w:ascii="仿宋" w:hAnsi="仿宋" w:eastAsia="仿宋" w:cs="仿宋"/>
          <w:szCs w:val="24"/>
        </w:rPr>
        <w:t xml:space="preserve">"AL_TopLimit": 0,               </w:t>
      </w:r>
    </w:p>
    <w:p w14:paraId="26DCA726">
      <w:pPr>
        <w:spacing w:after="120"/>
        <w:rPr>
          <w:rFonts w:ascii="仿宋" w:hAnsi="仿宋" w:eastAsia="仿宋" w:cs="仿宋"/>
          <w:szCs w:val="24"/>
        </w:rPr>
      </w:pPr>
      <w:r>
        <w:rPr>
          <w:rFonts w:hint="eastAsia" w:ascii="仿宋" w:hAnsi="仿宋" w:eastAsia="仿宋" w:cs="仿宋"/>
          <w:szCs w:val="24"/>
        </w:rPr>
        <w:t xml:space="preserve">"AL_DownLimit": 0                 </w:t>
      </w:r>
    </w:p>
    <w:p w14:paraId="75A761EC">
      <w:pPr>
        <w:spacing w:after="120"/>
        <w:rPr>
          <w:rFonts w:ascii="仿宋" w:hAnsi="仿宋" w:eastAsia="仿宋" w:cs="仿宋"/>
          <w:szCs w:val="24"/>
        </w:rPr>
      </w:pPr>
      <w:r>
        <w:rPr>
          <w:rFonts w:hint="eastAsia" w:ascii="仿宋" w:hAnsi="仿宋" w:eastAsia="仿宋" w:cs="仿宋"/>
          <w:szCs w:val="24"/>
        </w:rPr>
        <w:t xml:space="preserve">    }</w:t>
      </w:r>
    </w:p>
    <w:p w14:paraId="1B1DB9A1">
      <w:pPr>
        <w:spacing w:after="120"/>
        <w:rPr>
          <w:rFonts w:ascii="仿宋" w:hAnsi="仿宋" w:eastAsia="仿宋" w:cs="仿宋"/>
          <w:szCs w:val="24"/>
        </w:rPr>
      </w:pPr>
      <w:r>
        <w:rPr>
          <w:rFonts w:hint="eastAsia" w:ascii="仿宋" w:hAnsi="仿宋" w:eastAsia="仿宋" w:cs="仿宋"/>
          <w:szCs w:val="24"/>
        </w:rPr>
        <w:tab/>
      </w:r>
      <w:r>
        <w:rPr>
          <w:rFonts w:hint="eastAsia" w:ascii="仿宋" w:hAnsi="仿宋" w:eastAsia="仿宋" w:cs="仿宋"/>
          <w:szCs w:val="24"/>
        </w:rPr>
        <w:t>],</w:t>
      </w:r>
    </w:p>
    <w:p w14:paraId="5E86C716">
      <w:pPr>
        <w:spacing w:after="120"/>
        <w:ind w:firstLine="240" w:firstLineChars="100"/>
        <w:rPr>
          <w:rFonts w:ascii="仿宋" w:hAnsi="仿宋" w:eastAsia="仿宋" w:cs="仿宋"/>
          <w:szCs w:val="24"/>
        </w:rPr>
      </w:pPr>
      <w:r>
        <w:rPr>
          <w:rFonts w:hint="eastAsia" w:ascii="仿宋" w:hAnsi="仿宋" w:eastAsia="仿宋" w:cs="仿宋"/>
          <w:szCs w:val="24"/>
        </w:rPr>
        <w:t>"projectId": "1369575733495595008",</w:t>
      </w:r>
    </w:p>
    <w:p w14:paraId="486A3F26">
      <w:pPr>
        <w:spacing w:after="120"/>
        <w:rPr>
          <w:rFonts w:ascii="仿宋" w:hAnsi="仿宋" w:eastAsia="仿宋" w:cs="仿宋"/>
          <w:szCs w:val="24"/>
        </w:rPr>
      </w:pPr>
      <w:r>
        <w:rPr>
          <w:rFonts w:hint="eastAsia" w:ascii="仿宋" w:hAnsi="仿宋" w:eastAsia="仿宋" w:cs="仿宋"/>
          <w:szCs w:val="24"/>
        </w:rPr>
        <w:t>"timeStamp": "13449039388",</w:t>
      </w:r>
    </w:p>
    <w:p w14:paraId="3E90F993">
      <w:pPr>
        <w:spacing w:after="120"/>
        <w:rPr>
          <w:rFonts w:ascii="仿宋" w:hAnsi="仿宋" w:eastAsia="仿宋" w:cs="仿宋"/>
          <w:szCs w:val="24"/>
        </w:rPr>
      </w:pPr>
      <w:r>
        <w:rPr>
          <w:rFonts w:hint="eastAsia" w:ascii="仿宋" w:hAnsi="仿宋" w:eastAsia="仿宋" w:cs="仿宋"/>
          <w:szCs w:val="24"/>
        </w:rPr>
        <w:t>"sign": "sign"</w:t>
      </w:r>
    </w:p>
    <w:p w14:paraId="6F4931F4">
      <w:pPr>
        <w:spacing w:after="120"/>
        <w:rPr>
          <w:rFonts w:ascii="仿宋" w:hAnsi="仿宋" w:eastAsia="仿宋" w:cs="仿宋"/>
          <w:szCs w:val="24"/>
        </w:rPr>
      </w:pPr>
      <w:r>
        <w:rPr>
          <w:rFonts w:hint="eastAsia" w:ascii="仿宋" w:hAnsi="仿宋" w:eastAsia="仿宋" w:cs="仿宋"/>
          <w:szCs w:val="24"/>
        </w:rPr>
        <w:t>}</w:t>
      </w:r>
    </w:p>
    <w:p w14:paraId="41BC36A0">
      <w:pPr>
        <w:spacing w:after="120"/>
        <w:ind w:firstLine="602"/>
        <w:rPr>
          <w:rStyle w:val="163"/>
          <w:rFonts w:ascii="仿宋" w:hAnsi="仿宋" w:eastAsia="仿宋" w:cs="仿宋"/>
          <w:b/>
          <w:bCs/>
          <w:sz w:val="30"/>
          <w:szCs w:val="30"/>
        </w:rPr>
      </w:pPr>
      <w:r>
        <w:rPr>
          <w:rStyle w:val="163"/>
          <w:rFonts w:hint="eastAsia" w:ascii="仿宋" w:hAnsi="仿宋" w:eastAsia="仿宋" w:cs="仿宋"/>
          <w:b/>
          <w:bCs/>
          <w:sz w:val="30"/>
          <w:szCs w:val="30"/>
        </w:rPr>
        <w:t>响应数据</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191"/>
        <w:gridCol w:w="1191"/>
        <w:gridCol w:w="1191"/>
        <w:gridCol w:w="4931"/>
        <w:gridCol w:w="1192"/>
      </w:tblGrid>
      <w:tr w14:paraId="7EE378F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1CCB1F3D">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参数名称</w:t>
            </w:r>
          </w:p>
        </w:tc>
        <w:tc>
          <w:tcPr>
            <w:tcW w:w="614"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1AD7E092">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参数类型</w:t>
            </w:r>
          </w:p>
        </w:tc>
        <w:tc>
          <w:tcPr>
            <w:tcW w:w="614"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0D778CB9">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是否必须</w:t>
            </w:r>
          </w:p>
        </w:tc>
        <w:tc>
          <w:tcPr>
            <w:tcW w:w="2542"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712E4014">
            <w:pPr>
              <w:spacing w:after="120"/>
              <w:jc w:val="center"/>
              <w:rPr>
                <w:rFonts w:ascii="仿宋" w:hAnsi="仿宋" w:eastAsia="仿宋" w:cs="仿宋"/>
                <w:szCs w:val="24"/>
              </w:rPr>
            </w:pPr>
            <w:r>
              <w:rPr>
                <w:rStyle w:val="163"/>
                <w:rFonts w:hint="eastAsia" w:ascii="仿宋" w:hAnsi="仿宋" w:eastAsia="仿宋" w:cs="仿宋"/>
                <w:szCs w:val="24"/>
              </w:rPr>
              <w:t>参数说明</w:t>
            </w:r>
          </w:p>
        </w:tc>
        <w:tc>
          <w:tcPr>
            <w:tcW w:w="614"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4E32FD2C">
            <w:pPr>
              <w:spacing w:after="120"/>
              <w:jc w:val="center"/>
              <w:rPr>
                <w:rFonts w:ascii="仿宋" w:hAnsi="仿宋" w:eastAsia="仿宋" w:cs="仿宋"/>
                <w:szCs w:val="24"/>
              </w:rPr>
            </w:pPr>
            <w:r>
              <w:rPr>
                <w:rStyle w:val="163"/>
                <w:rFonts w:hint="eastAsia" w:ascii="仿宋" w:hAnsi="仿宋" w:eastAsia="仿宋" w:cs="仿宋"/>
                <w:szCs w:val="24"/>
              </w:rPr>
              <w:t>示例</w:t>
            </w:r>
          </w:p>
        </w:tc>
      </w:tr>
      <w:tr w14:paraId="313B94A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48FD47DA">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code</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5C465844">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integer</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19DC3CA1">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True</w:t>
            </w:r>
          </w:p>
        </w:tc>
        <w:tc>
          <w:tcPr>
            <w:tcW w:w="2542"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40607590">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响应码</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26DF8AD7">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200</w:t>
            </w:r>
          </w:p>
        </w:tc>
      </w:tr>
      <w:tr w14:paraId="4DA1978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340750CD">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msg</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22680F15">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string</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48983667">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True</w:t>
            </w:r>
          </w:p>
        </w:tc>
        <w:tc>
          <w:tcPr>
            <w:tcW w:w="2542"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6E0572AE">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响应信息</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2CBA85C3">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上报成功</w:t>
            </w:r>
          </w:p>
        </w:tc>
      </w:tr>
      <w:tr w14:paraId="0189E9F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695DB36A">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success</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4FE06516">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bool</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385294F1">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True</w:t>
            </w:r>
          </w:p>
        </w:tc>
        <w:tc>
          <w:tcPr>
            <w:tcW w:w="2542"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02B8B887">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是否成功，接口是否成功主要看这个值</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50930BBF">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True</w:t>
            </w:r>
          </w:p>
        </w:tc>
      </w:tr>
      <w:tr w14:paraId="2534408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05DE3F6D">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data</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34BB34CB">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11B98656">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False</w:t>
            </w:r>
          </w:p>
        </w:tc>
        <w:tc>
          <w:tcPr>
            <w:tcW w:w="2542"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01A5834E">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可空，需要返回数据时，这个值返回</w:t>
            </w:r>
          </w:p>
        </w:tc>
        <w:tc>
          <w:tcPr>
            <w:tcW w:w="614"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4FF5038E">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w:t>
            </w:r>
          </w:p>
        </w:tc>
      </w:tr>
    </w:tbl>
    <w:p w14:paraId="7DA95C7F">
      <w:pPr>
        <w:spacing w:after="120"/>
        <w:ind w:firstLine="602"/>
        <w:rPr>
          <w:rStyle w:val="163"/>
          <w:rFonts w:ascii="仿宋" w:hAnsi="仿宋" w:eastAsia="仿宋" w:cs="仿宋"/>
          <w:b/>
          <w:bCs/>
          <w:sz w:val="30"/>
          <w:szCs w:val="30"/>
        </w:rPr>
      </w:pPr>
    </w:p>
    <w:p w14:paraId="1C55A35D">
      <w:pPr>
        <w:spacing w:after="120"/>
        <w:ind w:firstLine="602"/>
        <w:rPr>
          <w:rStyle w:val="163"/>
          <w:rFonts w:ascii="仿宋" w:hAnsi="仿宋" w:eastAsia="仿宋" w:cs="仿宋"/>
          <w:b/>
          <w:bCs/>
          <w:sz w:val="30"/>
          <w:szCs w:val="30"/>
        </w:rPr>
      </w:pPr>
      <w:r>
        <w:rPr>
          <w:rStyle w:val="163"/>
          <w:rFonts w:hint="eastAsia" w:ascii="仿宋" w:hAnsi="仿宋" w:eastAsia="仿宋" w:cs="仿宋"/>
          <w:b/>
          <w:bCs/>
          <w:sz w:val="30"/>
          <w:szCs w:val="30"/>
        </w:rPr>
        <w:t>响应示例</w:t>
      </w:r>
    </w:p>
    <w:p w14:paraId="6E63B52F">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w:t>
      </w:r>
    </w:p>
    <w:p w14:paraId="585541F5">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"code": 200,</w:t>
      </w:r>
    </w:p>
    <w:p w14:paraId="3ABFD7AE">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"success": true,</w:t>
      </w:r>
    </w:p>
    <w:p w14:paraId="25909B95">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"data": {},</w:t>
      </w:r>
    </w:p>
    <w:p w14:paraId="0C1DF239">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"msg": "上报成功"</w:t>
      </w:r>
    </w:p>
    <w:p w14:paraId="6AD990B3">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w:t>
      </w:r>
    </w:p>
    <w:p w14:paraId="7B53CACE">
      <w:pPr>
        <w:spacing w:after="120"/>
        <w:ind w:firstLine="600"/>
        <w:rPr>
          <w:rFonts w:ascii="仿宋" w:hAnsi="仿宋" w:eastAsia="仿宋" w:cs="仿宋"/>
          <w:sz w:val="30"/>
          <w:szCs w:val="30"/>
        </w:rPr>
      </w:pPr>
      <w:bookmarkStart w:id="1248" w:name="_Toc18175"/>
      <w:bookmarkStart w:id="1249" w:name="_Toc7158"/>
      <w:r>
        <w:rPr>
          <w:rFonts w:hint="eastAsia" w:ascii="仿宋" w:hAnsi="仿宋" w:eastAsia="仿宋" w:cs="仿宋"/>
          <w:sz w:val="30"/>
          <w:szCs w:val="30"/>
        </w:rPr>
        <w:t>2.6升降机</w:t>
      </w:r>
      <w:bookmarkEnd w:id="1248"/>
      <w:bookmarkEnd w:id="1249"/>
    </w:p>
    <w:p w14:paraId="31CB7563">
      <w:pPr>
        <w:spacing w:after="120"/>
        <w:ind w:firstLine="600"/>
        <w:rPr>
          <w:rFonts w:ascii="仿宋" w:hAnsi="仿宋" w:eastAsia="仿宋" w:cs="仿宋"/>
          <w:b/>
          <w:bCs/>
          <w:sz w:val="30"/>
          <w:szCs w:val="30"/>
        </w:rPr>
      </w:pPr>
      <w:r>
        <w:rPr>
          <w:rFonts w:hint="eastAsia" w:ascii="仿宋" w:hAnsi="仿宋" w:eastAsia="仿宋" w:cs="仿宋"/>
          <w:sz w:val="30"/>
          <w:szCs w:val="30"/>
        </w:rPr>
        <w:t>接口调用规则请参照附件1</w:t>
      </w:r>
    </w:p>
    <w:p w14:paraId="7D0363D9">
      <w:pPr>
        <w:spacing w:after="120"/>
        <w:ind w:firstLine="602"/>
        <w:rPr>
          <w:rFonts w:ascii="仿宋" w:hAnsi="仿宋" w:eastAsia="仿宋" w:cs="仿宋"/>
          <w:b/>
          <w:bCs/>
          <w:sz w:val="30"/>
          <w:szCs w:val="30"/>
        </w:rPr>
      </w:pPr>
      <w:r>
        <w:rPr>
          <w:rFonts w:hint="eastAsia" w:ascii="仿宋" w:hAnsi="仿宋" w:eastAsia="仿宋" w:cs="仿宋"/>
          <w:b/>
          <w:bCs/>
          <w:sz w:val="30"/>
          <w:szCs w:val="30"/>
        </w:rPr>
        <w:t>接口说明</w:t>
      </w:r>
    </w:p>
    <w:p w14:paraId="0C311F04">
      <w:pPr>
        <w:spacing w:after="120"/>
        <w:ind w:firstLine="600"/>
        <w:rPr>
          <w:rFonts w:ascii="仿宋" w:hAnsi="仿宋" w:eastAsia="仿宋" w:cs="仿宋"/>
          <w:sz w:val="30"/>
          <w:szCs w:val="30"/>
        </w:rPr>
      </w:pPr>
      <w:r>
        <w:rPr>
          <w:rStyle w:val="163"/>
          <w:rFonts w:hint="eastAsia" w:ascii="仿宋" w:hAnsi="仿宋" w:eastAsia="仿宋" w:cs="仿宋"/>
          <w:sz w:val="30"/>
          <w:szCs w:val="30"/>
        </w:rPr>
        <w:t>上报升降机运行数据，定时循环周期上报。</w:t>
      </w:r>
    </w:p>
    <w:p w14:paraId="1DF2A2A6">
      <w:pPr>
        <w:spacing w:after="120"/>
        <w:ind w:firstLine="602"/>
        <w:rPr>
          <w:rFonts w:ascii="仿宋" w:hAnsi="仿宋" w:eastAsia="仿宋" w:cs="仿宋"/>
          <w:b/>
          <w:bCs/>
          <w:sz w:val="30"/>
          <w:szCs w:val="30"/>
        </w:rPr>
      </w:pPr>
      <w:r>
        <w:rPr>
          <w:rFonts w:hint="eastAsia" w:ascii="仿宋" w:hAnsi="仿宋" w:eastAsia="仿宋" w:cs="仿宋"/>
          <w:b/>
          <w:bCs/>
          <w:sz w:val="30"/>
          <w:szCs w:val="30"/>
        </w:rPr>
        <w:t>接口地址</w:t>
      </w:r>
    </w:p>
    <w:p w14:paraId="251A3448">
      <w:pPr>
        <w:spacing w:after="120"/>
        <w:ind w:firstLine="600"/>
        <w:rPr>
          <w:rFonts w:ascii="仿宋" w:hAnsi="仿宋" w:eastAsia="仿宋" w:cs="仿宋"/>
          <w:sz w:val="30"/>
          <w:szCs w:val="30"/>
        </w:rPr>
      </w:pPr>
      <w:r>
        <w:rPr>
          <w:rStyle w:val="163"/>
          <w:rFonts w:hint="eastAsia" w:ascii="仿宋" w:hAnsi="仿宋" w:eastAsia="仿宋" w:cs="仿宋"/>
          <w:sz w:val="30"/>
          <w:szCs w:val="30"/>
        </w:rPr>
        <w:t>/gdiapi/gdi/dataupload/elevator/as/workingpush</w:t>
      </w:r>
    </w:p>
    <w:p w14:paraId="2A4778ED">
      <w:pPr>
        <w:spacing w:after="120"/>
        <w:ind w:firstLine="602"/>
        <w:rPr>
          <w:rFonts w:ascii="仿宋" w:hAnsi="仿宋" w:eastAsia="仿宋" w:cs="仿宋"/>
          <w:b/>
          <w:bCs/>
          <w:sz w:val="30"/>
          <w:szCs w:val="30"/>
        </w:rPr>
      </w:pPr>
      <w:r>
        <w:rPr>
          <w:rFonts w:hint="eastAsia" w:ascii="仿宋" w:hAnsi="仿宋" w:eastAsia="仿宋" w:cs="仿宋"/>
          <w:b/>
          <w:bCs/>
          <w:sz w:val="30"/>
          <w:szCs w:val="30"/>
        </w:rPr>
        <w:t>请求方法</w:t>
      </w:r>
    </w:p>
    <w:p w14:paraId="33361F3E">
      <w:pPr>
        <w:spacing w:after="120"/>
        <w:ind w:firstLine="600"/>
        <w:rPr>
          <w:rFonts w:ascii="仿宋" w:hAnsi="仿宋" w:eastAsia="仿宋" w:cs="仿宋"/>
          <w:sz w:val="30"/>
          <w:szCs w:val="30"/>
        </w:rPr>
      </w:pPr>
      <w:r>
        <w:rPr>
          <w:rStyle w:val="163"/>
          <w:rFonts w:hint="eastAsia" w:ascii="仿宋" w:hAnsi="仿宋" w:eastAsia="仿宋" w:cs="仿宋"/>
          <w:sz w:val="30"/>
          <w:szCs w:val="30"/>
        </w:rPr>
        <w:t>POST</w:t>
      </w:r>
    </w:p>
    <w:p w14:paraId="39951D7E">
      <w:pPr>
        <w:spacing w:after="120"/>
        <w:ind w:firstLine="602"/>
        <w:rPr>
          <w:rFonts w:ascii="仿宋" w:hAnsi="仿宋" w:eastAsia="仿宋" w:cs="仿宋"/>
          <w:b/>
          <w:bCs/>
          <w:sz w:val="30"/>
          <w:szCs w:val="30"/>
        </w:rPr>
      </w:pPr>
      <w:r>
        <w:rPr>
          <w:rFonts w:hint="eastAsia" w:ascii="仿宋" w:hAnsi="仿宋" w:eastAsia="仿宋" w:cs="仿宋"/>
          <w:b/>
          <w:bCs/>
          <w:sz w:val="30"/>
          <w:szCs w:val="30"/>
        </w:rPr>
        <w:t>版本号</w:t>
      </w:r>
    </w:p>
    <w:p w14:paraId="141486DC">
      <w:pPr>
        <w:spacing w:after="120"/>
        <w:ind w:firstLine="600"/>
        <w:rPr>
          <w:rFonts w:ascii="仿宋" w:hAnsi="仿宋" w:eastAsia="仿宋" w:cs="仿宋"/>
          <w:sz w:val="30"/>
          <w:szCs w:val="30"/>
        </w:rPr>
      </w:pPr>
      <w:r>
        <w:rPr>
          <w:rStyle w:val="163"/>
          <w:rFonts w:hint="eastAsia" w:ascii="仿宋" w:hAnsi="仿宋" w:eastAsia="仿宋" w:cs="仿宋"/>
          <w:sz w:val="30"/>
          <w:szCs w:val="30"/>
        </w:rPr>
        <w:t>1.0.0</w:t>
      </w:r>
    </w:p>
    <w:p w14:paraId="6B05A5EA">
      <w:pPr>
        <w:spacing w:after="120"/>
        <w:ind w:firstLine="602"/>
        <w:rPr>
          <w:rFonts w:ascii="仿宋" w:hAnsi="仿宋" w:eastAsia="仿宋" w:cs="仿宋"/>
          <w:b/>
          <w:bCs/>
          <w:sz w:val="30"/>
          <w:szCs w:val="30"/>
        </w:rPr>
      </w:pPr>
      <w:r>
        <w:rPr>
          <w:rFonts w:hint="eastAsia" w:ascii="仿宋" w:hAnsi="仿宋" w:eastAsia="仿宋" w:cs="仿宋"/>
          <w:b/>
          <w:bCs/>
          <w:sz w:val="30"/>
          <w:szCs w:val="30"/>
        </w:rPr>
        <w:t>报送周期</w:t>
      </w:r>
    </w:p>
    <w:p w14:paraId="1D768BED">
      <w:pPr>
        <w:spacing w:after="120"/>
        <w:ind w:firstLine="600"/>
        <w:rPr>
          <w:rFonts w:ascii="仿宋" w:hAnsi="仿宋" w:eastAsia="仿宋" w:cs="仿宋"/>
          <w:sz w:val="30"/>
          <w:szCs w:val="30"/>
        </w:rPr>
      </w:pPr>
      <w:r>
        <w:rPr>
          <w:rStyle w:val="163"/>
          <w:rFonts w:hint="eastAsia" w:ascii="仿宋" w:hAnsi="仿宋" w:eastAsia="仿宋" w:cs="仿宋"/>
          <w:sz w:val="30"/>
          <w:szCs w:val="30"/>
        </w:rPr>
        <w:t>60秒</w:t>
      </w:r>
    </w:p>
    <w:p w14:paraId="14ED0340">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请求参数（data部分）</w:t>
      </w:r>
    </w:p>
    <w:tbl>
      <w:tblPr>
        <w:tblStyle w:val="55"/>
        <w:tblW w:w="5000" w:type="pct"/>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2968"/>
        <w:gridCol w:w="1106"/>
        <w:gridCol w:w="970"/>
        <w:gridCol w:w="3460"/>
        <w:gridCol w:w="690"/>
        <w:gridCol w:w="502"/>
      </w:tblGrid>
      <w:tr w14:paraId="41D8F7B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4110B3B3">
            <w:pPr>
              <w:spacing w:after="120"/>
              <w:rPr>
                <w:rFonts w:ascii="仿宋" w:hAnsi="仿宋" w:eastAsia="仿宋" w:cs="仿宋"/>
                <w:szCs w:val="24"/>
              </w:rPr>
            </w:pPr>
            <w:r>
              <w:rPr>
                <w:rStyle w:val="163"/>
                <w:rFonts w:hint="eastAsia" w:ascii="仿宋" w:hAnsi="仿宋" w:eastAsia="仿宋" w:cs="仿宋"/>
                <w:szCs w:val="24"/>
              </w:rPr>
              <w:t>参数名称</w:t>
            </w:r>
          </w:p>
        </w:tc>
        <w:tc>
          <w:tcPr>
            <w:tcW w:w="570"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257986D2">
            <w:pPr>
              <w:spacing w:after="120"/>
              <w:ind w:firstLine="0" w:firstLineChars="0"/>
              <w:rPr>
                <w:rFonts w:ascii="仿宋" w:hAnsi="仿宋" w:eastAsia="仿宋" w:cs="仿宋"/>
                <w:szCs w:val="24"/>
              </w:rPr>
            </w:pPr>
            <w:r>
              <w:rPr>
                <w:rStyle w:val="163"/>
                <w:rFonts w:hint="eastAsia" w:ascii="仿宋" w:hAnsi="仿宋" w:eastAsia="仿宋" w:cs="仿宋"/>
                <w:szCs w:val="24"/>
              </w:rPr>
              <w:t>参数类型</w:t>
            </w:r>
          </w:p>
        </w:tc>
        <w:tc>
          <w:tcPr>
            <w:tcW w:w="500"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6A3D7E9B">
            <w:pPr>
              <w:spacing w:after="120"/>
              <w:ind w:firstLine="0" w:firstLineChars="0"/>
              <w:rPr>
                <w:rFonts w:ascii="仿宋" w:hAnsi="仿宋" w:eastAsia="仿宋" w:cs="仿宋"/>
                <w:szCs w:val="24"/>
              </w:rPr>
            </w:pPr>
            <w:r>
              <w:rPr>
                <w:rStyle w:val="163"/>
                <w:rFonts w:hint="eastAsia" w:ascii="仿宋" w:hAnsi="仿宋" w:eastAsia="仿宋" w:cs="仿宋"/>
                <w:szCs w:val="24"/>
              </w:rPr>
              <w:t>是否必须</w:t>
            </w:r>
          </w:p>
        </w:tc>
        <w:tc>
          <w:tcPr>
            <w:tcW w:w="1784"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35E05D3E">
            <w:pPr>
              <w:spacing w:after="120"/>
              <w:rPr>
                <w:rFonts w:ascii="仿宋" w:hAnsi="仿宋" w:eastAsia="仿宋" w:cs="仿宋"/>
                <w:szCs w:val="24"/>
              </w:rPr>
            </w:pPr>
            <w:r>
              <w:rPr>
                <w:rStyle w:val="163"/>
                <w:rFonts w:hint="eastAsia" w:ascii="仿宋" w:hAnsi="仿宋" w:eastAsia="仿宋" w:cs="仿宋"/>
                <w:szCs w:val="24"/>
              </w:rPr>
              <w:t>参数说明</w:t>
            </w:r>
          </w:p>
        </w:tc>
        <w:tc>
          <w:tcPr>
            <w:tcW w:w="356"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55374EA9">
            <w:pPr>
              <w:spacing w:after="120"/>
              <w:ind w:firstLine="0" w:firstLineChars="0"/>
              <w:rPr>
                <w:rFonts w:ascii="仿宋" w:hAnsi="仿宋" w:eastAsia="仿宋" w:cs="仿宋"/>
                <w:szCs w:val="24"/>
              </w:rPr>
            </w:pPr>
            <w:r>
              <w:rPr>
                <w:rStyle w:val="163"/>
                <w:rFonts w:hint="eastAsia" w:ascii="仿宋" w:hAnsi="仿宋" w:eastAsia="仿宋" w:cs="仿宋"/>
                <w:szCs w:val="24"/>
              </w:rPr>
              <w:t>默认值</w:t>
            </w:r>
          </w:p>
        </w:tc>
        <w:tc>
          <w:tcPr>
            <w:tcW w:w="259" w:type="pct"/>
            <w:tcBorders>
              <w:top w:val="single" w:color="D9D9D9" w:sz="6" w:space="0"/>
              <w:left w:val="single" w:color="D9D9D9" w:sz="6" w:space="0"/>
              <w:bottom w:val="single" w:color="D9D9D9" w:sz="6" w:space="0"/>
              <w:right w:val="single" w:color="D9D9D9" w:sz="6" w:space="0"/>
            </w:tcBorders>
            <w:shd w:val="clear" w:color="auto" w:fill="D4EEFC"/>
            <w:vAlign w:val="center"/>
          </w:tcPr>
          <w:p w14:paraId="31FB08E5">
            <w:pPr>
              <w:spacing w:after="120"/>
              <w:ind w:firstLine="0" w:firstLineChars="0"/>
              <w:rPr>
                <w:rFonts w:ascii="仿宋" w:hAnsi="仿宋" w:eastAsia="仿宋" w:cs="仿宋"/>
                <w:szCs w:val="24"/>
              </w:rPr>
            </w:pPr>
            <w:r>
              <w:rPr>
                <w:rStyle w:val="163"/>
                <w:rFonts w:hint="eastAsia" w:ascii="仿宋" w:hAnsi="仿宋" w:eastAsia="仿宋" w:cs="仿宋"/>
                <w:szCs w:val="24"/>
              </w:rPr>
              <w:t>示例</w:t>
            </w:r>
          </w:p>
        </w:tc>
      </w:tr>
      <w:tr w14:paraId="5083261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58A6552F">
            <w:pPr>
              <w:spacing w:after="120"/>
              <w:rPr>
                <w:rFonts w:ascii="仿宋" w:hAnsi="仿宋" w:eastAsia="仿宋" w:cs="仿宋"/>
                <w:szCs w:val="24"/>
              </w:rPr>
            </w:pPr>
            <w:r>
              <w:rPr>
                <w:rStyle w:val="163"/>
                <w:rFonts w:hint="eastAsia" w:ascii="仿宋" w:hAnsi="仿宋" w:eastAsia="仿宋" w:cs="仿宋"/>
                <w:szCs w:val="24"/>
              </w:rPr>
              <w:t>id</w:t>
            </w:r>
          </w:p>
        </w:tc>
        <w:tc>
          <w:tcPr>
            <w:tcW w:w="570" w:type="pct"/>
            <w:tcBorders>
              <w:top w:val="single" w:color="D9D9D9" w:sz="6" w:space="0"/>
              <w:left w:val="single" w:color="D9D9D9" w:sz="6" w:space="0"/>
              <w:bottom w:val="single" w:color="D9D9D9" w:sz="6" w:space="0"/>
              <w:right w:val="single" w:color="D9D9D9" w:sz="6" w:space="0"/>
            </w:tcBorders>
            <w:vAlign w:val="center"/>
          </w:tcPr>
          <w:p w14:paraId="400B90B1">
            <w:pPr>
              <w:spacing w:after="120"/>
              <w:ind w:firstLine="0" w:firstLineChars="0"/>
              <w:rPr>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7C88E781">
            <w:pPr>
              <w:spacing w:after="120"/>
              <w:ind w:firstLine="0" w:firstLineChars="0"/>
              <w:rPr>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32532FA0">
            <w:pPr>
              <w:spacing w:after="120"/>
              <w:rPr>
                <w:rFonts w:ascii="仿宋" w:hAnsi="仿宋" w:eastAsia="仿宋" w:cs="仿宋"/>
                <w:szCs w:val="24"/>
              </w:rPr>
            </w:pPr>
            <w:r>
              <w:rPr>
                <w:rStyle w:val="163"/>
                <w:rFonts w:hint="eastAsia" w:ascii="仿宋" w:hAnsi="仿宋" w:eastAsia="仿宋" w:cs="仿宋"/>
                <w:szCs w:val="24"/>
              </w:rPr>
              <w:t>id</w:t>
            </w:r>
          </w:p>
        </w:tc>
        <w:tc>
          <w:tcPr>
            <w:tcW w:w="356" w:type="pct"/>
            <w:tcBorders>
              <w:top w:val="single" w:color="D9D9D9" w:sz="6" w:space="0"/>
              <w:left w:val="single" w:color="D9D9D9" w:sz="6" w:space="0"/>
              <w:bottom w:val="single" w:color="D9D9D9" w:sz="6" w:space="0"/>
              <w:right w:val="single" w:color="D9D9D9" w:sz="6" w:space="0"/>
            </w:tcBorders>
            <w:vAlign w:val="center"/>
          </w:tcPr>
          <w:p w14:paraId="1F16D924">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406DC915">
            <w:pPr>
              <w:spacing w:after="120"/>
              <w:rPr>
                <w:rFonts w:ascii="仿宋" w:hAnsi="仿宋" w:eastAsia="仿宋" w:cs="仿宋"/>
                <w:szCs w:val="24"/>
              </w:rPr>
            </w:pPr>
          </w:p>
        </w:tc>
      </w:tr>
      <w:tr w14:paraId="74E083F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471EACE9">
            <w:pPr>
              <w:spacing w:after="120"/>
              <w:rPr>
                <w:rFonts w:ascii="仿宋" w:hAnsi="仿宋" w:eastAsia="仿宋" w:cs="仿宋"/>
                <w:szCs w:val="24"/>
              </w:rPr>
            </w:pPr>
            <w:r>
              <w:rPr>
                <w:rStyle w:val="163"/>
                <w:rFonts w:hint="eastAsia" w:ascii="仿宋" w:hAnsi="仿宋" w:eastAsia="仿宋" w:cs="仿宋"/>
                <w:szCs w:val="24"/>
              </w:rPr>
              <w:t>sn</w:t>
            </w:r>
          </w:p>
        </w:tc>
        <w:tc>
          <w:tcPr>
            <w:tcW w:w="570" w:type="pct"/>
            <w:tcBorders>
              <w:top w:val="single" w:color="D9D9D9" w:sz="6" w:space="0"/>
              <w:left w:val="single" w:color="D9D9D9" w:sz="6" w:space="0"/>
              <w:bottom w:val="single" w:color="D9D9D9" w:sz="6" w:space="0"/>
              <w:right w:val="single" w:color="D9D9D9" w:sz="6" w:space="0"/>
            </w:tcBorders>
            <w:vAlign w:val="center"/>
          </w:tcPr>
          <w:p w14:paraId="51B3C43C">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500" w:type="pct"/>
            <w:tcBorders>
              <w:top w:val="single" w:color="D9D9D9" w:sz="6" w:space="0"/>
              <w:left w:val="single" w:color="D9D9D9" w:sz="6" w:space="0"/>
              <w:bottom w:val="single" w:color="D9D9D9" w:sz="6" w:space="0"/>
              <w:right w:val="single" w:color="D9D9D9" w:sz="6" w:space="0"/>
            </w:tcBorders>
            <w:vAlign w:val="center"/>
          </w:tcPr>
          <w:p w14:paraId="04621AD9">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3EE53C9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升降机编号</w:t>
            </w:r>
          </w:p>
        </w:tc>
        <w:tc>
          <w:tcPr>
            <w:tcW w:w="356" w:type="pct"/>
            <w:tcBorders>
              <w:top w:val="single" w:color="D9D9D9" w:sz="6" w:space="0"/>
              <w:left w:val="single" w:color="D9D9D9" w:sz="6" w:space="0"/>
              <w:bottom w:val="single" w:color="D9D9D9" w:sz="6" w:space="0"/>
              <w:right w:val="single" w:color="D9D9D9" w:sz="6" w:space="0"/>
            </w:tcBorders>
            <w:vAlign w:val="center"/>
          </w:tcPr>
          <w:p w14:paraId="5B62B966">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398ED254">
            <w:pPr>
              <w:spacing w:after="120"/>
              <w:rPr>
                <w:rFonts w:ascii="仿宋" w:hAnsi="仿宋" w:eastAsia="仿宋" w:cs="仿宋"/>
                <w:szCs w:val="24"/>
              </w:rPr>
            </w:pPr>
          </w:p>
        </w:tc>
      </w:tr>
      <w:tr w14:paraId="0B55D39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03E7993A">
            <w:pPr>
              <w:spacing w:after="120"/>
              <w:rPr>
                <w:rFonts w:ascii="仿宋" w:hAnsi="仿宋" w:eastAsia="仿宋" w:cs="仿宋"/>
                <w:szCs w:val="24"/>
              </w:rPr>
            </w:pPr>
            <w:r>
              <w:rPr>
                <w:rStyle w:val="163"/>
                <w:rFonts w:hint="eastAsia" w:ascii="仿宋" w:hAnsi="仿宋" w:eastAsia="仿宋" w:cs="仿宋"/>
                <w:szCs w:val="24"/>
              </w:rPr>
              <w:t>Angle</w:t>
            </w:r>
          </w:p>
        </w:tc>
        <w:tc>
          <w:tcPr>
            <w:tcW w:w="570" w:type="pct"/>
            <w:tcBorders>
              <w:top w:val="single" w:color="D9D9D9" w:sz="6" w:space="0"/>
              <w:left w:val="single" w:color="D9D9D9" w:sz="6" w:space="0"/>
              <w:bottom w:val="single" w:color="D9D9D9" w:sz="6" w:space="0"/>
              <w:right w:val="single" w:color="D9D9D9" w:sz="6" w:space="0"/>
            </w:tcBorders>
            <w:vAlign w:val="center"/>
          </w:tcPr>
          <w:p w14:paraId="403B07D6">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500" w:type="pct"/>
            <w:tcBorders>
              <w:top w:val="single" w:color="D9D9D9" w:sz="6" w:space="0"/>
              <w:left w:val="single" w:color="D9D9D9" w:sz="6" w:space="0"/>
              <w:bottom w:val="single" w:color="D9D9D9" w:sz="6" w:space="0"/>
              <w:right w:val="single" w:color="D9D9D9" w:sz="6" w:space="0"/>
            </w:tcBorders>
            <w:vAlign w:val="center"/>
          </w:tcPr>
          <w:p w14:paraId="586BD80A">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1B2F5CD2">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倾角（度）</w:t>
            </w:r>
          </w:p>
        </w:tc>
        <w:tc>
          <w:tcPr>
            <w:tcW w:w="356" w:type="pct"/>
            <w:tcBorders>
              <w:top w:val="single" w:color="D9D9D9" w:sz="6" w:space="0"/>
              <w:left w:val="single" w:color="D9D9D9" w:sz="6" w:space="0"/>
              <w:bottom w:val="single" w:color="D9D9D9" w:sz="6" w:space="0"/>
              <w:right w:val="single" w:color="D9D9D9" w:sz="6" w:space="0"/>
            </w:tcBorders>
            <w:vAlign w:val="center"/>
          </w:tcPr>
          <w:p w14:paraId="0BC0D9F8">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51EDE1CE">
            <w:pPr>
              <w:spacing w:after="120"/>
              <w:rPr>
                <w:rFonts w:ascii="仿宋" w:hAnsi="仿宋" w:eastAsia="仿宋" w:cs="仿宋"/>
                <w:szCs w:val="24"/>
              </w:rPr>
            </w:pPr>
          </w:p>
        </w:tc>
      </w:tr>
      <w:tr w14:paraId="1664060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7B20653D">
            <w:pPr>
              <w:spacing w:after="120"/>
              <w:rPr>
                <w:rFonts w:ascii="仿宋" w:hAnsi="仿宋" w:eastAsia="仿宋" w:cs="仿宋"/>
                <w:szCs w:val="24"/>
              </w:rPr>
            </w:pPr>
            <w:r>
              <w:rPr>
                <w:rStyle w:val="163"/>
                <w:rFonts w:hint="eastAsia" w:ascii="仿宋" w:hAnsi="仿宋" w:eastAsia="仿宋" w:cs="仿宋"/>
                <w:szCs w:val="24"/>
              </w:rPr>
              <w:t>FloorNo</w:t>
            </w:r>
          </w:p>
        </w:tc>
        <w:tc>
          <w:tcPr>
            <w:tcW w:w="570" w:type="pct"/>
            <w:tcBorders>
              <w:top w:val="single" w:color="D9D9D9" w:sz="6" w:space="0"/>
              <w:left w:val="single" w:color="D9D9D9" w:sz="6" w:space="0"/>
              <w:bottom w:val="single" w:color="D9D9D9" w:sz="6" w:space="0"/>
              <w:right w:val="single" w:color="D9D9D9" w:sz="6" w:space="0"/>
            </w:tcBorders>
            <w:vAlign w:val="center"/>
          </w:tcPr>
          <w:p w14:paraId="221880A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6C60819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523C02E1">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楼层号</w:t>
            </w:r>
          </w:p>
        </w:tc>
        <w:tc>
          <w:tcPr>
            <w:tcW w:w="356" w:type="pct"/>
            <w:tcBorders>
              <w:top w:val="single" w:color="D9D9D9" w:sz="6" w:space="0"/>
              <w:left w:val="single" w:color="D9D9D9" w:sz="6" w:space="0"/>
              <w:bottom w:val="single" w:color="D9D9D9" w:sz="6" w:space="0"/>
              <w:right w:val="single" w:color="D9D9D9" w:sz="6" w:space="0"/>
            </w:tcBorders>
            <w:vAlign w:val="center"/>
          </w:tcPr>
          <w:p w14:paraId="6B224CE7">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7BA739EC">
            <w:pPr>
              <w:spacing w:after="120"/>
              <w:rPr>
                <w:rFonts w:ascii="仿宋" w:hAnsi="仿宋" w:eastAsia="仿宋" w:cs="仿宋"/>
                <w:szCs w:val="24"/>
              </w:rPr>
            </w:pPr>
          </w:p>
        </w:tc>
      </w:tr>
      <w:tr w14:paraId="764E919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21ED0D28">
            <w:pPr>
              <w:spacing w:after="120"/>
              <w:rPr>
                <w:rFonts w:ascii="仿宋" w:hAnsi="仿宋" w:eastAsia="仿宋" w:cs="仿宋"/>
                <w:szCs w:val="24"/>
              </w:rPr>
            </w:pPr>
            <w:r>
              <w:rPr>
                <w:rStyle w:val="163"/>
                <w:rFonts w:hint="eastAsia" w:ascii="仿宋" w:hAnsi="仿宋" w:eastAsia="仿宋" w:cs="仿宋"/>
                <w:szCs w:val="24"/>
              </w:rPr>
              <w:t>Height</w:t>
            </w:r>
          </w:p>
        </w:tc>
        <w:tc>
          <w:tcPr>
            <w:tcW w:w="570" w:type="pct"/>
            <w:tcBorders>
              <w:top w:val="single" w:color="D9D9D9" w:sz="6" w:space="0"/>
              <w:left w:val="single" w:color="D9D9D9" w:sz="6" w:space="0"/>
              <w:bottom w:val="single" w:color="D9D9D9" w:sz="6" w:space="0"/>
              <w:right w:val="single" w:color="D9D9D9" w:sz="6" w:space="0"/>
            </w:tcBorders>
            <w:vAlign w:val="center"/>
          </w:tcPr>
          <w:p w14:paraId="2528C51C">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double</w:t>
            </w:r>
          </w:p>
        </w:tc>
        <w:tc>
          <w:tcPr>
            <w:tcW w:w="500" w:type="pct"/>
            <w:tcBorders>
              <w:top w:val="single" w:color="D9D9D9" w:sz="6" w:space="0"/>
              <w:left w:val="single" w:color="D9D9D9" w:sz="6" w:space="0"/>
              <w:bottom w:val="single" w:color="D9D9D9" w:sz="6" w:space="0"/>
              <w:right w:val="single" w:color="D9D9D9" w:sz="6" w:space="0"/>
            </w:tcBorders>
            <w:vAlign w:val="center"/>
          </w:tcPr>
          <w:p w14:paraId="7BD78E94">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4F1447B2">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高度（m）</w:t>
            </w:r>
          </w:p>
        </w:tc>
        <w:tc>
          <w:tcPr>
            <w:tcW w:w="356" w:type="pct"/>
            <w:tcBorders>
              <w:top w:val="single" w:color="D9D9D9" w:sz="6" w:space="0"/>
              <w:left w:val="single" w:color="D9D9D9" w:sz="6" w:space="0"/>
              <w:bottom w:val="single" w:color="D9D9D9" w:sz="6" w:space="0"/>
              <w:right w:val="single" w:color="D9D9D9" w:sz="6" w:space="0"/>
            </w:tcBorders>
            <w:vAlign w:val="center"/>
          </w:tcPr>
          <w:p w14:paraId="2F27E808">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1344EAC0">
            <w:pPr>
              <w:spacing w:after="120"/>
              <w:rPr>
                <w:rFonts w:ascii="仿宋" w:hAnsi="仿宋" w:eastAsia="仿宋" w:cs="仿宋"/>
                <w:szCs w:val="24"/>
              </w:rPr>
            </w:pPr>
          </w:p>
        </w:tc>
      </w:tr>
      <w:tr w14:paraId="5686F22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75115BA1">
            <w:pPr>
              <w:spacing w:after="120"/>
              <w:rPr>
                <w:rFonts w:ascii="仿宋" w:hAnsi="仿宋" w:eastAsia="仿宋" w:cs="仿宋"/>
                <w:szCs w:val="24"/>
              </w:rPr>
            </w:pPr>
            <w:r>
              <w:rPr>
                <w:rStyle w:val="163"/>
                <w:rFonts w:hint="eastAsia" w:ascii="仿宋" w:hAnsi="仿宋" w:eastAsia="仿宋" w:cs="仿宋"/>
                <w:szCs w:val="24"/>
              </w:rPr>
              <w:t>PeopleNum</w:t>
            </w:r>
          </w:p>
        </w:tc>
        <w:tc>
          <w:tcPr>
            <w:tcW w:w="570" w:type="pct"/>
            <w:tcBorders>
              <w:top w:val="single" w:color="D9D9D9" w:sz="6" w:space="0"/>
              <w:left w:val="single" w:color="D9D9D9" w:sz="6" w:space="0"/>
              <w:bottom w:val="single" w:color="D9D9D9" w:sz="6" w:space="0"/>
              <w:right w:val="single" w:color="D9D9D9" w:sz="6" w:space="0"/>
            </w:tcBorders>
            <w:vAlign w:val="center"/>
          </w:tcPr>
          <w:p w14:paraId="0BA7AA57">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2210B946">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69F6F52A">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人数</w:t>
            </w:r>
          </w:p>
        </w:tc>
        <w:tc>
          <w:tcPr>
            <w:tcW w:w="356" w:type="pct"/>
            <w:tcBorders>
              <w:top w:val="single" w:color="D9D9D9" w:sz="6" w:space="0"/>
              <w:left w:val="single" w:color="D9D9D9" w:sz="6" w:space="0"/>
              <w:bottom w:val="single" w:color="D9D9D9" w:sz="6" w:space="0"/>
              <w:right w:val="single" w:color="D9D9D9" w:sz="6" w:space="0"/>
            </w:tcBorders>
            <w:vAlign w:val="center"/>
          </w:tcPr>
          <w:p w14:paraId="51E84A05">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55587B6E">
            <w:pPr>
              <w:spacing w:after="120"/>
              <w:rPr>
                <w:rFonts w:ascii="仿宋" w:hAnsi="仿宋" w:eastAsia="仿宋" w:cs="仿宋"/>
                <w:szCs w:val="24"/>
              </w:rPr>
            </w:pPr>
          </w:p>
        </w:tc>
      </w:tr>
      <w:tr w14:paraId="775E45D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6CB2AAE5">
            <w:pPr>
              <w:spacing w:after="120"/>
              <w:rPr>
                <w:rFonts w:ascii="仿宋" w:hAnsi="仿宋" w:eastAsia="仿宋" w:cs="仿宋"/>
                <w:szCs w:val="24"/>
              </w:rPr>
            </w:pPr>
            <w:r>
              <w:rPr>
                <w:rStyle w:val="163"/>
                <w:rFonts w:hint="eastAsia" w:ascii="仿宋" w:hAnsi="仿宋" w:eastAsia="仿宋" w:cs="仿宋"/>
                <w:szCs w:val="24"/>
              </w:rPr>
              <w:t>Speed</w:t>
            </w:r>
          </w:p>
        </w:tc>
        <w:tc>
          <w:tcPr>
            <w:tcW w:w="570"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241E6C9D">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double</w:t>
            </w:r>
          </w:p>
        </w:tc>
        <w:tc>
          <w:tcPr>
            <w:tcW w:w="500"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385D7FE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shd w:val="clear" w:color="auto" w:fill="auto"/>
            <w:vAlign w:val="center"/>
          </w:tcPr>
          <w:p w14:paraId="3AC718BC">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运行速度（m/s）</w:t>
            </w:r>
          </w:p>
        </w:tc>
        <w:tc>
          <w:tcPr>
            <w:tcW w:w="356"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2A286577">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shd w:val="clear" w:color="auto" w:fill="FFFFFF"/>
            <w:vAlign w:val="center"/>
          </w:tcPr>
          <w:p w14:paraId="304AD16A">
            <w:pPr>
              <w:spacing w:after="120"/>
              <w:rPr>
                <w:rFonts w:ascii="仿宋" w:hAnsi="仿宋" w:eastAsia="仿宋" w:cs="仿宋"/>
                <w:szCs w:val="24"/>
              </w:rPr>
            </w:pPr>
          </w:p>
        </w:tc>
      </w:tr>
      <w:tr w14:paraId="4BEFF10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45F0CE29">
            <w:pPr>
              <w:spacing w:after="120"/>
              <w:rPr>
                <w:rFonts w:ascii="仿宋" w:hAnsi="仿宋" w:eastAsia="仿宋" w:cs="仿宋"/>
                <w:szCs w:val="24"/>
              </w:rPr>
            </w:pPr>
            <w:r>
              <w:rPr>
                <w:rStyle w:val="163"/>
                <w:rFonts w:hint="eastAsia" w:ascii="仿宋" w:hAnsi="仿宋" w:eastAsia="仿宋" w:cs="仿宋"/>
                <w:szCs w:val="24"/>
              </w:rPr>
              <w:t>Weight</w:t>
            </w:r>
          </w:p>
        </w:tc>
        <w:tc>
          <w:tcPr>
            <w:tcW w:w="570" w:type="pct"/>
            <w:tcBorders>
              <w:top w:val="single" w:color="D9D9D9" w:sz="6" w:space="0"/>
              <w:left w:val="single" w:color="D9D9D9" w:sz="6" w:space="0"/>
              <w:bottom w:val="single" w:color="D9D9D9" w:sz="6" w:space="0"/>
              <w:right w:val="single" w:color="D9D9D9" w:sz="6" w:space="0"/>
            </w:tcBorders>
            <w:vAlign w:val="center"/>
          </w:tcPr>
          <w:p w14:paraId="721B4920">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double</w:t>
            </w:r>
          </w:p>
        </w:tc>
        <w:tc>
          <w:tcPr>
            <w:tcW w:w="500" w:type="pct"/>
            <w:tcBorders>
              <w:top w:val="single" w:color="D9D9D9" w:sz="6" w:space="0"/>
              <w:left w:val="single" w:color="D9D9D9" w:sz="6" w:space="0"/>
              <w:bottom w:val="single" w:color="D9D9D9" w:sz="6" w:space="0"/>
              <w:right w:val="single" w:color="D9D9D9" w:sz="6" w:space="0"/>
            </w:tcBorders>
            <w:vAlign w:val="center"/>
          </w:tcPr>
          <w:p w14:paraId="24F592B1">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0BD5BD91">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重量(吨)</w:t>
            </w:r>
          </w:p>
        </w:tc>
        <w:tc>
          <w:tcPr>
            <w:tcW w:w="356" w:type="pct"/>
            <w:tcBorders>
              <w:top w:val="single" w:color="D9D9D9" w:sz="6" w:space="0"/>
              <w:left w:val="single" w:color="D9D9D9" w:sz="6" w:space="0"/>
              <w:bottom w:val="single" w:color="D9D9D9" w:sz="6" w:space="0"/>
              <w:right w:val="single" w:color="D9D9D9" w:sz="6" w:space="0"/>
            </w:tcBorders>
            <w:vAlign w:val="center"/>
          </w:tcPr>
          <w:p w14:paraId="3705CA9B">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488A3C7E">
            <w:pPr>
              <w:spacing w:after="120"/>
              <w:rPr>
                <w:rFonts w:ascii="仿宋" w:hAnsi="仿宋" w:eastAsia="仿宋" w:cs="仿宋"/>
                <w:szCs w:val="24"/>
              </w:rPr>
            </w:pPr>
          </w:p>
        </w:tc>
      </w:tr>
      <w:tr w14:paraId="3BE48A6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205ABAAF">
            <w:pPr>
              <w:spacing w:after="120"/>
              <w:rPr>
                <w:rFonts w:ascii="仿宋" w:hAnsi="仿宋" w:eastAsia="仿宋" w:cs="仿宋"/>
                <w:szCs w:val="24"/>
              </w:rPr>
            </w:pPr>
            <w:r>
              <w:rPr>
                <w:rStyle w:val="163"/>
                <w:rFonts w:hint="eastAsia" w:ascii="仿宋" w:hAnsi="仿宋" w:eastAsia="仿宋" w:cs="仿宋"/>
                <w:szCs w:val="24"/>
              </w:rPr>
              <w:t>Time</w:t>
            </w:r>
          </w:p>
        </w:tc>
        <w:tc>
          <w:tcPr>
            <w:tcW w:w="570" w:type="pct"/>
            <w:tcBorders>
              <w:top w:val="single" w:color="D9D9D9" w:sz="6" w:space="0"/>
              <w:left w:val="single" w:color="D9D9D9" w:sz="6" w:space="0"/>
              <w:bottom w:val="single" w:color="D9D9D9" w:sz="6" w:space="0"/>
              <w:right w:val="single" w:color="D9D9D9" w:sz="6" w:space="0"/>
            </w:tcBorders>
            <w:vAlign w:val="center"/>
          </w:tcPr>
          <w:p w14:paraId="51399E70">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500" w:type="pct"/>
            <w:tcBorders>
              <w:top w:val="single" w:color="D9D9D9" w:sz="6" w:space="0"/>
              <w:left w:val="single" w:color="D9D9D9" w:sz="6" w:space="0"/>
              <w:bottom w:val="single" w:color="D9D9D9" w:sz="6" w:space="0"/>
              <w:right w:val="single" w:color="D9D9D9" w:sz="6" w:space="0"/>
            </w:tcBorders>
            <w:vAlign w:val="center"/>
          </w:tcPr>
          <w:p w14:paraId="3FA78EF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20CE94D7">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采集时间</w:t>
            </w:r>
          </w:p>
        </w:tc>
        <w:tc>
          <w:tcPr>
            <w:tcW w:w="356" w:type="pct"/>
            <w:tcBorders>
              <w:top w:val="single" w:color="D9D9D9" w:sz="6" w:space="0"/>
              <w:left w:val="single" w:color="D9D9D9" w:sz="6" w:space="0"/>
              <w:bottom w:val="single" w:color="D9D9D9" w:sz="6" w:space="0"/>
              <w:right w:val="single" w:color="D9D9D9" w:sz="6" w:space="0"/>
            </w:tcBorders>
            <w:vAlign w:val="center"/>
          </w:tcPr>
          <w:p w14:paraId="704E9064">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503DDB21">
            <w:pPr>
              <w:spacing w:after="120"/>
              <w:rPr>
                <w:rFonts w:ascii="仿宋" w:hAnsi="仿宋" w:eastAsia="仿宋" w:cs="仿宋"/>
                <w:szCs w:val="24"/>
              </w:rPr>
            </w:pPr>
          </w:p>
        </w:tc>
      </w:tr>
      <w:tr w14:paraId="085272F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5A067DEC">
            <w:pPr>
              <w:spacing w:after="120"/>
              <w:rPr>
                <w:rFonts w:ascii="仿宋" w:hAnsi="仿宋" w:eastAsia="仿宋" w:cs="仿宋"/>
                <w:szCs w:val="24"/>
              </w:rPr>
            </w:pPr>
            <w:r>
              <w:rPr>
                <w:rStyle w:val="163"/>
                <w:rFonts w:hint="eastAsia" w:ascii="仿宋" w:hAnsi="仿宋" w:eastAsia="仿宋" w:cs="仿宋"/>
                <w:szCs w:val="24"/>
              </w:rPr>
              <w:t>IsAlarm</w:t>
            </w:r>
          </w:p>
        </w:tc>
        <w:tc>
          <w:tcPr>
            <w:tcW w:w="570" w:type="pct"/>
            <w:tcBorders>
              <w:top w:val="single" w:color="D9D9D9" w:sz="6" w:space="0"/>
              <w:left w:val="single" w:color="D9D9D9" w:sz="6" w:space="0"/>
              <w:bottom w:val="single" w:color="D9D9D9" w:sz="6" w:space="0"/>
              <w:right w:val="single" w:color="D9D9D9" w:sz="6" w:space="0"/>
            </w:tcBorders>
            <w:vAlign w:val="center"/>
          </w:tcPr>
          <w:p w14:paraId="0535F1C0">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500" w:type="pct"/>
            <w:tcBorders>
              <w:top w:val="single" w:color="D9D9D9" w:sz="6" w:space="0"/>
              <w:left w:val="single" w:color="D9D9D9" w:sz="6" w:space="0"/>
              <w:bottom w:val="single" w:color="D9D9D9" w:sz="6" w:space="0"/>
              <w:right w:val="single" w:color="D9D9D9" w:sz="6" w:space="0"/>
            </w:tcBorders>
            <w:vAlign w:val="center"/>
          </w:tcPr>
          <w:p w14:paraId="1397F3C3">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0B110F14">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是否报警（0正常1报警2预警）</w:t>
            </w:r>
          </w:p>
        </w:tc>
        <w:tc>
          <w:tcPr>
            <w:tcW w:w="356" w:type="pct"/>
            <w:tcBorders>
              <w:top w:val="single" w:color="D9D9D9" w:sz="6" w:space="0"/>
              <w:left w:val="single" w:color="D9D9D9" w:sz="6" w:space="0"/>
              <w:bottom w:val="single" w:color="D9D9D9" w:sz="6" w:space="0"/>
              <w:right w:val="single" w:color="D9D9D9" w:sz="6" w:space="0"/>
            </w:tcBorders>
            <w:vAlign w:val="center"/>
          </w:tcPr>
          <w:p w14:paraId="2177AD82">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1A01BD0C">
            <w:pPr>
              <w:spacing w:after="120"/>
              <w:rPr>
                <w:rFonts w:ascii="仿宋" w:hAnsi="仿宋" w:eastAsia="仿宋" w:cs="仿宋"/>
                <w:szCs w:val="24"/>
              </w:rPr>
            </w:pPr>
          </w:p>
        </w:tc>
      </w:tr>
      <w:tr w14:paraId="6A44283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24429AF8">
            <w:pPr>
              <w:spacing w:after="120"/>
              <w:rPr>
                <w:rFonts w:ascii="仿宋" w:hAnsi="仿宋" w:eastAsia="仿宋" w:cs="仿宋"/>
                <w:szCs w:val="24"/>
              </w:rPr>
            </w:pPr>
            <w:r>
              <w:rPr>
                <w:rStyle w:val="163"/>
                <w:rFonts w:hint="eastAsia" w:ascii="仿宋" w:hAnsi="仿宋" w:eastAsia="仿宋" w:cs="仿宋"/>
                <w:szCs w:val="24"/>
              </w:rPr>
              <w:t>AL_Authority</w:t>
            </w:r>
          </w:p>
        </w:tc>
        <w:tc>
          <w:tcPr>
            <w:tcW w:w="570" w:type="pct"/>
            <w:tcBorders>
              <w:top w:val="single" w:color="D9D9D9" w:sz="6" w:space="0"/>
              <w:left w:val="single" w:color="D9D9D9" w:sz="6" w:space="0"/>
              <w:bottom w:val="single" w:color="D9D9D9" w:sz="6" w:space="0"/>
              <w:right w:val="single" w:color="D9D9D9" w:sz="6" w:space="0"/>
            </w:tcBorders>
            <w:vAlign w:val="center"/>
          </w:tcPr>
          <w:p w14:paraId="57DF511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2FFF968D">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24D7172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身份证验证(0正常1报警)</w:t>
            </w:r>
          </w:p>
        </w:tc>
        <w:tc>
          <w:tcPr>
            <w:tcW w:w="356" w:type="pct"/>
            <w:tcBorders>
              <w:top w:val="single" w:color="D9D9D9" w:sz="6" w:space="0"/>
              <w:left w:val="single" w:color="D9D9D9" w:sz="6" w:space="0"/>
              <w:bottom w:val="single" w:color="D9D9D9" w:sz="6" w:space="0"/>
              <w:right w:val="single" w:color="D9D9D9" w:sz="6" w:space="0"/>
            </w:tcBorders>
            <w:vAlign w:val="center"/>
          </w:tcPr>
          <w:p w14:paraId="68287D83">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631C0680">
            <w:pPr>
              <w:spacing w:after="120"/>
              <w:rPr>
                <w:rFonts w:ascii="仿宋" w:hAnsi="仿宋" w:eastAsia="仿宋" w:cs="仿宋"/>
                <w:szCs w:val="24"/>
              </w:rPr>
            </w:pPr>
          </w:p>
        </w:tc>
      </w:tr>
      <w:tr w14:paraId="1CCCA91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77A84295">
            <w:pPr>
              <w:spacing w:after="120"/>
              <w:rPr>
                <w:rFonts w:ascii="仿宋" w:hAnsi="仿宋" w:eastAsia="仿宋" w:cs="仿宋"/>
                <w:szCs w:val="24"/>
              </w:rPr>
            </w:pPr>
            <w:r>
              <w:rPr>
                <w:rStyle w:val="163"/>
                <w:rFonts w:hint="eastAsia" w:ascii="仿宋" w:hAnsi="仿宋" w:eastAsia="仿宋" w:cs="仿宋"/>
                <w:szCs w:val="24"/>
              </w:rPr>
              <w:t>AL_BackDoorLockState</w:t>
            </w:r>
          </w:p>
        </w:tc>
        <w:tc>
          <w:tcPr>
            <w:tcW w:w="570" w:type="pct"/>
            <w:tcBorders>
              <w:top w:val="single" w:color="D9D9D9" w:sz="6" w:space="0"/>
              <w:left w:val="single" w:color="D9D9D9" w:sz="6" w:space="0"/>
              <w:bottom w:val="single" w:color="D9D9D9" w:sz="6" w:space="0"/>
              <w:right w:val="single" w:color="D9D9D9" w:sz="6" w:space="0"/>
            </w:tcBorders>
            <w:vAlign w:val="center"/>
          </w:tcPr>
          <w:p w14:paraId="5ABAE65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001DD7A2">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75930024">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后门锁状态 0 正常 1、2后门锁未关</w:t>
            </w:r>
          </w:p>
        </w:tc>
        <w:tc>
          <w:tcPr>
            <w:tcW w:w="356" w:type="pct"/>
            <w:tcBorders>
              <w:top w:val="single" w:color="D9D9D9" w:sz="6" w:space="0"/>
              <w:left w:val="single" w:color="D9D9D9" w:sz="6" w:space="0"/>
              <w:bottom w:val="single" w:color="D9D9D9" w:sz="6" w:space="0"/>
              <w:right w:val="single" w:color="D9D9D9" w:sz="6" w:space="0"/>
            </w:tcBorders>
            <w:vAlign w:val="center"/>
          </w:tcPr>
          <w:p w14:paraId="2B87FEBC">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7F5F14D3">
            <w:pPr>
              <w:spacing w:after="120"/>
              <w:rPr>
                <w:rFonts w:ascii="仿宋" w:hAnsi="仿宋" w:eastAsia="仿宋" w:cs="仿宋"/>
                <w:szCs w:val="24"/>
              </w:rPr>
            </w:pPr>
          </w:p>
        </w:tc>
      </w:tr>
      <w:tr w14:paraId="130A22C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350205FC">
            <w:pPr>
              <w:spacing w:after="120"/>
              <w:ind w:firstLine="0" w:firstLineChars="0"/>
              <w:rPr>
                <w:rFonts w:ascii="仿宋" w:hAnsi="仿宋" w:eastAsia="仿宋" w:cs="仿宋"/>
                <w:szCs w:val="24"/>
              </w:rPr>
            </w:pPr>
            <w:r>
              <w:rPr>
                <w:rStyle w:val="163"/>
                <w:rFonts w:hint="eastAsia" w:ascii="仿宋" w:hAnsi="仿宋" w:eastAsia="仿宋" w:cs="仿宋"/>
                <w:szCs w:val="24"/>
              </w:rPr>
              <w:t>AL_FrontDoorLockState</w:t>
            </w:r>
          </w:p>
        </w:tc>
        <w:tc>
          <w:tcPr>
            <w:tcW w:w="570" w:type="pct"/>
            <w:tcBorders>
              <w:top w:val="single" w:color="D9D9D9" w:sz="6" w:space="0"/>
              <w:left w:val="single" w:color="D9D9D9" w:sz="6" w:space="0"/>
              <w:bottom w:val="single" w:color="D9D9D9" w:sz="6" w:space="0"/>
              <w:right w:val="single" w:color="D9D9D9" w:sz="6" w:space="0"/>
            </w:tcBorders>
            <w:vAlign w:val="center"/>
          </w:tcPr>
          <w:p w14:paraId="7A848623">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4FB35FF2">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096F097A">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前门锁状态 0 正常 1、2前门锁未关</w:t>
            </w:r>
          </w:p>
        </w:tc>
        <w:tc>
          <w:tcPr>
            <w:tcW w:w="356" w:type="pct"/>
            <w:tcBorders>
              <w:top w:val="single" w:color="D9D9D9" w:sz="6" w:space="0"/>
              <w:left w:val="single" w:color="D9D9D9" w:sz="6" w:space="0"/>
              <w:bottom w:val="single" w:color="D9D9D9" w:sz="6" w:space="0"/>
              <w:right w:val="single" w:color="D9D9D9" w:sz="6" w:space="0"/>
            </w:tcBorders>
            <w:vAlign w:val="center"/>
          </w:tcPr>
          <w:p w14:paraId="0F7998D2">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4683548D">
            <w:pPr>
              <w:spacing w:after="120"/>
              <w:rPr>
                <w:rFonts w:ascii="仿宋" w:hAnsi="仿宋" w:eastAsia="仿宋" w:cs="仿宋"/>
                <w:szCs w:val="24"/>
              </w:rPr>
            </w:pPr>
          </w:p>
        </w:tc>
      </w:tr>
      <w:tr w14:paraId="07B3B56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395EA30A">
            <w:pPr>
              <w:spacing w:after="120"/>
              <w:rPr>
                <w:rFonts w:ascii="仿宋" w:hAnsi="仿宋" w:eastAsia="仿宋" w:cs="仿宋"/>
                <w:szCs w:val="24"/>
              </w:rPr>
            </w:pPr>
            <w:r>
              <w:rPr>
                <w:rStyle w:val="163"/>
                <w:rFonts w:hint="eastAsia" w:ascii="仿宋" w:hAnsi="仿宋" w:eastAsia="仿宋" w:cs="仿宋"/>
                <w:szCs w:val="24"/>
              </w:rPr>
              <w:t>AL_PeopleNum</w:t>
            </w:r>
          </w:p>
        </w:tc>
        <w:tc>
          <w:tcPr>
            <w:tcW w:w="570" w:type="pct"/>
            <w:tcBorders>
              <w:top w:val="single" w:color="D9D9D9" w:sz="6" w:space="0"/>
              <w:left w:val="single" w:color="D9D9D9" w:sz="6" w:space="0"/>
              <w:bottom w:val="single" w:color="D9D9D9" w:sz="6" w:space="0"/>
              <w:right w:val="single" w:color="D9D9D9" w:sz="6" w:space="0"/>
            </w:tcBorders>
            <w:vAlign w:val="center"/>
          </w:tcPr>
          <w:p w14:paraId="18161D79">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405EE6A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3CD195F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人数预警级别(0正常1报警)</w:t>
            </w:r>
          </w:p>
        </w:tc>
        <w:tc>
          <w:tcPr>
            <w:tcW w:w="356" w:type="pct"/>
            <w:tcBorders>
              <w:top w:val="single" w:color="D9D9D9" w:sz="6" w:space="0"/>
              <w:left w:val="single" w:color="D9D9D9" w:sz="6" w:space="0"/>
              <w:bottom w:val="single" w:color="D9D9D9" w:sz="6" w:space="0"/>
              <w:right w:val="single" w:color="D9D9D9" w:sz="6" w:space="0"/>
            </w:tcBorders>
            <w:vAlign w:val="center"/>
          </w:tcPr>
          <w:p w14:paraId="7E065750">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7897FC36">
            <w:pPr>
              <w:spacing w:after="120"/>
              <w:rPr>
                <w:rFonts w:ascii="仿宋" w:hAnsi="仿宋" w:eastAsia="仿宋" w:cs="仿宋"/>
                <w:szCs w:val="24"/>
              </w:rPr>
            </w:pPr>
          </w:p>
        </w:tc>
      </w:tr>
      <w:tr w14:paraId="4CCDDF9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56E19F31">
            <w:pPr>
              <w:spacing w:after="120"/>
              <w:rPr>
                <w:rFonts w:ascii="仿宋" w:hAnsi="仿宋" w:eastAsia="仿宋" w:cs="仿宋"/>
                <w:szCs w:val="24"/>
              </w:rPr>
            </w:pPr>
            <w:r>
              <w:rPr>
                <w:rStyle w:val="163"/>
                <w:rFonts w:hint="eastAsia" w:ascii="仿宋" w:hAnsi="仿宋" w:eastAsia="仿宋" w:cs="仿宋"/>
                <w:szCs w:val="24"/>
              </w:rPr>
              <w:t>AL_Speed</w:t>
            </w:r>
          </w:p>
        </w:tc>
        <w:tc>
          <w:tcPr>
            <w:tcW w:w="570" w:type="pct"/>
            <w:tcBorders>
              <w:top w:val="single" w:color="D9D9D9" w:sz="6" w:space="0"/>
              <w:left w:val="single" w:color="D9D9D9" w:sz="6" w:space="0"/>
              <w:bottom w:val="single" w:color="D9D9D9" w:sz="6" w:space="0"/>
              <w:right w:val="single" w:color="D9D9D9" w:sz="6" w:space="0"/>
            </w:tcBorders>
            <w:vAlign w:val="center"/>
          </w:tcPr>
          <w:p w14:paraId="14748B9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4BEE3E5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72979D23">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速度预警级别(0正常，1报警2预警)</w:t>
            </w:r>
          </w:p>
        </w:tc>
        <w:tc>
          <w:tcPr>
            <w:tcW w:w="356" w:type="pct"/>
            <w:tcBorders>
              <w:top w:val="single" w:color="D9D9D9" w:sz="6" w:space="0"/>
              <w:left w:val="single" w:color="D9D9D9" w:sz="6" w:space="0"/>
              <w:bottom w:val="single" w:color="D9D9D9" w:sz="6" w:space="0"/>
              <w:right w:val="single" w:color="D9D9D9" w:sz="6" w:space="0"/>
            </w:tcBorders>
            <w:vAlign w:val="center"/>
          </w:tcPr>
          <w:p w14:paraId="175673A5">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58D6C526">
            <w:pPr>
              <w:spacing w:after="120"/>
              <w:rPr>
                <w:rFonts w:ascii="仿宋" w:hAnsi="仿宋" w:eastAsia="仿宋" w:cs="仿宋"/>
                <w:szCs w:val="24"/>
              </w:rPr>
            </w:pPr>
          </w:p>
        </w:tc>
      </w:tr>
      <w:tr w14:paraId="60B285E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52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24F5AA46">
            <w:pPr>
              <w:spacing w:after="120"/>
              <w:rPr>
                <w:rFonts w:ascii="仿宋" w:hAnsi="仿宋" w:eastAsia="仿宋" w:cs="仿宋"/>
                <w:szCs w:val="24"/>
              </w:rPr>
            </w:pPr>
            <w:r>
              <w:rPr>
                <w:rStyle w:val="163"/>
                <w:rFonts w:hint="eastAsia" w:ascii="仿宋" w:hAnsi="仿宋" w:eastAsia="仿宋" w:cs="仿宋"/>
                <w:szCs w:val="24"/>
              </w:rPr>
              <w:t>AL_Incline</w:t>
            </w:r>
          </w:p>
        </w:tc>
        <w:tc>
          <w:tcPr>
            <w:tcW w:w="570" w:type="pct"/>
            <w:tcBorders>
              <w:top w:val="single" w:color="D9D9D9" w:sz="6" w:space="0"/>
              <w:left w:val="single" w:color="D9D9D9" w:sz="6" w:space="0"/>
              <w:bottom w:val="single" w:color="D9D9D9" w:sz="6" w:space="0"/>
              <w:right w:val="single" w:color="D9D9D9" w:sz="6" w:space="0"/>
            </w:tcBorders>
            <w:vAlign w:val="center"/>
          </w:tcPr>
          <w:p w14:paraId="6C764386">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44346DF1">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1DEC390D">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倾斜预警级别(0正常1报警2预警)</w:t>
            </w:r>
          </w:p>
        </w:tc>
        <w:tc>
          <w:tcPr>
            <w:tcW w:w="356" w:type="pct"/>
            <w:tcBorders>
              <w:top w:val="single" w:color="D9D9D9" w:sz="6" w:space="0"/>
              <w:left w:val="single" w:color="D9D9D9" w:sz="6" w:space="0"/>
              <w:bottom w:val="single" w:color="D9D9D9" w:sz="6" w:space="0"/>
              <w:right w:val="single" w:color="D9D9D9" w:sz="6" w:space="0"/>
            </w:tcBorders>
            <w:vAlign w:val="center"/>
          </w:tcPr>
          <w:p w14:paraId="7E96AAA8">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663E280C">
            <w:pPr>
              <w:spacing w:after="120"/>
              <w:rPr>
                <w:rFonts w:ascii="仿宋" w:hAnsi="仿宋" w:eastAsia="仿宋" w:cs="仿宋"/>
                <w:szCs w:val="24"/>
              </w:rPr>
            </w:pPr>
          </w:p>
        </w:tc>
      </w:tr>
      <w:tr w14:paraId="401E69A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507614B1">
            <w:pPr>
              <w:spacing w:after="120"/>
              <w:rPr>
                <w:rFonts w:ascii="仿宋" w:hAnsi="仿宋" w:eastAsia="仿宋" w:cs="仿宋"/>
                <w:szCs w:val="24"/>
              </w:rPr>
            </w:pPr>
            <w:r>
              <w:rPr>
                <w:rStyle w:val="163"/>
                <w:rFonts w:hint="eastAsia" w:ascii="仿宋" w:hAnsi="仿宋" w:eastAsia="仿宋" w:cs="仿宋"/>
                <w:szCs w:val="24"/>
              </w:rPr>
              <w:t>AL_Load</w:t>
            </w:r>
          </w:p>
        </w:tc>
        <w:tc>
          <w:tcPr>
            <w:tcW w:w="570" w:type="pct"/>
            <w:tcBorders>
              <w:top w:val="single" w:color="D9D9D9" w:sz="6" w:space="0"/>
              <w:left w:val="single" w:color="D9D9D9" w:sz="6" w:space="0"/>
              <w:bottom w:val="single" w:color="D9D9D9" w:sz="6" w:space="0"/>
              <w:right w:val="single" w:color="D9D9D9" w:sz="6" w:space="0"/>
            </w:tcBorders>
            <w:vAlign w:val="center"/>
          </w:tcPr>
          <w:p w14:paraId="5173E25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130B107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42060733">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载重预警级别(0正常，1报警2预警)</w:t>
            </w:r>
          </w:p>
        </w:tc>
        <w:tc>
          <w:tcPr>
            <w:tcW w:w="356" w:type="pct"/>
            <w:tcBorders>
              <w:top w:val="single" w:color="D9D9D9" w:sz="6" w:space="0"/>
              <w:left w:val="single" w:color="D9D9D9" w:sz="6" w:space="0"/>
              <w:bottom w:val="single" w:color="D9D9D9" w:sz="6" w:space="0"/>
              <w:right w:val="single" w:color="D9D9D9" w:sz="6" w:space="0"/>
            </w:tcBorders>
            <w:vAlign w:val="center"/>
          </w:tcPr>
          <w:p w14:paraId="5146369E">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4E37693C">
            <w:pPr>
              <w:spacing w:after="120"/>
              <w:rPr>
                <w:rFonts w:ascii="仿宋" w:hAnsi="仿宋" w:eastAsia="仿宋" w:cs="仿宋"/>
                <w:szCs w:val="24"/>
              </w:rPr>
            </w:pPr>
          </w:p>
        </w:tc>
      </w:tr>
      <w:tr w14:paraId="33CE58D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090C94C5">
            <w:pPr>
              <w:spacing w:after="120"/>
              <w:rPr>
                <w:rFonts w:ascii="仿宋" w:hAnsi="仿宋" w:eastAsia="仿宋" w:cs="仿宋"/>
                <w:szCs w:val="24"/>
              </w:rPr>
            </w:pPr>
            <w:r>
              <w:rPr>
                <w:rStyle w:val="163"/>
                <w:rFonts w:hint="eastAsia" w:ascii="仿宋" w:hAnsi="仿宋" w:eastAsia="仿宋" w:cs="仿宋"/>
                <w:szCs w:val="24"/>
              </w:rPr>
              <w:t>FrontLimit</w:t>
            </w:r>
          </w:p>
        </w:tc>
        <w:tc>
          <w:tcPr>
            <w:tcW w:w="570" w:type="pct"/>
            <w:tcBorders>
              <w:top w:val="single" w:color="D9D9D9" w:sz="6" w:space="0"/>
              <w:left w:val="single" w:color="D9D9D9" w:sz="6" w:space="0"/>
              <w:bottom w:val="single" w:color="D9D9D9" w:sz="6" w:space="0"/>
              <w:right w:val="single" w:color="D9D9D9" w:sz="6" w:space="0"/>
            </w:tcBorders>
            <w:vAlign w:val="center"/>
          </w:tcPr>
          <w:p w14:paraId="50987039">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141F724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577BEB5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前限位(0正常1报警)</w:t>
            </w:r>
          </w:p>
        </w:tc>
        <w:tc>
          <w:tcPr>
            <w:tcW w:w="356" w:type="pct"/>
            <w:tcBorders>
              <w:top w:val="single" w:color="D9D9D9" w:sz="6" w:space="0"/>
              <w:left w:val="single" w:color="D9D9D9" w:sz="6" w:space="0"/>
              <w:bottom w:val="single" w:color="D9D9D9" w:sz="6" w:space="0"/>
              <w:right w:val="single" w:color="D9D9D9" w:sz="6" w:space="0"/>
            </w:tcBorders>
            <w:vAlign w:val="center"/>
          </w:tcPr>
          <w:p w14:paraId="50331A6C">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34EEB283">
            <w:pPr>
              <w:spacing w:after="120"/>
              <w:rPr>
                <w:rFonts w:ascii="仿宋" w:hAnsi="仿宋" w:eastAsia="仿宋" w:cs="仿宋"/>
                <w:szCs w:val="24"/>
              </w:rPr>
            </w:pPr>
          </w:p>
        </w:tc>
      </w:tr>
      <w:tr w14:paraId="5FECEF0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29C5AAFD">
            <w:pPr>
              <w:spacing w:after="120"/>
              <w:rPr>
                <w:rFonts w:ascii="仿宋" w:hAnsi="仿宋" w:eastAsia="仿宋" w:cs="仿宋"/>
                <w:szCs w:val="24"/>
              </w:rPr>
            </w:pPr>
            <w:r>
              <w:rPr>
                <w:rStyle w:val="163"/>
                <w:rFonts w:hint="eastAsia" w:ascii="仿宋" w:hAnsi="仿宋" w:eastAsia="仿宋" w:cs="仿宋"/>
                <w:szCs w:val="24"/>
              </w:rPr>
              <w:t>BackLimit</w:t>
            </w:r>
          </w:p>
        </w:tc>
        <w:tc>
          <w:tcPr>
            <w:tcW w:w="570" w:type="pct"/>
            <w:tcBorders>
              <w:top w:val="single" w:color="D9D9D9" w:sz="6" w:space="0"/>
              <w:left w:val="single" w:color="D9D9D9" w:sz="6" w:space="0"/>
              <w:bottom w:val="single" w:color="D9D9D9" w:sz="6" w:space="0"/>
              <w:right w:val="single" w:color="D9D9D9" w:sz="6" w:space="0"/>
            </w:tcBorders>
            <w:vAlign w:val="center"/>
          </w:tcPr>
          <w:p w14:paraId="71A12CB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499EA8E9">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22F0373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后限位(0正常1报警)</w:t>
            </w:r>
          </w:p>
        </w:tc>
        <w:tc>
          <w:tcPr>
            <w:tcW w:w="356" w:type="pct"/>
            <w:tcBorders>
              <w:top w:val="single" w:color="D9D9D9" w:sz="6" w:space="0"/>
              <w:left w:val="single" w:color="D9D9D9" w:sz="6" w:space="0"/>
              <w:bottom w:val="single" w:color="D9D9D9" w:sz="6" w:space="0"/>
              <w:right w:val="single" w:color="D9D9D9" w:sz="6" w:space="0"/>
            </w:tcBorders>
            <w:vAlign w:val="center"/>
          </w:tcPr>
          <w:p w14:paraId="08C73B52">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34795107">
            <w:pPr>
              <w:spacing w:after="120"/>
              <w:rPr>
                <w:rFonts w:ascii="仿宋" w:hAnsi="仿宋" w:eastAsia="仿宋" w:cs="仿宋"/>
                <w:szCs w:val="24"/>
              </w:rPr>
            </w:pPr>
          </w:p>
        </w:tc>
      </w:tr>
      <w:tr w14:paraId="666D043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0F09757D">
            <w:pPr>
              <w:spacing w:after="120"/>
              <w:rPr>
                <w:rFonts w:ascii="仿宋" w:hAnsi="仿宋" w:eastAsia="仿宋" w:cs="仿宋"/>
                <w:szCs w:val="24"/>
              </w:rPr>
            </w:pPr>
            <w:r>
              <w:rPr>
                <w:rStyle w:val="163"/>
                <w:rFonts w:hint="eastAsia" w:ascii="仿宋" w:hAnsi="仿宋" w:eastAsia="仿宋" w:cs="仿宋"/>
                <w:szCs w:val="24"/>
              </w:rPr>
              <w:t>TopLimit</w:t>
            </w:r>
          </w:p>
        </w:tc>
        <w:tc>
          <w:tcPr>
            <w:tcW w:w="570" w:type="pct"/>
            <w:tcBorders>
              <w:top w:val="single" w:color="D9D9D9" w:sz="6" w:space="0"/>
              <w:left w:val="single" w:color="D9D9D9" w:sz="6" w:space="0"/>
              <w:bottom w:val="single" w:color="D9D9D9" w:sz="6" w:space="0"/>
              <w:right w:val="single" w:color="D9D9D9" w:sz="6" w:space="0"/>
            </w:tcBorders>
            <w:vAlign w:val="center"/>
          </w:tcPr>
          <w:p w14:paraId="3508E95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2A2A2806">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3D998954">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上限位(0正常1报警)</w:t>
            </w:r>
          </w:p>
        </w:tc>
        <w:tc>
          <w:tcPr>
            <w:tcW w:w="356" w:type="pct"/>
            <w:tcBorders>
              <w:top w:val="single" w:color="D9D9D9" w:sz="6" w:space="0"/>
              <w:left w:val="single" w:color="D9D9D9" w:sz="6" w:space="0"/>
              <w:bottom w:val="single" w:color="D9D9D9" w:sz="6" w:space="0"/>
              <w:right w:val="single" w:color="D9D9D9" w:sz="6" w:space="0"/>
            </w:tcBorders>
            <w:vAlign w:val="center"/>
          </w:tcPr>
          <w:p w14:paraId="6A57DE89">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4111A387">
            <w:pPr>
              <w:spacing w:after="120"/>
              <w:rPr>
                <w:rFonts w:ascii="仿宋" w:hAnsi="仿宋" w:eastAsia="仿宋" w:cs="仿宋"/>
                <w:szCs w:val="24"/>
              </w:rPr>
            </w:pPr>
          </w:p>
        </w:tc>
      </w:tr>
      <w:tr w14:paraId="74C1650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530" w:type="pct"/>
            <w:tcBorders>
              <w:top w:val="single" w:color="D9D9D9" w:sz="6" w:space="0"/>
              <w:left w:val="single" w:color="D9D9D9" w:sz="6" w:space="0"/>
              <w:bottom w:val="single" w:color="D9D9D9" w:sz="6" w:space="0"/>
              <w:right w:val="single" w:color="D9D9D9" w:sz="6" w:space="0"/>
            </w:tcBorders>
            <w:vAlign w:val="center"/>
          </w:tcPr>
          <w:p w14:paraId="55752A48">
            <w:pPr>
              <w:spacing w:after="120"/>
              <w:rPr>
                <w:rFonts w:ascii="仿宋" w:hAnsi="仿宋" w:eastAsia="仿宋" w:cs="仿宋"/>
                <w:szCs w:val="24"/>
              </w:rPr>
            </w:pPr>
            <w:r>
              <w:rPr>
                <w:rStyle w:val="163"/>
                <w:rFonts w:hint="eastAsia" w:ascii="仿宋" w:hAnsi="仿宋" w:eastAsia="仿宋" w:cs="仿宋"/>
                <w:szCs w:val="24"/>
              </w:rPr>
              <w:t>DumpLimit</w:t>
            </w:r>
          </w:p>
        </w:tc>
        <w:tc>
          <w:tcPr>
            <w:tcW w:w="570" w:type="pct"/>
            <w:tcBorders>
              <w:top w:val="single" w:color="D9D9D9" w:sz="6" w:space="0"/>
              <w:left w:val="single" w:color="D9D9D9" w:sz="6" w:space="0"/>
              <w:bottom w:val="single" w:color="D9D9D9" w:sz="6" w:space="0"/>
              <w:right w:val="single" w:color="D9D9D9" w:sz="6" w:space="0"/>
            </w:tcBorders>
            <w:vAlign w:val="center"/>
          </w:tcPr>
          <w:p w14:paraId="69A74E01">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integer</w:t>
            </w:r>
          </w:p>
        </w:tc>
        <w:tc>
          <w:tcPr>
            <w:tcW w:w="500" w:type="pct"/>
            <w:tcBorders>
              <w:top w:val="single" w:color="D9D9D9" w:sz="6" w:space="0"/>
              <w:left w:val="single" w:color="D9D9D9" w:sz="6" w:space="0"/>
              <w:bottom w:val="single" w:color="D9D9D9" w:sz="6" w:space="0"/>
              <w:right w:val="single" w:color="D9D9D9" w:sz="6" w:space="0"/>
            </w:tcBorders>
            <w:vAlign w:val="center"/>
          </w:tcPr>
          <w:p w14:paraId="2B829BD1">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1784" w:type="pct"/>
            <w:tcBorders>
              <w:top w:val="single" w:color="D9D9D9" w:sz="6" w:space="0"/>
              <w:left w:val="single" w:color="D9D9D9" w:sz="6" w:space="0"/>
              <w:bottom w:val="single" w:color="D9D9D9" w:sz="6" w:space="0"/>
              <w:right w:val="single" w:color="D9D9D9" w:sz="6" w:space="0"/>
            </w:tcBorders>
            <w:vAlign w:val="center"/>
          </w:tcPr>
          <w:p w14:paraId="66991DE9">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下限位(0正常1报警)</w:t>
            </w:r>
          </w:p>
        </w:tc>
        <w:tc>
          <w:tcPr>
            <w:tcW w:w="356" w:type="pct"/>
            <w:tcBorders>
              <w:top w:val="single" w:color="D9D9D9" w:sz="6" w:space="0"/>
              <w:left w:val="single" w:color="D9D9D9" w:sz="6" w:space="0"/>
              <w:bottom w:val="single" w:color="D9D9D9" w:sz="6" w:space="0"/>
              <w:right w:val="single" w:color="D9D9D9" w:sz="6" w:space="0"/>
            </w:tcBorders>
            <w:vAlign w:val="center"/>
          </w:tcPr>
          <w:p w14:paraId="49026327">
            <w:pPr>
              <w:spacing w:after="120"/>
              <w:rPr>
                <w:rFonts w:ascii="仿宋" w:hAnsi="仿宋" w:eastAsia="仿宋" w:cs="仿宋"/>
                <w:szCs w:val="24"/>
              </w:rPr>
            </w:pPr>
          </w:p>
        </w:tc>
        <w:tc>
          <w:tcPr>
            <w:tcW w:w="259" w:type="pct"/>
            <w:tcBorders>
              <w:top w:val="single" w:color="D9D9D9" w:sz="6" w:space="0"/>
              <w:left w:val="single" w:color="D9D9D9" w:sz="6" w:space="0"/>
              <w:bottom w:val="single" w:color="D9D9D9" w:sz="6" w:space="0"/>
              <w:right w:val="single" w:color="D9D9D9" w:sz="6" w:space="0"/>
            </w:tcBorders>
            <w:vAlign w:val="center"/>
          </w:tcPr>
          <w:p w14:paraId="79AE52FC">
            <w:pPr>
              <w:spacing w:after="120"/>
              <w:rPr>
                <w:rFonts w:ascii="仿宋" w:hAnsi="仿宋" w:eastAsia="仿宋" w:cs="仿宋"/>
                <w:szCs w:val="24"/>
              </w:rPr>
            </w:pPr>
          </w:p>
        </w:tc>
      </w:tr>
    </w:tbl>
    <w:p w14:paraId="4B203AEB">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请求示例</w:t>
      </w:r>
    </w:p>
    <w:p w14:paraId="799F6D13">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w:t>
      </w:r>
    </w:p>
    <w:p w14:paraId="4CF2AD4B">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b/>
      </w:r>
      <w:r>
        <w:rPr>
          <w:rFonts w:hint="eastAsia" w:ascii="仿宋" w:hAnsi="仿宋" w:eastAsia="仿宋" w:cs="仿宋"/>
          <w:szCs w:val="24"/>
        </w:rPr>
        <w:t>"data": [</w:t>
      </w:r>
    </w:p>
    <w:p w14:paraId="3548824F">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b/>
      </w:r>
      <w:r>
        <w:rPr>
          <w:rFonts w:hint="eastAsia" w:ascii="仿宋" w:hAnsi="仿宋" w:eastAsia="仿宋" w:cs="仿宋"/>
          <w:szCs w:val="24"/>
        </w:rPr>
        <w:tab/>
      </w:r>
      <w:r>
        <w:rPr>
          <w:rFonts w:hint="eastAsia" w:ascii="仿宋" w:hAnsi="仿宋" w:eastAsia="仿宋" w:cs="仿宋"/>
          <w:szCs w:val="24"/>
        </w:rPr>
        <w:t>{</w:t>
      </w:r>
    </w:p>
    <w:p w14:paraId="60BD9CF1">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"id": 2967633,</w:t>
      </w:r>
    </w:p>
    <w:p w14:paraId="124B0DF5">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"sn": "xxxx",</w:t>
      </w:r>
    </w:p>
    <w:p w14:paraId="77257FF7">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"Angle": "0",</w:t>
      </w:r>
    </w:p>
    <w:p w14:paraId="5F7AEF03">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"FloorNo": 0,</w:t>
      </w:r>
    </w:p>
    <w:p w14:paraId="13CDA2EA">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"Height": 4.562,</w:t>
      </w:r>
    </w:p>
    <w:p w14:paraId="7A800C8E">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"PeopleNum": 0,</w:t>
      </w:r>
    </w:p>
    <w:p w14:paraId="718F728C">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"Speed": 0,</w:t>
      </w:r>
    </w:p>
    <w:p w14:paraId="4A3758E6">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"Weight": 0.1,</w:t>
      </w:r>
    </w:p>
    <w:p w14:paraId="19474E25">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"Time": "2020-03-25 10:38:16",</w:t>
      </w:r>
    </w:p>
    <w:p w14:paraId="6E2D2C8B">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 xml:space="preserve">"IsAlarm": "0", </w:t>
      </w:r>
    </w:p>
    <w:p w14:paraId="3D9063A4">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"AL_Authority": 1,</w:t>
      </w:r>
    </w:p>
    <w:p w14:paraId="3B09F78B">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"AL_BackDoorLockState": 0,</w:t>
      </w:r>
    </w:p>
    <w:p w14:paraId="7874D8E5">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"AL_FrontDoorLockState": 0,</w:t>
      </w:r>
    </w:p>
    <w:p w14:paraId="275C738E">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"AL_PeopleNum": 0,</w:t>
      </w:r>
    </w:p>
    <w:p w14:paraId="67A8AC84">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"AL_Speed": 0,</w:t>
      </w:r>
    </w:p>
    <w:p w14:paraId="2B6C9354">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"AL_Incline": 0,</w:t>
      </w:r>
    </w:p>
    <w:p w14:paraId="358A6A18">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b/>
      </w:r>
      <w:r>
        <w:rPr>
          <w:rFonts w:hint="eastAsia" w:ascii="仿宋" w:hAnsi="仿宋" w:eastAsia="仿宋" w:cs="仿宋"/>
          <w:szCs w:val="24"/>
        </w:rPr>
        <w:tab/>
      </w:r>
      <w:r>
        <w:rPr>
          <w:rFonts w:hint="eastAsia" w:ascii="仿宋" w:hAnsi="仿宋" w:eastAsia="仿宋" w:cs="仿宋"/>
          <w:szCs w:val="24"/>
        </w:rPr>
        <w:tab/>
      </w:r>
      <w:r>
        <w:rPr>
          <w:rFonts w:hint="eastAsia" w:ascii="仿宋" w:hAnsi="仿宋" w:eastAsia="仿宋" w:cs="仿宋"/>
          <w:szCs w:val="24"/>
        </w:rPr>
        <w:tab/>
      </w:r>
      <w:r>
        <w:rPr>
          <w:rFonts w:hint="eastAsia" w:ascii="仿宋" w:hAnsi="仿宋" w:eastAsia="仿宋" w:cs="仿宋"/>
          <w:szCs w:val="24"/>
        </w:rPr>
        <w:t>"AL_Load": 0,</w:t>
      </w:r>
    </w:p>
    <w:p w14:paraId="657A5B5D">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"FrontLimit": 0,</w:t>
      </w:r>
    </w:p>
    <w:p w14:paraId="00F850D1">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"BackLimit": 0,</w:t>
      </w:r>
    </w:p>
    <w:p w14:paraId="104ED765">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"TopLimit": 0,</w:t>
      </w:r>
    </w:p>
    <w:p w14:paraId="3F3EBFE4">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 xml:space="preserve">"DumpLimit": 0 </w:t>
      </w:r>
    </w:p>
    <w:p w14:paraId="42BC35BC">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 xml:space="preserve">    }</w:t>
      </w:r>
    </w:p>
    <w:p w14:paraId="75ED7581">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b/>
      </w:r>
      <w:r>
        <w:rPr>
          <w:rFonts w:hint="eastAsia" w:ascii="仿宋" w:hAnsi="仿宋" w:eastAsia="仿宋" w:cs="仿宋"/>
          <w:szCs w:val="24"/>
        </w:rPr>
        <w:t>],</w:t>
      </w:r>
    </w:p>
    <w:p w14:paraId="59F8A911">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ab/>
      </w:r>
      <w:r>
        <w:rPr>
          <w:rFonts w:hint="eastAsia" w:ascii="仿宋" w:hAnsi="仿宋" w:eastAsia="仿宋" w:cs="仿宋"/>
          <w:szCs w:val="24"/>
        </w:rPr>
        <w:t>"projectId": "1369575733495595008",</w:t>
      </w:r>
    </w:p>
    <w:p w14:paraId="6B49EFE7">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"timeStamp": "13449039388",</w:t>
      </w:r>
    </w:p>
    <w:p w14:paraId="65A67A85">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"sign": "sign"</w:t>
      </w:r>
    </w:p>
    <w:p w14:paraId="6228574F">
      <w:pPr>
        <w:pStyle w:val="25"/>
        <w:pBdr>
          <w:top w:val="single" w:color="E8E8E8" w:sz="6" w:space="12"/>
          <w:left w:val="single" w:color="E8E8E8" w:sz="6" w:space="12"/>
          <w:bottom w:val="single" w:color="E8E8E8" w:sz="6" w:space="12"/>
          <w:right w:val="single" w:color="E8E8E8" w:sz="6" w:space="12"/>
        </w:pBdr>
        <w:shd w:val="clear" w:color="auto" w:fill="F9F9F9"/>
        <w:tabs>
          <w:tab w:val="left" w:pos="130"/>
        </w:tabs>
        <w:spacing w:after="120"/>
        <w:ind w:left="960"/>
        <w:rPr>
          <w:rFonts w:ascii="仿宋" w:hAnsi="仿宋" w:eastAsia="仿宋" w:cs="仿宋"/>
          <w:szCs w:val="24"/>
        </w:rPr>
      </w:pPr>
      <w:r>
        <w:rPr>
          <w:rFonts w:hint="eastAsia" w:ascii="仿宋" w:hAnsi="仿宋" w:eastAsia="仿宋" w:cs="仿宋"/>
          <w:szCs w:val="24"/>
        </w:rPr>
        <w:t>}</w:t>
      </w:r>
    </w:p>
    <w:p w14:paraId="27A72E2B">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响应数据</w:t>
      </w:r>
    </w:p>
    <w:tbl>
      <w:tblPr>
        <w:tblStyle w:val="55"/>
        <w:tblW w:w="991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483"/>
        <w:gridCol w:w="1087"/>
        <w:gridCol w:w="1219"/>
        <w:gridCol w:w="5041"/>
        <w:gridCol w:w="1088"/>
      </w:tblGrid>
      <w:tr w14:paraId="166CDEB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7DB8ADDC">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参数名称</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0A1DE726">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参数类型</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52F65B20">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是否必须</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71413B0D">
            <w:pPr>
              <w:spacing w:after="120"/>
              <w:jc w:val="center"/>
              <w:rPr>
                <w:rFonts w:ascii="仿宋" w:hAnsi="仿宋" w:eastAsia="仿宋" w:cs="仿宋"/>
                <w:szCs w:val="24"/>
              </w:rPr>
            </w:pPr>
            <w:r>
              <w:rPr>
                <w:rStyle w:val="163"/>
                <w:rFonts w:hint="eastAsia" w:ascii="仿宋" w:hAnsi="仿宋" w:eastAsia="仿宋" w:cs="仿宋"/>
                <w:szCs w:val="24"/>
              </w:rPr>
              <w:t>参数说明</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66151CAB">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示例</w:t>
            </w:r>
          </w:p>
        </w:tc>
      </w:tr>
      <w:tr w14:paraId="68C8F8A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C9578C2">
            <w:pPr>
              <w:spacing w:after="120"/>
              <w:jc w:val="center"/>
              <w:rPr>
                <w:rFonts w:ascii="仿宋" w:hAnsi="仿宋" w:eastAsia="仿宋" w:cs="仿宋"/>
                <w:szCs w:val="24"/>
              </w:rPr>
            </w:pPr>
            <w:r>
              <w:rPr>
                <w:rStyle w:val="163"/>
                <w:rFonts w:hint="eastAsia" w:ascii="仿宋" w:hAnsi="仿宋" w:eastAsia="仿宋" w:cs="仿宋"/>
                <w:szCs w:val="24"/>
              </w:rPr>
              <w:t>code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78F2A25">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integer</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63F5F6B">
            <w:pPr>
              <w:spacing w:after="120"/>
              <w:jc w:val="center"/>
              <w:rPr>
                <w:rFonts w:ascii="仿宋" w:hAnsi="仿宋" w:eastAsia="仿宋" w:cs="仿宋"/>
                <w:szCs w:val="24"/>
              </w:rPr>
            </w:pPr>
            <w:r>
              <w:rPr>
                <w:rStyle w:val="163"/>
                <w:rFonts w:hint="eastAsia" w:ascii="仿宋" w:hAnsi="仿宋" w:eastAsia="仿宋" w:cs="仿宋"/>
                <w:szCs w:val="24"/>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A8D098C">
            <w:pPr>
              <w:spacing w:after="120"/>
              <w:jc w:val="center"/>
              <w:rPr>
                <w:rFonts w:ascii="仿宋" w:hAnsi="仿宋" w:eastAsia="仿宋" w:cs="仿宋"/>
                <w:szCs w:val="24"/>
              </w:rPr>
            </w:pPr>
            <w:r>
              <w:rPr>
                <w:rStyle w:val="163"/>
                <w:rFonts w:hint="eastAsia" w:ascii="仿宋" w:hAnsi="仿宋" w:eastAsia="仿宋" w:cs="仿宋"/>
                <w:szCs w:val="24"/>
              </w:rPr>
              <w:t>响应码</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066E874">
            <w:pPr>
              <w:spacing w:after="120"/>
              <w:ind w:firstLine="0" w:firstLineChars="0"/>
              <w:jc w:val="center"/>
              <w:rPr>
                <w:rFonts w:ascii="仿宋" w:hAnsi="仿宋" w:eastAsia="仿宋" w:cs="仿宋"/>
                <w:szCs w:val="24"/>
              </w:rPr>
            </w:pPr>
            <w:r>
              <w:rPr>
                <w:rStyle w:val="163"/>
                <w:rFonts w:hint="eastAsia" w:ascii="仿宋" w:hAnsi="仿宋" w:eastAsia="仿宋" w:cs="仿宋"/>
                <w:szCs w:val="24"/>
              </w:rPr>
              <w:t>200</w:t>
            </w:r>
          </w:p>
        </w:tc>
      </w:tr>
      <w:tr w14:paraId="269F58D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3891C526">
            <w:pPr>
              <w:spacing w:after="120"/>
              <w:jc w:val="center"/>
              <w:rPr>
                <w:rStyle w:val="163"/>
                <w:rFonts w:ascii="仿宋" w:hAnsi="仿宋" w:eastAsia="仿宋" w:cs="仿宋"/>
                <w:szCs w:val="24"/>
              </w:rPr>
            </w:pPr>
            <w:r>
              <w:rPr>
                <w:rStyle w:val="163"/>
                <w:rFonts w:hint="eastAsia" w:ascii="仿宋" w:hAnsi="仿宋" w:eastAsia="仿宋" w:cs="仿宋"/>
                <w:szCs w:val="24"/>
              </w:rPr>
              <w:t>msg</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ACF319C">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string</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08E49C1">
            <w:pPr>
              <w:spacing w:after="120"/>
              <w:jc w:val="center"/>
              <w:rPr>
                <w:rStyle w:val="163"/>
                <w:rFonts w:ascii="仿宋" w:hAnsi="仿宋" w:eastAsia="仿宋" w:cs="仿宋"/>
                <w:szCs w:val="24"/>
              </w:rPr>
            </w:pPr>
            <w:r>
              <w:rPr>
                <w:rStyle w:val="163"/>
                <w:rFonts w:hint="eastAsia" w:ascii="仿宋" w:hAnsi="仿宋" w:eastAsia="仿宋" w:cs="仿宋"/>
                <w:szCs w:val="24"/>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8B98C20">
            <w:pPr>
              <w:spacing w:after="120"/>
              <w:jc w:val="center"/>
              <w:rPr>
                <w:rStyle w:val="163"/>
                <w:rFonts w:ascii="仿宋" w:hAnsi="仿宋" w:eastAsia="仿宋" w:cs="仿宋"/>
                <w:szCs w:val="24"/>
              </w:rPr>
            </w:pPr>
            <w:r>
              <w:rPr>
                <w:rStyle w:val="163"/>
                <w:rFonts w:hint="eastAsia" w:ascii="仿宋" w:hAnsi="仿宋" w:eastAsia="仿宋" w:cs="仿宋"/>
                <w:szCs w:val="24"/>
              </w:rPr>
              <w:t>响应信息</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2956C28">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上报成功</w:t>
            </w:r>
          </w:p>
        </w:tc>
      </w:tr>
      <w:tr w14:paraId="39125EA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26"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2C17BC1">
            <w:pPr>
              <w:spacing w:after="120"/>
              <w:jc w:val="center"/>
              <w:rPr>
                <w:rStyle w:val="163"/>
                <w:rFonts w:ascii="仿宋" w:hAnsi="仿宋" w:eastAsia="仿宋" w:cs="仿宋"/>
                <w:szCs w:val="24"/>
              </w:rPr>
            </w:pPr>
            <w:r>
              <w:rPr>
                <w:rStyle w:val="163"/>
                <w:rFonts w:hint="eastAsia" w:ascii="仿宋" w:hAnsi="仿宋" w:eastAsia="仿宋" w:cs="仿宋"/>
                <w:szCs w:val="24"/>
              </w:rPr>
              <w:t>success</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C3507EC">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bool</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34A14700">
            <w:pPr>
              <w:spacing w:after="120"/>
              <w:jc w:val="center"/>
              <w:rPr>
                <w:rStyle w:val="163"/>
                <w:rFonts w:ascii="仿宋" w:hAnsi="仿宋" w:eastAsia="仿宋" w:cs="仿宋"/>
                <w:szCs w:val="24"/>
              </w:rPr>
            </w:pPr>
            <w:r>
              <w:rPr>
                <w:rStyle w:val="163"/>
                <w:rFonts w:hint="eastAsia" w:ascii="仿宋" w:hAnsi="仿宋" w:eastAsia="仿宋" w:cs="仿宋"/>
                <w:szCs w:val="24"/>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35606167">
            <w:pPr>
              <w:spacing w:after="120"/>
              <w:jc w:val="center"/>
              <w:rPr>
                <w:rStyle w:val="163"/>
                <w:rFonts w:ascii="仿宋" w:hAnsi="仿宋" w:eastAsia="仿宋" w:cs="仿宋"/>
                <w:szCs w:val="24"/>
              </w:rPr>
            </w:pPr>
            <w:r>
              <w:rPr>
                <w:rStyle w:val="163"/>
                <w:rFonts w:hint="eastAsia" w:ascii="仿宋" w:hAnsi="仿宋" w:eastAsia="仿宋" w:cs="仿宋"/>
                <w:szCs w:val="24"/>
              </w:rPr>
              <w:t>是否成功，接口是否成功主要看这个值</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4E67AF2">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True</w:t>
            </w:r>
          </w:p>
        </w:tc>
      </w:tr>
      <w:tr w14:paraId="000D51A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36"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24C5841">
            <w:pPr>
              <w:spacing w:after="120"/>
              <w:jc w:val="center"/>
              <w:rPr>
                <w:rStyle w:val="163"/>
                <w:rFonts w:ascii="仿宋" w:hAnsi="仿宋" w:eastAsia="仿宋" w:cs="仿宋"/>
                <w:szCs w:val="24"/>
              </w:rPr>
            </w:pPr>
            <w:r>
              <w:rPr>
                <w:rStyle w:val="163"/>
                <w:rFonts w:hint="eastAsia" w:ascii="仿宋" w:hAnsi="仿宋" w:eastAsia="仿宋" w:cs="仿宋"/>
                <w:szCs w:val="24"/>
              </w:rPr>
              <w:t>data</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C30E341">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75A1302">
            <w:pPr>
              <w:spacing w:after="120"/>
              <w:jc w:val="center"/>
              <w:rPr>
                <w:rStyle w:val="163"/>
                <w:rFonts w:ascii="仿宋" w:hAnsi="仿宋" w:eastAsia="仿宋" w:cs="仿宋"/>
                <w:szCs w:val="24"/>
              </w:rPr>
            </w:pPr>
            <w:r>
              <w:rPr>
                <w:rStyle w:val="163"/>
                <w:rFonts w:hint="eastAsia" w:ascii="仿宋" w:hAnsi="仿宋" w:eastAsia="仿宋" w:cs="仿宋"/>
                <w:szCs w:val="24"/>
              </w:rPr>
              <w:t>False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A7AD3CC">
            <w:pPr>
              <w:spacing w:after="120"/>
              <w:jc w:val="center"/>
              <w:rPr>
                <w:rStyle w:val="163"/>
                <w:rFonts w:ascii="仿宋" w:hAnsi="仿宋" w:eastAsia="仿宋" w:cs="仿宋"/>
                <w:szCs w:val="24"/>
              </w:rPr>
            </w:pPr>
            <w:r>
              <w:rPr>
                <w:rStyle w:val="163"/>
                <w:rFonts w:hint="eastAsia" w:ascii="仿宋" w:hAnsi="仿宋" w:eastAsia="仿宋" w:cs="仿宋"/>
                <w:szCs w:val="24"/>
              </w:rPr>
              <w:t>可空，需要返回数据时，这个值返回</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D2820A1">
            <w:pPr>
              <w:spacing w:after="120"/>
              <w:ind w:firstLine="0" w:firstLineChars="0"/>
              <w:jc w:val="center"/>
              <w:rPr>
                <w:rStyle w:val="163"/>
                <w:rFonts w:ascii="仿宋" w:hAnsi="仿宋" w:eastAsia="仿宋" w:cs="仿宋"/>
                <w:szCs w:val="24"/>
              </w:rPr>
            </w:pPr>
            <w:r>
              <w:rPr>
                <w:rStyle w:val="163"/>
                <w:rFonts w:hint="eastAsia" w:ascii="仿宋" w:hAnsi="仿宋" w:eastAsia="仿宋" w:cs="仿宋"/>
                <w:szCs w:val="24"/>
              </w:rPr>
              <w:t>{}</w:t>
            </w:r>
          </w:p>
        </w:tc>
      </w:tr>
    </w:tbl>
    <w:p w14:paraId="707D5056">
      <w:pPr>
        <w:spacing w:after="120"/>
        <w:ind w:firstLine="650"/>
        <w:rPr>
          <w:rFonts w:ascii="仿宋" w:hAnsi="仿宋" w:eastAsia="仿宋" w:cs="仿宋"/>
          <w:b/>
          <w:bCs/>
          <w:spacing w:val="12"/>
          <w:sz w:val="30"/>
          <w:szCs w:val="30"/>
        </w:rPr>
      </w:pPr>
    </w:p>
    <w:p w14:paraId="7AC5AAE9">
      <w:pPr>
        <w:spacing w:after="120"/>
        <w:ind w:firstLine="650"/>
        <w:rPr>
          <w:rFonts w:ascii="仿宋" w:hAnsi="仿宋" w:eastAsia="仿宋" w:cs="仿宋"/>
          <w:b/>
          <w:bCs/>
          <w:spacing w:val="12"/>
          <w:sz w:val="30"/>
          <w:szCs w:val="30"/>
        </w:rPr>
      </w:pPr>
    </w:p>
    <w:p w14:paraId="76F6856C">
      <w:pPr>
        <w:spacing w:after="120"/>
        <w:ind w:firstLine="650"/>
        <w:rPr>
          <w:rFonts w:ascii="仿宋" w:hAnsi="仿宋" w:eastAsia="仿宋" w:cs="仿宋"/>
          <w:b/>
          <w:bCs/>
          <w:spacing w:val="12"/>
          <w:sz w:val="30"/>
          <w:szCs w:val="30"/>
        </w:rPr>
      </w:pPr>
    </w:p>
    <w:p w14:paraId="0155D206">
      <w:pPr>
        <w:spacing w:after="120"/>
        <w:ind w:firstLine="650"/>
        <w:rPr>
          <w:rFonts w:ascii="仿宋" w:hAnsi="仿宋" w:eastAsia="仿宋" w:cs="仿宋"/>
          <w:b/>
          <w:bCs/>
          <w:spacing w:val="12"/>
          <w:sz w:val="30"/>
          <w:szCs w:val="30"/>
        </w:rPr>
      </w:pPr>
      <w:r>
        <w:rPr>
          <w:rFonts w:hint="eastAsia" w:ascii="仿宋" w:hAnsi="仿宋" w:eastAsia="仿宋" w:cs="仿宋"/>
          <w:b/>
          <w:bCs/>
          <w:spacing w:val="12"/>
          <w:sz w:val="30"/>
          <w:szCs w:val="30"/>
        </w:rPr>
        <w:t>响应示例</w:t>
      </w:r>
    </w:p>
    <w:p w14:paraId="3489D2CB">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w:t>
      </w:r>
    </w:p>
    <w:p w14:paraId="565F85B6">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"code": 200,</w:t>
      </w:r>
    </w:p>
    <w:p w14:paraId="644E308F">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"success": true,</w:t>
      </w:r>
    </w:p>
    <w:p w14:paraId="74B59BC8">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"data": {},</w:t>
      </w:r>
    </w:p>
    <w:p w14:paraId="4575ECB0">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"msg": "上报成功"</w:t>
      </w:r>
    </w:p>
    <w:p w14:paraId="742179C8">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w:t>
      </w:r>
    </w:p>
    <w:p w14:paraId="3FF540A4">
      <w:pPr>
        <w:spacing w:after="120"/>
        <w:rPr>
          <w:rFonts w:ascii="仿宋" w:hAnsi="仿宋" w:eastAsia="仿宋" w:cs="仿宋"/>
        </w:rPr>
      </w:pPr>
    </w:p>
    <w:p w14:paraId="067DB5D9">
      <w:pPr>
        <w:spacing w:after="120"/>
        <w:ind w:firstLine="643"/>
        <w:jc w:val="center"/>
        <w:rPr>
          <w:rFonts w:ascii="仿宋" w:hAnsi="仿宋" w:eastAsia="仿宋" w:cs="仿宋"/>
          <w:b/>
          <w:bCs/>
          <w:sz w:val="32"/>
          <w:szCs w:val="32"/>
        </w:rPr>
      </w:pPr>
      <w:r>
        <w:rPr>
          <w:rFonts w:hint="eastAsia" w:ascii="仿宋" w:hAnsi="仿宋" w:eastAsia="仿宋" w:cs="仿宋"/>
          <w:b/>
          <w:bCs/>
          <w:sz w:val="32"/>
          <w:szCs w:val="32"/>
        </w:rPr>
        <w:t>第三部分 摄像机设备参数调整要求</w:t>
      </w:r>
    </w:p>
    <w:p w14:paraId="5E427735">
      <w:pPr>
        <w:spacing w:after="120"/>
        <w:rPr>
          <w:rFonts w:ascii="仿宋" w:hAnsi="仿宋" w:eastAsia="仿宋" w:cs="仿宋"/>
        </w:rPr>
      </w:pPr>
    </w:p>
    <w:p w14:paraId="56C0CD35">
      <w:pPr>
        <w:tabs>
          <w:tab w:val="left" w:pos="432"/>
        </w:tabs>
        <w:spacing w:after="120" w:line="240" w:lineRule="auto"/>
        <w:ind w:left="120"/>
        <w:jc w:val="left"/>
        <w:rPr>
          <w:rFonts w:ascii="仿宋" w:hAnsi="仿宋" w:eastAsia="仿宋" w:cs="仿宋"/>
          <w:szCs w:val="30"/>
        </w:rPr>
      </w:pPr>
      <w:bookmarkStart w:id="1250" w:name="_Toc23112"/>
      <w:bookmarkStart w:id="1251" w:name="_Toc2254"/>
      <w:r>
        <w:rPr>
          <w:rFonts w:hint="eastAsia" w:ascii="仿宋" w:hAnsi="仿宋" w:eastAsia="仿宋" w:cs="仿宋"/>
          <w:szCs w:val="30"/>
        </w:rPr>
        <w:t>3.1配置摄像机国标参数</w:t>
      </w:r>
      <w:bookmarkEnd w:id="1250"/>
      <w:bookmarkEnd w:id="1251"/>
    </w:p>
    <w:p w14:paraId="34B8DD37">
      <w:pPr>
        <w:spacing w:before="42" w:after="120" w:line="417" w:lineRule="auto"/>
        <w:ind w:left="63" w:right="63" w:firstLine="600"/>
        <w:rPr>
          <w:rFonts w:ascii="仿宋" w:hAnsi="仿宋" w:eastAsia="仿宋" w:cs="仿宋"/>
          <w:sz w:val="30"/>
          <w:szCs w:val="30"/>
        </w:rPr>
      </w:pPr>
      <w:r>
        <w:rPr>
          <w:rFonts w:hint="eastAsia" w:ascii="仿宋" w:hAnsi="仿宋" w:eastAsia="仿宋" w:cs="仿宋"/>
          <w:sz w:val="30"/>
          <w:szCs w:val="30"/>
        </w:rPr>
        <w:t>电脑通过网页登录摄像机的IP地址，在配置界面找到国标参数配置页如下图所示：启用框要勾选，平台接入</w:t>
      </w:r>
      <w:r>
        <w:rPr>
          <w:rFonts w:hint="eastAsia" w:ascii="仿宋" w:hAnsi="仿宋" w:eastAsia="仿宋" w:cs="仿宋"/>
          <w:spacing w:val="1"/>
          <w:w w:val="99"/>
          <w:sz w:val="30"/>
          <w:szCs w:val="30"/>
        </w:rPr>
        <w:t>方式选择GB</w:t>
      </w:r>
      <w:r>
        <w:rPr>
          <w:rFonts w:hint="eastAsia" w:ascii="仿宋" w:hAnsi="仿宋" w:eastAsia="仿宋" w:cs="仿宋"/>
          <w:spacing w:val="-1"/>
          <w:w w:val="99"/>
          <w:sz w:val="30"/>
          <w:szCs w:val="30"/>
        </w:rPr>
        <w:t>28</w:t>
      </w:r>
      <w:r>
        <w:rPr>
          <w:rFonts w:hint="eastAsia" w:ascii="仿宋" w:hAnsi="仿宋" w:eastAsia="仿宋" w:cs="仿宋"/>
          <w:spacing w:val="2"/>
          <w:w w:val="99"/>
          <w:sz w:val="30"/>
          <w:szCs w:val="30"/>
        </w:rPr>
        <w:t>1</w:t>
      </w:r>
      <w:r>
        <w:rPr>
          <w:rFonts w:hint="eastAsia" w:ascii="仿宋" w:hAnsi="仿宋" w:eastAsia="仿宋" w:cs="仿宋"/>
          <w:spacing w:val="-1"/>
          <w:w w:val="99"/>
          <w:sz w:val="30"/>
          <w:szCs w:val="30"/>
        </w:rPr>
        <w:t>8</w:t>
      </w:r>
      <w:r>
        <w:rPr>
          <w:rFonts w:hint="eastAsia" w:ascii="仿宋" w:hAnsi="仿宋" w:eastAsia="仿宋" w:cs="仿宋"/>
          <w:spacing w:val="-3"/>
          <w:w w:val="99"/>
          <w:sz w:val="30"/>
          <w:szCs w:val="30"/>
        </w:rPr>
        <w:t>1，协议版本选择：</w:t>
      </w:r>
      <w:r>
        <w:rPr>
          <w:rFonts w:hint="eastAsia" w:ascii="仿宋" w:hAnsi="仿宋" w:eastAsia="仿宋" w:cs="仿宋"/>
          <w:spacing w:val="-1"/>
          <w:w w:val="99"/>
          <w:sz w:val="30"/>
          <w:szCs w:val="30"/>
        </w:rPr>
        <w:t>（</w:t>
      </w:r>
      <w:r>
        <w:rPr>
          <w:rFonts w:hint="eastAsia" w:ascii="仿宋" w:hAnsi="仿宋" w:eastAsia="仿宋" w:cs="仿宋"/>
          <w:spacing w:val="1"/>
          <w:w w:val="99"/>
          <w:sz w:val="30"/>
          <w:szCs w:val="30"/>
        </w:rPr>
        <w:t>如果有</w:t>
      </w:r>
      <w:r>
        <w:rPr>
          <w:rFonts w:hint="eastAsia" w:ascii="仿宋" w:hAnsi="仿宋" w:eastAsia="仿宋" w:cs="仿宋"/>
          <w:spacing w:val="-1"/>
          <w:w w:val="99"/>
          <w:sz w:val="30"/>
          <w:szCs w:val="30"/>
        </w:rPr>
        <w:t>281</w:t>
      </w:r>
      <w:r>
        <w:rPr>
          <w:rFonts w:hint="eastAsia" w:ascii="仿宋" w:hAnsi="仿宋" w:eastAsia="仿宋" w:cs="仿宋"/>
          <w:spacing w:val="2"/>
          <w:w w:val="99"/>
          <w:sz w:val="30"/>
          <w:szCs w:val="30"/>
        </w:rPr>
        <w:t>8</w:t>
      </w:r>
      <w:r>
        <w:rPr>
          <w:rFonts w:hint="eastAsia" w:ascii="仿宋" w:hAnsi="仿宋" w:eastAsia="仿宋" w:cs="仿宋"/>
          <w:spacing w:val="-1"/>
          <w:w w:val="99"/>
          <w:sz w:val="30"/>
          <w:szCs w:val="30"/>
        </w:rPr>
        <w:t>1</w:t>
      </w:r>
      <w:r>
        <w:rPr>
          <w:rFonts w:hint="eastAsia" w:ascii="仿宋" w:hAnsi="仿宋" w:eastAsia="仿宋" w:cs="仿宋"/>
          <w:w w:val="99"/>
          <w:sz w:val="30"/>
          <w:szCs w:val="30"/>
        </w:rPr>
        <w:t>-</w:t>
      </w:r>
      <w:r>
        <w:rPr>
          <w:rFonts w:hint="eastAsia" w:ascii="仿宋" w:hAnsi="仿宋" w:eastAsia="仿宋" w:cs="仿宋"/>
          <w:spacing w:val="-1"/>
          <w:w w:val="99"/>
          <w:sz w:val="30"/>
          <w:szCs w:val="30"/>
        </w:rPr>
        <w:t>2</w:t>
      </w:r>
      <w:r>
        <w:rPr>
          <w:rFonts w:hint="eastAsia" w:ascii="仿宋" w:hAnsi="仿宋" w:eastAsia="仿宋" w:cs="仿宋"/>
          <w:spacing w:val="2"/>
          <w:w w:val="99"/>
          <w:sz w:val="30"/>
          <w:szCs w:val="30"/>
        </w:rPr>
        <w:t>0</w:t>
      </w:r>
      <w:r>
        <w:rPr>
          <w:rFonts w:hint="eastAsia" w:ascii="仿宋" w:hAnsi="仿宋" w:eastAsia="仿宋" w:cs="仿宋"/>
          <w:spacing w:val="-1"/>
          <w:w w:val="99"/>
          <w:sz w:val="30"/>
          <w:szCs w:val="30"/>
        </w:rPr>
        <w:t>1</w:t>
      </w:r>
      <w:r>
        <w:rPr>
          <w:rFonts w:hint="eastAsia" w:ascii="仿宋" w:hAnsi="仿宋" w:eastAsia="仿宋" w:cs="仿宋"/>
          <w:w w:val="99"/>
          <w:sz w:val="30"/>
          <w:szCs w:val="30"/>
        </w:rPr>
        <w:t>1</w:t>
      </w:r>
      <w:r>
        <w:rPr>
          <w:rFonts w:hint="eastAsia" w:ascii="仿宋" w:hAnsi="仿宋" w:eastAsia="仿宋" w:cs="仿宋"/>
          <w:spacing w:val="1"/>
          <w:w w:val="99"/>
          <w:sz w:val="30"/>
          <w:szCs w:val="30"/>
        </w:rPr>
        <w:t>或者</w:t>
      </w:r>
      <w:r>
        <w:rPr>
          <w:rFonts w:hint="eastAsia" w:ascii="仿宋" w:hAnsi="仿宋" w:eastAsia="仿宋" w:cs="仿宋"/>
          <w:spacing w:val="-1"/>
          <w:w w:val="99"/>
          <w:sz w:val="30"/>
          <w:szCs w:val="30"/>
        </w:rPr>
        <w:t>281</w:t>
      </w:r>
      <w:r>
        <w:rPr>
          <w:rFonts w:hint="eastAsia" w:ascii="仿宋" w:hAnsi="仿宋" w:eastAsia="仿宋" w:cs="仿宋"/>
          <w:spacing w:val="2"/>
          <w:w w:val="99"/>
          <w:sz w:val="30"/>
          <w:szCs w:val="30"/>
        </w:rPr>
        <w:t>8</w:t>
      </w:r>
      <w:r>
        <w:rPr>
          <w:rFonts w:hint="eastAsia" w:ascii="仿宋" w:hAnsi="仿宋" w:eastAsia="仿宋" w:cs="仿宋"/>
          <w:spacing w:val="-1"/>
          <w:w w:val="99"/>
          <w:sz w:val="30"/>
          <w:szCs w:val="30"/>
        </w:rPr>
        <w:t>1</w:t>
      </w:r>
      <w:r>
        <w:rPr>
          <w:rFonts w:hint="eastAsia" w:ascii="仿宋" w:hAnsi="仿宋" w:eastAsia="仿宋" w:cs="仿宋"/>
          <w:w w:val="99"/>
          <w:sz w:val="30"/>
          <w:szCs w:val="30"/>
        </w:rPr>
        <w:t>-</w:t>
      </w:r>
      <w:r>
        <w:rPr>
          <w:rFonts w:hint="eastAsia" w:ascii="仿宋" w:hAnsi="仿宋" w:eastAsia="仿宋" w:cs="仿宋"/>
          <w:spacing w:val="-1"/>
          <w:w w:val="99"/>
          <w:sz w:val="30"/>
          <w:szCs w:val="30"/>
        </w:rPr>
        <w:t>20</w:t>
      </w:r>
      <w:r>
        <w:rPr>
          <w:rFonts w:hint="eastAsia" w:ascii="仿宋" w:hAnsi="仿宋" w:eastAsia="仿宋" w:cs="仿宋"/>
          <w:spacing w:val="2"/>
          <w:w w:val="99"/>
          <w:sz w:val="30"/>
          <w:szCs w:val="30"/>
        </w:rPr>
        <w:t>1</w:t>
      </w:r>
      <w:r>
        <w:rPr>
          <w:rFonts w:hint="eastAsia" w:ascii="仿宋" w:hAnsi="仿宋" w:eastAsia="仿宋" w:cs="仿宋"/>
          <w:w w:val="99"/>
          <w:sz w:val="30"/>
          <w:szCs w:val="30"/>
        </w:rPr>
        <w:t>6</w:t>
      </w:r>
      <w:r>
        <w:rPr>
          <w:rFonts w:hint="eastAsia" w:ascii="仿宋" w:hAnsi="仿宋" w:eastAsia="仿宋" w:cs="仿宋"/>
          <w:spacing w:val="1"/>
          <w:w w:val="99"/>
          <w:sz w:val="30"/>
          <w:szCs w:val="30"/>
        </w:rPr>
        <w:t>选择</w:t>
      </w:r>
      <w:r>
        <w:rPr>
          <w:rFonts w:hint="eastAsia" w:ascii="仿宋" w:hAnsi="仿宋" w:eastAsia="仿宋" w:cs="仿宋"/>
          <w:spacing w:val="-1"/>
          <w:w w:val="99"/>
          <w:sz w:val="30"/>
          <w:szCs w:val="30"/>
        </w:rPr>
        <w:t>28</w:t>
      </w:r>
      <w:r>
        <w:rPr>
          <w:rFonts w:hint="eastAsia" w:ascii="仿宋" w:hAnsi="仿宋" w:eastAsia="仿宋" w:cs="仿宋"/>
          <w:spacing w:val="2"/>
          <w:w w:val="99"/>
          <w:sz w:val="30"/>
          <w:szCs w:val="30"/>
        </w:rPr>
        <w:t>1</w:t>
      </w:r>
      <w:r>
        <w:rPr>
          <w:rFonts w:hint="eastAsia" w:ascii="仿宋" w:hAnsi="仿宋" w:eastAsia="仿宋" w:cs="仿宋"/>
          <w:spacing w:val="-1"/>
          <w:w w:val="99"/>
          <w:sz w:val="30"/>
          <w:szCs w:val="30"/>
        </w:rPr>
        <w:t>81</w:t>
      </w:r>
      <w:r>
        <w:rPr>
          <w:rFonts w:hint="eastAsia" w:ascii="仿宋" w:hAnsi="仿宋" w:eastAsia="仿宋" w:cs="仿宋"/>
          <w:w w:val="99"/>
          <w:sz w:val="30"/>
          <w:szCs w:val="30"/>
        </w:rPr>
        <w:t>-</w:t>
      </w:r>
      <w:r>
        <w:rPr>
          <w:rFonts w:hint="eastAsia" w:ascii="仿宋" w:hAnsi="仿宋" w:eastAsia="仿宋" w:cs="仿宋"/>
          <w:spacing w:val="-1"/>
          <w:w w:val="99"/>
          <w:sz w:val="30"/>
          <w:szCs w:val="30"/>
        </w:rPr>
        <w:t>2</w:t>
      </w:r>
      <w:r>
        <w:rPr>
          <w:rFonts w:hint="eastAsia" w:ascii="仿宋" w:hAnsi="仿宋" w:eastAsia="仿宋" w:cs="仿宋"/>
          <w:spacing w:val="2"/>
          <w:w w:val="99"/>
          <w:sz w:val="30"/>
          <w:szCs w:val="30"/>
        </w:rPr>
        <w:t>0</w:t>
      </w:r>
      <w:r>
        <w:rPr>
          <w:rFonts w:hint="eastAsia" w:ascii="仿宋" w:hAnsi="仿宋" w:eastAsia="仿宋" w:cs="仿宋"/>
          <w:spacing w:val="-1"/>
          <w:w w:val="99"/>
          <w:sz w:val="30"/>
          <w:szCs w:val="30"/>
        </w:rPr>
        <w:t>1</w:t>
      </w:r>
      <w:r>
        <w:rPr>
          <w:rFonts w:hint="eastAsia" w:ascii="仿宋" w:hAnsi="仿宋" w:eastAsia="仿宋" w:cs="仿宋"/>
          <w:spacing w:val="4"/>
          <w:w w:val="99"/>
          <w:sz w:val="30"/>
          <w:szCs w:val="30"/>
        </w:rPr>
        <w:t>6</w:t>
      </w:r>
      <w:r>
        <w:rPr>
          <w:rFonts w:hint="eastAsia" w:ascii="仿宋" w:hAnsi="仿宋" w:eastAsia="仿宋" w:cs="仿宋"/>
          <w:spacing w:val="-104"/>
          <w:w w:val="99"/>
          <w:sz w:val="30"/>
          <w:szCs w:val="30"/>
        </w:rPr>
        <w:t>）</w:t>
      </w:r>
      <w:r>
        <w:rPr>
          <w:rFonts w:hint="eastAsia" w:ascii="仿宋" w:hAnsi="仿宋" w:eastAsia="仿宋" w:cs="仿宋"/>
          <w:spacing w:val="-5"/>
          <w:w w:val="99"/>
          <w:sz w:val="30"/>
          <w:szCs w:val="30"/>
        </w:rPr>
        <w:t>，</w:t>
      </w:r>
      <w:r>
        <w:rPr>
          <w:rFonts w:hint="eastAsia" w:ascii="仿宋" w:hAnsi="仿宋" w:eastAsia="仿宋" w:cs="仿宋"/>
          <w:spacing w:val="-1"/>
          <w:w w:val="99"/>
          <w:sz w:val="30"/>
          <w:szCs w:val="30"/>
        </w:rPr>
        <w:t>S</w:t>
      </w:r>
      <w:r>
        <w:rPr>
          <w:rFonts w:hint="eastAsia" w:ascii="仿宋" w:hAnsi="仿宋" w:eastAsia="仿宋" w:cs="仿宋"/>
          <w:w w:val="99"/>
          <w:sz w:val="30"/>
          <w:szCs w:val="30"/>
        </w:rPr>
        <w:t>IP服务器地址填</w:t>
      </w:r>
      <w:r>
        <w:rPr>
          <w:rFonts w:hint="eastAsia" w:ascii="仿宋" w:hAnsi="仿宋" w:eastAsia="仿宋" w:cs="仿宋"/>
          <w:spacing w:val="-26"/>
          <w:sz w:val="30"/>
          <w:szCs w:val="30"/>
        </w:rPr>
        <w:t>写</w:t>
      </w:r>
      <w:r>
        <w:rPr>
          <w:rFonts w:hint="eastAsia" w:ascii="仿宋" w:hAnsi="仿宋" w:eastAsia="仿宋" w:cs="仿宋"/>
          <w:sz w:val="30"/>
          <w:szCs w:val="30"/>
        </w:rPr>
        <w:t xml:space="preserve">47.112.131.83, Sip </w:t>
      </w:r>
      <w:r>
        <w:rPr>
          <w:rFonts w:hint="eastAsia" w:ascii="仿宋" w:hAnsi="仿宋" w:eastAsia="仿宋" w:cs="仿宋"/>
          <w:spacing w:val="-9"/>
          <w:sz w:val="30"/>
          <w:szCs w:val="30"/>
        </w:rPr>
        <w:t>用户名和SIP用户认证</w:t>
      </w:r>
      <w:r>
        <w:rPr>
          <w:rFonts w:hint="eastAsia" w:ascii="仿宋" w:hAnsi="仿宋" w:eastAsia="仿宋" w:cs="仿宋"/>
          <w:sz w:val="30"/>
          <w:szCs w:val="30"/>
        </w:rPr>
        <w:t xml:space="preserve">ID 填写Excel </w:t>
      </w:r>
      <w:r>
        <w:rPr>
          <w:rFonts w:hint="eastAsia" w:ascii="仿宋" w:hAnsi="仿宋" w:eastAsia="仿宋" w:cs="仿宋"/>
          <w:spacing w:val="-11"/>
          <w:sz w:val="30"/>
          <w:szCs w:val="30"/>
        </w:rPr>
        <w:t>表分配的NVR视频通道编码SIPＩＤ</w:t>
      </w:r>
      <w:r>
        <w:rPr>
          <w:rFonts w:hint="eastAsia" w:ascii="仿宋" w:hAnsi="仿宋" w:eastAsia="仿宋" w:cs="仿宋"/>
          <w:sz w:val="30"/>
          <w:szCs w:val="30"/>
        </w:rPr>
        <w:t>，最下面的的通</w:t>
      </w:r>
      <w:r>
        <w:rPr>
          <w:rFonts w:hint="eastAsia" w:ascii="仿宋" w:hAnsi="仿宋" w:eastAsia="仿宋" w:cs="仿宋"/>
          <w:spacing w:val="-17"/>
          <w:sz w:val="30"/>
          <w:szCs w:val="30"/>
        </w:rPr>
        <w:t>道号</w:t>
      </w:r>
      <w:r>
        <w:rPr>
          <w:rFonts w:hint="eastAsia" w:ascii="仿宋" w:hAnsi="仿宋" w:eastAsia="仿宋" w:cs="仿宋"/>
          <w:sz w:val="30"/>
          <w:szCs w:val="30"/>
        </w:rPr>
        <w:t xml:space="preserve">ID 填写Excel </w:t>
      </w:r>
      <w:r>
        <w:rPr>
          <w:rFonts w:hint="eastAsia" w:ascii="仿宋" w:hAnsi="仿宋" w:eastAsia="仿宋" w:cs="仿宋"/>
          <w:spacing w:val="-7"/>
          <w:sz w:val="30"/>
          <w:szCs w:val="30"/>
        </w:rPr>
        <w:t>表分配的对应的</w:t>
      </w:r>
      <w:r>
        <w:rPr>
          <w:rFonts w:hint="eastAsia" w:ascii="仿宋" w:hAnsi="仿宋" w:eastAsia="仿宋" w:cs="仿宋"/>
          <w:spacing w:val="-11"/>
          <w:sz w:val="30"/>
          <w:szCs w:val="30"/>
        </w:rPr>
        <w:t>NVR视频通道编码SIPＩＤ</w:t>
      </w:r>
      <w:r>
        <w:rPr>
          <w:rFonts w:hint="eastAsia" w:ascii="仿宋" w:hAnsi="仿宋" w:eastAsia="仿宋" w:cs="仿宋"/>
          <w:sz w:val="30"/>
          <w:szCs w:val="30"/>
        </w:rPr>
        <w:t>。（注：这三个Sip号是一样的）。心跳周期改为：10。(注:其它未标红圈的为默认参数，无需更改）</w:t>
      </w:r>
    </w:p>
    <w:p w14:paraId="204DED18">
      <w:pPr>
        <w:spacing w:before="102" w:after="120"/>
        <w:ind w:left="63" w:right="63" w:firstLine="600"/>
        <w:rPr>
          <w:rFonts w:ascii="仿宋" w:hAnsi="仿宋" w:eastAsia="仿宋" w:cs="仿宋"/>
          <w:sz w:val="30"/>
          <w:szCs w:val="30"/>
        </w:rPr>
      </w:pPr>
      <w:r>
        <w:rPr>
          <w:rFonts w:hint="eastAsia" w:ascii="仿宋" w:hAnsi="仿宋" w:eastAsia="仿宋" w:cs="仿宋"/>
          <w:sz w:val="30"/>
          <w:szCs w:val="30"/>
        </w:rPr>
        <w:t>图1.摄像机国标参数配置</w:t>
      </w:r>
    </w:p>
    <w:p w14:paraId="06DF7CFD">
      <w:pPr>
        <w:spacing w:before="4" w:after="120"/>
        <w:ind w:left="63" w:right="63"/>
        <w:rPr>
          <w:rFonts w:ascii="仿宋" w:hAnsi="仿宋" w:eastAsia="仿宋" w:cs="仿宋"/>
          <w:sz w:val="30"/>
        </w:rPr>
      </w:pPr>
      <w:r>
        <w:rPr>
          <w:rFonts w:hint="eastAsia" w:ascii="仿宋" w:hAnsi="仿宋" w:eastAsia="仿宋" w:cs="仿宋"/>
        </w:rPr>
        <w:drawing>
          <wp:inline distT="0" distB="0" distL="114300" distR="114300">
            <wp:extent cx="5267325" cy="5130800"/>
            <wp:effectExtent l="0" t="0" r="9525" b="12700"/>
            <wp:docPr id="16" name="图片 1" descr="摄像机设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摄像机设置1"/>
                    <pic:cNvPicPr>
                      <a:picLocks noChangeAspect="1"/>
                    </pic:cNvPicPr>
                  </pic:nvPicPr>
                  <pic:blipFill>
                    <a:blip r:embed="rId21"/>
                    <a:stretch>
                      <a:fillRect/>
                    </a:stretch>
                  </pic:blipFill>
                  <pic:spPr>
                    <a:xfrm>
                      <a:off x="0" y="0"/>
                      <a:ext cx="5267325" cy="5130800"/>
                    </a:xfrm>
                    <a:prstGeom prst="rect">
                      <a:avLst/>
                    </a:prstGeom>
                    <a:noFill/>
                    <a:ln>
                      <a:noFill/>
                    </a:ln>
                  </pic:spPr>
                </pic:pic>
              </a:graphicData>
            </a:graphic>
          </wp:inline>
        </w:drawing>
      </w:r>
    </w:p>
    <w:p w14:paraId="2561BE81">
      <w:pPr>
        <w:tabs>
          <w:tab w:val="left" w:pos="432"/>
        </w:tabs>
        <w:spacing w:after="120" w:line="240" w:lineRule="auto"/>
        <w:ind w:left="120"/>
        <w:jc w:val="left"/>
        <w:rPr>
          <w:rFonts w:ascii="仿宋" w:hAnsi="仿宋" w:eastAsia="仿宋" w:cs="仿宋"/>
          <w:szCs w:val="30"/>
        </w:rPr>
      </w:pPr>
      <w:bookmarkStart w:id="1252" w:name="_Toc11177"/>
      <w:bookmarkStart w:id="1253" w:name="_Toc9985"/>
      <w:r>
        <w:rPr>
          <w:rFonts w:hint="eastAsia" w:ascii="仿宋" w:hAnsi="仿宋" w:eastAsia="仿宋" w:cs="仿宋"/>
          <w:szCs w:val="30"/>
        </w:rPr>
        <w:t>3.2配置摄像机的音视频参数</w:t>
      </w:r>
      <w:bookmarkEnd w:id="1252"/>
      <w:bookmarkEnd w:id="1253"/>
    </w:p>
    <w:p w14:paraId="0C967658">
      <w:pPr>
        <w:spacing w:before="204" w:after="120" w:line="417" w:lineRule="auto"/>
        <w:ind w:left="63" w:right="63" w:firstLine="600"/>
        <w:rPr>
          <w:rFonts w:ascii="仿宋" w:hAnsi="仿宋" w:eastAsia="仿宋" w:cs="仿宋"/>
          <w:sz w:val="30"/>
          <w:szCs w:val="30"/>
        </w:rPr>
      </w:pPr>
      <w:r>
        <w:rPr>
          <w:rFonts w:hint="eastAsia" w:ascii="仿宋" w:hAnsi="仿宋" w:eastAsia="仿宋" w:cs="仿宋"/>
          <w:sz w:val="30"/>
          <w:szCs w:val="30"/>
        </w:rPr>
        <w:t>电脑通过网页登录摄像机的IP地址，进入到摄像机配置界面找到摄像机音视频参数配置页如下图所示：注意分辨率不能</w:t>
      </w:r>
      <w:r>
        <w:rPr>
          <w:rFonts w:hint="eastAsia" w:ascii="仿宋" w:hAnsi="仿宋" w:eastAsia="仿宋" w:cs="仿宋"/>
          <w:spacing w:val="-1"/>
          <w:w w:val="99"/>
          <w:sz w:val="30"/>
          <w:szCs w:val="30"/>
        </w:rPr>
        <w:t>高于19</w:t>
      </w:r>
      <w:r>
        <w:rPr>
          <w:rFonts w:hint="eastAsia" w:ascii="仿宋" w:hAnsi="仿宋" w:eastAsia="仿宋" w:cs="仿宋"/>
          <w:spacing w:val="2"/>
          <w:w w:val="99"/>
          <w:sz w:val="30"/>
          <w:szCs w:val="30"/>
        </w:rPr>
        <w:t>2</w:t>
      </w:r>
      <w:r>
        <w:rPr>
          <w:rFonts w:hint="eastAsia" w:ascii="仿宋" w:hAnsi="仿宋" w:eastAsia="仿宋" w:cs="仿宋"/>
          <w:spacing w:val="-1"/>
          <w:w w:val="99"/>
          <w:sz w:val="30"/>
          <w:szCs w:val="30"/>
        </w:rPr>
        <w:t>0*</w:t>
      </w:r>
      <w:r>
        <w:rPr>
          <w:rFonts w:hint="eastAsia" w:ascii="仿宋" w:hAnsi="仿宋" w:eastAsia="仿宋" w:cs="仿宋"/>
          <w:spacing w:val="2"/>
          <w:w w:val="99"/>
          <w:sz w:val="30"/>
          <w:szCs w:val="30"/>
        </w:rPr>
        <w:t>1</w:t>
      </w:r>
      <w:r>
        <w:rPr>
          <w:rFonts w:hint="eastAsia" w:ascii="仿宋" w:hAnsi="仿宋" w:eastAsia="仿宋" w:cs="仿宋"/>
          <w:spacing w:val="-1"/>
          <w:w w:val="99"/>
          <w:sz w:val="30"/>
          <w:szCs w:val="30"/>
        </w:rPr>
        <w:t>0</w:t>
      </w:r>
      <w:r>
        <w:rPr>
          <w:rFonts w:hint="eastAsia" w:ascii="仿宋" w:hAnsi="仿宋" w:eastAsia="仿宋" w:cs="仿宋"/>
          <w:spacing w:val="2"/>
          <w:w w:val="99"/>
          <w:sz w:val="30"/>
          <w:szCs w:val="30"/>
        </w:rPr>
        <w:t>80</w:t>
      </w:r>
      <w:r>
        <w:rPr>
          <w:rFonts w:hint="eastAsia" w:ascii="仿宋" w:hAnsi="仿宋" w:eastAsia="仿宋" w:cs="仿宋"/>
          <w:spacing w:val="-1"/>
          <w:w w:val="99"/>
          <w:sz w:val="30"/>
          <w:szCs w:val="30"/>
        </w:rPr>
        <w:t>，码率不能高于10</w:t>
      </w:r>
      <w:r>
        <w:rPr>
          <w:rFonts w:hint="eastAsia" w:ascii="仿宋" w:hAnsi="仿宋" w:eastAsia="仿宋" w:cs="仿宋"/>
          <w:spacing w:val="2"/>
          <w:w w:val="99"/>
          <w:sz w:val="30"/>
          <w:szCs w:val="30"/>
        </w:rPr>
        <w:t>24</w:t>
      </w:r>
      <w:r>
        <w:rPr>
          <w:rFonts w:hint="eastAsia" w:ascii="仿宋" w:hAnsi="仿宋" w:eastAsia="仿宋" w:cs="仿宋"/>
          <w:spacing w:val="-17"/>
          <w:w w:val="99"/>
          <w:sz w:val="30"/>
          <w:szCs w:val="30"/>
        </w:rPr>
        <w:t>，编码方式选择</w:t>
      </w:r>
      <w:r>
        <w:rPr>
          <w:rFonts w:hint="eastAsia" w:ascii="仿宋" w:hAnsi="仿宋" w:eastAsia="仿宋" w:cs="仿宋"/>
          <w:spacing w:val="-1"/>
          <w:w w:val="99"/>
          <w:sz w:val="30"/>
          <w:szCs w:val="30"/>
        </w:rPr>
        <w:t>H2</w:t>
      </w:r>
      <w:r>
        <w:rPr>
          <w:rFonts w:hint="eastAsia" w:ascii="仿宋" w:hAnsi="仿宋" w:eastAsia="仿宋" w:cs="仿宋"/>
          <w:spacing w:val="2"/>
          <w:w w:val="99"/>
          <w:sz w:val="30"/>
          <w:szCs w:val="30"/>
        </w:rPr>
        <w:t>6</w:t>
      </w:r>
      <w:r>
        <w:rPr>
          <w:rFonts w:hint="eastAsia" w:ascii="仿宋" w:hAnsi="仿宋" w:eastAsia="仿宋" w:cs="仿宋"/>
          <w:spacing w:val="-1"/>
          <w:w w:val="99"/>
          <w:sz w:val="30"/>
          <w:szCs w:val="30"/>
        </w:rPr>
        <w:t>4</w:t>
      </w:r>
      <w:r>
        <w:rPr>
          <w:rFonts w:hint="eastAsia" w:ascii="仿宋" w:hAnsi="仿宋" w:eastAsia="仿宋" w:cs="仿宋"/>
          <w:spacing w:val="-104"/>
          <w:w w:val="99"/>
          <w:sz w:val="30"/>
          <w:szCs w:val="30"/>
        </w:rPr>
        <w:t>，</w:t>
      </w:r>
      <w:r>
        <w:rPr>
          <w:rFonts w:hint="eastAsia" w:ascii="仿宋" w:hAnsi="仿宋" w:eastAsia="仿宋" w:cs="仿宋"/>
          <w:w w:val="99"/>
          <w:sz w:val="30"/>
          <w:szCs w:val="30"/>
        </w:rPr>
        <w:t>I</w:t>
      </w:r>
      <w:r>
        <w:rPr>
          <w:rFonts w:hint="eastAsia" w:ascii="仿宋" w:hAnsi="仿宋" w:eastAsia="仿宋" w:cs="仿宋"/>
          <w:spacing w:val="-1"/>
          <w:w w:val="99"/>
          <w:sz w:val="30"/>
          <w:szCs w:val="30"/>
        </w:rPr>
        <w:t>帧间隔选择25</w:t>
      </w:r>
      <w:r>
        <w:rPr>
          <w:rFonts w:hint="eastAsia" w:ascii="仿宋" w:hAnsi="仿宋" w:eastAsia="仿宋" w:cs="仿宋"/>
          <w:spacing w:val="13"/>
          <w:w w:val="99"/>
          <w:sz w:val="30"/>
          <w:szCs w:val="30"/>
        </w:rPr>
        <w:t>，关闭</w:t>
      </w:r>
      <w:r>
        <w:rPr>
          <w:rFonts w:hint="eastAsia" w:ascii="仿宋" w:hAnsi="仿宋" w:eastAsia="仿宋" w:cs="仿宋"/>
          <w:spacing w:val="-1"/>
          <w:w w:val="99"/>
          <w:sz w:val="30"/>
          <w:szCs w:val="30"/>
        </w:rPr>
        <w:t>S</w:t>
      </w:r>
      <w:r>
        <w:rPr>
          <w:rFonts w:hint="eastAsia" w:ascii="仿宋" w:hAnsi="仿宋" w:eastAsia="仿宋" w:cs="仿宋"/>
          <w:spacing w:val="1"/>
          <w:w w:val="99"/>
          <w:sz w:val="30"/>
          <w:szCs w:val="30"/>
        </w:rPr>
        <w:t>m</w:t>
      </w:r>
      <w:r>
        <w:rPr>
          <w:rFonts w:hint="eastAsia" w:ascii="仿宋" w:hAnsi="仿宋" w:eastAsia="仿宋" w:cs="仿宋"/>
          <w:w w:val="99"/>
          <w:sz w:val="30"/>
          <w:szCs w:val="30"/>
        </w:rPr>
        <w:t>a</w:t>
      </w:r>
      <w:r>
        <w:rPr>
          <w:rFonts w:hint="eastAsia" w:ascii="仿宋" w:hAnsi="仿宋" w:eastAsia="仿宋" w:cs="仿宋"/>
          <w:spacing w:val="-1"/>
          <w:w w:val="99"/>
          <w:sz w:val="30"/>
          <w:szCs w:val="30"/>
        </w:rPr>
        <w:t>rt</w:t>
      </w:r>
      <w:r>
        <w:rPr>
          <w:rFonts w:hint="eastAsia" w:ascii="仿宋" w:hAnsi="仿宋" w:eastAsia="仿宋" w:cs="仿宋"/>
          <w:spacing w:val="2"/>
          <w:w w:val="99"/>
          <w:sz w:val="30"/>
          <w:szCs w:val="30"/>
        </w:rPr>
        <w:t>2</w:t>
      </w:r>
      <w:r>
        <w:rPr>
          <w:rFonts w:hint="eastAsia" w:ascii="仿宋" w:hAnsi="仿宋" w:eastAsia="仿宋" w:cs="仿宋"/>
          <w:spacing w:val="-1"/>
          <w:w w:val="99"/>
          <w:sz w:val="30"/>
          <w:szCs w:val="30"/>
        </w:rPr>
        <w:t>6</w:t>
      </w:r>
      <w:r>
        <w:rPr>
          <w:rFonts w:hint="eastAsia" w:ascii="仿宋" w:hAnsi="仿宋" w:eastAsia="仿宋" w:cs="仿宋"/>
          <w:spacing w:val="2"/>
          <w:w w:val="99"/>
          <w:sz w:val="30"/>
          <w:szCs w:val="30"/>
        </w:rPr>
        <w:t>4</w:t>
      </w:r>
      <w:r>
        <w:rPr>
          <w:rFonts w:hint="eastAsia" w:ascii="仿宋" w:hAnsi="仿宋" w:eastAsia="仿宋" w:cs="仿宋"/>
          <w:w w:val="99"/>
          <w:sz w:val="30"/>
          <w:szCs w:val="30"/>
        </w:rPr>
        <w:t>，</w:t>
      </w:r>
      <w:r>
        <w:rPr>
          <w:rFonts w:hint="eastAsia" w:ascii="仿宋" w:hAnsi="仿宋" w:eastAsia="仿宋" w:cs="仿宋"/>
          <w:sz w:val="30"/>
          <w:szCs w:val="30"/>
        </w:rPr>
        <w:t>码率类型选择变码率。</w:t>
      </w:r>
    </w:p>
    <w:p w14:paraId="244E098A">
      <w:pPr>
        <w:spacing w:before="4" w:after="120"/>
        <w:ind w:left="63" w:right="63"/>
        <w:rPr>
          <w:rFonts w:ascii="仿宋" w:hAnsi="仿宋" w:eastAsia="仿宋" w:cs="仿宋"/>
          <w:sz w:val="30"/>
        </w:rPr>
      </w:pPr>
      <w:r>
        <w:rPr>
          <w:rFonts w:hint="eastAsia" w:ascii="仿宋" w:hAnsi="仿宋" w:eastAsia="仿宋" w:cs="仿宋"/>
        </w:rPr>
        <w:drawing>
          <wp:anchor distT="0" distB="0" distL="114300" distR="114300" simplePos="0" relativeHeight="251675648" behindDoc="0" locked="0" layoutInCell="1" allowOverlap="1">
            <wp:simplePos x="0" y="0"/>
            <wp:positionH relativeFrom="page">
              <wp:posOffset>1066800</wp:posOffset>
            </wp:positionH>
            <wp:positionV relativeFrom="paragraph">
              <wp:posOffset>236220</wp:posOffset>
            </wp:positionV>
            <wp:extent cx="5253355" cy="5554345"/>
            <wp:effectExtent l="0" t="0" r="4445" b="825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2"/>
                    <a:stretch>
                      <a:fillRect/>
                    </a:stretch>
                  </pic:blipFill>
                  <pic:spPr>
                    <a:xfrm>
                      <a:off x="0" y="0"/>
                      <a:ext cx="5253355" cy="5554345"/>
                    </a:xfrm>
                    <a:prstGeom prst="rect">
                      <a:avLst/>
                    </a:prstGeom>
                    <a:noFill/>
                    <a:ln>
                      <a:noFill/>
                    </a:ln>
                  </pic:spPr>
                </pic:pic>
              </a:graphicData>
            </a:graphic>
          </wp:anchor>
        </w:drawing>
      </w:r>
      <w:r>
        <w:rPr>
          <w:rFonts w:hint="eastAsia" w:ascii="仿宋" w:hAnsi="仿宋" w:eastAsia="仿宋" w:cs="仿宋"/>
        </w:rPr>
        <w:t>图2：摄像机音视频配置界面</w:t>
      </w:r>
    </w:p>
    <w:p w14:paraId="7AEFC55F">
      <w:pPr>
        <w:spacing w:before="4" w:after="120"/>
        <w:ind w:left="63" w:right="63" w:firstLine="600"/>
        <w:rPr>
          <w:rFonts w:ascii="仿宋" w:hAnsi="仿宋" w:eastAsia="仿宋" w:cs="仿宋"/>
          <w:sz w:val="30"/>
        </w:rPr>
      </w:pPr>
    </w:p>
    <w:p w14:paraId="3F899516">
      <w:pPr>
        <w:spacing w:before="4" w:after="120"/>
        <w:ind w:left="63" w:right="63" w:firstLine="600"/>
        <w:rPr>
          <w:rFonts w:ascii="仿宋" w:hAnsi="仿宋" w:eastAsia="仿宋" w:cs="仿宋"/>
          <w:sz w:val="30"/>
        </w:rPr>
      </w:pPr>
    </w:p>
    <w:p w14:paraId="4DAE89AC">
      <w:pPr>
        <w:spacing w:before="4" w:after="120"/>
        <w:ind w:left="63" w:right="63" w:firstLine="600"/>
        <w:rPr>
          <w:rFonts w:ascii="仿宋" w:hAnsi="仿宋" w:eastAsia="仿宋" w:cs="仿宋"/>
          <w:sz w:val="30"/>
        </w:rPr>
      </w:pPr>
    </w:p>
    <w:p w14:paraId="0DD794BF">
      <w:pPr>
        <w:spacing w:after="120"/>
        <w:rPr>
          <w:rFonts w:ascii="仿宋" w:hAnsi="仿宋" w:eastAsia="仿宋" w:cs="仿宋"/>
        </w:rPr>
      </w:pPr>
    </w:p>
    <w:p w14:paraId="786B3DF4">
      <w:pPr>
        <w:spacing w:after="120"/>
        <w:rPr>
          <w:rFonts w:ascii="仿宋" w:hAnsi="仿宋" w:eastAsia="仿宋" w:cs="仿宋"/>
        </w:rPr>
      </w:pPr>
    </w:p>
    <w:p w14:paraId="3885D1E3">
      <w:pPr>
        <w:pStyle w:val="26"/>
        <w:spacing w:after="120"/>
        <w:rPr>
          <w:rFonts w:ascii="仿宋" w:hAnsi="仿宋" w:eastAsia="仿宋" w:cs="仿宋"/>
        </w:rPr>
      </w:pPr>
    </w:p>
    <w:p w14:paraId="4DEDDAC5">
      <w:pPr>
        <w:pStyle w:val="26"/>
        <w:spacing w:after="120"/>
        <w:rPr>
          <w:rFonts w:ascii="仿宋" w:hAnsi="仿宋" w:eastAsia="仿宋" w:cs="仿宋"/>
        </w:rPr>
      </w:pPr>
      <w:bookmarkStart w:id="1254" w:name="_Toc31908"/>
      <w:bookmarkStart w:id="1255" w:name="_Toc1230"/>
    </w:p>
    <w:p w14:paraId="75E92D43">
      <w:pPr>
        <w:spacing w:after="120"/>
        <w:rPr>
          <w:rFonts w:ascii="仿宋" w:hAnsi="仿宋" w:eastAsia="仿宋" w:cs="仿宋"/>
          <w:szCs w:val="30"/>
        </w:rPr>
      </w:pPr>
      <w:r>
        <w:rPr>
          <w:rFonts w:hint="eastAsia" w:ascii="仿宋" w:hAnsi="仿宋" w:eastAsia="仿宋" w:cs="仿宋"/>
          <w:szCs w:val="30"/>
        </w:rPr>
        <w:t>附件1接入流程</w:t>
      </w:r>
      <w:bookmarkEnd w:id="1254"/>
      <w:bookmarkEnd w:id="1255"/>
    </w:p>
    <w:p w14:paraId="2007883B">
      <w:pPr>
        <w:spacing w:after="120"/>
        <w:ind w:firstLine="600"/>
        <w:rPr>
          <w:rFonts w:ascii="仿宋" w:hAnsi="仿宋" w:eastAsia="仿宋" w:cs="仿宋"/>
          <w:sz w:val="30"/>
          <w:szCs w:val="30"/>
        </w:rPr>
      </w:pPr>
      <w:bookmarkStart w:id="1256" w:name="_Toc22634"/>
      <w:bookmarkStart w:id="1257" w:name="_Toc15361"/>
      <w:r>
        <w:rPr>
          <w:rFonts w:hint="eastAsia" w:ascii="仿宋" w:hAnsi="仿宋" w:eastAsia="仿宋" w:cs="仿宋"/>
          <w:sz w:val="30"/>
          <w:szCs w:val="30"/>
        </w:rPr>
        <w:t>1 接入前准备</w:t>
      </w:r>
      <w:bookmarkEnd w:id="1256"/>
      <w:bookmarkEnd w:id="1257"/>
    </w:p>
    <w:p w14:paraId="3E9F7A01">
      <w:pPr>
        <w:spacing w:after="120"/>
        <w:ind w:firstLine="600"/>
        <w:rPr>
          <w:rFonts w:ascii="仿宋" w:hAnsi="仿宋" w:eastAsia="仿宋" w:cs="仿宋"/>
          <w:sz w:val="30"/>
          <w:szCs w:val="30"/>
        </w:rPr>
      </w:pPr>
      <w:bookmarkStart w:id="1258" w:name="_Toc11197"/>
      <w:bookmarkStart w:id="1259" w:name="_Toc2605"/>
      <w:r>
        <w:rPr>
          <w:rStyle w:val="163"/>
          <w:rFonts w:hint="eastAsia" w:ascii="仿宋" w:hAnsi="仿宋" w:eastAsia="仿宋" w:cs="仿宋"/>
          <w:sz w:val="30"/>
          <w:szCs w:val="30"/>
        </w:rPr>
        <w:t>1.1 平台资料汇总</w:t>
      </w:r>
      <w:bookmarkEnd w:id="1258"/>
      <w:bookmarkEnd w:id="1259"/>
    </w:p>
    <w:p w14:paraId="414E6A66">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技术支持专用邮箱</w:t>
      </w:r>
    </w:p>
    <w:p w14:paraId="2564DF08">
      <w:pPr>
        <w:spacing w:after="120"/>
        <w:ind w:firstLine="600"/>
        <w:rPr>
          <w:rFonts w:ascii="仿宋" w:hAnsi="仿宋" w:eastAsia="仿宋" w:cs="仿宋"/>
          <w:sz w:val="30"/>
          <w:szCs w:val="30"/>
        </w:rPr>
      </w:pPr>
      <w:r>
        <w:rPr>
          <w:rStyle w:val="163"/>
          <w:rFonts w:hint="eastAsia" w:ascii="仿宋" w:hAnsi="仿宋" w:eastAsia="仿宋" w:cs="仿宋"/>
          <w:sz w:val="30"/>
          <w:szCs w:val="30"/>
        </w:rPr>
        <w:t>由于项目往来信息需保密，项目在提供基本信息时，指定专用邮箱用于发送项目保密信息，发送到局平台技术支持指定邮箱。</w:t>
      </w:r>
    </w:p>
    <w:p w14:paraId="52923B6E">
      <w:pPr>
        <w:spacing w:after="120"/>
        <w:ind w:firstLine="600"/>
        <w:rPr>
          <w:rFonts w:ascii="仿宋" w:hAnsi="仿宋" w:eastAsia="仿宋" w:cs="仿宋"/>
          <w:sz w:val="30"/>
          <w:szCs w:val="30"/>
        </w:rPr>
      </w:pPr>
      <w:r>
        <w:rPr>
          <w:rStyle w:val="163"/>
          <w:rFonts w:hint="eastAsia" w:ascii="仿宋" w:hAnsi="仿宋" w:eastAsia="仿宋" w:cs="仿宋"/>
          <w:sz w:val="30"/>
          <w:szCs w:val="30"/>
        </w:rPr>
        <w:t>局技术支持专用邮箱为：</w:t>
      </w:r>
      <w:r>
        <w:fldChar w:fldCharType="begin"/>
      </w:r>
      <w:r>
        <w:instrText xml:space="preserve"> HYPERLINK "mailto:gdsdjsupport@maoswh.com" \t "_blank" </w:instrText>
      </w:r>
      <w:r>
        <w:fldChar w:fldCharType="separate"/>
      </w:r>
      <w:r>
        <w:rPr>
          <w:rStyle w:val="163"/>
          <w:rFonts w:hint="eastAsia" w:ascii="仿宋" w:hAnsi="仿宋" w:eastAsia="仿宋" w:cs="仿宋"/>
          <w:sz w:val="30"/>
          <w:szCs w:val="30"/>
          <w:u w:val="single"/>
        </w:rPr>
        <w:t>gdsdjsupport@maoswh.com</w:t>
      </w:r>
      <w:r>
        <w:rPr>
          <w:rStyle w:val="163"/>
          <w:rFonts w:hint="eastAsia" w:ascii="仿宋" w:hAnsi="仿宋" w:eastAsia="仿宋" w:cs="仿宋"/>
          <w:sz w:val="30"/>
          <w:szCs w:val="30"/>
          <w:u w:val="single"/>
        </w:rPr>
        <w:fldChar w:fldCharType="end"/>
      </w:r>
    </w:p>
    <w:p w14:paraId="5E6FDC42">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平台接口服务地址</w:t>
      </w:r>
    </w:p>
    <w:p w14:paraId="5F3D869E">
      <w:pPr>
        <w:spacing w:after="120"/>
        <w:ind w:firstLine="600"/>
        <w:rPr>
          <w:rFonts w:ascii="仿宋" w:hAnsi="仿宋" w:eastAsia="仿宋" w:cs="仿宋"/>
          <w:sz w:val="30"/>
          <w:szCs w:val="30"/>
        </w:rPr>
      </w:pPr>
      <w:r>
        <w:rPr>
          <w:rStyle w:val="163"/>
          <w:rFonts w:hint="eastAsia" w:ascii="仿宋" w:hAnsi="仿宋" w:eastAsia="仿宋" w:cs="仿宋"/>
          <w:sz w:val="30"/>
          <w:szCs w:val="30"/>
        </w:rPr>
        <w:t>接口地址：</w:t>
      </w:r>
      <w:r>
        <w:fldChar w:fldCharType="begin"/>
      </w:r>
      <w:r>
        <w:instrText xml:space="preserve"> HYPERLINK "http://openapi.maoswh.com" \t "_blank" </w:instrText>
      </w:r>
      <w:r>
        <w:fldChar w:fldCharType="separate"/>
      </w:r>
      <w:r>
        <w:rPr>
          <w:rStyle w:val="163"/>
          <w:rFonts w:hint="eastAsia" w:ascii="仿宋" w:hAnsi="仿宋" w:eastAsia="仿宋" w:cs="仿宋"/>
          <w:sz w:val="30"/>
          <w:szCs w:val="30"/>
          <w:u w:val="single"/>
        </w:rPr>
        <w:t>http://openapi.maoswh.com</w:t>
      </w:r>
      <w:r>
        <w:rPr>
          <w:rStyle w:val="163"/>
          <w:rFonts w:hint="eastAsia" w:ascii="仿宋" w:hAnsi="仿宋" w:eastAsia="仿宋" w:cs="仿宋"/>
          <w:sz w:val="30"/>
          <w:szCs w:val="30"/>
          <w:u w:val="single"/>
        </w:rPr>
        <w:fldChar w:fldCharType="end"/>
      </w:r>
    </w:p>
    <w:p w14:paraId="6DC50205">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平台接口文档地址</w:t>
      </w:r>
    </w:p>
    <w:p w14:paraId="3C4565BE">
      <w:pPr>
        <w:spacing w:after="120"/>
        <w:ind w:firstLine="600"/>
        <w:rPr>
          <w:rFonts w:ascii="仿宋" w:hAnsi="仿宋" w:eastAsia="仿宋" w:cs="仿宋"/>
          <w:sz w:val="30"/>
          <w:szCs w:val="30"/>
        </w:rPr>
      </w:pPr>
      <w:r>
        <w:rPr>
          <w:rStyle w:val="163"/>
          <w:rFonts w:hint="eastAsia" w:ascii="仿宋" w:hAnsi="仿宋" w:eastAsia="仿宋" w:cs="仿宋"/>
          <w:sz w:val="30"/>
          <w:szCs w:val="30"/>
        </w:rPr>
        <w:t>文档地址：</w:t>
      </w:r>
      <w:r>
        <w:fldChar w:fldCharType="begin"/>
      </w:r>
      <w:r>
        <w:instrText xml:space="preserve"> HYPERLINK "https://www.yuque.com/apidoc/zhgd" \t "_blank" </w:instrText>
      </w:r>
      <w:r>
        <w:fldChar w:fldCharType="separate"/>
      </w:r>
      <w:r>
        <w:rPr>
          <w:rStyle w:val="163"/>
          <w:rFonts w:hint="eastAsia" w:ascii="仿宋" w:hAnsi="仿宋" w:eastAsia="仿宋" w:cs="仿宋"/>
          <w:sz w:val="30"/>
          <w:szCs w:val="30"/>
          <w:u w:val="single"/>
        </w:rPr>
        <w:t>https://www.yuque.com/apidoc/zhgd</w:t>
      </w:r>
      <w:r>
        <w:rPr>
          <w:rStyle w:val="163"/>
          <w:rFonts w:hint="eastAsia" w:ascii="仿宋" w:hAnsi="仿宋" w:eastAsia="仿宋" w:cs="仿宋"/>
          <w:sz w:val="30"/>
          <w:szCs w:val="30"/>
          <w:u w:val="single"/>
        </w:rPr>
        <w:fldChar w:fldCharType="end"/>
      </w:r>
    </w:p>
    <w:p w14:paraId="3210BA04">
      <w:pPr>
        <w:spacing w:after="120"/>
        <w:ind w:firstLine="600"/>
        <w:rPr>
          <w:rFonts w:ascii="仿宋" w:hAnsi="仿宋" w:eastAsia="仿宋" w:cs="仿宋"/>
          <w:sz w:val="30"/>
          <w:szCs w:val="30"/>
        </w:rPr>
      </w:pPr>
      <w:bookmarkStart w:id="1260" w:name="_Toc20817"/>
      <w:bookmarkStart w:id="1261" w:name="_Toc18370"/>
      <w:r>
        <w:rPr>
          <w:rStyle w:val="163"/>
          <w:rFonts w:hint="eastAsia" w:ascii="仿宋" w:hAnsi="仿宋" w:eastAsia="仿宋" w:cs="仿宋"/>
          <w:sz w:val="30"/>
          <w:szCs w:val="30"/>
        </w:rPr>
        <w:t>1.2 申请授权参数</w:t>
      </w:r>
      <w:bookmarkEnd w:id="1260"/>
      <w:bookmarkEnd w:id="1261"/>
    </w:p>
    <w:p w14:paraId="63375551">
      <w:pPr>
        <w:spacing w:after="120"/>
        <w:ind w:firstLine="600"/>
        <w:rPr>
          <w:rFonts w:ascii="仿宋" w:hAnsi="仿宋" w:eastAsia="仿宋" w:cs="仿宋"/>
          <w:sz w:val="30"/>
          <w:szCs w:val="30"/>
        </w:rPr>
      </w:pPr>
      <w:r>
        <w:rPr>
          <w:rStyle w:val="163"/>
          <w:rFonts w:hint="eastAsia" w:ascii="仿宋" w:hAnsi="仿宋" w:eastAsia="仿宋" w:cs="仿宋"/>
          <w:sz w:val="30"/>
          <w:szCs w:val="30"/>
        </w:rPr>
        <w:t>把准备接入的项目信息发送到指定邮箱，由信息部门统一分配并邮件回复。</w:t>
      </w:r>
    </w:p>
    <w:p w14:paraId="307E798C">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请求授权的邮件格式如下：</w:t>
      </w:r>
    </w:p>
    <w:p w14:paraId="366F81CC">
      <w:pPr>
        <w:spacing w:after="120"/>
        <w:ind w:firstLine="600"/>
        <w:rPr>
          <w:rFonts w:ascii="仿宋" w:hAnsi="仿宋" w:eastAsia="仿宋" w:cs="仿宋"/>
          <w:sz w:val="30"/>
          <w:szCs w:val="30"/>
        </w:rPr>
      </w:pPr>
      <w:r>
        <w:rPr>
          <w:rStyle w:val="163"/>
          <w:rFonts w:hint="eastAsia" w:ascii="仿宋" w:hAnsi="仿宋" w:eastAsia="仿宋" w:cs="仿宋"/>
          <w:sz w:val="30"/>
          <w:szCs w:val="30"/>
        </w:rPr>
        <w:t>主题：XXXX项目授权认证</w:t>
      </w:r>
    </w:p>
    <w:p w14:paraId="2C00F738">
      <w:pPr>
        <w:spacing w:after="120"/>
        <w:ind w:firstLine="600"/>
        <w:rPr>
          <w:rFonts w:ascii="仿宋" w:hAnsi="仿宋" w:eastAsia="仿宋" w:cs="仿宋"/>
          <w:sz w:val="30"/>
          <w:szCs w:val="30"/>
        </w:rPr>
      </w:pPr>
      <w:r>
        <w:rPr>
          <w:rStyle w:val="163"/>
          <w:rFonts w:hint="eastAsia" w:ascii="仿宋" w:hAnsi="仿宋" w:eastAsia="仿宋" w:cs="仿宋"/>
          <w:sz w:val="30"/>
          <w:szCs w:val="30"/>
        </w:rPr>
        <w:t>内容：项目信息如下</w:t>
      </w:r>
    </w:p>
    <w:p w14:paraId="25DB5DC2">
      <w:pPr>
        <w:spacing w:after="120"/>
        <w:ind w:left="960" w:firstLine="600"/>
        <w:rPr>
          <w:rFonts w:ascii="仿宋" w:hAnsi="仿宋" w:eastAsia="仿宋" w:cs="仿宋"/>
          <w:sz w:val="30"/>
          <w:szCs w:val="30"/>
        </w:rPr>
      </w:pPr>
      <w:r>
        <w:rPr>
          <w:rStyle w:val="163"/>
          <w:rFonts w:hint="eastAsia" w:ascii="仿宋" w:hAnsi="仿宋" w:eastAsia="仿宋" w:cs="仿宋"/>
          <w:sz w:val="30"/>
          <w:szCs w:val="30"/>
        </w:rPr>
        <w:t>项目名称：</w:t>
      </w:r>
    </w:p>
    <w:p w14:paraId="7901029F">
      <w:pPr>
        <w:spacing w:after="120"/>
        <w:ind w:left="960" w:firstLine="600"/>
        <w:rPr>
          <w:rFonts w:ascii="仿宋" w:hAnsi="仿宋" w:eastAsia="仿宋" w:cs="仿宋"/>
          <w:sz w:val="30"/>
          <w:szCs w:val="30"/>
        </w:rPr>
      </w:pPr>
      <w:r>
        <w:rPr>
          <w:rStyle w:val="163"/>
          <w:rFonts w:hint="eastAsia" w:ascii="仿宋" w:hAnsi="仿宋" w:eastAsia="仿宋" w:cs="仿宋"/>
          <w:sz w:val="30"/>
          <w:szCs w:val="30"/>
        </w:rPr>
        <w:t>项目介绍：</w:t>
      </w:r>
    </w:p>
    <w:p w14:paraId="18E5E2E0">
      <w:pPr>
        <w:spacing w:after="120"/>
        <w:ind w:left="960" w:firstLine="600"/>
        <w:rPr>
          <w:rFonts w:ascii="仿宋" w:hAnsi="仿宋" w:eastAsia="仿宋" w:cs="仿宋"/>
          <w:sz w:val="30"/>
          <w:szCs w:val="30"/>
        </w:rPr>
      </w:pPr>
      <w:r>
        <w:rPr>
          <w:rStyle w:val="163"/>
          <w:rFonts w:hint="eastAsia" w:ascii="仿宋" w:hAnsi="仿宋" w:eastAsia="仿宋" w:cs="仿宋"/>
          <w:sz w:val="30"/>
          <w:szCs w:val="30"/>
        </w:rPr>
        <w:t>地址：</w:t>
      </w:r>
    </w:p>
    <w:p w14:paraId="6851F43F">
      <w:pPr>
        <w:spacing w:after="120"/>
        <w:ind w:left="960" w:firstLine="600"/>
        <w:rPr>
          <w:rFonts w:ascii="仿宋" w:hAnsi="仿宋" w:eastAsia="仿宋" w:cs="仿宋"/>
          <w:sz w:val="30"/>
          <w:szCs w:val="30"/>
        </w:rPr>
      </w:pPr>
      <w:r>
        <w:rPr>
          <w:rStyle w:val="163"/>
          <w:rFonts w:hint="eastAsia" w:ascii="仿宋" w:hAnsi="仿宋" w:eastAsia="仿宋" w:cs="仿宋"/>
          <w:sz w:val="30"/>
          <w:szCs w:val="30"/>
        </w:rPr>
        <w:t>项目开始日期：</w:t>
      </w:r>
    </w:p>
    <w:p w14:paraId="66D43353">
      <w:pPr>
        <w:spacing w:after="120"/>
        <w:ind w:left="960" w:firstLine="600"/>
        <w:rPr>
          <w:rStyle w:val="163"/>
          <w:rFonts w:ascii="仿宋" w:hAnsi="仿宋" w:eastAsia="仿宋" w:cs="仿宋"/>
          <w:sz w:val="30"/>
          <w:szCs w:val="30"/>
        </w:rPr>
      </w:pPr>
      <w:r>
        <w:rPr>
          <w:rStyle w:val="163"/>
          <w:rFonts w:hint="eastAsia" w:ascii="仿宋" w:hAnsi="仿宋" w:eastAsia="仿宋" w:cs="仿宋"/>
          <w:sz w:val="30"/>
          <w:szCs w:val="30"/>
        </w:rPr>
        <w:t>项目结束日期：</w:t>
      </w:r>
    </w:p>
    <w:p w14:paraId="074B81C6">
      <w:pPr>
        <w:spacing w:after="120"/>
        <w:ind w:left="960" w:firstLine="600"/>
        <w:rPr>
          <w:rFonts w:ascii="仿宋" w:hAnsi="仿宋" w:eastAsia="仿宋" w:cs="仿宋"/>
          <w:sz w:val="30"/>
          <w:szCs w:val="30"/>
        </w:rPr>
      </w:pPr>
      <w:r>
        <w:rPr>
          <w:rStyle w:val="163"/>
          <w:rFonts w:hint="eastAsia" w:ascii="仿宋" w:hAnsi="仿宋" w:eastAsia="仿宋" w:cs="仿宋"/>
          <w:sz w:val="30"/>
          <w:szCs w:val="30"/>
        </w:rPr>
        <w:t>参建单位列表：</w:t>
      </w:r>
    </w:p>
    <w:tbl>
      <w:tblPr>
        <w:tblStyle w:val="55"/>
        <w:tblW w:w="9149"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666"/>
        <w:gridCol w:w="1666"/>
        <w:gridCol w:w="1939"/>
        <w:gridCol w:w="1939"/>
        <w:gridCol w:w="1939"/>
      </w:tblGrid>
      <w:tr w14:paraId="59BD875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53" w:hRule="atLeast"/>
        </w:trPr>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6D370665">
            <w:pPr>
              <w:spacing w:after="120"/>
              <w:rPr>
                <w:rFonts w:ascii="仿宋" w:hAnsi="仿宋" w:eastAsia="仿宋" w:cs="仿宋"/>
              </w:rPr>
            </w:pPr>
            <w:r>
              <w:rPr>
                <w:rStyle w:val="163"/>
                <w:rFonts w:hint="eastAsia" w:ascii="仿宋" w:hAnsi="仿宋" w:eastAsia="仿宋" w:cs="仿宋"/>
              </w:rPr>
              <w:t>参建类型</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5BBE894B">
            <w:pPr>
              <w:spacing w:after="120"/>
              <w:rPr>
                <w:rFonts w:ascii="仿宋" w:hAnsi="仿宋" w:eastAsia="仿宋" w:cs="仿宋"/>
              </w:rPr>
            </w:pPr>
            <w:r>
              <w:rPr>
                <w:rStyle w:val="163"/>
                <w:rFonts w:hint="eastAsia" w:ascii="仿宋" w:hAnsi="仿宋" w:eastAsia="仿宋" w:cs="仿宋"/>
              </w:rPr>
              <w:t>单位名称</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7699E98C">
            <w:pPr>
              <w:spacing w:after="120"/>
              <w:rPr>
                <w:rFonts w:ascii="仿宋" w:hAnsi="仿宋" w:eastAsia="仿宋" w:cs="仿宋"/>
              </w:rPr>
            </w:pPr>
            <w:r>
              <w:rPr>
                <w:rStyle w:val="163"/>
                <w:rFonts w:hint="eastAsia" w:ascii="仿宋" w:hAnsi="仿宋" w:eastAsia="仿宋" w:cs="仿宋"/>
              </w:rPr>
              <w:t>联系人姓名</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41AE11D">
            <w:pPr>
              <w:spacing w:after="120"/>
              <w:rPr>
                <w:rFonts w:ascii="仿宋" w:hAnsi="仿宋" w:eastAsia="仿宋" w:cs="仿宋"/>
              </w:rPr>
            </w:pPr>
            <w:r>
              <w:rPr>
                <w:rStyle w:val="163"/>
                <w:rFonts w:hint="eastAsia" w:ascii="仿宋" w:hAnsi="仿宋" w:eastAsia="仿宋" w:cs="仿宋"/>
              </w:rPr>
              <w:t>联系人职务</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D8E0B82">
            <w:pPr>
              <w:spacing w:after="120"/>
              <w:rPr>
                <w:rFonts w:ascii="仿宋" w:hAnsi="仿宋" w:eastAsia="仿宋" w:cs="仿宋"/>
              </w:rPr>
            </w:pPr>
            <w:r>
              <w:rPr>
                <w:rStyle w:val="163"/>
                <w:rFonts w:hint="eastAsia" w:ascii="仿宋" w:hAnsi="仿宋" w:eastAsia="仿宋" w:cs="仿宋"/>
              </w:rPr>
              <w:t>联系人电话</w:t>
            </w:r>
          </w:p>
        </w:tc>
      </w:tr>
      <w:tr w14:paraId="09F45FD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53" w:hRule="atLeast"/>
        </w:trPr>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6B6991EF">
            <w:pPr>
              <w:spacing w:after="120"/>
              <w:rPr>
                <w:rFonts w:ascii="仿宋" w:hAnsi="仿宋" w:eastAsia="仿宋" w:cs="仿宋"/>
              </w:rPr>
            </w:pPr>
            <w:r>
              <w:rPr>
                <w:rStyle w:val="163"/>
                <w:rFonts w:hint="eastAsia" w:ascii="仿宋" w:hAnsi="仿宋" w:eastAsia="仿宋" w:cs="仿宋"/>
              </w:rPr>
              <w:t>业主单位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71EABB90">
            <w:pPr>
              <w:spacing w:after="120"/>
              <w:rPr>
                <w:rFonts w:ascii="仿宋" w:hAnsi="仿宋" w:eastAsia="仿宋" w:cs="仿宋"/>
              </w:rPr>
            </w:pPr>
            <w:r>
              <w:rPr>
                <w:rStyle w:val="163"/>
                <w:rFonts w:hint="eastAsia" w:ascii="仿宋" w:hAnsi="仿宋" w:eastAsia="仿宋" w:cs="仿宋"/>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4B69D209">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845EF42">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3E39EAE8">
            <w:pPr>
              <w:spacing w:after="120"/>
              <w:rPr>
                <w:rFonts w:ascii="仿宋" w:hAnsi="仿宋" w:eastAsia="仿宋" w:cs="仿宋"/>
              </w:rPr>
            </w:pPr>
            <w:r>
              <w:rPr>
                <w:rStyle w:val="163"/>
                <w:rFonts w:hint="eastAsia" w:ascii="仿宋" w:hAnsi="仿宋" w:eastAsia="仿宋" w:cs="仿宋"/>
              </w:rPr>
              <w:t>xxxxx</w:t>
            </w:r>
          </w:p>
        </w:tc>
      </w:tr>
      <w:tr w14:paraId="4308872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53" w:hRule="atLeast"/>
        </w:trPr>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269F15AA">
            <w:pPr>
              <w:spacing w:after="120"/>
              <w:rPr>
                <w:rFonts w:ascii="仿宋" w:hAnsi="仿宋" w:eastAsia="仿宋" w:cs="仿宋"/>
              </w:rPr>
            </w:pPr>
            <w:r>
              <w:rPr>
                <w:rStyle w:val="163"/>
                <w:rFonts w:hint="eastAsia" w:ascii="仿宋" w:hAnsi="仿宋" w:eastAsia="仿宋" w:cs="仿宋"/>
              </w:rPr>
              <w:t>设计单位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17704085">
            <w:pPr>
              <w:spacing w:after="120"/>
              <w:rPr>
                <w:rFonts w:ascii="仿宋" w:hAnsi="仿宋" w:eastAsia="仿宋" w:cs="仿宋"/>
              </w:rPr>
            </w:pPr>
            <w:r>
              <w:rPr>
                <w:rStyle w:val="163"/>
                <w:rFonts w:hint="eastAsia" w:ascii="仿宋" w:hAnsi="仿宋" w:eastAsia="仿宋" w:cs="仿宋"/>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421E4DDB">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70C01D0">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6482F9A">
            <w:pPr>
              <w:spacing w:after="120"/>
              <w:rPr>
                <w:rFonts w:ascii="仿宋" w:hAnsi="仿宋" w:eastAsia="仿宋" w:cs="仿宋"/>
              </w:rPr>
            </w:pPr>
            <w:r>
              <w:rPr>
                <w:rStyle w:val="163"/>
                <w:rFonts w:hint="eastAsia" w:ascii="仿宋" w:hAnsi="仿宋" w:eastAsia="仿宋" w:cs="仿宋"/>
              </w:rPr>
              <w:t>xxxxxx</w:t>
            </w:r>
          </w:p>
        </w:tc>
      </w:tr>
      <w:tr w14:paraId="3C58C9A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53"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1E4689A">
            <w:pPr>
              <w:spacing w:after="120"/>
              <w:rPr>
                <w:rFonts w:ascii="仿宋" w:hAnsi="仿宋" w:eastAsia="仿宋" w:cs="仿宋"/>
              </w:rPr>
            </w:pPr>
            <w:r>
              <w:rPr>
                <w:rStyle w:val="163"/>
                <w:rFonts w:hint="eastAsia" w:ascii="仿宋" w:hAnsi="仿宋" w:eastAsia="仿宋" w:cs="仿宋"/>
              </w:rPr>
              <w:t>施工单位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1B550F21">
            <w:pPr>
              <w:spacing w:after="120"/>
              <w:rPr>
                <w:rFonts w:ascii="仿宋" w:hAnsi="仿宋" w:eastAsia="仿宋" w:cs="仿宋"/>
              </w:rPr>
            </w:pPr>
            <w:r>
              <w:rPr>
                <w:rStyle w:val="163"/>
                <w:rFonts w:hint="eastAsia" w:ascii="仿宋" w:hAnsi="仿宋" w:eastAsia="仿宋" w:cs="仿宋"/>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6C5F37C6">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D8123DE">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0840312">
            <w:pPr>
              <w:spacing w:after="120"/>
              <w:rPr>
                <w:rFonts w:ascii="仿宋" w:hAnsi="仿宋" w:eastAsia="仿宋" w:cs="仿宋"/>
              </w:rPr>
            </w:pPr>
            <w:r>
              <w:rPr>
                <w:rStyle w:val="163"/>
                <w:rFonts w:hint="eastAsia" w:ascii="仿宋" w:hAnsi="仿宋" w:eastAsia="仿宋" w:cs="仿宋"/>
              </w:rPr>
              <w:t>xxxxx</w:t>
            </w:r>
          </w:p>
        </w:tc>
      </w:tr>
      <w:tr w14:paraId="6BBF881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53"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83A38EF">
            <w:pPr>
              <w:spacing w:after="120"/>
              <w:rPr>
                <w:rFonts w:ascii="仿宋" w:hAnsi="仿宋" w:eastAsia="仿宋" w:cs="仿宋"/>
              </w:rPr>
            </w:pPr>
            <w:r>
              <w:rPr>
                <w:rStyle w:val="163"/>
                <w:rFonts w:hint="eastAsia" w:ascii="仿宋" w:hAnsi="仿宋" w:eastAsia="仿宋" w:cs="仿宋"/>
              </w:rPr>
              <w:t>勘测单位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5472380B">
            <w:pPr>
              <w:spacing w:after="120"/>
              <w:rPr>
                <w:rFonts w:ascii="仿宋" w:hAnsi="仿宋" w:eastAsia="仿宋" w:cs="仿宋"/>
              </w:rPr>
            </w:pPr>
            <w:r>
              <w:rPr>
                <w:rStyle w:val="163"/>
                <w:rFonts w:hint="eastAsia" w:ascii="仿宋" w:hAnsi="仿宋" w:eastAsia="仿宋" w:cs="仿宋"/>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1EBFA5F0">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A6B7E4A">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4C66B39">
            <w:pPr>
              <w:spacing w:after="120"/>
              <w:rPr>
                <w:rFonts w:ascii="仿宋" w:hAnsi="仿宋" w:eastAsia="仿宋" w:cs="仿宋"/>
              </w:rPr>
            </w:pPr>
            <w:r>
              <w:rPr>
                <w:rStyle w:val="163"/>
                <w:rFonts w:hint="eastAsia" w:ascii="仿宋" w:hAnsi="仿宋" w:eastAsia="仿宋" w:cs="仿宋"/>
              </w:rPr>
              <w:t>xxxxxx</w:t>
            </w:r>
          </w:p>
        </w:tc>
      </w:tr>
      <w:tr w14:paraId="619FEB2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53"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C9DE5CD">
            <w:pPr>
              <w:spacing w:after="120"/>
              <w:rPr>
                <w:rFonts w:ascii="仿宋" w:hAnsi="仿宋" w:eastAsia="仿宋" w:cs="仿宋"/>
              </w:rPr>
            </w:pPr>
            <w:r>
              <w:rPr>
                <w:rStyle w:val="163"/>
                <w:rFonts w:hint="eastAsia" w:ascii="仿宋" w:hAnsi="仿宋" w:eastAsia="仿宋" w:cs="仿宋"/>
              </w:rPr>
              <w:t>监理单位</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2C565ADA">
            <w:pPr>
              <w:spacing w:after="120"/>
              <w:rPr>
                <w:rFonts w:ascii="仿宋" w:hAnsi="仿宋" w:eastAsia="仿宋" w:cs="仿宋"/>
              </w:rPr>
            </w:pPr>
            <w:r>
              <w:rPr>
                <w:rStyle w:val="163"/>
                <w:rFonts w:hint="eastAsia" w:ascii="仿宋" w:hAnsi="仿宋" w:eastAsia="仿宋" w:cs="仿宋"/>
              </w:rPr>
              <w:t>xxxxxx</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133B5B41">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A668269">
            <w:pPr>
              <w:spacing w:after="120"/>
              <w:rPr>
                <w:rFonts w:ascii="仿宋" w:hAnsi="仿宋" w:eastAsia="仿宋" w:cs="仿宋"/>
              </w:rPr>
            </w:pPr>
            <w:r>
              <w:rPr>
                <w:rStyle w:val="163"/>
                <w:rFonts w:hint="eastAsia" w:ascii="仿宋" w:hAnsi="仿宋" w:eastAsia="仿宋" w:cs="仿宋"/>
              </w:rPr>
              <w:t>xxxxx</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F9EF611">
            <w:pPr>
              <w:spacing w:after="120"/>
              <w:rPr>
                <w:rFonts w:ascii="仿宋" w:hAnsi="仿宋" w:eastAsia="仿宋" w:cs="仿宋"/>
              </w:rPr>
            </w:pPr>
            <w:r>
              <w:rPr>
                <w:rStyle w:val="163"/>
                <w:rFonts w:hint="eastAsia" w:ascii="仿宋" w:hAnsi="仿宋" w:eastAsia="仿宋" w:cs="仿宋"/>
              </w:rPr>
              <w:t>xxxxxx</w:t>
            </w:r>
          </w:p>
        </w:tc>
      </w:tr>
    </w:tbl>
    <w:p w14:paraId="2E385E50">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回复邮件格式如下：</w:t>
      </w:r>
    </w:p>
    <w:p w14:paraId="41C3AFA1">
      <w:pPr>
        <w:spacing w:after="120"/>
        <w:ind w:firstLine="600"/>
        <w:rPr>
          <w:rFonts w:ascii="仿宋" w:hAnsi="仿宋" w:eastAsia="仿宋" w:cs="仿宋"/>
          <w:sz w:val="30"/>
          <w:szCs w:val="30"/>
        </w:rPr>
      </w:pPr>
      <w:r>
        <w:rPr>
          <w:rStyle w:val="163"/>
          <w:rFonts w:hint="eastAsia" w:ascii="仿宋" w:hAnsi="仿宋" w:eastAsia="仿宋" w:cs="仿宋"/>
          <w:sz w:val="30"/>
          <w:szCs w:val="30"/>
        </w:rPr>
        <w:t>主题：回复XXXX项目授权认证</w:t>
      </w:r>
    </w:p>
    <w:p w14:paraId="6798276F">
      <w:pPr>
        <w:spacing w:after="120"/>
        <w:ind w:firstLine="600"/>
        <w:rPr>
          <w:rFonts w:ascii="仿宋" w:hAnsi="仿宋" w:eastAsia="仿宋" w:cs="仿宋"/>
          <w:sz w:val="30"/>
          <w:szCs w:val="30"/>
        </w:rPr>
      </w:pPr>
      <w:r>
        <w:rPr>
          <w:rStyle w:val="163"/>
          <w:rFonts w:hint="eastAsia" w:ascii="仿宋" w:hAnsi="仿宋" w:eastAsia="仿宋" w:cs="仿宋"/>
          <w:sz w:val="30"/>
          <w:szCs w:val="30"/>
        </w:rPr>
        <w:t>内容：</w:t>
      </w:r>
      <w:r>
        <w:rPr>
          <w:rStyle w:val="163"/>
          <w:rFonts w:hint="eastAsia" w:ascii="仿宋" w:hAnsi="仿宋" w:eastAsia="仿宋" w:cs="仿宋"/>
          <w:b/>
          <w:bCs/>
          <w:sz w:val="30"/>
          <w:szCs w:val="30"/>
        </w:rPr>
        <w:t>认证接口参数</w:t>
      </w:r>
    </w:p>
    <w:p w14:paraId="0988B666">
      <w:pPr>
        <w:spacing w:after="120"/>
        <w:ind w:firstLine="600"/>
        <w:rPr>
          <w:rFonts w:ascii="仿宋" w:hAnsi="仿宋" w:eastAsia="仿宋" w:cs="仿宋"/>
          <w:sz w:val="30"/>
          <w:szCs w:val="30"/>
        </w:rPr>
      </w:pPr>
      <w:r>
        <w:rPr>
          <w:rStyle w:val="163"/>
          <w:rFonts w:hint="eastAsia" w:ascii="仿宋" w:hAnsi="仿宋" w:eastAsia="仿宋" w:cs="仿宋"/>
          <w:sz w:val="30"/>
          <w:szCs w:val="30"/>
        </w:rPr>
        <w:t>本平台接口统一通过授权认证的方式获取接口权限，请求认证需要获取三个参数，分别是：</w:t>
      </w:r>
    </w:p>
    <w:p w14:paraId="074CD05D">
      <w:pPr>
        <w:spacing w:after="120"/>
        <w:ind w:firstLine="600"/>
        <w:rPr>
          <w:rFonts w:ascii="仿宋" w:hAnsi="仿宋" w:eastAsia="仿宋" w:cs="仿宋"/>
          <w:sz w:val="30"/>
          <w:szCs w:val="30"/>
        </w:rPr>
      </w:pPr>
      <w:r>
        <w:rPr>
          <w:rStyle w:val="163"/>
          <w:rFonts w:hint="eastAsia" w:ascii="仿宋" w:hAnsi="仿宋" w:eastAsia="仿宋" w:cs="仿宋"/>
          <w:sz w:val="30"/>
          <w:szCs w:val="30"/>
        </w:rPr>
        <w:t>授权码（Authorization）：XXXXXXXXXXXXXXXXXXXXX</w:t>
      </w:r>
    </w:p>
    <w:p w14:paraId="24B1CED5">
      <w:pPr>
        <w:spacing w:after="120"/>
        <w:ind w:firstLine="600"/>
        <w:rPr>
          <w:rFonts w:ascii="仿宋" w:hAnsi="仿宋" w:eastAsia="仿宋" w:cs="仿宋"/>
          <w:sz w:val="30"/>
          <w:szCs w:val="30"/>
        </w:rPr>
      </w:pPr>
      <w:r>
        <w:rPr>
          <w:rStyle w:val="163"/>
          <w:rFonts w:hint="eastAsia" w:ascii="仿宋" w:hAnsi="仿宋" w:eastAsia="仿宋" w:cs="仿宋"/>
          <w:sz w:val="30"/>
          <w:szCs w:val="30"/>
        </w:rPr>
        <w:t>帐号（AppKey）：XXXXXXXXXXXXXXXX</w:t>
      </w:r>
    </w:p>
    <w:p w14:paraId="429B0308">
      <w:pPr>
        <w:spacing w:after="120"/>
        <w:ind w:firstLine="600"/>
        <w:rPr>
          <w:rFonts w:ascii="仿宋" w:hAnsi="仿宋" w:eastAsia="仿宋" w:cs="仿宋"/>
          <w:sz w:val="30"/>
          <w:szCs w:val="30"/>
        </w:rPr>
      </w:pPr>
      <w:r>
        <w:rPr>
          <w:rStyle w:val="163"/>
          <w:rFonts w:hint="eastAsia" w:ascii="仿宋" w:hAnsi="仿宋" w:eastAsia="仿宋" w:cs="仿宋"/>
          <w:sz w:val="30"/>
          <w:szCs w:val="30"/>
        </w:rPr>
        <w:t>密钥（AppSecret）：XXXXXXXXXXXXXXXXXX</w:t>
      </w:r>
    </w:p>
    <w:p w14:paraId="574454F7">
      <w:pPr>
        <w:spacing w:after="120"/>
        <w:ind w:firstLine="600"/>
        <w:rPr>
          <w:rFonts w:ascii="仿宋" w:hAnsi="仿宋" w:eastAsia="仿宋" w:cs="仿宋"/>
          <w:sz w:val="30"/>
          <w:szCs w:val="30"/>
        </w:rPr>
      </w:pPr>
      <w:r>
        <w:rPr>
          <w:rStyle w:val="163"/>
          <w:rFonts w:hint="eastAsia" w:ascii="仿宋" w:hAnsi="仿宋" w:eastAsia="仿宋" w:cs="仿宋"/>
          <w:sz w:val="30"/>
          <w:szCs w:val="30"/>
        </w:rPr>
        <w:t>Authorization，授权码，请求认证接口时，headers添加参数Authorization,值为"Basic " +授权码，注意Basic后面有一个空格。</w:t>
      </w:r>
    </w:p>
    <w:p w14:paraId="7740D50F">
      <w:pPr>
        <w:spacing w:after="120"/>
        <w:ind w:firstLine="600"/>
        <w:rPr>
          <w:rFonts w:ascii="仿宋" w:hAnsi="仿宋" w:eastAsia="仿宋" w:cs="仿宋"/>
          <w:sz w:val="30"/>
          <w:szCs w:val="30"/>
        </w:rPr>
      </w:pPr>
      <w:r>
        <w:rPr>
          <w:rStyle w:val="163"/>
          <w:rFonts w:hint="eastAsia" w:ascii="仿宋" w:hAnsi="仿宋" w:eastAsia="仿宋" w:cs="仿宋"/>
          <w:sz w:val="30"/>
          <w:szCs w:val="30"/>
        </w:rPr>
        <w:t>AppKey、AppSecret可以看作项目获取授权的帐号和密钥。</w:t>
      </w:r>
    </w:p>
    <w:p w14:paraId="7C2E9272">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项目唯一标识（projectId）</w:t>
      </w:r>
    </w:p>
    <w:p w14:paraId="4C6A72DD">
      <w:pPr>
        <w:spacing w:after="120"/>
        <w:ind w:firstLine="600"/>
        <w:rPr>
          <w:rFonts w:ascii="仿宋" w:hAnsi="仿宋" w:eastAsia="仿宋" w:cs="仿宋"/>
          <w:sz w:val="30"/>
          <w:szCs w:val="30"/>
        </w:rPr>
      </w:pPr>
      <w:r>
        <w:rPr>
          <w:rStyle w:val="163"/>
          <w:rFonts w:hint="eastAsia" w:ascii="仿宋" w:hAnsi="仿宋" w:eastAsia="仿宋" w:cs="仿宋"/>
          <w:sz w:val="30"/>
          <w:szCs w:val="30"/>
        </w:rPr>
        <w:t>每个项目统一分配唯一标识，即项目ID（projectId），平台统一分配。</w:t>
      </w:r>
    </w:p>
    <w:p w14:paraId="649F029D">
      <w:pPr>
        <w:spacing w:after="120"/>
        <w:ind w:firstLine="600"/>
        <w:rPr>
          <w:rFonts w:ascii="仿宋" w:hAnsi="仿宋" w:eastAsia="仿宋" w:cs="仿宋"/>
          <w:sz w:val="30"/>
          <w:szCs w:val="30"/>
        </w:rPr>
      </w:pPr>
      <w:r>
        <w:rPr>
          <w:rStyle w:val="163"/>
          <w:rFonts w:hint="eastAsia" w:ascii="仿宋" w:hAnsi="仿宋" w:eastAsia="仿宋" w:cs="仿宋"/>
          <w:sz w:val="30"/>
          <w:szCs w:val="30"/>
        </w:rPr>
        <w:t>项目唯一标识参与接口签名。</w:t>
      </w:r>
    </w:p>
    <w:p w14:paraId="6FA912AF">
      <w:pPr>
        <w:spacing w:after="120"/>
        <w:ind w:firstLine="600"/>
        <w:rPr>
          <w:rFonts w:ascii="仿宋" w:hAnsi="仿宋" w:eastAsia="仿宋" w:cs="仿宋"/>
          <w:sz w:val="30"/>
          <w:szCs w:val="30"/>
        </w:rPr>
      </w:pPr>
      <w:bookmarkStart w:id="1262" w:name="_Toc9117"/>
      <w:bookmarkStart w:id="1263" w:name="_Toc28772"/>
      <w:r>
        <w:rPr>
          <w:rFonts w:hint="eastAsia" w:ascii="仿宋" w:hAnsi="仿宋" w:eastAsia="仿宋" w:cs="仿宋"/>
          <w:sz w:val="30"/>
          <w:szCs w:val="30"/>
        </w:rPr>
        <w:t>2 认证接口</w:t>
      </w:r>
      <w:bookmarkEnd w:id="1262"/>
      <w:bookmarkEnd w:id="1263"/>
    </w:p>
    <w:p w14:paraId="1E12A74A">
      <w:pPr>
        <w:spacing w:after="120"/>
        <w:ind w:firstLine="600"/>
        <w:rPr>
          <w:rFonts w:ascii="仿宋" w:hAnsi="仿宋" w:eastAsia="仿宋" w:cs="仿宋"/>
          <w:sz w:val="30"/>
          <w:szCs w:val="30"/>
        </w:rPr>
      </w:pPr>
      <w:bookmarkStart w:id="1264" w:name="_Toc1116"/>
      <w:bookmarkStart w:id="1265" w:name="_Toc16254"/>
      <w:r>
        <w:rPr>
          <w:rStyle w:val="163"/>
          <w:rFonts w:hint="eastAsia" w:ascii="仿宋" w:hAnsi="仿宋" w:eastAsia="仿宋" w:cs="仿宋"/>
          <w:sz w:val="30"/>
          <w:szCs w:val="30"/>
        </w:rPr>
        <w:t>2.1 基本信息</w:t>
      </w:r>
      <w:bookmarkEnd w:id="1264"/>
      <w:bookmarkEnd w:id="1265"/>
    </w:p>
    <w:p w14:paraId="07E60436">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接口描述</w:t>
      </w:r>
    </w:p>
    <w:p w14:paraId="4976D61F">
      <w:pPr>
        <w:spacing w:after="120"/>
        <w:ind w:firstLine="600"/>
        <w:rPr>
          <w:rFonts w:ascii="仿宋" w:hAnsi="仿宋" w:eastAsia="仿宋" w:cs="仿宋"/>
          <w:sz w:val="30"/>
          <w:szCs w:val="30"/>
        </w:rPr>
      </w:pPr>
      <w:r>
        <w:rPr>
          <w:rStyle w:val="163"/>
          <w:rFonts w:hint="eastAsia" w:ascii="仿宋" w:hAnsi="仿宋" w:eastAsia="仿宋" w:cs="仿宋"/>
          <w:sz w:val="30"/>
          <w:szCs w:val="30"/>
        </w:rPr>
        <w:t>所有接口在请求时必须有授权auth-token，通过本接口获取auth-token。</w:t>
      </w:r>
    </w:p>
    <w:p w14:paraId="11C98EE5">
      <w:pPr>
        <w:spacing w:after="120"/>
        <w:ind w:firstLine="600"/>
        <w:rPr>
          <w:rFonts w:ascii="仿宋" w:hAnsi="仿宋" w:eastAsia="仿宋" w:cs="仿宋"/>
          <w:sz w:val="30"/>
          <w:szCs w:val="30"/>
        </w:rPr>
      </w:pPr>
      <w:r>
        <w:rPr>
          <w:rStyle w:val="163"/>
          <w:rFonts w:hint="eastAsia" w:ascii="仿宋" w:hAnsi="仿宋" w:eastAsia="仿宋" w:cs="仿宋"/>
          <w:sz w:val="30"/>
          <w:szCs w:val="30"/>
        </w:rPr>
        <w:t>auth-token前面拼接规则："bearer "+accessToken。</w:t>
      </w:r>
    </w:p>
    <w:p w14:paraId="73CCE15A">
      <w:pPr>
        <w:spacing w:after="120"/>
        <w:ind w:firstLine="600"/>
        <w:rPr>
          <w:rFonts w:ascii="仿宋" w:hAnsi="仿宋" w:eastAsia="仿宋" w:cs="仿宋"/>
          <w:sz w:val="30"/>
          <w:szCs w:val="30"/>
        </w:rPr>
      </w:pPr>
      <w:r>
        <w:rPr>
          <w:rStyle w:val="163"/>
          <w:rFonts w:hint="eastAsia" w:ascii="仿宋" w:hAnsi="仿宋" w:eastAsia="仿宋" w:cs="仿宋"/>
          <w:sz w:val="30"/>
          <w:szCs w:val="30"/>
        </w:rPr>
        <w:t>accessToken有效时间1小时，接入方统一缓存token，定时更新token。</w:t>
      </w:r>
    </w:p>
    <w:p w14:paraId="307FB9DC">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auth-token示例：</w:t>
      </w:r>
    </w:p>
    <w:p w14:paraId="1F221E56">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bearer eyJ0eXAiOiJKV1QiLCJhbGciOiJIUzUxMiJ9.eyJpc3MiOiJpc3N1c2VyIiwiYXVkIjoiYXVkaWVuY2UiLCJ0ZW5hbnRfaWQiOiIwMDAwMDAiLCJyb2xlX25hbWUiOiJpc3ZkZXYiLCJ1c2VyX2lkIjoiMTM1MjI4NjY4NTk1Nzc0MjU5NCIsInJvbGVfaWQiOiIxMzQ4ODg2NjUwODcyMTYwMjU3IiwidXNlcl9uYW1lIjoidGVzdCIsInRva2VuX3R5cGUiOiJhY2Nlc3NfdG9rZW4iLCJhY2NvdW50IjoidGVzdCIsImNsaWVudF9pZCI6ImdpcyIsImV4cCI6MTYxMTI2MzM3OCwibmJmIjoxNjExMjU5Nzc4fQ.QX9OTMPwLyQBx4cqAJjetGdQap8LawS165jy3PXw2ss-r1FBusFnyehr9vKWxLc-qaPpG3zN1R_fv9sn5N6-mg</w:t>
      </w:r>
    </w:p>
    <w:p w14:paraId="03B56819">
      <w:pPr>
        <w:spacing w:after="120"/>
        <w:rPr>
          <w:rFonts w:ascii="仿宋" w:hAnsi="仿宋" w:eastAsia="仿宋" w:cs="仿宋"/>
        </w:rPr>
      </w:pPr>
    </w:p>
    <w:p w14:paraId="60F7C4D6">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接口地址</w:t>
      </w:r>
    </w:p>
    <w:p w14:paraId="724F3758">
      <w:pPr>
        <w:spacing w:after="120"/>
        <w:ind w:firstLine="600"/>
        <w:rPr>
          <w:rFonts w:ascii="仿宋" w:hAnsi="仿宋" w:eastAsia="仿宋" w:cs="仿宋"/>
          <w:sz w:val="30"/>
          <w:szCs w:val="30"/>
        </w:rPr>
      </w:pPr>
      <w:r>
        <w:rPr>
          <w:rStyle w:val="163"/>
          <w:rFonts w:hint="eastAsia" w:ascii="仿宋" w:hAnsi="仿宋" w:eastAsia="仿宋" w:cs="仿宋"/>
          <w:sz w:val="30"/>
          <w:szCs w:val="30"/>
        </w:rPr>
        <w:t>/sysapi/auth/token</w:t>
      </w:r>
    </w:p>
    <w:p w14:paraId="419EEEFF">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请求方法</w:t>
      </w:r>
    </w:p>
    <w:p w14:paraId="31DA92F6">
      <w:pPr>
        <w:spacing w:after="120"/>
        <w:ind w:firstLine="600"/>
        <w:rPr>
          <w:rFonts w:ascii="仿宋" w:hAnsi="仿宋" w:eastAsia="仿宋" w:cs="仿宋"/>
          <w:sz w:val="30"/>
          <w:szCs w:val="30"/>
        </w:rPr>
      </w:pPr>
      <w:r>
        <w:rPr>
          <w:rStyle w:val="163"/>
          <w:rFonts w:hint="eastAsia" w:ascii="仿宋" w:hAnsi="仿宋" w:eastAsia="仿宋" w:cs="仿宋"/>
          <w:sz w:val="30"/>
          <w:szCs w:val="30"/>
        </w:rPr>
        <w:t>POST</w:t>
      </w:r>
    </w:p>
    <w:p w14:paraId="378CEC4B">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版本号</w:t>
      </w:r>
    </w:p>
    <w:p w14:paraId="57A6B625">
      <w:pPr>
        <w:spacing w:after="120"/>
        <w:ind w:firstLine="600"/>
        <w:rPr>
          <w:rFonts w:ascii="仿宋" w:hAnsi="仿宋" w:eastAsia="仿宋" w:cs="仿宋"/>
          <w:sz w:val="30"/>
          <w:szCs w:val="30"/>
        </w:rPr>
      </w:pPr>
      <w:r>
        <w:rPr>
          <w:rStyle w:val="163"/>
          <w:rFonts w:hint="eastAsia" w:ascii="仿宋" w:hAnsi="仿宋" w:eastAsia="仿宋" w:cs="仿宋"/>
          <w:sz w:val="30"/>
          <w:szCs w:val="30"/>
        </w:rPr>
        <w:t>1.0.0</w:t>
      </w:r>
    </w:p>
    <w:p w14:paraId="2D9EC689">
      <w:pPr>
        <w:spacing w:after="120"/>
        <w:ind w:firstLine="600"/>
        <w:rPr>
          <w:rFonts w:ascii="仿宋" w:hAnsi="仿宋" w:eastAsia="仿宋" w:cs="仿宋"/>
          <w:sz w:val="30"/>
          <w:szCs w:val="30"/>
        </w:rPr>
      </w:pPr>
      <w:bookmarkStart w:id="1266" w:name="_Toc21255"/>
      <w:bookmarkStart w:id="1267" w:name="_Toc21955"/>
      <w:r>
        <w:rPr>
          <w:rStyle w:val="163"/>
          <w:rFonts w:hint="eastAsia" w:ascii="仿宋" w:hAnsi="仿宋" w:eastAsia="仿宋" w:cs="仿宋"/>
          <w:sz w:val="30"/>
          <w:szCs w:val="30"/>
        </w:rPr>
        <w:t>2.2 请求头(headers)</w:t>
      </w:r>
      <w:bookmarkEnd w:id="1266"/>
      <w:bookmarkEnd w:id="1267"/>
    </w:p>
    <w:tbl>
      <w:tblPr>
        <w:tblStyle w:val="55"/>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fixed"/>
        <w:tblCellMar>
          <w:top w:w="15" w:type="dxa"/>
          <w:left w:w="15" w:type="dxa"/>
          <w:bottom w:w="15" w:type="dxa"/>
          <w:right w:w="15" w:type="dxa"/>
        </w:tblCellMar>
      </w:tblPr>
      <w:tblGrid>
        <w:gridCol w:w="1319"/>
        <w:gridCol w:w="810"/>
        <w:gridCol w:w="795"/>
        <w:gridCol w:w="1620"/>
        <w:gridCol w:w="2430"/>
        <w:gridCol w:w="2302"/>
      </w:tblGrid>
      <w:tr w14:paraId="60EC751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1105" w:hRule="atLeast"/>
        </w:trPr>
        <w:tc>
          <w:tcPr>
            <w:tcW w:w="1319"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6C0F1806">
            <w:pPr>
              <w:spacing w:after="120"/>
              <w:ind w:firstLine="0" w:firstLineChars="0"/>
              <w:rPr>
                <w:rFonts w:ascii="仿宋" w:hAnsi="仿宋" w:eastAsia="仿宋" w:cs="仿宋"/>
                <w:szCs w:val="24"/>
              </w:rPr>
            </w:pPr>
            <w:r>
              <w:rPr>
                <w:rStyle w:val="163"/>
                <w:rFonts w:hint="eastAsia" w:ascii="仿宋" w:hAnsi="仿宋" w:eastAsia="仿宋" w:cs="仿宋"/>
                <w:szCs w:val="24"/>
              </w:rPr>
              <w:t>参数名称</w:t>
            </w:r>
          </w:p>
        </w:tc>
        <w:tc>
          <w:tcPr>
            <w:tcW w:w="810"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10EA950B">
            <w:pPr>
              <w:spacing w:after="120"/>
              <w:ind w:firstLine="0" w:firstLineChars="0"/>
              <w:rPr>
                <w:rFonts w:ascii="仿宋" w:hAnsi="仿宋" w:eastAsia="仿宋" w:cs="仿宋"/>
                <w:szCs w:val="24"/>
              </w:rPr>
            </w:pPr>
            <w:r>
              <w:rPr>
                <w:rStyle w:val="163"/>
                <w:rFonts w:hint="eastAsia" w:ascii="仿宋" w:hAnsi="仿宋" w:eastAsia="仿宋" w:cs="仿宋"/>
                <w:szCs w:val="24"/>
              </w:rPr>
              <w:t>参数类型</w:t>
            </w:r>
          </w:p>
        </w:tc>
        <w:tc>
          <w:tcPr>
            <w:tcW w:w="795"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60082209">
            <w:pPr>
              <w:spacing w:after="120"/>
              <w:ind w:firstLine="0" w:firstLineChars="0"/>
              <w:rPr>
                <w:rFonts w:ascii="仿宋" w:hAnsi="仿宋" w:eastAsia="仿宋" w:cs="仿宋"/>
                <w:szCs w:val="24"/>
              </w:rPr>
            </w:pPr>
            <w:r>
              <w:rPr>
                <w:rStyle w:val="163"/>
                <w:rFonts w:hint="eastAsia" w:ascii="仿宋" w:hAnsi="仿宋" w:eastAsia="仿宋" w:cs="仿宋"/>
                <w:szCs w:val="24"/>
              </w:rPr>
              <w:t>是否必须</w:t>
            </w:r>
          </w:p>
        </w:tc>
        <w:tc>
          <w:tcPr>
            <w:tcW w:w="1620"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5BF4FDE3">
            <w:pPr>
              <w:spacing w:after="120"/>
              <w:ind w:firstLine="0" w:firstLineChars="0"/>
              <w:rPr>
                <w:rFonts w:ascii="仿宋" w:hAnsi="仿宋" w:eastAsia="仿宋" w:cs="仿宋"/>
                <w:szCs w:val="24"/>
              </w:rPr>
            </w:pPr>
            <w:r>
              <w:rPr>
                <w:rStyle w:val="163"/>
                <w:rFonts w:hint="eastAsia" w:ascii="仿宋" w:hAnsi="仿宋" w:eastAsia="仿宋" w:cs="仿宋"/>
                <w:szCs w:val="24"/>
              </w:rPr>
              <w:t>参数说明</w:t>
            </w:r>
          </w:p>
        </w:tc>
        <w:tc>
          <w:tcPr>
            <w:tcW w:w="2430"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5712AE84">
            <w:pPr>
              <w:spacing w:after="120"/>
              <w:ind w:firstLine="0" w:firstLineChars="0"/>
              <w:rPr>
                <w:rFonts w:ascii="仿宋" w:hAnsi="仿宋" w:eastAsia="仿宋" w:cs="仿宋"/>
                <w:szCs w:val="24"/>
              </w:rPr>
            </w:pPr>
            <w:r>
              <w:rPr>
                <w:rStyle w:val="163"/>
                <w:rFonts w:hint="eastAsia" w:ascii="仿宋" w:hAnsi="仿宋" w:eastAsia="仿宋" w:cs="仿宋"/>
                <w:szCs w:val="24"/>
              </w:rPr>
              <w:t>默认值</w:t>
            </w:r>
          </w:p>
        </w:tc>
        <w:tc>
          <w:tcPr>
            <w:tcW w:w="2302"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6CAF81FB">
            <w:pPr>
              <w:spacing w:after="120"/>
              <w:ind w:firstLine="0" w:firstLineChars="0"/>
              <w:rPr>
                <w:rFonts w:ascii="仿宋" w:hAnsi="仿宋" w:eastAsia="仿宋" w:cs="仿宋"/>
                <w:szCs w:val="24"/>
              </w:rPr>
            </w:pPr>
            <w:r>
              <w:rPr>
                <w:rStyle w:val="163"/>
                <w:rFonts w:hint="eastAsia" w:ascii="仿宋" w:hAnsi="仿宋" w:eastAsia="仿宋" w:cs="仿宋"/>
                <w:szCs w:val="24"/>
              </w:rPr>
              <w:t>示例</w:t>
            </w:r>
          </w:p>
        </w:tc>
      </w:tr>
      <w:tr w14:paraId="7D95778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1105" w:hRule="atLeast"/>
        </w:trPr>
        <w:tc>
          <w:tcPr>
            <w:tcW w:w="1319"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6AB3AA92">
            <w:pPr>
              <w:spacing w:after="120"/>
              <w:ind w:firstLine="0" w:firstLineChars="0"/>
              <w:rPr>
                <w:rFonts w:ascii="仿宋" w:hAnsi="仿宋" w:eastAsia="仿宋" w:cs="仿宋"/>
                <w:szCs w:val="24"/>
              </w:rPr>
            </w:pPr>
            <w:r>
              <w:rPr>
                <w:rStyle w:val="163"/>
                <w:rFonts w:hint="eastAsia" w:ascii="仿宋" w:hAnsi="仿宋" w:eastAsia="仿宋" w:cs="仿宋"/>
                <w:szCs w:val="24"/>
              </w:rPr>
              <w:t>Content-Type</w:t>
            </w:r>
          </w:p>
        </w:tc>
        <w:tc>
          <w:tcPr>
            <w:tcW w:w="810"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5E38976C">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795"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0662171F">
            <w:pPr>
              <w:spacing w:after="120"/>
              <w:rPr>
                <w:rFonts w:ascii="仿宋" w:hAnsi="仿宋" w:eastAsia="仿宋" w:cs="仿宋"/>
                <w:szCs w:val="24"/>
              </w:rPr>
            </w:pPr>
          </w:p>
        </w:tc>
        <w:tc>
          <w:tcPr>
            <w:tcW w:w="1620"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66C08D5C">
            <w:pPr>
              <w:spacing w:after="120"/>
              <w:rPr>
                <w:rFonts w:ascii="仿宋" w:hAnsi="仿宋" w:eastAsia="仿宋" w:cs="仿宋"/>
                <w:szCs w:val="24"/>
              </w:rPr>
            </w:pPr>
          </w:p>
        </w:tc>
        <w:tc>
          <w:tcPr>
            <w:tcW w:w="2430"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187FDB82">
            <w:pPr>
              <w:spacing w:after="120"/>
              <w:ind w:firstLine="0" w:firstLineChars="0"/>
              <w:rPr>
                <w:rFonts w:ascii="仿宋" w:hAnsi="仿宋" w:eastAsia="仿宋" w:cs="仿宋"/>
                <w:szCs w:val="24"/>
              </w:rPr>
            </w:pPr>
            <w:r>
              <w:rPr>
                <w:rStyle w:val="163"/>
                <w:rFonts w:hint="eastAsia" w:ascii="仿宋" w:hAnsi="仿宋" w:eastAsia="仿宋" w:cs="仿宋"/>
                <w:szCs w:val="24"/>
              </w:rPr>
              <w:t>application/x-www-form-urlencoded</w:t>
            </w:r>
          </w:p>
        </w:tc>
        <w:tc>
          <w:tcPr>
            <w:tcW w:w="2302"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186712EB">
            <w:pPr>
              <w:spacing w:after="120"/>
              <w:rPr>
                <w:rFonts w:ascii="仿宋" w:hAnsi="仿宋" w:eastAsia="仿宋" w:cs="仿宋"/>
                <w:szCs w:val="24"/>
              </w:rPr>
            </w:pPr>
          </w:p>
        </w:tc>
      </w:tr>
      <w:tr w14:paraId="07C0B9C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1435" w:hRule="atLeast"/>
        </w:trPr>
        <w:tc>
          <w:tcPr>
            <w:tcW w:w="1319"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714369CD">
            <w:pPr>
              <w:spacing w:after="120"/>
              <w:ind w:firstLine="0" w:firstLineChars="0"/>
              <w:rPr>
                <w:rFonts w:ascii="仿宋" w:hAnsi="仿宋" w:eastAsia="仿宋" w:cs="仿宋"/>
                <w:szCs w:val="24"/>
              </w:rPr>
            </w:pPr>
            <w:r>
              <w:rPr>
                <w:rStyle w:val="163"/>
                <w:rFonts w:hint="eastAsia" w:ascii="仿宋" w:hAnsi="仿宋" w:eastAsia="仿宋" w:cs="仿宋"/>
                <w:szCs w:val="24"/>
              </w:rPr>
              <w:t>Authorization</w:t>
            </w:r>
          </w:p>
        </w:tc>
        <w:tc>
          <w:tcPr>
            <w:tcW w:w="810"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061F8321">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795"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0F7B25D1">
            <w:pPr>
              <w:spacing w:after="120"/>
              <w:rPr>
                <w:rFonts w:ascii="仿宋" w:hAnsi="仿宋" w:eastAsia="仿宋" w:cs="仿宋"/>
                <w:szCs w:val="24"/>
              </w:rPr>
            </w:pPr>
          </w:p>
        </w:tc>
        <w:tc>
          <w:tcPr>
            <w:tcW w:w="1620"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6D823885">
            <w:pPr>
              <w:spacing w:after="120"/>
              <w:ind w:firstLine="0" w:firstLineChars="0"/>
              <w:rPr>
                <w:rFonts w:ascii="仿宋" w:hAnsi="仿宋" w:eastAsia="仿宋" w:cs="仿宋"/>
                <w:szCs w:val="24"/>
              </w:rPr>
            </w:pPr>
            <w:r>
              <w:rPr>
                <w:rStyle w:val="163"/>
                <w:rFonts w:hint="eastAsia" w:ascii="仿宋" w:hAnsi="仿宋" w:eastAsia="仿宋" w:cs="仿宋"/>
                <w:szCs w:val="24"/>
              </w:rPr>
              <w:t>"Basic "+分配的授权码</w:t>
            </w:r>
          </w:p>
        </w:tc>
        <w:tc>
          <w:tcPr>
            <w:tcW w:w="2430"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52EEECAF">
            <w:pPr>
              <w:spacing w:after="120"/>
              <w:rPr>
                <w:rFonts w:ascii="仿宋" w:hAnsi="仿宋" w:eastAsia="仿宋" w:cs="仿宋"/>
                <w:szCs w:val="24"/>
              </w:rPr>
            </w:pPr>
          </w:p>
        </w:tc>
        <w:tc>
          <w:tcPr>
            <w:tcW w:w="2302"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6C2EFB84">
            <w:pPr>
              <w:spacing w:after="120"/>
              <w:ind w:firstLine="0" w:firstLineChars="0"/>
              <w:rPr>
                <w:rFonts w:ascii="仿宋" w:hAnsi="仿宋" w:eastAsia="仿宋" w:cs="仿宋"/>
                <w:szCs w:val="24"/>
              </w:rPr>
            </w:pPr>
            <w:r>
              <w:rPr>
                <w:rStyle w:val="163"/>
                <w:rFonts w:hint="eastAsia" w:ascii="仿宋" w:hAnsi="仿宋" w:eastAsia="仿宋" w:cs="仿宋"/>
                <w:szCs w:val="24"/>
              </w:rPr>
              <w:t>Basic Z2lzOmI0YzRiN2ZjNzM5YjRiODg5YWI2ZmFlMzQ0NmY2YTVm</w:t>
            </w:r>
          </w:p>
        </w:tc>
      </w:tr>
      <w:tr w14:paraId="7C1BE6D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786" w:hRule="atLeast"/>
        </w:trPr>
        <w:tc>
          <w:tcPr>
            <w:tcW w:w="1319"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6451C7EC">
            <w:pPr>
              <w:spacing w:after="120"/>
              <w:ind w:firstLine="0" w:firstLineChars="0"/>
              <w:rPr>
                <w:rFonts w:ascii="仿宋" w:hAnsi="仿宋" w:eastAsia="仿宋" w:cs="仿宋"/>
                <w:szCs w:val="24"/>
              </w:rPr>
            </w:pPr>
            <w:r>
              <w:rPr>
                <w:rStyle w:val="163"/>
                <w:rFonts w:hint="eastAsia" w:ascii="仿宋" w:hAnsi="仿宋" w:eastAsia="仿宋" w:cs="仿宋"/>
                <w:szCs w:val="24"/>
              </w:rPr>
              <w:t>version</w:t>
            </w:r>
          </w:p>
        </w:tc>
        <w:tc>
          <w:tcPr>
            <w:tcW w:w="810"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277C5951">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795"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609CAACA">
            <w:pPr>
              <w:spacing w:after="120"/>
              <w:rPr>
                <w:rFonts w:ascii="仿宋" w:hAnsi="仿宋" w:eastAsia="仿宋" w:cs="仿宋"/>
                <w:szCs w:val="24"/>
              </w:rPr>
            </w:pPr>
          </w:p>
        </w:tc>
        <w:tc>
          <w:tcPr>
            <w:tcW w:w="1620"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303D6BCB">
            <w:pPr>
              <w:spacing w:after="120"/>
              <w:ind w:firstLine="0" w:firstLineChars="0"/>
              <w:rPr>
                <w:rFonts w:ascii="仿宋" w:hAnsi="仿宋" w:eastAsia="仿宋" w:cs="仿宋"/>
                <w:szCs w:val="24"/>
              </w:rPr>
            </w:pPr>
            <w:r>
              <w:rPr>
                <w:rStyle w:val="163"/>
                <w:rFonts w:hint="eastAsia" w:ascii="仿宋" w:hAnsi="仿宋" w:eastAsia="仿宋" w:cs="仿宋"/>
                <w:szCs w:val="24"/>
              </w:rPr>
              <w:t>接口版本</w:t>
            </w:r>
          </w:p>
        </w:tc>
        <w:tc>
          <w:tcPr>
            <w:tcW w:w="2430"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155B6DB3">
            <w:pPr>
              <w:spacing w:after="120"/>
              <w:rPr>
                <w:rFonts w:ascii="仿宋" w:hAnsi="仿宋" w:eastAsia="仿宋" w:cs="仿宋"/>
                <w:szCs w:val="24"/>
              </w:rPr>
            </w:pPr>
            <w:r>
              <w:rPr>
                <w:rStyle w:val="163"/>
                <w:rFonts w:hint="eastAsia" w:ascii="仿宋" w:hAnsi="仿宋" w:eastAsia="仿宋" w:cs="仿宋"/>
                <w:szCs w:val="24"/>
              </w:rPr>
              <w:t>1.0.0</w:t>
            </w:r>
          </w:p>
        </w:tc>
        <w:tc>
          <w:tcPr>
            <w:tcW w:w="2302"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710D132B">
            <w:pPr>
              <w:spacing w:after="120"/>
              <w:rPr>
                <w:rFonts w:ascii="仿宋" w:hAnsi="仿宋" w:eastAsia="仿宋" w:cs="仿宋"/>
                <w:szCs w:val="24"/>
              </w:rPr>
            </w:pPr>
            <w:r>
              <w:rPr>
                <w:rStyle w:val="163"/>
                <w:rFonts w:hint="eastAsia" w:ascii="仿宋" w:hAnsi="仿宋" w:eastAsia="仿宋" w:cs="仿宋"/>
                <w:szCs w:val="24"/>
              </w:rPr>
              <w:t>1.0.0</w:t>
            </w:r>
          </w:p>
        </w:tc>
      </w:tr>
    </w:tbl>
    <w:p w14:paraId="44DC1A65">
      <w:pPr>
        <w:spacing w:after="120"/>
        <w:ind w:firstLine="600"/>
        <w:rPr>
          <w:rFonts w:ascii="仿宋" w:hAnsi="仿宋" w:eastAsia="仿宋" w:cs="仿宋"/>
          <w:sz w:val="30"/>
          <w:szCs w:val="30"/>
        </w:rPr>
      </w:pPr>
      <w:bookmarkStart w:id="1268" w:name="_Toc27329"/>
      <w:bookmarkStart w:id="1269" w:name="_Toc11948"/>
      <w:r>
        <w:rPr>
          <w:rStyle w:val="163"/>
          <w:rFonts w:hint="eastAsia" w:ascii="仿宋" w:hAnsi="仿宋" w:eastAsia="仿宋" w:cs="仿宋"/>
          <w:sz w:val="30"/>
          <w:szCs w:val="30"/>
        </w:rPr>
        <w:t>2.3 请求参数</w:t>
      </w:r>
      <w:bookmarkEnd w:id="1268"/>
      <w:bookmarkEnd w:id="1269"/>
    </w:p>
    <w:tbl>
      <w:tblPr>
        <w:tblStyle w:val="55"/>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590"/>
        <w:gridCol w:w="1470"/>
        <w:gridCol w:w="1470"/>
        <w:gridCol w:w="2370"/>
        <w:gridCol w:w="1230"/>
        <w:gridCol w:w="990"/>
      </w:tblGrid>
      <w:tr w14:paraId="63821C2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4D710348">
            <w:pPr>
              <w:spacing w:after="120"/>
              <w:rPr>
                <w:rFonts w:ascii="仿宋" w:hAnsi="仿宋" w:eastAsia="仿宋" w:cs="仿宋"/>
              </w:rPr>
            </w:pPr>
            <w:r>
              <w:rPr>
                <w:rStyle w:val="163"/>
                <w:rFonts w:hint="eastAsia" w:ascii="仿宋" w:hAnsi="仿宋" w:eastAsia="仿宋" w:cs="仿宋"/>
              </w:rPr>
              <w:t>参数名称</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1D29B34A">
            <w:pPr>
              <w:spacing w:after="120"/>
              <w:rPr>
                <w:rFonts w:ascii="仿宋" w:hAnsi="仿宋" w:eastAsia="仿宋" w:cs="仿宋"/>
              </w:rPr>
            </w:pPr>
            <w:r>
              <w:rPr>
                <w:rStyle w:val="163"/>
                <w:rFonts w:hint="eastAsia" w:ascii="仿宋" w:hAnsi="仿宋" w:eastAsia="仿宋" w:cs="仿宋"/>
              </w:rPr>
              <w:t>参数类型</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2B90BF20">
            <w:pPr>
              <w:spacing w:after="120"/>
              <w:rPr>
                <w:rFonts w:ascii="仿宋" w:hAnsi="仿宋" w:eastAsia="仿宋" w:cs="仿宋"/>
              </w:rPr>
            </w:pPr>
            <w:r>
              <w:rPr>
                <w:rStyle w:val="163"/>
                <w:rFonts w:hint="eastAsia" w:ascii="仿宋" w:hAnsi="仿宋" w:eastAsia="仿宋" w:cs="仿宋"/>
              </w:rPr>
              <w:t>是否必须</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1F04D13C">
            <w:pPr>
              <w:spacing w:after="120"/>
              <w:rPr>
                <w:rFonts w:ascii="仿宋" w:hAnsi="仿宋" w:eastAsia="仿宋" w:cs="仿宋"/>
              </w:rPr>
            </w:pPr>
            <w:r>
              <w:rPr>
                <w:rStyle w:val="163"/>
                <w:rFonts w:hint="eastAsia" w:ascii="仿宋" w:hAnsi="仿宋" w:eastAsia="仿宋" w:cs="仿宋"/>
              </w:rPr>
              <w:t>参数说明</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0AA980E8">
            <w:pPr>
              <w:spacing w:after="120"/>
              <w:rPr>
                <w:rFonts w:ascii="仿宋" w:hAnsi="仿宋" w:eastAsia="仿宋" w:cs="仿宋"/>
              </w:rPr>
            </w:pPr>
            <w:r>
              <w:rPr>
                <w:rStyle w:val="163"/>
                <w:rFonts w:hint="eastAsia" w:ascii="仿宋" w:hAnsi="仿宋" w:eastAsia="仿宋" w:cs="仿宋"/>
              </w:rPr>
              <w:t>默认值</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674EF2AF">
            <w:pPr>
              <w:spacing w:after="120"/>
              <w:rPr>
                <w:rFonts w:ascii="仿宋" w:hAnsi="仿宋" w:eastAsia="仿宋" w:cs="仿宋"/>
              </w:rPr>
            </w:pPr>
            <w:r>
              <w:rPr>
                <w:rStyle w:val="163"/>
                <w:rFonts w:hint="eastAsia" w:ascii="仿宋" w:hAnsi="仿宋" w:eastAsia="仿宋" w:cs="仿宋"/>
              </w:rPr>
              <w:t>示例</w:t>
            </w:r>
          </w:p>
        </w:tc>
      </w:tr>
      <w:tr w14:paraId="382FEE9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7699418">
            <w:pPr>
              <w:spacing w:after="120"/>
              <w:rPr>
                <w:rFonts w:ascii="仿宋" w:hAnsi="仿宋" w:eastAsia="仿宋" w:cs="仿宋"/>
              </w:rPr>
            </w:pPr>
            <w:r>
              <w:rPr>
                <w:rStyle w:val="163"/>
                <w:rFonts w:hint="eastAsia" w:ascii="仿宋" w:hAnsi="仿宋" w:eastAsia="仿宋" w:cs="仿宋"/>
              </w:rPr>
              <w:t>AppKey</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A082214">
            <w:pPr>
              <w:spacing w:after="120"/>
              <w:rPr>
                <w:rFonts w:ascii="仿宋" w:hAnsi="仿宋" w:eastAsia="仿宋" w:cs="仿宋"/>
              </w:rPr>
            </w:pPr>
            <w:r>
              <w:rPr>
                <w:rStyle w:val="163"/>
                <w:rFonts w:hint="eastAsia" w:ascii="仿宋" w:hAnsi="仿宋" w:eastAsia="仿宋" w:cs="仿宋"/>
              </w:rPr>
              <w:t>string</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3C52D30F">
            <w:pPr>
              <w:spacing w:after="120"/>
              <w:rPr>
                <w:rFonts w:ascii="仿宋" w:hAnsi="仿宋" w:eastAsia="仿宋" w:cs="仿宋"/>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2D8DF87">
            <w:pPr>
              <w:spacing w:after="120"/>
              <w:rPr>
                <w:rFonts w:ascii="仿宋" w:hAnsi="仿宋" w:eastAsia="仿宋" w:cs="仿宋"/>
              </w:rPr>
            </w:pPr>
            <w:r>
              <w:rPr>
                <w:rStyle w:val="163"/>
                <w:rFonts w:hint="eastAsia" w:ascii="仿宋" w:hAnsi="仿宋" w:eastAsia="仿宋" w:cs="仿宋"/>
              </w:rPr>
              <w:t>分配的AppKey</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1741E1A">
            <w:pPr>
              <w:spacing w:after="120"/>
              <w:rPr>
                <w:rFonts w:ascii="仿宋" w:hAnsi="仿宋" w:eastAsia="仿宋" w:cs="仿宋"/>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2845F76">
            <w:pPr>
              <w:spacing w:after="120"/>
              <w:rPr>
                <w:rFonts w:ascii="仿宋" w:hAnsi="仿宋" w:eastAsia="仿宋" w:cs="仿宋"/>
              </w:rPr>
            </w:pPr>
          </w:p>
        </w:tc>
      </w:tr>
      <w:tr w14:paraId="73E1375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FF6F1C0">
            <w:pPr>
              <w:spacing w:after="120"/>
              <w:rPr>
                <w:rFonts w:ascii="仿宋" w:hAnsi="仿宋" w:eastAsia="仿宋" w:cs="仿宋"/>
              </w:rPr>
            </w:pPr>
            <w:r>
              <w:rPr>
                <w:rStyle w:val="163"/>
                <w:rFonts w:hint="eastAsia" w:ascii="仿宋" w:hAnsi="仿宋" w:eastAsia="仿宋" w:cs="仿宋"/>
              </w:rPr>
              <w:t>AppSecret</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8163CCA">
            <w:pPr>
              <w:spacing w:after="120"/>
              <w:rPr>
                <w:rFonts w:ascii="仿宋" w:hAnsi="仿宋" w:eastAsia="仿宋" w:cs="仿宋"/>
              </w:rPr>
            </w:pPr>
            <w:r>
              <w:rPr>
                <w:rStyle w:val="163"/>
                <w:rFonts w:hint="eastAsia" w:ascii="仿宋" w:hAnsi="仿宋" w:eastAsia="仿宋" w:cs="仿宋"/>
              </w:rPr>
              <w:t>string</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D353528">
            <w:pPr>
              <w:spacing w:after="120"/>
              <w:rPr>
                <w:rFonts w:ascii="仿宋" w:hAnsi="仿宋" w:eastAsia="仿宋" w:cs="仿宋"/>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340F766F">
            <w:pPr>
              <w:spacing w:after="120"/>
              <w:rPr>
                <w:rFonts w:ascii="仿宋" w:hAnsi="仿宋" w:eastAsia="仿宋" w:cs="仿宋"/>
              </w:rPr>
            </w:pPr>
            <w:r>
              <w:rPr>
                <w:rStyle w:val="163"/>
                <w:rFonts w:hint="eastAsia" w:ascii="仿宋" w:hAnsi="仿宋" w:eastAsia="仿宋" w:cs="仿宋"/>
              </w:rPr>
              <w:t>分配的AppSecret</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59005FC">
            <w:pPr>
              <w:spacing w:after="120"/>
              <w:rPr>
                <w:rFonts w:ascii="仿宋" w:hAnsi="仿宋" w:eastAsia="仿宋" w:cs="仿宋"/>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01517CF">
            <w:pPr>
              <w:spacing w:after="120"/>
              <w:rPr>
                <w:rFonts w:ascii="仿宋" w:hAnsi="仿宋" w:eastAsia="仿宋" w:cs="仿宋"/>
              </w:rPr>
            </w:pPr>
          </w:p>
        </w:tc>
      </w:tr>
    </w:tbl>
    <w:p w14:paraId="4DF50AEB">
      <w:pPr>
        <w:spacing w:after="120"/>
        <w:rPr>
          <w:rFonts w:ascii="仿宋" w:hAnsi="仿宋" w:eastAsia="仿宋" w:cs="仿宋"/>
        </w:rPr>
      </w:pPr>
    </w:p>
    <w:p w14:paraId="14444531">
      <w:pPr>
        <w:pStyle w:val="26"/>
        <w:spacing w:after="120"/>
      </w:pPr>
    </w:p>
    <w:p w14:paraId="3ABF9F2C">
      <w:pPr>
        <w:spacing w:after="120"/>
        <w:ind w:firstLine="600"/>
        <w:rPr>
          <w:rStyle w:val="163"/>
          <w:rFonts w:ascii="仿宋" w:hAnsi="仿宋" w:eastAsia="仿宋" w:cs="仿宋"/>
          <w:sz w:val="30"/>
          <w:szCs w:val="30"/>
        </w:rPr>
      </w:pPr>
      <w:r>
        <w:rPr>
          <w:rStyle w:val="163"/>
          <w:rFonts w:hint="eastAsia" w:ascii="仿宋" w:hAnsi="仿宋" w:eastAsia="仿宋" w:cs="仿宋"/>
          <w:sz w:val="30"/>
          <w:szCs w:val="30"/>
        </w:rPr>
        <w:t>请求示例</w:t>
      </w:r>
    </w:p>
    <w:p w14:paraId="6FD12875">
      <w:pPr>
        <w:spacing w:after="120"/>
        <w:ind w:firstLine="600"/>
        <w:rPr>
          <w:rStyle w:val="163"/>
          <w:rFonts w:ascii="仿宋" w:hAnsi="仿宋" w:eastAsia="仿宋" w:cs="仿宋"/>
          <w:sz w:val="30"/>
          <w:szCs w:val="30"/>
        </w:rPr>
      </w:pPr>
      <w:bookmarkStart w:id="1270" w:name="_Toc28181"/>
      <w:bookmarkStart w:id="1271" w:name="_Toc1141"/>
      <w:r>
        <w:rPr>
          <w:rStyle w:val="163"/>
          <w:rFonts w:hint="eastAsia" w:ascii="仿宋" w:hAnsi="仿宋" w:eastAsia="仿宋" w:cs="仿宋"/>
          <w:sz w:val="30"/>
          <w:szCs w:val="30"/>
        </w:rPr>
        <w:t>2.4 响应数据(data)</w:t>
      </w:r>
      <w:bookmarkEnd w:id="1270"/>
      <w:bookmarkEnd w:id="1271"/>
    </w:p>
    <w:tbl>
      <w:tblPr>
        <w:tblStyle w:val="55"/>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269"/>
        <w:gridCol w:w="869"/>
        <w:gridCol w:w="869"/>
        <w:gridCol w:w="5452"/>
        <w:gridCol w:w="1237"/>
      </w:tblGrid>
      <w:tr w14:paraId="1FEE83BD">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38D1D613">
            <w:pPr>
              <w:spacing w:after="120"/>
              <w:ind w:firstLine="0" w:firstLineChars="0"/>
              <w:rPr>
                <w:rFonts w:ascii="仿宋" w:hAnsi="仿宋" w:eastAsia="仿宋" w:cs="仿宋"/>
                <w:szCs w:val="24"/>
              </w:rPr>
            </w:pPr>
            <w:r>
              <w:rPr>
                <w:rStyle w:val="163"/>
                <w:rFonts w:hint="eastAsia" w:ascii="仿宋" w:hAnsi="仿宋" w:eastAsia="仿宋" w:cs="仿宋"/>
                <w:szCs w:val="24"/>
              </w:rPr>
              <w:t>参数名称</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6005B093">
            <w:pPr>
              <w:spacing w:after="120"/>
              <w:ind w:firstLine="0" w:firstLineChars="0"/>
              <w:rPr>
                <w:rFonts w:ascii="仿宋" w:hAnsi="仿宋" w:eastAsia="仿宋" w:cs="仿宋"/>
                <w:szCs w:val="24"/>
              </w:rPr>
            </w:pPr>
            <w:r>
              <w:rPr>
                <w:rStyle w:val="163"/>
                <w:rFonts w:hint="eastAsia" w:ascii="仿宋" w:hAnsi="仿宋" w:eastAsia="仿宋" w:cs="仿宋"/>
                <w:szCs w:val="24"/>
              </w:rPr>
              <w:t>参数类型</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2C442209">
            <w:pPr>
              <w:spacing w:after="120"/>
              <w:ind w:firstLine="0" w:firstLineChars="0"/>
              <w:rPr>
                <w:rFonts w:ascii="仿宋" w:hAnsi="仿宋" w:eastAsia="仿宋" w:cs="仿宋"/>
                <w:szCs w:val="24"/>
              </w:rPr>
            </w:pPr>
            <w:r>
              <w:rPr>
                <w:rStyle w:val="163"/>
                <w:rFonts w:hint="eastAsia" w:ascii="仿宋" w:hAnsi="仿宋" w:eastAsia="仿宋" w:cs="仿宋"/>
                <w:szCs w:val="24"/>
              </w:rPr>
              <w:t>是否必须</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63964610">
            <w:pPr>
              <w:spacing w:after="120"/>
              <w:rPr>
                <w:rFonts w:ascii="仿宋" w:hAnsi="仿宋" w:eastAsia="仿宋" w:cs="仿宋"/>
                <w:szCs w:val="24"/>
              </w:rPr>
            </w:pPr>
            <w:r>
              <w:rPr>
                <w:rStyle w:val="163"/>
                <w:rFonts w:hint="eastAsia" w:ascii="仿宋" w:hAnsi="仿宋" w:eastAsia="仿宋" w:cs="仿宋"/>
                <w:szCs w:val="24"/>
              </w:rPr>
              <w:t>参数说明</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0546033D">
            <w:pPr>
              <w:spacing w:after="120"/>
              <w:ind w:firstLine="0" w:firstLineChars="0"/>
              <w:rPr>
                <w:rFonts w:ascii="仿宋" w:hAnsi="仿宋" w:eastAsia="仿宋" w:cs="仿宋"/>
                <w:szCs w:val="24"/>
              </w:rPr>
            </w:pPr>
            <w:r>
              <w:rPr>
                <w:rStyle w:val="163"/>
                <w:rFonts w:hint="eastAsia" w:ascii="仿宋" w:hAnsi="仿宋" w:eastAsia="仿宋" w:cs="仿宋"/>
                <w:szCs w:val="24"/>
              </w:rPr>
              <w:t>样例/默认值 </w:t>
            </w:r>
          </w:p>
        </w:tc>
      </w:tr>
      <w:tr w14:paraId="15AAFA4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33C38D58">
            <w:pPr>
              <w:spacing w:after="120"/>
              <w:ind w:firstLine="0" w:firstLineChars="0"/>
              <w:rPr>
                <w:rFonts w:ascii="仿宋" w:hAnsi="仿宋" w:eastAsia="仿宋" w:cs="仿宋"/>
                <w:szCs w:val="24"/>
              </w:rPr>
            </w:pPr>
            <w:r>
              <w:rPr>
                <w:rStyle w:val="163"/>
                <w:rFonts w:hint="eastAsia" w:ascii="仿宋" w:hAnsi="仿宋" w:eastAsia="仿宋" w:cs="仿宋"/>
                <w:szCs w:val="24"/>
              </w:rPr>
              <w:t>accessToken</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51116B73">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74E64B73">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5DCB09A">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授权token，在请求其他接口时，请求头以auth_token传值 </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DD5287D">
            <w:pPr>
              <w:spacing w:after="120"/>
              <w:rPr>
                <w:rFonts w:ascii="仿宋" w:hAnsi="仿宋" w:eastAsia="仿宋" w:cs="仿宋"/>
                <w:szCs w:val="24"/>
              </w:rPr>
            </w:pPr>
          </w:p>
        </w:tc>
      </w:tr>
      <w:tr w14:paraId="0C641DF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BE69F60">
            <w:pPr>
              <w:spacing w:after="120"/>
              <w:ind w:firstLine="0" w:firstLineChars="0"/>
              <w:rPr>
                <w:rFonts w:ascii="仿宋" w:hAnsi="仿宋" w:eastAsia="仿宋" w:cs="仿宋"/>
                <w:szCs w:val="24"/>
              </w:rPr>
            </w:pPr>
            <w:r>
              <w:rPr>
                <w:rStyle w:val="163"/>
                <w:rFonts w:hint="eastAsia" w:ascii="仿宋" w:hAnsi="仿宋" w:eastAsia="仿宋" w:cs="仿宋"/>
                <w:szCs w:val="24"/>
              </w:rPr>
              <w:t>tokenType</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56FE068C">
            <w:pPr>
              <w:spacing w:after="120"/>
              <w:ind w:firstLine="0" w:firstLineChars="0"/>
              <w:rPr>
                <w:rFonts w:ascii="仿宋" w:hAnsi="仿宋" w:eastAsia="仿宋" w:cs="仿宋"/>
                <w:szCs w:val="24"/>
              </w:rPr>
            </w:pPr>
            <w:r>
              <w:rPr>
                <w:rStyle w:val="163"/>
                <w:rFonts w:hint="eastAsia" w:ascii="仿宋" w:hAnsi="仿宋" w:eastAsia="仿宋" w:cs="仿宋"/>
                <w:szCs w:val="24"/>
              </w:rPr>
              <w:t>string</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0A41559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96997A7">
            <w:pPr>
              <w:spacing w:after="120"/>
              <w:ind w:firstLine="0" w:firstLineChars="0"/>
              <w:rPr>
                <w:rStyle w:val="163"/>
                <w:rFonts w:ascii="仿宋" w:hAnsi="仿宋" w:eastAsia="仿宋" w:cs="仿宋"/>
                <w:szCs w:val="24"/>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D173396">
            <w:pPr>
              <w:spacing w:after="120"/>
              <w:rPr>
                <w:rFonts w:ascii="仿宋" w:hAnsi="仿宋" w:eastAsia="仿宋" w:cs="仿宋"/>
                <w:szCs w:val="24"/>
              </w:rPr>
            </w:pPr>
          </w:p>
        </w:tc>
      </w:tr>
      <w:tr w14:paraId="798639D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10DE959">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refreshToken</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13EBC44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3DA4044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9105C6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暂不用</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F6D7842">
            <w:pPr>
              <w:spacing w:after="120"/>
              <w:rPr>
                <w:rFonts w:ascii="仿宋" w:hAnsi="仿宋" w:eastAsia="仿宋" w:cs="仿宋"/>
                <w:szCs w:val="24"/>
              </w:rPr>
            </w:pPr>
          </w:p>
        </w:tc>
      </w:tr>
      <w:tr w14:paraId="71C2D67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05FBF3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userId</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657A25CB">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030B79F5">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C742A64">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用户ID</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99D3CF3">
            <w:pPr>
              <w:spacing w:after="120"/>
              <w:rPr>
                <w:rFonts w:ascii="仿宋" w:hAnsi="仿宋" w:eastAsia="仿宋" w:cs="仿宋"/>
                <w:szCs w:val="24"/>
              </w:rPr>
            </w:pPr>
          </w:p>
        </w:tc>
      </w:tr>
      <w:tr w14:paraId="34EBB7C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716D312">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expiresIn</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23630CBF">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string</w:t>
            </w:r>
          </w:p>
        </w:tc>
        <w:tc>
          <w:tcPr>
            <w:tcW w:w="0" w:type="auto"/>
            <w:tcBorders>
              <w:top w:val="single" w:color="D9D9D9" w:sz="6" w:space="0"/>
              <w:left w:val="single" w:color="D9D9D9" w:sz="6" w:space="0"/>
              <w:bottom w:val="single" w:color="D9D9D9" w:sz="6" w:space="0"/>
              <w:right w:val="single" w:color="D9D9D9" w:sz="6" w:space="0"/>
            </w:tcBorders>
            <w:shd w:val="clear" w:color="auto" w:fill="auto"/>
            <w:vAlign w:val="center"/>
          </w:tcPr>
          <w:p w14:paraId="45471252">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01D7638">
            <w:pPr>
              <w:spacing w:after="120"/>
              <w:ind w:firstLine="0" w:firstLineChars="0"/>
              <w:rPr>
                <w:rStyle w:val="163"/>
                <w:rFonts w:ascii="仿宋" w:hAnsi="仿宋" w:eastAsia="仿宋" w:cs="仿宋"/>
                <w:szCs w:val="24"/>
              </w:rPr>
            </w:pPr>
            <w:r>
              <w:rPr>
                <w:rStyle w:val="163"/>
                <w:rFonts w:hint="eastAsia" w:ascii="仿宋" w:hAnsi="仿宋" w:eastAsia="仿宋" w:cs="仿宋"/>
                <w:szCs w:val="24"/>
              </w:rPr>
              <w:t>token过期时间，默认3600秒</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17F277D">
            <w:pPr>
              <w:spacing w:after="120"/>
              <w:rPr>
                <w:rFonts w:ascii="仿宋" w:hAnsi="仿宋" w:eastAsia="仿宋" w:cs="仿宋"/>
                <w:szCs w:val="24"/>
              </w:rPr>
            </w:pPr>
          </w:p>
        </w:tc>
      </w:tr>
    </w:tbl>
    <w:p w14:paraId="67ED6485">
      <w:pPr>
        <w:spacing w:after="120"/>
        <w:ind w:firstLine="602"/>
        <w:rPr>
          <w:rFonts w:ascii="仿宋" w:hAnsi="仿宋" w:eastAsia="仿宋" w:cs="仿宋"/>
          <w:sz w:val="30"/>
          <w:szCs w:val="30"/>
        </w:rPr>
      </w:pPr>
      <w:r>
        <w:rPr>
          <w:rStyle w:val="163"/>
          <w:rFonts w:hint="eastAsia" w:ascii="仿宋" w:hAnsi="仿宋" w:eastAsia="仿宋" w:cs="仿宋"/>
          <w:b/>
          <w:bCs/>
          <w:sz w:val="30"/>
          <w:szCs w:val="30"/>
        </w:rPr>
        <w:t>响应示例</w:t>
      </w:r>
    </w:p>
    <w:p w14:paraId="4C955B38">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w:t>
      </w:r>
    </w:p>
    <w:p w14:paraId="5F337866">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"code": 200,</w:t>
      </w:r>
    </w:p>
    <w:p w14:paraId="4F88AC7D">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"success": true,</w:t>
      </w:r>
    </w:p>
    <w:p w14:paraId="2722F6FD">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"data": {</w:t>
      </w:r>
    </w:p>
    <w:p w14:paraId="2D83BF69">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"accessToken": "eyJ0eXAiOiJKV1QiLCJhbGciOiJIUzUxMiJ9.eyJpc3MiOiJpc3N1c2VyIiwiYXVkIjoiYXVkaWVuY2UiLCJ0ZW5hbnRfaWQiOiIwMDAwMDAiLCJyb2xlX25hbWUiOiJpc3ZkZXYiLCJ1c2VyX2lkIjoiMTM1MjI4NjY4NTk1Nzc0MjU5NCIsInJvbGVfaWQiOiIxMzQ4ODg2NjUwODcyMTYwMjU3IiwidXNlcl9uYW1lIjoidGVzdCIsInRva2VuX3R5cGUiOiJhY2Nlc3NfdG9rZW4iLCJhY2NvdW50IjoidGVzdCIsImNsaWVudF9pZCI6ImdpcyIsImV4cCI6MTYxMTI2MzM3OCwibmJmIjoxNjExMjU5Nzc4fQ.QX9OTMPwLyQBx4cqAJjetGdQap8LawS165jy3PXw2ss-r1FBusFnyehr9vKWxLc-qaPpG3zN1R_fv9sn5N6-mg",</w:t>
      </w:r>
    </w:p>
    <w:p w14:paraId="14417E36">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"tokenType": "bearer",</w:t>
      </w:r>
    </w:p>
    <w:p w14:paraId="21A4D8CD">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"refreshToken": "eyJ0eXAiOiJKV1QiLCJhbGciOiJIUzUxMiJ9.eyJpc3MiOiJpc3N1c2VyIiwiYXVkIjoiYXVkaWVuY2UiLCJ1c2VyX2lkIjoiMTM1MjI4NjY4NTk1Nzc0MjU5NCIsInRva2VuX3R5cGUiOiJyZWZyZXNoX3Rva2VuIiwiY2xpZW50X2lkIjoiZ2lzIiwiZXhwIjoxNjExODY0NTc4LCJuYmYiOjE2MTEyNTk3Nzh9.u3gmPBn5TYiOwX1HpJ_liZMLy0UqnxjgegpfRXFUjtl6Fli_029zQqyup06cVi277vKbqjm47ZjK-9gADmPbSw",</w:t>
      </w:r>
    </w:p>
    <w:p w14:paraId="4FD14B03">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"userId": "1352286685957742594",</w:t>
      </w:r>
    </w:p>
    <w:p w14:paraId="7EB10F1B">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"oauthId": "",</w:t>
      </w:r>
    </w:p>
    <w:p w14:paraId="1F8C8025">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"authority": "isvdev",</w:t>
      </w:r>
    </w:p>
    <w:p w14:paraId="6CC8B07C">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"userName": "测试",</w:t>
      </w:r>
    </w:p>
    <w:p w14:paraId="65C8A601">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"account": "test",</w:t>
      </w:r>
    </w:p>
    <w:p w14:paraId="00BF7F6F">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"expiresIn": 3600</w:t>
      </w:r>
    </w:p>
    <w:p w14:paraId="792E6E6B">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 xml:space="preserve">  },</w:t>
      </w:r>
    </w:p>
    <w:p w14:paraId="051D865E">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"msg": "操作成功"</w:t>
      </w:r>
    </w:p>
    <w:p w14:paraId="0A60A424">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firstLine="400"/>
        <w:rPr>
          <w:rFonts w:ascii="仿宋" w:hAnsi="仿宋" w:eastAsia="仿宋" w:cs="仿宋"/>
          <w:sz w:val="20"/>
        </w:rPr>
      </w:pPr>
      <w:r>
        <w:rPr>
          <w:rFonts w:hint="eastAsia" w:ascii="仿宋" w:hAnsi="仿宋" w:eastAsia="仿宋" w:cs="仿宋"/>
          <w:sz w:val="20"/>
        </w:rPr>
        <w:t>}</w:t>
      </w:r>
    </w:p>
    <w:p w14:paraId="72163285">
      <w:pPr>
        <w:spacing w:after="120"/>
        <w:ind w:firstLine="600"/>
        <w:rPr>
          <w:rFonts w:ascii="仿宋" w:hAnsi="仿宋" w:eastAsia="仿宋" w:cs="仿宋"/>
          <w:sz w:val="30"/>
          <w:szCs w:val="30"/>
        </w:rPr>
      </w:pPr>
      <w:bookmarkStart w:id="1272" w:name="_Toc1659"/>
      <w:bookmarkStart w:id="1273" w:name="_Toc17281"/>
      <w:r>
        <w:rPr>
          <w:rFonts w:hint="eastAsia" w:ascii="仿宋" w:hAnsi="仿宋" w:eastAsia="仿宋" w:cs="仿宋"/>
          <w:sz w:val="30"/>
          <w:szCs w:val="30"/>
        </w:rPr>
        <w:t>3 接口规则</w:t>
      </w:r>
      <w:bookmarkEnd w:id="1272"/>
      <w:bookmarkEnd w:id="1273"/>
    </w:p>
    <w:tbl>
      <w:tblPr>
        <w:tblStyle w:val="55"/>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291"/>
        <w:gridCol w:w="7045"/>
      </w:tblGrid>
      <w:tr w14:paraId="7520DB1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vAlign w:val="center"/>
          </w:tcPr>
          <w:p w14:paraId="19826A8C">
            <w:pPr>
              <w:spacing w:after="120"/>
              <w:ind w:firstLine="0" w:firstLineChars="0"/>
              <w:rPr>
                <w:rFonts w:ascii="仿宋" w:hAnsi="仿宋" w:eastAsia="仿宋" w:cs="仿宋"/>
              </w:rPr>
            </w:pPr>
            <w:r>
              <w:rPr>
                <w:rStyle w:val="163"/>
                <w:rFonts w:hint="eastAsia" w:ascii="仿宋" w:hAnsi="仿宋" w:eastAsia="仿宋" w:cs="仿宋"/>
              </w:rPr>
              <w:t>接口规则</w:t>
            </w:r>
          </w:p>
        </w:tc>
        <w:tc>
          <w:tcPr>
            <w:tcW w:w="7045" w:type="dxa"/>
            <w:tcBorders>
              <w:top w:val="single" w:color="D9D9D9" w:sz="6" w:space="0"/>
              <w:left w:val="single" w:color="D9D9D9" w:sz="6" w:space="0"/>
              <w:bottom w:val="single" w:color="D9D9D9" w:sz="6" w:space="0"/>
              <w:right w:val="single" w:color="D9D9D9" w:sz="6" w:space="0"/>
            </w:tcBorders>
            <w:vAlign w:val="center"/>
          </w:tcPr>
          <w:p w14:paraId="0B051C2D">
            <w:pPr>
              <w:spacing w:after="120"/>
              <w:ind w:firstLine="0" w:firstLineChars="0"/>
              <w:rPr>
                <w:rFonts w:ascii="仿宋" w:hAnsi="仿宋" w:eastAsia="仿宋" w:cs="仿宋"/>
              </w:rPr>
            </w:pPr>
            <w:r>
              <w:rPr>
                <w:rStyle w:val="163"/>
                <w:rFonts w:hint="eastAsia" w:ascii="仿宋" w:hAnsi="仿宋" w:eastAsia="仿宋" w:cs="仿宋"/>
              </w:rPr>
              <w:t>相关描述</w:t>
            </w:r>
          </w:p>
        </w:tc>
      </w:tr>
      <w:tr w14:paraId="51B871F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vAlign w:val="center"/>
          </w:tcPr>
          <w:p w14:paraId="785D1F43">
            <w:pPr>
              <w:spacing w:after="120"/>
              <w:ind w:firstLine="0" w:firstLineChars="0"/>
              <w:rPr>
                <w:rFonts w:ascii="仿宋" w:hAnsi="仿宋" w:eastAsia="仿宋" w:cs="仿宋"/>
              </w:rPr>
            </w:pPr>
            <w:r>
              <w:rPr>
                <w:rStyle w:val="163"/>
                <w:rFonts w:hint="eastAsia" w:ascii="仿宋" w:hAnsi="仿宋" w:eastAsia="仿宋" w:cs="仿宋"/>
              </w:rPr>
              <w:t>传输方式</w:t>
            </w:r>
          </w:p>
        </w:tc>
        <w:tc>
          <w:tcPr>
            <w:tcW w:w="7045" w:type="dxa"/>
            <w:tcBorders>
              <w:top w:val="single" w:color="D9D9D9" w:sz="6" w:space="0"/>
              <w:left w:val="single" w:color="D9D9D9" w:sz="6" w:space="0"/>
              <w:bottom w:val="single" w:color="D9D9D9" w:sz="6" w:space="0"/>
              <w:right w:val="single" w:color="D9D9D9" w:sz="6" w:space="0"/>
            </w:tcBorders>
            <w:vAlign w:val="center"/>
          </w:tcPr>
          <w:p w14:paraId="7172385B">
            <w:pPr>
              <w:spacing w:after="120"/>
              <w:ind w:firstLine="0" w:firstLineChars="0"/>
              <w:rPr>
                <w:rFonts w:ascii="仿宋" w:hAnsi="仿宋" w:eastAsia="仿宋" w:cs="仿宋"/>
              </w:rPr>
            </w:pPr>
            <w:r>
              <w:rPr>
                <w:rStyle w:val="163"/>
                <w:rFonts w:hint="eastAsia" w:ascii="仿宋" w:hAnsi="仿宋" w:eastAsia="仿宋" w:cs="仿宋"/>
              </w:rPr>
              <w:t>支持HTTP协议传输</w:t>
            </w:r>
          </w:p>
        </w:tc>
      </w:tr>
      <w:tr w14:paraId="35D5B61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vAlign w:val="center"/>
          </w:tcPr>
          <w:p w14:paraId="04F09762">
            <w:pPr>
              <w:spacing w:after="120"/>
              <w:ind w:firstLine="0" w:firstLineChars="0"/>
              <w:rPr>
                <w:rFonts w:ascii="仿宋" w:hAnsi="仿宋" w:eastAsia="仿宋" w:cs="仿宋"/>
              </w:rPr>
            </w:pPr>
            <w:r>
              <w:rPr>
                <w:rStyle w:val="163"/>
                <w:rFonts w:hint="eastAsia" w:ascii="仿宋" w:hAnsi="仿宋" w:eastAsia="仿宋" w:cs="仿宋"/>
              </w:rPr>
              <w:t>服务接口地址</w:t>
            </w:r>
          </w:p>
        </w:tc>
        <w:tc>
          <w:tcPr>
            <w:tcW w:w="7045" w:type="dxa"/>
            <w:tcBorders>
              <w:top w:val="single" w:color="D9D9D9" w:sz="6" w:space="0"/>
              <w:left w:val="single" w:color="D9D9D9" w:sz="6" w:space="0"/>
              <w:bottom w:val="single" w:color="D9D9D9" w:sz="6" w:space="0"/>
              <w:right w:val="single" w:color="D9D9D9" w:sz="6" w:space="0"/>
            </w:tcBorders>
            <w:vAlign w:val="center"/>
          </w:tcPr>
          <w:p w14:paraId="63DBB48D">
            <w:pPr>
              <w:spacing w:after="120"/>
              <w:ind w:firstLine="0" w:firstLineChars="0"/>
              <w:rPr>
                <w:rFonts w:ascii="仿宋" w:hAnsi="仿宋" w:eastAsia="仿宋" w:cs="仿宋"/>
              </w:rPr>
            </w:pPr>
            <w:r>
              <w:rPr>
                <w:rStyle w:val="163"/>
                <w:rFonts w:hint="eastAsia" w:ascii="仿宋" w:hAnsi="仿宋" w:eastAsia="仿宋" w:cs="仿宋"/>
              </w:rPr>
              <w:t>http://openapi.maoswh.com</w:t>
            </w:r>
          </w:p>
        </w:tc>
      </w:tr>
      <w:tr w14:paraId="6D1A01F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vAlign w:val="center"/>
          </w:tcPr>
          <w:p w14:paraId="6538EEC2">
            <w:pPr>
              <w:spacing w:after="120"/>
              <w:ind w:firstLine="0" w:firstLineChars="0"/>
              <w:rPr>
                <w:rFonts w:ascii="仿宋" w:hAnsi="仿宋" w:eastAsia="仿宋" w:cs="仿宋"/>
              </w:rPr>
            </w:pPr>
            <w:r>
              <w:rPr>
                <w:rStyle w:val="163"/>
                <w:rFonts w:hint="eastAsia" w:ascii="仿宋" w:hAnsi="仿宋" w:eastAsia="仿宋" w:cs="仿宋"/>
              </w:rPr>
              <w:t>提交方式</w:t>
            </w:r>
          </w:p>
        </w:tc>
        <w:tc>
          <w:tcPr>
            <w:tcW w:w="7045" w:type="dxa"/>
            <w:tcBorders>
              <w:top w:val="single" w:color="D9D9D9" w:sz="6" w:space="0"/>
              <w:left w:val="single" w:color="D9D9D9" w:sz="6" w:space="0"/>
              <w:bottom w:val="single" w:color="D9D9D9" w:sz="6" w:space="0"/>
              <w:right w:val="single" w:color="D9D9D9" w:sz="6" w:space="0"/>
            </w:tcBorders>
            <w:vAlign w:val="center"/>
          </w:tcPr>
          <w:p w14:paraId="1BA7BFCF">
            <w:pPr>
              <w:spacing w:after="120"/>
              <w:ind w:firstLine="0" w:firstLineChars="0"/>
              <w:rPr>
                <w:rFonts w:ascii="仿宋" w:hAnsi="仿宋" w:eastAsia="仿宋" w:cs="仿宋"/>
              </w:rPr>
            </w:pPr>
            <w:r>
              <w:rPr>
                <w:rStyle w:val="163"/>
                <w:rFonts w:hint="eastAsia" w:ascii="仿宋" w:hAnsi="仿宋" w:eastAsia="仿宋" w:cs="仿宋"/>
              </w:rPr>
              <w:t>采用POST方法提交</w:t>
            </w:r>
          </w:p>
        </w:tc>
      </w:tr>
      <w:tr w14:paraId="1BECD44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vAlign w:val="center"/>
          </w:tcPr>
          <w:p w14:paraId="795CA74B">
            <w:pPr>
              <w:spacing w:after="120"/>
              <w:ind w:firstLine="0" w:firstLineChars="0"/>
              <w:rPr>
                <w:rFonts w:ascii="仿宋" w:hAnsi="仿宋" w:eastAsia="仿宋" w:cs="仿宋"/>
              </w:rPr>
            </w:pPr>
            <w:r>
              <w:rPr>
                <w:rStyle w:val="163"/>
                <w:rFonts w:hint="eastAsia" w:ascii="仿宋" w:hAnsi="仿宋" w:eastAsia="仿宋" w:cs="仿宋"/>
              </w:rPr>
              <w:t>数据格式</w:t>
            </w:r>
          </w:p>
        </w:tc>
        <w:tc>
          <w:tcPr>
            <w:tcW w:w="7045" w:type="dxa"/>
            <w:tcBorders>
              <w:top w:val="single" w:color="D9D9D9" w:sz="6" w:space="0"/>
              <w:left w:val="single" w:color="D9D9D9" w:sz="6" w:space="0"/>
              <w:bottom w:val="single" w:color="D9D9D9" w:sz="6" w:space="0"/>
              <w:right w:val="single" w:color="D9D9D9" w:sz="6" w:space="0"/>
            </w:tcBorders>
            <w:vAlign w:val="center"/>
          </w:tcPr>
          <w:p w14:paraId="6A78F192">
            <w:pPr>
              <w:spacing w:after="120"/>
              <w:ind w:firstLine="0" w:firstLineChars="0"/>
              <w:rPr>
                <w:rFonts w:ascii="仿宋" w:hAnsi="仿宋" w:eastAsia="仿宋" w:cs="仿宋"/>
              </w:rPr>
            </w:pPr>
            <w:r>
              <w:rPr>
                <w:rStyle w:val="163"/>
                <w:rFonts w:hint="eastAsia" w:ascii="仿宋" w:hAnsi="仿宋" w:eastAsia="仿宋" w:cs="仿宋"/>
              </w:rPr>
              <w:t>提交和返回数据都为JSON格式，</w:t>
            </w:r>
            <w:r>
              <w:rPr>
                <w:rStyle w:val="163"/>
                <w:rFonts w:hint="eastAsia" w:ascii="仿宋" w:hAnsi="仿宋" w:eastAsia="仿宋" w:cs="仿宋"/>
                <w:szCs w:val="21"/>
              </w:rPr>
              <w:t>POST请求请在HTTP Header中设置Content-Type:application/json。</w:t>
            </w:r>
          </w:p>
        </w:tc>
      </w:tr>
      <w:tr w14:paraId="0DD7B993">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vAlign w:val="center"/>
          </w:tcPr>
          <w:p w14:paraId="552278FF">
            <w:pPr>
              <w:spacing w:after="120"/>
              <w:ind w:firstLine="0" w:firstLineChars="0"/>
              <w:rPr>
                <w:rFonts w:ascii="仿宋" w:hAnsi="仿宋" w:eastAsia="仿宋" w:cs="仿宋"/>
              </w:rPr>
            </w:pPr>
            <w:r>
              <w:rPr>
                <w:rStyle w:val="163"/>
                <w:rFonts w:hint="eastAsia" w:ascii="仿宋" w:hAnsi="仿宋" w:eastAsia="仿宋" w:cs="仿宋"/>
              </w:rPr>
              <w:t>字符编码</w:t>
            </w:r>
          </w:p>
        </w:tc>
        <w:tc>
          <w:tcPr>
            <w:tcW w:w="7045" w:type="dxa"/>
            <w:tcBorders>
              <w:top w:val="single" w:color="D9D9D9" w:sz="6" w:space="0"/>
              <w:left w:val="single" w:color="D9D9D9" w:sz="6" w:space="0"/>
              <w:bottom w:val="single" w:color="D9D9D9" w:sz="6" w:space="0"/>
              <w:right w:val="single" w:color="D9D9D9" w:sz="6" w:space="0"/>
            </w:tcBorders>
            <w:vAlign w:val="center"/>
          </w:tcPr>
          <w:p w14:paraId="48B57BDC">
            <w:pPr>
              <w:spacing w:after="120"/>
              <w:ind w:firstLine="0" w:firstLineChars="0"/>
              <w:rPr>
                <w:rFonts w:ascii="仿宋" w:hAnsi="仿宋" w:eastAsia="仿宋" w:cs="仿宋"/>
              </w:rPr>
            </w:pPr>
            <w:r>
              <w:rPr>
                <w:rStyle w:val="163"/>
                <w:rFonts w:hint="eastAsia" w:ascii="仿宋" w:hAnsi="仿宋" w:eastAsia="仿宋" w:cs="仿宋"/>
              </w:rPr>
              <w:t>统一采用UTF-8字符编码</w:t>
            </w:r>
          </w:p>
        </w:tc>
      </w:tr>
      <w:tr w14:paraId="314F792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vAlign w:val="center"/>
          </w:tcPr>
          <w:p w14:paraId="7183A64D">
            <w:pPr>
              <w:spacing w:after="120"/>
              <w:ind w:firstLine="0" w:firstLineChars="0"/>
              <w:rPr>
                <w:rFonts w:ascii="仿宋" w:hAnsi="仿宋" w:eastAsia="仿宋" w:cs="仿宋"/>
              </w:rPr>
            </w:pPr>
            <w:r>
              <w:rPr>
                <w:rStyle w:val="163"/>
                <w:rFonts w:hint="eastAsia" w:ascii="仿宋" w:hAnsi="仿宋" w:eastAsia="仿宋" w:cs="仿宋"/>
              </w:rPr>
              <w:t>安全认证</w:t>
            </w:r>
          </w:p>
        </w:tc>
        <w:tc>
          <w:tcPr>
            <w:tcW w:w="7045" w:type="dxa"/>
            <w:tcBorders>
              <w:top w:val="single" w:color="D9D9D9" w:sz="6" w:space="0"/>
              <w:left w:val="single" w:color="D9D9D9" w:sz="6" w:space="0"/>
              <w:bottom w:val="single" w:color="D9D9D9" w:sz="6" w:space="0"/>
              <w:right w:val="single" w:color="D9D9D9" w:sz="6" w:space="0"/>
            </w:tcBorders>
            <w:vAlign w:val="center"/>
          </w:tcPr>
          <w:p w14:paraId="39EAE30D">
            <w:pPr>
              <w:spacing w:after="120"/>
              <w:ind w:firstLine="0" w:firstLineChars="0"/>
              <w:rPr>
                <w:rFonts w:ascii="仿宋" w:hAnsi="仿宋" w:eastAsia="仿宋" w:cs="仿宋"/>
              </w:rPr>
            </w:pPr>
            <w:r>
              <w:rPr>
                <w:rStyle w:val="163"/>
                <w:rFonts w:hint="eastAsia" w:ascii="仿宋" w:hAnsi="仿宋" w:eastAsia="仿宋" w:cs="仿宋"/>
              </w:rPr>
              <w:t>平台采用基于KEY/SECRET的安全认证方案。只有认证通过，才能正常访问每一个API。</w:t>
            </w:r>
          </w:p>
          <w:p w14:paraId="6F140BCE">
            <w:pPr>
              <w:spacing w:after="120"/>
              <w:ind w:firstLine="0" w:firstLineChars="0"/>
              <w:rPr>
                <w:rFonts w:ascii="仿宋" w:hAnsi="仿宋" w:eastAsia="仿宋" w:cs="仿宋"/>
              </w:rPr>
            </w:pPr>
            <w:r>
              <w:rPr>
                <w:rStyle w:val="163"/>
                <w:rFonts w:hint="eastAsia" w:ascii="仿宋" w:hAnsi="仿宋" w:eastAsia="仿宋" w:cs="仿宋"/>
              </w:rPr>
              <w:t>在调用服务端接口前，确保你已通过授权</w:t>
            </w:r>
            <w:r>
              <w:rPr>
                <w:rStyle w:val="163"/>
                <w:rFonts w:hint="eastAsia" w:ascii="仿宋" w:hAnsi="仿宋" w:eastAsia="仿宋" w:cs="仿宋"/>
                <w:b/>
                <w:bCs/>
              </w:rPr>
              <w:t>认证接口</w:t>
            </w:r>
            <w:r>
              <w:rPr>
                <w:rStyle w:val="163"/>
                <w:rFonts w:hint="eastAsia" w:ascii="仿宋" w:hAnsi="仿宋" w:eastAsia="仿宋" w:cs="仿宋"/>
              </w:rPr>
              <w:t>获取auth-token，即认证接口返回的accessToken的值。</w:t>
            </w:r>
          </w:p>
          <w:p w14:paraId="274553CD">
            <w:pPr>
              <w:spacing w:after="120"/>
              <w:ind w:firstLine="0" w:firstLineChars="0"/>
              <w:rPr>
                <w:rFonts w:ascii="仿宋" w:hAnsi="仿宋" w:eastAsia="仿宋" w:cs="仿宋"/>
              </w:rPr>
            </w:pPr>
            <w:r>
              <w:rPr>
                <w:rStyle w:val="163"/>
                <w:rFonts w:hint="eastAsia" w:ascii="仿宋" w:hAnsi="仿宋" w:eastAsia="仿宋" w:cs="仿宋"/>
              </w:rPr>
              <w:t>auth-token规则：tokenType+""+accessToken，请参考下面请求示例。</w:t>
            </w:r>
          </w:p>
          <w:p w14:paraId="3CD6A8EC">
            <w:pPr>
              <w:spacing w:after="120"/>
              <w:ind w:firstLine="0" w:firstLineChars="0"/>
              <w:rPr>
                <w:rFonts w:ascii="仿宋" w:hAnsi="仿宋" w:eastAsia="仿宋" w:cs="仿宋"/>
              </w:rPr>
            </w:pPr>
            <w:r>
              <w:rPr>
                <w:rStyle w:val="163"/>
                <w:rFonts w:hint="eastAsia" w:ascii="仿宋" w:hAnsi="仿宋" w:eastAsia="仿宋" w:cs="仿宋"/>
              </w:rPr>
              <w:t>accessToken有效时间1小时，接入方统一缓存token，定时更新token.</w:t>
            </w:r>
          </w:p>
          <w:p w14:paraId="4C01B214">
            <w:pPr>
              <w:spacing w:after="120"/>
              <w:ind w:firstLine="0" w:firstLineChars="0"/>
              <w:rPr>
                <w:rFonts w:ascii="仿宋" w:hAnsi="仿宋" w:eastAsia="仿宋" w:cs="仿宋"/>
              </w:rPr>
            </w:pPr>
            <w:r>
              <w:rPr>
                <w:rStyle w:val="163"/>
                <w:rFonts w:hint="eastAsia" w:ascii="仿宋" w:hAnsi="仿宋" w:eastAsia="仿宋" w:cs="仿宋"/>
              </w:rPr>
              <w:t>详见调用</w:t>
            </w:r>
            <w:r>
              <w:fldChar w:fldCharType="begin"/>
            </w:r>
            <w:r>
              <w:instrText xml:space="preserve"> HYPERLINK "https://www.yuque.com/apidoc/zhgd/sokxgz" \t "_blank" </w:instrText>
            </w:r>
            <w:r>
              <w:fldChar w:fldCharType="separate"/>
            </w:r>
            <w:r>
              <w:rPr>
                <w:rStyle w:val="163"/>
                <w:rFonts w:hint="eastAsia" w:ascii="仿宋" w:hAnsi="仿宋" w:eastAsia="仿宋" w:cs="仿宋"/>
                <w:u w:val="single"/>
              </w:rPr>
              <w:t>认</w:t>
            </w:r>
            <w:r>
              <w:rPr>
                <w:rStyle w:val="163"/>
                <w:rFonts w:hint="eastAsia" w:ascii="仿宋" w:hAnsi="仿宋" w:eastAsia="仿宋" w:cs="仿宋"/>
                <w:u w:val="single"/>
              </w:rPr>
              <w:fldChar w:fldCharType="end"/>
            </w:r>
            <w:r>
              <w:fldChar w:fldCharType="begin"/>
            </w:r>
            <w:r>
              <w:instrText xml:space="preserve"> HYPERLINK "https://www.yuque.com/apidoc/zhgd/sokxgz" \t "_blank" </w:instrText>
            </w:r>
            <w:r>
              <w:fldChar w:fldCharType="separate"/>
            </w:r>
            <w:r>
              <w:rPr>
                <w:rStyle w:val="163"/>
                <w:rFonts w:hint="eastAsia" w:ascii="仿宋" w:hAnsi="仿宋" w:eastAsia="仿宋" w:cs="仿宋"/>
                <w:u w:val="single"/>
              </w:rPr>
              <w:t>证接口</w:t>
            </w:r>
            <w:r>
              <w:rPr>
                <w:rStyle w:val="163"/>
                <w:rFonts w:hint="eastAsia" w:ascii="仿宋" w:hAnsi="仿宋" w:eastAsia="仿宋" w:cs="仿宋"/>
                <w:u w:val="single"/>
              </w:rPr>
              <w:fldChar w:fldCharType="end"/>
            </w:r>
          </w:p>
        </w:tc>
      </w:tr>
      <w:tr w14:paraId="163A8A9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vAlign w:val="center"/>
          </w:tcPr>
          <w:p w14:paraId="5D55CA7F">
            <w:pPr>
              <w:spacing w:after="120"/>
              <w:ind w:firstLine="0" w:firstLineChars="0"/>
              <w:rPr>
                <w:rFonts w:ascii="仿宋" w:hAnsi="仿宋" w:eastAsia="仿宋" w:cs="仿宋"/>
              </w:rPr>
            </w:pPr>
            <w:r>
              <w:rPr>
                <w:rStyle w:val="163"/>
                <w:rFonts w:hint="eastAsia" w:ascii="仿宋" w:hAnsi="仿宋" w:eastAsia="仿宋" w:cs="仿宋"/>
              </w:rPr>
              <w:t>签名规则</w:t>
            </w:r>
          </w:p>
        </w:tc>
        <w:tc>
          <w:tcPr>
            <w:tcW w:w="7045" w:type="dxa"/>
            <w:tcBorders>
              <w:top w:val="single" w:color="D9D9D9" w:sz="6" w:space="0"/>
              <w:left w:val="single" w:color="D9D9D9" w:sz="6" w:space="0"/>
              <w:bottom w:val="single" w:color="D9D9D9" w:sz="6" w:space="0"/>
              <w:right w:val="single" w:color="D9D9D9" w:sz="6" w:space="0"/>
            </w:tcBorders>
            <w:vAlign w:val="center"/>
          </w:tcPr>
          <w:p w14:paraId="1ECD5E88">
            <w:pPr>
              <w:spacing w:after="120"/>
              <w:ind w:firstLine="0" w:firstLineChars="0"/>
              <w:rPr>
                <w:rFonts w:ascii="仿宋" w:hAnsi="仿宋" w:eastAsia="仿宋" w:cs="仿宋"/>
              </w:rPr>
            </w:pPr>
            <w:r>
              <w:rPr>
                <w:rStyle w:val="163"/>
                <w:rFonts w:hint="eastAsia" w:ascii="仿宋" w:hAnsi="仿宋" w:eastAsia="仿宋" w:cs="仿宋"/>
              </w:rPr>
              <w:t>每一个数据上行接口，必须进行签名验证来源真伪，签名规则：projectId+毫秒时间戳+AppSecret，对拼接字符串md5生成签名字符串，小写</w:t>
            </w:r>
          </w:p>
          <w:p w14:paraId="07E83AB6">
            <w:pPr>
              <w:spacing w:after="120"/>
              <w:ind w:firstLine="0" w:firstLineChars="0"/>
              <w:rPr>
                <w:rFonts w:ascii="仿宋" w:hAnsi="仿宋" w:eastAsia="仿宋" w:cs="仿宋"/>
              </w:rPr>
            </w:pPr>
            <w:r>
              <w:rPr>
                <w:rStyle w:val="163"/>
                <w:rFonts w:hint="eastAsia" w:ascii="仿宋" w:hAnsi="仿宋" w:eastAsia="仿宋" w:cs="仿宋"/>
              </w:rPr>
              <w:t>示例：</w:t>
            </w:r>
          </w:p>
          <w:p w14:paraId="40F78675">
            <w:pPr>
              <w:spacing w:after="120"/>
              <w:ind w:firstLine="0" w:firstLineChars="0"/>
              <w:rPr>
                <w:rFonts w:ascii="仿宋" w:hAnsi="仿宋" w:eastAsia="仿宋" w:cs="仿宋"/>
              </w:rPr>
            </w:pPr>
            <w:r>
              <w:rPr>
                <w:rStyle w:val="163"/>
                <w:rFonts w:hint="eastAsia" w:ascii="仿宋" w:hAnsi="仿宋" w:eastAsia="仿宋" w:cs="仿宋"/>
              </w:rPr>
              <w:t>projectId：123456789</w:t>
            </w:r>
          </w:p>
          <w:p w14:paraId="00D78AF7">
            <w:pPr>
              <w:spacing w:after="120"/>
              <w:ind w:firstLine="0" w:firstLineChars="0"/>
              <w:rPr>
                <w:rFonts w:ascii="仿宋" w:hAnsi="仿宋" w:eastAsia="仿宋" w:cs="仿宋"/>
              </w:rPr>
            </w:pPr>
            <w:r>
              <w:rPr>
                <w:rStyle w:val="163"/>
                <w:rFonts w:hint="eastAsia" w:ascii="仿宋" w:hAnsi="仿宋" w:eastAsia="仿宋" w:cs="仿宋"/>
              </w:rPr>
              <w:t>timestamp：1611282772217</w:t>
            </w:r>
          </w:p>
          <w:p w14:paraId="5D3197ED">
            <w:pPr>
              <w:spacing w:after="120"/>
              <w:ind w:firstLine="0" w:firstLineChars="0"/>
              <w:rPr>
                <w:rFonts w:ascii="仿宋" w:hAnsi="仿宋" w:eastAsia="仿宋" w:cs="仿宋"/>
              </w:rPr>
            </w:pPr>
            <w:r>
              <w:rPr>
                <w:rStyle w:val="163"/>
                <w:rFonts w:hint="eastAsia" w:ascii="仿宋" w:hAnsi="仿宋" w:eastAsia="仿宋" w:cs="仿宋"/>
              </w:rPr>
              <w:t>AppSecret：b4c4b7fc739b4b889ab6fae3446f6a5f</w:t>
            </w:r>
          </w:p>
          <w:p w14:paraId="1DD341FB">
            <w:pPr>
              <w:spacing w:after="120"/>
              <w:ind w:firstLine="0" w:firstLineChars="0"/>
              <w:rPr>
                <w:rFonts w:ascii="仿宋" w:hAnsi="仿宋" w:eastAsia="仿宋" w:cs="仿宋"/>
              </w:rPr>
            </w:pPr>
            <w:r>
              <w:rPr>
                <w:rStyle w:val="163"/>
                <w:rFonts w:hint="eastAsia" w:ascii="仿宋" w:hAnsi="仿宋" w:eastAsia="仿宋" w:cs="仿宋"/>
              </w:rPr>
              <w:t>拼接后字符串，1234567891611282772217b4c4b7fc739b4b889ab6fae3446f6a5f</w:t>
            </w:r>
          </w:p>
          <w:p w14:paraId="5A9DD3BC">
            <w:pPr>
              <w:spacing w:after="120"/>
              <w:ind w:firstLine="0" w:firstLineChars="0"/>
              <w:rPr>
                <w:rFonts w:ascii="仿宋" w:hAnsi="仿宋" w:eastAsia="仿宋" w:cs="仿宋"/>
              </w:rPr>
            </w:pPr>
            <w:r>
              <w:rPr>
                <w:rStyle w:val="163"/>
                <w:rFonts w:hint="eastAsia" w:ascii="仿宋" w:hAnsi="仿宋" w:eastAsia="仿宋" w:cs="仿宋"/>
              </w:rPr>
              <w:t>生成签名：2f235e06f91fd7d9318b2d255e3e6556</w:t>
            </w:r>
          </w:p>
        </w:tc>
      </w:tr>
      <w:tr w14:paraId="19CEB0F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91"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162FAF9F">
            <w:pPr>
              <w:spacing w:after="120"/>
              <w:ind w:firstLine="0" w:firstLineChars="0"/>
              <w:rPr>
                <w:rFonts w:ascii="仿宋" w:hAnsi="仿宋" w:eastAsia="仿宋" w:cs="仿宋"/>
              </w:rPr>
            </w:pPr>
            <w:r>
              <w:rPr>
                <w:rStyle w:val="163"/>
                <w:rFonts w:hint="eastAsia" w:ascii="仿宋" w:hAnsi="仿宋" w:eastAsia="仿宋" w:cs="仿宋"/>
              </w:rPr>
              <w:t>版本控制</w:t>
            </w:r>
          </w:p>
        </w:tc>
        <w:tc>
          <w:tcPr>
            <w:tcW w:w="7045"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5C72FDF7">
            <w:pPr>
              <w:spacing w:after="120"/>
              <w:ind w:firstLine="0" w:firstLineChars="0"/>
              <w:rPr>
                <w:rFonts w:ascii="仿宋" w:hAnsi="仿宋" w:eastAsia="仿宋" w:cs="仿宋"/>
              </w:rPr>
            </w:pPr>
            <w:r>
              <w:rPr>
                <w:rStyle w:val="163"/>
                <w:rFonts w:hint="eastAsia" w:ascii="仿宋" w:hAnsi="仿宋" w:eastAsia="仿宋" w:cs="仿宋"/>
              </w:rPr>
              <w:t>请求头header设置version，根据调用的接口说明传对应的值</w:t>
            </w:r>
          </w:p>
        </w:tc>
      </w:tr>
    </w:tbl>
    <w:p w14:paraId="1B1F0320">
      <w:pPr>
        <w:spacing w:after="120"/>
        <w:ind w:firstLine="600"/>
        <w:rPr>
          <w:rFonts w:ascii="仿宋" w:hAnsi="仿宋" w:eastAsia="仿宋" w:cs="仿宋"/>
          <w:sz w:val="30"/>
          <w:szCs w:val="30"/>
        </w:rPr>
      </w:pPr>
      <w:bookmarkStart w:id="1274" w:name="_Toc10296"/>
      <w:bookmarkStart w:id="1275" w:name="_Toc18290"/>
      <w:r>
        <w:rPr>
          <w:rStyle w:val="163"/>
          <w:rFonts w:hint="eastAsia" w:ascii="仿宋" w:hAnsi="仿宋" w:eastAsia="仿宋" w:cs="仿宋"/>
          <w:sz w:val="30"/>
          <w:szCs w:val="30"/>
        </w:rPr>
        <w:t>3.1 接口请求头</w:t>
      </w:r>
      <w:bookmarkEnd w:id="1274"/>
      <w:bookmarkEnd w:id="1275"/>
    </w:p>
    <w:tbl>
      <w:tblPr>
        <w:tblStyle w:val="55"/>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244"/>
        <w:gridCol w:w="8452"/>
      </w:tblGrid>
      <w:tr w14:paraId="394C72D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44" w:type="dxa"/>
            <w:tcBorders>
              <w:top w:val="single" w:color="D9D9D9" w:sz="6" w:space="0"/>
              <w:left w:val="single" w:color="D9D9D9" w:sz="6" w:space="0"/>
              <w:bottom w:val="single" w:color="D9D9D9" w:sz="6" w:space="0"/>
              <w:right w:val="single" w:color="D9D9D9" w:sz="6" w:space="0"/>
            </w:tcBorders>
            <w:vAlign w:val="center"/>
          </w:tcPr>
          <w:p w14:paraId="011B90F3">
            <w:pPr>
              <w:spacing w:after="120"/>
              <w:ind w:firstLine="0" w:firstLineChars="0"/>
              <w:rPr>
                <w:rFonts w:ascii="仿宋" w:hAnsi="仿宋" w:eastAsia="仿宋" w:cs="仿宋"/>
              </w:rPr>
            </w:pPr>
            <w:r>
              <w:rPr>
                <w:rStyle w:val="163"/>
                <w:rFonts w:hint="eastAsia" w:ascii="仿宋" w:hAnsi="仿宋" w:eastAsia="仿宋" w:cs="仿宋"/>
              </w:rPr>
              <w:t>参数名称</w:t>
            </w:r>
          </w:p>
        </w:tc>
        <w:tc>
          <w:tcPr>
            <w:tcW w:w="8452" w:type="dxa"/>
            <w:tcBorders>
              <w:top w:val="single" w:color="D9D9D9" w:sz="6" w:space="0"/>
              <w:left w:val="single" w:color="D9D9D9" w:sz="6" w:space="0"/>
              <w:bottom w:val="single" w:color="D9D9D9" w:sz="6" w:space="0"/>
              <w:right w:val="single" w:color="D9D9D9" w:sz="6" w:space="0"/>
            </w:tcBorders>
            <w:vAlign w:val="center"/>
          </w:tcPr>
          <w:p w14:paraId="5E29F1D1">
            <w:pPr>
              <w:spacing w:after="120"/>
              <w:ind w:firstLine="0" w:firstLineChars="0"/>
              <w:rPr>
                <w:rFonts w:ascii="仿宋" w:hAnsi="仿宋" w:eastAsia="仿宋" w:cs="仿宋"/>
              </w:rPr>
            </w:pPr>
            <w:r>
              <w:rPr>
                <w:rStyle w:val="163"/>
                <w:rFonts w:hint="eastAsia" w:ascii="仿宋" w:hAnsi="仿宋" w:eastAsia="仿宋" w:cs="仿宋"/>
              </w:rPr>
              <w:t>相关描述</w:t>
            </w:r>
          </w:p>
        </w:tc>
      </w:tr>
      <w:tr w14:paraId="1567321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44" w:type="dxa"/>
            <w:tcBorders>
              <w:top w:val="single" w:color="D9D9D9" w:sz="6" w:space="0"/>
              <w:left w:val="single" w:color="D9D9D9" w:sz="6" w:space="0"/>
              <w:bottom w:val="single" w:color="D9D9D9" w:sz="6" w:space="0"/>
              <w:right w:val="single" w:color="D9D9D9" w:sz="6" w:space="0"/>
            </w:tcBorders>
            <w:vAlign w:val="center"/>
          </w:tcPr>
          <w:p w14:paraId="1B932BD3">
            <w:pPr>
              <w:spacing w:after="120"/>
              <w:ind w:firstLine="0" w:firstLineChars="0"/>
              <w:rPr>
                <w:rFonts w:ascii="仿宋" w:hAnsi="仿宋" w:eastAsia="仿宋" w:cs="仿宋"/>
              </w:rPr>
            </w:pPr>
            <w:r>
              <w:rPr>
                <w:rStyle w:val="163"/>
                <w:rFonts w:hint="eastAsia" w:ascii="仿宋" w:hAnsi="仿宋" w:eastAsia="仿宋" w:cs="仿宋"/>
              </w:rPr>
              <w:t>auth-token</w:t>
            </w:r>
          </w:p>
        </w:tc>
        <w:tc>
          <w:tcPr>
            <w:tcW w:w="8452" w:type="dxa"/>
            <w:tcBorders>
              <w:top w:val="single" w:color="D9D9D9" w:sz="6" w:space="0"/>
              <w:left w:val="single" w:color="D9D9D9" w:sz="6" w:space="0"/>
              <w:bottom w:val="single" w:color="D9D9D9" w:sz="6" w:space="0"/>
              <w:right w:val="single" w:color="D9D9D9" w:sz="6" w:space="0"/>
            </w:tcBorders>
            <w:vAlign w:val="center"/>
          </w:tcPr>
          <w:p w14:paraId="2DE91E4E">
            <w:pPr>
              <w:spacing w:after="120"/>
              <w:ind w:firstLine="0" w:firstLineChars="0"/>
              <w:rPr>
                <w:rFonts w:ascii="仿宋" w:hAnsi="仿宋" w:eastAsia="仿宋" w:cs="仿宋"/>
              </w:rPr>
            </w:pPr>
            <w:r>
              <w:rPr>
                <w:rStyle w:val="163"/>
                <w:rFonts w:hint="eastAsia" w:ascii="仿宋" w:hAnsi="仿宋" w:eastAsia="仿宋" w:cs="仿宋"/>
              </w:rPr>
              <w:t>认证接口返回tokenType,accessToken值，auth-token的值为tokenType+""+accessToken，见下面auth-token示例</w:t>
            </w:r>
          </w:p>
        </w:tc>
      </w:tr>
      <w:tr w14:paraId="44F39B3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1244" w:type="dxa"/>
            <w:tcBorders>
              <w:top w:val="single" w:color="D9D9D9" w:sz="6" w:space="0"/>
              <w:left w:val="single" w:color="D9D9D9" w:sz="6" w:space="0"/>
              <w:bottom w:val="single" w:color="D9D9D9" w:sz="6" w:space="0"/>
              <w:right w:val="single" w:color="D9D9D9" w:sz="6" w:space="0"/>
            </w:tcBorders>
            <w:vAlign w:val="center"/>
          </w:tcPr>
          <w:p w14:paraId="3C11BAC7">
            <w:pPr>
              <w:spacing w:after="120"/>
              <w:ind w:firstLine="0" w:firstLineChars="0"/>
              <w:rPr>
                <w:rFonts w:ascii="仿宋" w:hAnsi="仿宋" w:eastAsia="仿宋" w:cs="仿宋"/>
              </w:rPr>
            </w:pPr>
            <w:r>
              <w:rPr>
                <w:rStyle w:val="163"/>
                <w:rFonts w:hint="eastAsia" w:ascii="仿宋" w:hAnsi="仿宋" w:eastAsia="仿宋" w:cs="仿宋"/>
              </w:rPr>
              <w:t>version</w:t>
            </w:r>
          </w:p>
        </w:tc>
        <w:tc>
          <w:tcPr>
            <w:tcW w:w="8452" w:type="dxa"/>
            <w:tcBorders>
              <w:top w:val="single" w:color="D9D9D9" w:sz="6" w:space="0"/>
              <w:left w:val="single" w:color="D9D9D9" w:sz="6" w:space="0"/>
              <w:bottom w:val="single" w:color="D9D9D9" w:sz="6" w:space="0"/>
              <w:right w:val="single" w:color="D9D9D9" w:sz="6" w:space="0"/>
            </w:tcBorders>
            <w:vAlign w:val="center"/>
          </w:tcPr>
          <w:p w14:paraId="6B0FCDB4">
            <w:pPr>
              <w:spacing w:after="120"/>
              <w:rPr>
                <w:rFonts w:ascii="仿宋" w:hAnsi="仿宋" w:eastAsia="仿宋" w:cs="仿宋"/>
              </w:rPr>
            </w:pPr>
            <w:r>
              <w:rPr>
                <w:rStyle w:val="163"/>
                <w:rFonts w:hint="eastAsia" w:ascii="仿宋" w:hAnsi="仿宋" w:eastAsia="仿宋" w:cs="仿宋"/>
              </w:rPr>
              <w:t>根据调用的接口说明传对应的值</w:t>
            </w:r>
          </w:p>
        </w:tc>
      </w:tr>
    </w:tbl>
    <w:p w14:paraId="42187F9B">
      <w:pPr>
        <w:spacing w:after="120"/>
        <w:rPr>
          <w:rFonts w:ascii="仿宋" w:hAnsi="仿宋" w:eastAsia="仿宋" w:cs="仿宋"/>
        </w:rPr>
      </w:pPr>
    </w:p>
    <w:p w14:paraId="59E634CB">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请求头auth-token值示例</w:t>
      </w:r>
    </w:p>
    <w:p w14:paraId="1293932E">
      <w:pPr>
        <w:pStyle w:val="25"/>
        <w:pBdr>
          <w:top w:val="single" w:color="E8E8E8" w:sz="6" w:space="12"/>
          <w:left w:val="single" w:color="E8E8E8" w:sz="6" w:space="12"/>
          <w:bottom w:val="single" w:color="E8E8E8" w:sz="6" w:space="12"/>
          <w:right w:val="single" w:color="E8E8E8" w:sz="6" w:space="12"/>
        </w:pBdr>
        <w:shd w:val="clear" w:color="auto" w:fill="F9F9F9"/>
        <w:spacing w:after="120"/>
        <w:ind w:left="960"/>
        <w:rPr>
          <w:rFonts w:ascii="仿宋" w:hAnsi="仿宋" w:eastAsia="仿宋" w:cs="仿宋"/>
          <w:szCs w:val="24"/>
        </w:rPr>
      </w:pPr>
      <w:r>
        <w:rPr>
          <w:rFonts w:hint="eastAsia" w:ascii="仿宋" w:hAnsi="仿宋" w:eastAsia="仿宋" w:cs="仿宋"/>
          <w:szCs w:val="24"/>
        </w:rPr>
        <w:t>bearer eyJ0eXAiOiJKV1QiLCJhbGciOiJIUzUxMiJ9.eyJpc3MiOiJpc3N1c2VyIiwiYXVkIjoiYXVkaWVuY2UiLCJ0ZW5hbnRfaWQiOiIwMDAwMDAiLCJyb2xlX25hbWUiOiLlt6XlnLDmjqXlj6Plr7nmjqUiLCJ1c2VyX2lkIjoiMTM1MzE1OTcyMDA0MTc3NTEwNiIsInJvbGVfaWQiOiIxMzUzMTYwMDk4MzI2MDUyODY1IiwidXNlcl9uYW1lIjoiMTM1MzE1ODkxODI0MjU2NjE0NCIsInRva2VuX3R5cGUiOiJhY2Nlc3NfdG9rZW4iLCJhY2NvdW50IjoiMTM1MzE1ODkxODI0MjU2NjE0NCIsImNsaWVudF9pZCI6IjEzNTI5MTQwODM3NTM0OTI0ODAiLCJleHAiOjE2MTE0NTc1NTgsIm5iZiI6MTYxMTQ1Mzk1OH0.0E1QbgdH121FZQ9vBPZMI58ZDOUMjEG82c4Ro7foulXi1kZJDg-xivpABXL0fdjHiXy_05bJtSb0pMQdWQADpQ</w:t>
      </w:r>
    </w:p>
    <w:p w14:paraId="530F25FC">
      <w:pPr>
        <w:spacing w:after="120"/>
        <w:ind w:firstLine="600"/>
        <w:rPr>
          <w:rFonts w:ascii="仿宋" w:hAnsi="仿宋" w:eastAsia="仿宋" w:cs="仿宋"/>
          <w:sz w:val="30"/>
          <w:szCs w:val="30"/>
        </w:rPr>
      </w:pPr>
      <w:bookmarkStart w:id="1276" w:name="_Toc31718"/>
      <w:bookmarkStart w:id="1277" w:name="_Toc402"/>
      <w:r>
        <w:rPr>
          <w:rStyle w:val="163"/>
          <w:rFonts w:hint="eastAsia" w:ascii="仿宋" w:hAnsi="仿宋" w:eastAsia="仿宋" w:cs="仿宋"/>
          <w:sz w:val="30"/>
          <w:szCs w:val="30"/>
        </w:rPr>
        <w:t>3.2 请求参数</w:t>
      </w:r>
      <w:bookmarkEnd w:id="1276"/>
      <w:bookmarkEnd w:id="1277"/>
    </w:p>
    <w:tbl>
      <w:tblPr>
        <w:tblStyle w:val="55"/>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1110"/>
        <w:gridCol w:w="990"/>
        <w:gridCol w:w="1424"/>
        <w:gridCol w:w="4724"/>
        <w:gridCol w:w="750"/>
        <w:gridCol w:w="510"/>
      </w:tblGrid>
      <w:tr w14:paraId="544C700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05A20724">
            <w:pPr>
              <w:spacing w:after="120"/>
              <w:ind w:firstLine="0" w:firstLineChars="0"/>
              <w:jc w:val="center"/>
              <w:rPr>
                <w:rFonts w:ascii="仿宋" w:hAnsi="仿宋" w:eastAsia="仿宋" w:cs="仿宋"/>
              </w:rPr>
            </w:pPr>
            <w:r>
              <w:rPr>
                <w:rStyle w:val="163"/>
                <w:rFonts w:hint="eastAsia" w:ascii="仿宋" w:hAnsi="仿宋" w:eastAsia="仿宋" w:cs="仿宋"/>
              </w:rPr>
              <w:t>参数名称</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5F282BF4">
            <w:pPr>
              <w:spacing w:after="120"/>
              <w:ind w:firstLine="0" w:firstLineChars="0"/>
              <w:jc w:val="center"/>
              <w:rPr>
                <w:rFonts w:ascii="仿宋" w:hAnsi="仿宋" w:eastAsia="仿宋" w:cs="仿宋"/>
              </w:rPr>
            </w:pPr>
            <w:r>
              <w:rPr>
                <w:rStyle w:val="163"/>
                <w:rFonts w:hint="eastAsia" w:ascii="仿宋" w:hAnsi="仿宋" w:eastAsia="仿宋" w:cs="仿宋"/>
              </w:rPr>
              <w:t>参数类型</w:t>
            </w:r>
          </w:p>
        </w:tc>
        <w:tc>
          <w:tcPr>
            <w:tcW w:w="1424"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4D8258CF">
            <w:pPr>
              <w:spacing w:after="120"/>
              <w:ind w:firstLine="0" w:firstLineChars="0"/>
              <w:jc w:val="center"/>
              <w:rPr>
                <w:rFonts w:ascii="仿宋" w:hAnsi="仿宋" w:eastAsia="仿宋" w:cs="仿宋"/>
              </w:rPr>
            </w:pPr>
            <w:r>
              <w:rPr>
                <w:rStyle w:val="163"/>
                <w:rFonts w:hint="eastAsia" w:ascii="仿宋" w:hAnsi="仿宋" w:eastAsia="仿宋" w:cs="仿宋"/>
              </w:rPr>
              <w:t>是否必须</w:t>
            </w:r>
          </w:p>
        </w:tc>
        <w:tc>
          <w:tcPr>
            <w:tcW w:w="4724" w:type="dxa"/>
            <w:tcBorders>
              <w:top w:val="single" w:color="D9D9D9" w:sz="6" w:space="0"/>
              <w:left w:val="single" w:color="D9D9D9" w:sz="6" w:space="0"/>
              <w:bottom w:val="single" w:color="D9D9D9" w:sz="6" w:space="0"/>
              <w:right w:val="single" w:color="D9D9D9" w:sz="6" w:space="0"/>
            </w:tcBorders>
            <w:shd w:val="clear" w:color="auto" w:fill="D4EEFC"/>
            <w:vAlign w:val="center"/>
          </w:tcPr>
          <w:p w14:paraId="3DEF768D">
            <w:pPr>
              <w:spacing w:after="120"/>
              <w:jc w:val="center"/>
              <w:rPr>
                <w:rFonts w:ascii="仿宋" w:hAnsi="仿宋" w:eastAsia="仿宋" w:cs="仿宋"/>
              </w:rPr>
            </w:pPr>
            <w:r>
              <w:rPr>
                <w:rStyle w:val="163"/>
                <w:rFonts w:hint="eastAsia" w:ascii="仿宋" w:hAnsi="仿宋" w:eastAsia="仿宋" w:cs="仿宋"/>
              </w:rPr>
              <w:t>参数说明</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11D61225">
            <w:pPr>
              <w:spacing w:after="120"/>
              <w:ind w:firstLine="0" w:firstLineChars="0"/>
              <w:jc w:val="center"/>
              <w:rPr>
                <w:rFonts w:ascii="仿宋" w:hAnsi="仿宋" w:eastAsia="仿宋" w:cs="仿宋"/>
              </w:rPr>
            </w:pPr>
            <w:r>
              <w:rPr>
                <w:rStyle w:val="163"/>
                <w:rFonts w:hint="eastAsia" w:ascii="仿宋" w:hAnsi="仿宋" w:eastAsia="仿宋" w:cs="仿宋"/>
              </w:rPr>
              <w:t>默认值</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476B6426">
            <w:pPr>
              <w:spacing w:after="120"/>
              <w:ind w:firstLine="0" w:firstLineChars="0"/>
              <w:jc w:val="center"/>
              <w:rPr>
                <w:rFonts w:ascii="仿宋" w:hAnsi="仿宋" w:eastAsia="仿宋" w:cs="仿宋"/>
              </w:rPr>
            </w:pPr>
            <w:r>
              <w:rPr>
                <w:rStyle w:val="163"/>
                <w:rFonts w:hint="eastAsia" w:ascii="仿宋" w:hAnsi="仿宋" w:eastAsia="仿宋" w:cs="仿宋"/>
              </w:rPr>
              <w:t>示例</w:t>
            </w:r>
          </w:p>
        </w:tc>
      </w:tr>
      <w:tr w14:paraId="1958180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1EE347A">
            <w:pPr>
              <w:spacing w:after="120"/>
              <w:ind w:firstLine="0" w:firstLineChars="0"/>
              <w:jc w:val="center"/>
              <w:rPr>
                <w:rFonts w:ascii="仿宋" w:hAnsi="仿宋" w:eastAsia="仿宋" w:cs="仿宋"/>
              </w:rPr>
            </w:pPr>
            <w:r>
              <w:rPr>
                <w:rStyle w:val="163"/>
                <w:rFonts w:hint="eastAsia" w:ascii="仿宋" w:hAnsi="仿宋" w:eastAsia="仿宋" w:cs="仿宋"/>
              </w:rPr>
              <w:t>projectId</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69ED9B9">
            <w:pPr>
              <w:spacing w:after="120"/>
              <w:ind w:firstLine="0" w:firstLineChars="0"/>
              <w:jc w:val="center"/>
              <w:rPr>
                <w:rFonts w:ascii="仿宋" w:hAnsi="仿宋" w:eastAsia="仿宋" w:cs="仿宋"/>
              </w:rPr>
            </w:pPr>
            <w:r>
              <w:rPr>
                <w:rStyle w:val="163"/>
                <w:rFonts w:hint="eastAsia" w:ascii="仿宋" w:hAnsi="仿宋" w:eastAsia="仿宋" w:cs="仿宋"/>
              </w:rPr>
              <w:t>string</w:t>
            </w:r>
          </w:p>
        </w:tc>
        <w:tc>
          <w:tcPr>
            <w:tcW w:w="1424"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095537B0">
            <w:pPr>
              <w:spacing w:after="120"/>
              <w:jc w:val="center"/>
              <w:rPr>
                <w:rFonts w:ascii="仿宋" w:hAnsi="仿宋" w:eastAsia="仿宋" w:cs="仿宋"/>
              </w:rPr>
            </w:pPr>
            <w:r>
              <w:rPr>
                <w:rStyle w:val="163"/>
                <w:rFonts w:hint="eastAsia" w:ascii="仿宋" w:hAnsi="仿宋" w:eastAsia="仿宋" w:cs="仿宋"/>
              </w:rPr>
              <w:t>True</w:t>
            </w:r>
          </w:p>
        </w:tc>
        <w:tc>
          <w:tcPr>
            <w:tcW w:w="4724"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034E2625">
            <w:pPr>
              <w:spacing w:after="120"/>
              <w:ind w:firstLine="0" w:firstLineChars="0"/>
              <w:jc w:val="center"/>
              <w:rPr>
                <w:rFonts w:ascii="仿宋" w:hAnsi="仿宋" w:eastAsia="仿宋" w:cs="仿宋"/>
              </w:rPr>
            </w:pPr>
            <w:r>
              <w:rPr>
                <w:rStyle w:val="163"/>
                <w:rFonts w:hint="eastAsia" w:ascii="仿宋" w:hAnsi="仿宋" w:eastAsia="仿宋" w:cs="仿宋"/>
              </w:rPr>
              <w:t>项目ID</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AD1C9BA">
            <w:pPr>
              <w:spacing w:after="120"/>
              <w:jc w:val="center"/>
              <w:rPr>
                <w:rFonts w:ascii="仿宋" w:hAnsi="仿宋" w:eastAsia="仿宋" w:cs="仿宋"/>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1821D60">
            <w:pPr>
              <w:spacing w:after="120"/>
              <w:jc w:val="center"/>
              <w:rPr>
                <w:rFonts w:ascii="仿宋" w:hAnsi="仿宋" w:eastAsia="仿宋" w:cs="仿宋"/>
              </w:rPr>
            </w:pPr>
          </w:p>
        </w:tc>
      </w:tr>
      <w:tr w14:paraId="1A13280F">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35CCE21">
            <w:pPr>
              <w:spacing w:after="120"/>
              <w:ind w:firstLine="0" w:firstLineChars="0"/>
              <w:jc w:val="center"/>
              <w:rPr>
                <w:rFonts w:ascii="仿宋" w:hAnsi="仿宋" w:eastAsia="仿宋" w:cs="仿宋"/>
              </w:rPr>
            </w:pPr>
            <w:r>
              <w:rPr>
                <w:rStyle w:val="163"/>
                <w:rFonts w:hint="eastAsia" w:ascii="仿宋" w:hAnsi="仿宋" w:eastAsia="仿宋" w:cs="仿宋"/>
              </w:rPr>
              <w:t>timestamp</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888468C">
            <w:pPr>
              <w:spacing w:after="120"/>
              <w:ind w:firstLine="0" w:firstLineChars="0"/>
              <w:jc w:val="center"/>
              <w:rPr>
                <w:rFonts w:ascii="仿宋" w:hAnsi="仿宋" w:eastAsia="仿宋" w:cs="仿宋"/>
              </w:rPr>
            </w:pPr>
            <w:r>
              <w:rPr>
                <w:rStyle w:val="163"/>
                <w:rFonts w:hint="eastAsia" w:ascii="仿宋" w:hAnsi="仿宋" w:eastAsia="仿宋" w:cs="仿宋"/>
              </w:rPr>
              <w:t>string</w:t>
            </w:r>
          </w:p>
        </w:tc>
        <w:tc>
          <w:tcPr>
            <w:tcW w:w="1424"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312559F9">
            <w:pPr>
              <w:spacing w:after="120"/>
              <w:jc w:val="center"/>
              <w:rPr>
                <w:rFonts w:ascii="仿宋" w:hAnsi="仿宋" w:eastAsia="仿宋" w:cs="仿宋"/>
              </w:rPr>
            </w:pPr>
            <w:r>
              <w:rPr>
                <w:rStyle w:val="163"/>
                <w:rFonts w:hint="eastAsia" w:ascii="仿宋" w:hAnsi="仿宋" w:eastAsia="仿宋" w:cs="仿宋"/>
              </w:rPr>
              <w:t>True</w:t>
            </w:r>
          </w:p>
        </w:tc>
        <w:tc>
          <w:tcPr>
            <w:tcW w:w="4724"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034E3352">
            <w:pPr>
              <w:spacing w:after="120"/>
              <w:ind w:firstLine="0" w:firstLineChars="0"/>
              <w:jc w:val="center"/>
              <w:rPr>
                <w:rFonts w:ascii="仿宋" w:hAnsi="仿宋" w:eastAsia="仿宋" w:cs="仿宋"/>
              </w:rPr>
            </w:pPr>
            <w:r>
              <w:rPr>
                <w:rStyle w:val="163"/>
                <w:rFonts w:hint="eastAsia" w:ascii="仿宋" w:hAnsi="仿宋" w:eastAsia="仿宋" w:cs="仿宋"/>
              </w:rPr>
              <w:t>时间戳</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9AF96C8">
            <w:pPr>
              <w:spacing w:after="120"/>
              <w:jc w:val="center"/>
              <w:rPr>
                <w:rFonts w:ascii="仿宋" w:hAnsi="仿宋" w:eastAsia="仿宋" w:cs="仿宋"/>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A3B8FEC">
            <w:pPr>
              <w:spacing w:after="120"/>
              <w:jc w:val="center"/>
              <w:rPr>
                <w:rFonts w:ascii="仿宋" w:hAnsi="仿宋" w:eastAsia="仿宋" w:cs="仿宋"/>
              </w:rPr>
            </w:pPr>
          </w:p>
        </w:tc>
      </w:tr>
      <w:tr w14:paraId="7CD5070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1C4D18B">
            <w:pPr>
              <w:spacing w:after="120"/>
              <w:ind w:firstLine="0" w:firstLineChars="0"/>
              <w:jc w:val="center"/>
              <w:rPr>
                <w:rFonts w:ascii="仿宋" w:hAnsi="仿宋" w:eastAsia="仿宋" w:cs="仿宋"/>
              </w:rPr>
            </w:pPr>
            <w:r>
              <w:rPr>
                <w:rStyle w:val="163"/>
                <w:rFonts w:hint="eastAsia" w:ascii="仿宋" w:hAnsi="仿宋" w:eastAsia="仿宋" w:cs="仿宋"/>
              </w:rPr>
              <w:t>sign</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C6E6312">
            <w:pPr>
              <w:spacing w:after="120"/>
              <w:ind w:firstLine="0" w:firstLineChars="0"/>
              <w:jc w:val="center"/>
              <w:rPr>
                <w:rFonts w:ascii="仿宋" w:hAnsi="仿宋" w:eastAsia="仿宋" w:cs="仿宋"/>
              </w:rPr>
            </w:pPr>
            <w:r>
              <w:rPr>
                <w:rStyle w:val="163"/>
                <w:rFonts w:hint="eastAsia" w:ascii="仿宋" w:hAnsi="仿宋" w:eastAsia="仿宋" w:cs="仿宋"/>
              </w:rPr>
              <w:t>string</w:t>
            </w:r>
          </w:p>
        </w:tc>
        <w:tc>
          <w:tcPr>
            <w:tcW w:w="1424"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1821C806">
            <w:pPr>
              <w:spacing w:after="120"/>
              <w:jc w:val="center"/>
              <w:rPr>
                <w:rFonts w:ascii="仿宋" w:hAnsi="仿宋" w:eastAsia="仿宋" w:cs="仿宋"/>
              </w:rPr>
            </w:pPr>
            <w:r>
              <w:rPr>
                <w:rStyle w:val="163"/>
                <w:rFonts w:hint="eastAsia" w:ascii="仿宋" w:hAnsi="仿宋" w:eastAsia="仿宋" w:cs="仿宋"/>
              </w:rPr>
              <w:t>True</w:t>
            </w:r>
          </w:p>
        </w:tc>
        <w:tc>
          <w:tcPr>
            <w:tcW w:w="4724"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55EE0E5B">
            <w:pPr>
              <w:spacing w:after="120"/>
              <w:ind w:firstLine="0" w:firstLineChars="0"/>
              <w:jc w:val="center"/>
              <w:rPr>
                <w:rFonts w:ascii="仿宋" w:hAnsi="仿宋" w:eastAsia="仿宋" w:cs="仿宋"/>
              </w:rPr>
            </w:pPr>
            <w:r>
              <w:rPr>
                <w:rStyle w:val="163"/>
                <w:rFonts w:hint="eastAsia" w:ascii="仿宋" w:hAnsi="仿宋" w:eastAsia="仿宋" w:cs="仿宋"/>
              </w:rPr>
              <w:t>签名字符串，请查看本文档</w:t>
            </w:r>
            <w:r>
              <w:rPr>
                <w:rStyle w:val="163"/>
                <w:rFonts w:hint="eastAsia" w:ascii="仿宋" w:hAnsi="仿宋" w:eastAsia="仿宋" w:cs="仿宋"/>
                <w:b/>
                <w:bCs/>
              </w:rPr>
              <w:t>签名规则</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011D5FA1">
            <w:pPr>
              <w:spacing w:after="120"/>
              <w:jc w:val="center"/>
              <w:rPr>
                <w:rFonts w:ascii="仿宋" w:hAnsi="仿宋" w:eastAsia="仿宋" w:cs="仿宋"/>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A987782">
            <w:pPr>
              <w:spacing w:after="120"/>
              <w:jc w:val="center"/>
              <w:rPr>
                <w:rFonts w:ascii="仿宋" w:hAnsi="仿宋" w:eastAsia="仿宋" w:cs="仿宋"/>
              </w:rPr>
            </w:pPr>
          </w:p>
        </w:tc>
      </w:tr>
      <w:tr w14:paraId="32D81D1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0F18D4D">
            <w:pPr>
              <w:spacing w:after="120"/>
              <w:ind w:firstLine="0" w:firstLineChars="0"/>
              <w:jc w:val="center"/>
              <w:rPr>
                <w:rFonts w:ascii="仿宋" w:hAnsi="仿宋" w:eastAsia="仿宋" w:cs="仿宋"/>
              </w:rPr>
            </w:pPr>
            <w:r>
              <w:rPr>
                <w:rStyle w:val="163"/>
                <w:rFonts w:hint="eastAsia" w:ascii="仿宋" w:hAnsi="仿宋" w:eastAsia="仿宋" w:cs="仿宋"/>
              </w:rPr>
              <w:t>data</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B0DDBD1">
            <w:pPr>
              <w:spacing w:after="120"/>
              <w:ind w:firstLine="0" w:firstLineChars="0"/>
              <w:jc w:val="center"/>
              <w:rPr>
                <w:rFonts w:ascii="仿宋" w:hAnsi="仿宋" w:eastAsia="仿宋" w:cs="仿宋"/>
              </w:rPr>
            </w:pPr>
            <w:r>
              <w:rPr>
                <w:rStyle w:val="163"/>
                <w:rFonts w:hint="eastAsia" w:ascii="仿宋" w:hAnsi="仿宋" w:eastAsia="仿宋" w:cs="仿宋"/>
              </w:rPr>
              <w:t>{}或[]</w:t>
            </w:r>
          </w:p>
        </w:tc>
        <w:tc>
          <w:tcPr>
            <w:tcW w:w="1424"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54D3B62F">
            <w:pPr>
              <w:spacing w:after="120"/>
              <w:jc w:val="center"/>
              <w:rPr>
                <w:rFonts w:ascii="仿宋" w:hAnsi="仿宋" w:eastAsia="仿宋" w:cs="仿宋"/>
              </w:rPr>
            </w:pPr>
            <w:r>
              <w:rPr>
                <w:rStyle w:val="163"/>
                <w:rFonts w:hint="eastAsia" w:ascii="仿宋" w:hAnsi="仿宋" w:eastAsia="仿宋" w:cs="仿宋"/>
              </w:rPr>
              <w:t>True</w:t>
            </w:r>
          </w:p>
        </w:tc>
        <w:tc>
          <w:tcPr>
            <w:tcW w:w="4724" w:type="dxa"/>
            <w:tcBorders>
              <w:top w:val="single" w:color="D9D9D9" w:sz="6" w:space="0"/>
              <w:left w:val="single" w:color="D9D9D9" w:sz="6" w:space="0"/>
              <w:bottom w:val="single" w:color="D9D9D9" w:sz="6" w:space="0"/>
              <w:right w:val="single" w:color="D9D9D9" w:sz="6" w:space="0"/>
            </w:tcBorders>
            <w:shd w:val="clear" w:color="auto" w:fill="FFFFFF"/>
            <w:vAlign w:val="center"/>
          </w:tcPr>
          <w:p w14:paraId="3DFD86E1">
            <w:pPr>
              <w:spacing w:after="120"/>
              <w:ind w:firstLine="0" w:firstLineChars="0"/>
              <w:jc w:val="center"/>
              <w:rPr>
                <w:rFonts w:ascii="仿宋" w:hAnsi="仿宋" w:eastAsia="仿宋" w:cs="仿宋"/>
              </w:rPr>
            </w:pPr>
            <w:r>
              <w:rPr>
                <w:rStyle w:val="163"/>
                <w:rFonts w:hint="eastAsia" w:ascii="仿宋" w:hAnsi="仿宋" w:eastAsia="仿宋" w:cs="仿宋"/>
              </w:rPr>
              <w:t>上传数据包，可能是对像或数组，见具体接口说明</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D22184F">
            <w:pPr>
              <w:spacing w:after="120"/>
              <w:jc w:val="center"/>
              <w:rPr>
                <w:rFonts w:ascii="仿宋" w:hAnsi="仿宋" w:eastAsia="仿宋" w:cs="仿宋"/>
              </w:rPr>
            </w:pP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920CD53">
            <w:pPr>
              <w:spacing w:after="120"/>
              <w:jc w:val="center"/>
              <w:rPr>
                <w:rFonts w:ascii="仿宋" w:hAnsi="仿宋" w:eastAsia="仿宋" w:cs="仿宋"/>
              </w:rPr>
            </w:pPr>
          </w:p>
        </w:tc>
      </w:tr>
    </w:tbl>
    <w:p w14:paraId="762EDE05">
      <w:pPr>
        <w:spacing w:after="120"/>
        <w:ind w:firstLine="600"/>
        <w:rPr>
          <w:rStyle w:val="163"/>
          <w:rFonts w:ascii="仿宋" w:hAnsi="仿宋" w:eastAsia="仿宋" w:cs="仿宋"/>
          <w:sz w:val="30"/>
          <w:szCs w:val="30"/>
        </w:rPr>
      </w:pPr>
      <w:bookmarkStart w:id="1278" w:name="_Toc31669"/>
      <w:bookmarkStart w:id="1279" w:name="_Toc21300"/>
    </w:p>
    <w:p w14:paraId="7B2C87ED">
      <w:pPr>
        <w:spacing w:after="120"/>
        <w:ind w:firstLine="600"/>
        <w:rPr>
          <w:rStyle w:val="163"/>
          <w:rFonts w:ascii="仿宋" w:hAnsi="仿宋" w:eastAsia="仿宋" w:cs="仿宋"/>
          <w:sz w:val="30"/>
          <w:szCs w:val="30"/>
        </w:rPr>
      </w:pPr>
      <w:r>
        <w:rPr>
          <w:rStyle w:val="163"/>
          <w:rFonts w:hint="eastAsia" w:ascii="仿宋" w:hAnsi="仿宋" w:eastAsia="仿宋" w:cs="仿宋"/>
          <w:sz w:val="30"/>
          <w:szCs w:val="30"/>
        </w:rPr>
        <w:t>3.3 响应数据</w:t>
      </w:r>
      <w:bookmarkEnd w:id="1278"/>
      <w:bookmarkEnd w:id="1279"/>
    </w:p>
    <w:tbl>
      <w:tblPr>
        <w:tblStyle w:val="55"/>
        <w:tblW w:w="0" w:type="auto"/>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Layout w:type="autofit"/>
        <w:tblCellMar>
          <w:top w:w="15" w:type="dxa"/>
          <w:left w:w="15" w:type="dxa"/>
          <w:bottom w:w="15" w:type="dxa"/>
          <w:right w:w="15" w:type="dxa"/>
        </w:tblCellMar>
      </w:tblPr>
      <w:tblGrid>
        <w:gridCol w:w="990"/>
        <w:gridCol w:w="990"/>
        <w:gridCol w:w="990"/>
        <w:gridCol w:w="5070"/>
        <w:gridCol w:w="510"/>
      </w:tblGrid>
      <w:tr w14:paraId="09B3764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5F84C7E1">
            <w:pPr>
              <w:spacing w:after="120"/>
              <w:ind w:firstLine="0" w:firstLineChars="0"/>
              <w:jc w:val="center"/>
              <w:rPr>
                <w:rStyle w:val="163"/>
                <w:rFonts w:ascii="仿宋" w:hAnsi="仿宋" w:eastAsia="仿宋" w:cs="仿宋"/>
              </w:rPr>
            </w:pPr>
            <w:r>
              <w:rPr>
                <w:rStyle w:val="163"/>
                <w:rFonts w:hint="eastAsia" w:ascii="仿宋" w:hAnsi="仿宋" w:eastAsia="仿宋" w:cs="仿宋"/>
              </w:rPr>
              <w:t>参数名称</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3F2DAFA6">
            <w:pPr>
              <w:spacing w:after="120"/>
              <w:ind w:firstLine="0" w:firstLineChars="0"/>
              <w:jc w:val="center"/>
              <w:rPr>
                <w:rStyle w:val="163"/>
                <w:rFonts w:ascii="仿宋" w:hAnsi="仿宋" w:eastAsia="仿宋" w:cs="仿宋"/>
              </w:rPr>
            </w:pPr>
            <w:r>
              <w:rPr>
                <w:rStyle w:val="163"/>
                <w:rFonts w:hint="eastAsia" w:ascii="仿宋" w:hAnsi="仿宋" w:eastAsia="仿宋" w:cs="仿宋"/>
              </w:rPr>
              <w:t>参数类型</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0C4035A1">
            <w:pPr>
              <w:spacing w:after="120"/>
              <w:ind w:firstLine="0" w:firstLineChars="0"/>
              <w:jc w:val="center"/>
              <w:rPr>
                <w:rStyle w:val="163"/>
                <w:rFonts w:ascii="仿宋" w:hAnsi="仿宋" w:eastAsia="仿宋" w:cs="仿宋"/>
              </w:rPr>
            </w:pPr>
            <w:r>
              <w:rPr>
                <w:rStyle w:val="163"/>
                <w:rFonts w:hint="eastAsia" w:ascii="仿宋" w:hAnsi="仿宋" w:eastAsia="仿宋" w:cs="仿宋"/>
              </w:rPr>
              <w:t>是否必须</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0F2F9E2B">
            <w:pPr>
              <w:spacing w:after="120"/>
              <w:ind w:firstLine="0" w:firstLineChars="0"/>
              <w:jc w:val="center"/>
              <w:rPr>
                <w:rStyle w:val="163"/>
                <w:rFonts w:ascii="仿宋" w:hAnsi="仿宋" w:eastAsia="仿宋" w:cs="仿宋"/>
              </w:rPr>
            </w:pPr>
            <w:r>
              <w:rPr>
                <w:rStyle w:val="163"/>
                <w:rFonts w:hint="eastAsia" w:ascii="仿宋" w:hAnsi="仿宋" w:eastAsia="仿宋" w:cs="仿宋"/>
              </w:rPr>
              <w:t>参数说明</w:t>
            </w:r>
          </w:p>
        </w:tc>
        <w:tc>
          <w:tcPr>
            <w:tcW w:w="0" w:type="auto"/>
            <w:tcBorders>
              <w:top w:val="single" w:color="D9D9D9" w:sz="6" w:space="0"/>
              <w:left w:val="single" w:color="D9D9D9" w:sz="6" w:space="0"/>
              <w:bottom w:val="single" w:color="D9D9D9" w:sz="6" w:space="0"/>
              <w:right w:val="single" w:color="D9D9D9" w:sz="6" w:space="0"/>
            </w:tcBorders>
            <w:shd w:val="clear" w:color="auto" w:fill="D4EEFC"/>
            <w:vAlign w:val="center"/>
          </w:tcPr>
          <w:p w14:paraId="2843AF86">
            <w:pPr>
              <w:spacing w:after="120"/>
              <w:ind w:firstLine="0" w:firstLineChars="0"/>
              <w:jc w:val="center"/>
              <w:rPr>
                <w:rStyle w:val="163"/>
                <w:rFonts w:ascii="仿宋" w:hAnsi="仿宋" w:eastAsia="仿宋" w:cs="仿宋"/>
              </w:rPr>
            </w:pPr>
            <w:r>
              <w:rPr>
                <w:rStyle w:val="163"/>
                <w:rFonts w:hint="eastAsia" w:ascii="仿宋" w:hAnsi="仿宋" w:eastAsia="仿宋" w:cs="仿宋"/>
              </w:rPr>
              <w:t>示例</w:t>
            </w:r>
          </w:p>
        </w:tc>
      </w:tr>
      <w:tr w14:paraId="3757F10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2732E90">
            <w:pPr>
              <w:spacing w:after="120"/>
              <w:ind w:firstLine="0" w:firstLineChars="0"/>
              <w:jc w:val="center"/>
              <w:rPr>
                <w:rStyle w:val="163"/>
                <w:rFonts w:ascii="仿宋" w:hAnsi="仿宋" w:eastAsia="仿宋" w:cs="仿宋"/>
              </w:rPr>
            </w:pPr>
            <w:r>
              <w:rPr>
                <w:rStyle w:val="163"/>
                <w:rFonts w:hint="eastAsia" w:ascii="仿宋" w:hAnsi="仿宋" w:eastAsia="仿宋" w:cs="仿宋"/>
              </w:rPr>
              <w:t>code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70AFC67">
            <w:pPr>
              <w:spacing w:after="120"/>
              <w:ind w:firstLine="0" w:firstLineChars="0"/>
              <w:jc w:val="center"/>
              <w:rPr>
                <w:rStyle w:val="163"/>
                <w:rFonts w:ascii="仿宋" w:hAnsi="仿宋" w:eastAsia="仿宋" w:cs="仿宋"/>
              </w:rPr>
            </w:pPr>
            <w:r>
              <w:rPr>
                <w:rStyle w:val="163"/>
                <w:rFonts w:hint="eastAsia" w:ascii="仿宋" w:hAnsi="仿宋" w:eastAsia="仿宋" w:cs="仿宋"/>
              </w:rPr>
              <w:t>integer</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EE08863">
            <w:pPr>
              <w:spacing w:after="120"/>
              <w:ind w:firstLine="0" w:firstLineChars="0"/>
              <w:jc w:val="center"/>
              <w:rPr>
                <w:rStyle w:val="163"/>
                <w:rFonts w:ascii="仿宋" w:hAnsi="仿宋" w:eastAsia="仿宋" w:cs="仿宋"/>
              </w:rPr>
            </w:pPr>
            <w:r>
              <w:rPr>
                <w:rStyle w:val="163"/>
                <w:rFonts w:hint="eastAsia" w:ascii="仿宋" w:hAnsi="仿宋" w:eastAsia="仿宋" w:cs="仿宋"/>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9C78A78">
            <w:pPr>
              <w:spacing w:after="120"/>
              <w:ind w:firstLine="0" w:firstLineChars="0"/>
              <w:jc w:val="center"/>
              <w:rPr>
                <w:rStyle w:val="163"/>
                <w:rFonts w:ascii="仿宋" w:hAnsi="仿宋" w:eastAsia="仿宋" w:cs="仿宋"/>
              </w:rPr>
            </w:pPr>
            <w:r>
              <w:rPr>
                <w:rStyle w:val="163"/>
                <w:rFonts w:hint="eastAsia" w:ascii="仿宋" w:hAnsi="仿宋" w:eastAsia="仿宋" w:cs="仿宋"/>
              </w:rPr>
              <w:t>响应码</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3149AB29">
            <w:pPr>
              <w:spacing w:after="120"/>
              <w:rPr>
                <w:rFonts w:ascii="仿宋" w:hAnsi="仿宋" w:eastAsia="仿宋" w:cs="仿宋"/>
              </w:rPr>
            </w:pPr>
          </w:p>
        </w:tc>
      </w:tr>
      <w:tr w14:paraId="7E7D5E8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60557B06">
            <w:pPr>
              <w:spacing w:after="120"/>
              <w:ind w:firstLine="0" w:firstLineChars="0"/>
              <w:jc w:val="center"/>
              <w:rPr>
                <w:rStyle w:val="163"/>
                <w:rFonts w:ascii="仿宋" w:hAnsi="仿宋" w:eastAsia="仿宋" w:cs="仿宋"/>
              </w:rPr>
            </w:pPr>
            <w:r>
              <w:rPr>
                <w:rStyle w:val="163"/>
                <w:rFonts w:hint="eastAsia" w:ascii="仿宋" w:hAnsi="仿宋" w:eastAsia="仿宋" w:cs="仿宋"/>
              </w:rPr>
              <w:t>msg</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B59DAAE">
            <w:pPr>
              <w:spacing w:after="120"/>
              <w:ind w:firstLine="0" w:firstLineChars="0"/>
              <w:jc w:val="center"/>
              <w:rPr>
                <w:rStyle w:val="163"/>
                <w:rFonts w:ascii="仿宋" w:hAnsi="仿宋" w:eastAsia="仿宋" w:cs="仿宋"/>
              </w:rPr>
            </w:pPr>
            <w:r>
              <w:rPr>
                <w:rStyle w:val="163"/>
                <w:rFonts w:hint="eastAsia" w:ascii="仿宋" w:hAnsi="仿宋" w:eastAsia="仿宋" w:cs="仿宋"/>
              </w:rPr>
              <w:t>string</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F72662F">
            <w:pPr>
              <w:spacing w:after="120"/>
              <w:ind w:firstLine="0" w:firstLineChars="0"/>
              <w:jc w:val="center"/>
              <w:rPr>
                <w:rStyle w:val="163"/>
                <w:rFonts w:ascii="仿宋" w:hAnsi="仿宋" w:eastAsia="仿宋" w:cs="仿宋"/>
              </w:rPr>
            </w:pPr>
            <w:r>
              <w:rPr>
                <w:rStyle w:val="163"/>
                <w:rFonts w:hint="eastAsia" w:ascii="仿宋" w:hAnsi="仿宋" w:eastAsia="仿宋" w:cs="仿宋"/>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4CB63BE7">
            <w:pPr>
              <w:spacing w:after="120"/>
              <w:ind w:firstLine="0" w:firstLineChars="0"/>
              <w:jc w:val="center"/>
              <w:rPr>
                <w:rStyle w:val="163"/>
                <w:rFonts w:ascii="仿宋" w:hAnsi="仿宋" w:eastAsia="仿宋" w:cs="仿宋"/>
              </w:rPr>
            </w:pPr>
            <w:r>
              <w:rPr>
                <w:rStyle w:val="163"/>
                <w:rFonts w:hint="eastAsia" w:ascii="仿宋" w:hAnsi="仿宋" w:eastAsia="仿宋" w:cs="仿宋"/>
              </w:rPr>
              <w:t>响应信息</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9F5E9D7">
            <w:pPr>
              <w:spacing w:after="120"/>
              <w:rPr>
                <w:rFonts w:ascii="仿宋" w:hAnsi="仿宋" w:eastAsia="仿宋" w:cs="仿宋"/>
              </w:rPr>
            </w:pPr>
          </w:p>
        </w:tc>
      </w:tr>
      <w:tr w14:paraId="4ACB032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66D9EC7">
            <w:pPr>
              <w:spacing w:after="120"/>
              <w:ind w:firstLine="0" w:firstLineChars="0"/>
              <w:jc w:val="center"/>
              <w:rPr>
                <w:rStyle w:val="163"/>
                <w:rFonts w:ascii="仿宋" w:hAnsi="仿宋" w:eastAsia="仿宋" w:cs="仿宋"/>
              </w:rPr>
            </w:pPr>
            <w:r>
              <w:rPr>
                <w:rStyle w:val="163"/>
                <w:rFonts w:hint="eastAsia" w:ascii="仿宋" w:hAnsi="仿宋" w:eastAsia="仿宋" w:cs="仿宋"/>
              </w:rPr>
              <w:t>success</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B5849B5">
            <w:pPr>
              <w:spacing w:after="120"/>
              <w:ind w:firstLine="0" w:firstLineChars="0"/>
              <w:jc w:val="center"/>
              <w:rPr>
                <w:rStyle w:val="163"/>
                <w:rFonts w:ascii="仿宋" w:hAnsi="仿宋" w:eastAsia="仿宋" w:cs="仿宋"/>
              </w:rPr>
            </w:pPr>
            <w:r>
              <w:rPr>
                <w:rStyle w:val="163"/>
                <w:rFonts w:hint="eastAsia" w:ascii="仿宋" w:hAnsi="仿宋" w:eastAsia="仿宋" w:cs="仿宋"/>
              </w:rPr>
              <w:t>bool</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570BA56">
            <w:pPr>
              <w:spacing w:after="120"/>
              <w:ind w:firstLine="0" w:firstLineChars="0"/>
              <w:jc w:val="center"/>
              <w:rPr>
                <w:rStyle w:val="163"/>
                <w:rFonts w:ascii="仿宋" w:hAnsi="仿宋" w:eastAsia="仿宋" w:cs="仿宋"/>
              </w:rPr>
            </w:pPr>
            <w:r>
              <w:rPr>
                <w:rStyle w:val="163"/>
                <w:rFonts w:hint="eastAsia" w:ascii="仿宋" w:hAnsi="仿宋" w:eastAsia="仿宋" w:cs="仿宋"/>
              </w:rPr>
              <w:t>True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B220BF8">
            <w:pPr>
              <w:spacing w:after="120"/>
              <w:ind w:firstLine="0" w:firstLineChars="0"/>
              <w:jc w:val="center"/>
              <w:rPr>
                <w:rStyle w:val="163"/>
                <w:rFonts w:ascii="仿宋" w:hAnsi="仿宋" w:eastAsia="仿宋" w:cs="仿宋"/>
              </w:rPr>
            </w:pPr>
            <w:r>
              <w:rPr>
                <w:rStyle w:val="163"/>
                <w:rFonts w:hint="eastAsia" w:ascii="仿宋" w:hAnsi="仿宋" w:eastAsia="仿宋" w:cs="仿宋"/>
              </w:rPr>
              <w:t>是否成功，判断接口执行是否成功主要看这个值</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F73A242">
            <w:pPr>
              <w:spacing w:after="120"/>
              <w:rPr>
                <w:rFonts w:ascii="仿宋" w:hAnsi="仿宋" w:eastAsia="仿宋" w:cs="仿宋"/>
              </w:rPr>
            </w:pPr>
          </w:p>
        </w:tc>
      </w:tr>
      <w:tr w14:paraId="4CE9453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trPr>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12FDD205">
            <w:pPr>
              <w:spacing w:after="120"/>
              <w:ind w:firstLine="0" w:firstLineChars="0"/>
              <w:jc w:val="center"/>
              <w:rPr>
                <w:rStyle w:val="163"/>
                <w:rFonts w:ascii="仿宋" w:hAnsi="仿宋" w:eastAsia="仿宋" w:cs="仿宋"/>
              </w:rPr>
            </w:pPr>
            <w:r>
              <w:rPr>
                <w:rStyle w:val="163"/>
                <w:rFonts w:hint="eastAsia" w:ascii="仿宋" w:hAnsi="仿宋" w:eastAsia="仿宋" w:cs="仿宋"/>
              </w:rPr>
              <w:t>data</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05C9C9E">
            <w:pPr>
              <w:spacing w:after="120"/>
              <w:ind w:firstLine="0" w:firstLineChars="0"/>
              <w:jc w:val="center"/>
              <w:rPr>
                <w:rStyle w:val="163"/>
                <w:rFonts w:ascii="仿宋" w:hAnsi="仿宋" w:eastAsia="仿宋" w:cs="仿宋"/>
              </w:rPr>
            </w:pPr>
            <w:r>
              <w:rPr>
                <w:rStyle w:val="163"/>
                <w:rFonts w:hint="eastAsia" w:ascii="仿宋" w:hAnsi="仿宋" w:eastAsia="仿宋" w:cs="仿宋"/>
              </w:rPr>
              <w:t>{}</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5C43FF9E">
            <w:pPr>
              <w:spacing w:after="120"/>
              <w:ind w:firstLine="0" w:firstLineChars="0"/>
              <w:jc w:val="center"/>
              <w:rPr>
                <w:rStyle w:val="163"/>
                <w:rFonts w:ascii="仿宋" w:hAnsi="仿宋" w:eastAsia="仿宋" w:cs="仿宋"/>
              </w:rPr>
            </w:pPr>
            <w:r>
              <w:rPr>
                <w:rStyle w:val="163"/>
                <w:rFonts w:hint="eastAsia" w:ascii="仿宋" w:hAnsi="仿宋" w:eastAsia="仿宋" w:cs="仿宋"/>
              </w:rPr>
              <w:t>False</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2956D400">
            <w:pPr>
              <w:spacing w:after="120"/>
              <w:ind w:firstLine="0" w:firstLineChars="0"/>
              <w:jc w:val="center"/>
              <w:rPr>
                <w:rStyle w:val="163"/>
                <w:rFonts w:ascii="仿宋" w:hAnsi="仿宋" w:eastAsia="仿宋" w:cs="仿宋"/>
              </w:rPr>
            </w:pPr>
            <w:r>
              <w:rPr>
                <w:rStyle w:val="163"/>
                <w:rFonts w:hint="eastAsia" w:ascii="仿宋" w:hAnsi="仿宋" w:eastAsia="仿宋" w:cs="仿宋"/>
              </w:rPr>
              <w:t>可空，需要返回数据时，这个值返回</w:t>
            </w:r>
          </w:p>
        </w:tc>
        <w:tc>
          <w:tcPr>
            <w:tcW w:w="0" w:type="auto"/>
            <w:tcBorders>
              <w:top w:val="single" w:color="D9D9D9" w:sz="6" w:space="0"/>
              <w:left w:val="single" w:color="D9D9D9" w:sz="6" w:space="0"/>
              <w:bottom w:val="single" w:color="D9D9D9" w:sz="6" w:space="0"/>
              <w:right w:val="single" w:color="D9D9D9" w:sz="6" w:space="0"/>
            </w:tcBorders>
            <w:shd w:val="clear" w:color="auto" w:fill="FFFFFF"/>
            <w:vAlign w:val="center"/>
          </w:tcPr>
          <w:p w14:paraId="7021C670">
            <w:pPr>
              <w:spacing w:after="120"/>
              <w:rPr>
                <w:rFonts w:ascii="仿宋" w:hAnsi="仿宋" w:eastAsia="仿宋" w:cs="仿宋"/>
              </w:rPr>
            </w:pPr>
          </w:p>
        </w:tc>
      </w:tr>
    </w:tbl>
    <w:p w14:paraId="38788ABE">
      <w:pPr>
        <w:spacing w:after="120"/>
        <w:ind w:firstLine="582" w:firstLineChars="0"/>
        <w:rPr>
          <w:rFonts w:ascii="仿宋" w:hAnsi="仿宋" w:eastAsia="仿宋" w:cs="仿宋"/>
          <w:sz w:val="30"/>
          <w:szCs w:val="30"/>
        </w:rPr>
      </w:pPr>
      <w:bookmarkStart w:id="1280" w:name="_Toc7992"/>
      <w:bookmarkStart w:id="1281" w:name="_Toc25765"/>
      <w:r>
        <w:rPr>
          <w:rStyle w:val="163"/>
          <w:rFonts w:hint="eastAsia" w:ascii="仿宋" w:hAnsi="仿宋" w:eastAsia="仿宋" w:cs="仿宋"/>
          <w:b/>
          <w:bCs/>
          <w:sz w:val="30"/>
          <w:szCs w:val="30"/>
        </w:rPr>
        <w:t>是否成功，判断接口执行是否成功主要看【</w:t>
      </w:r>
      <w:r>
        <w:rPr>
          <w:rStyle w:val="163"/>
          <w:rFonts w:hint="eastAsia" w:ascii="仿宋" w:hAnsi="仿宋" w:eastAsia="仿宋" w:cs="仿宋"/>
          <w:sz w:val="30"/>
          <w:szCs w:val="30"/>
        </w:rPr>
        <w:t>success</w:t>
      </w:r>
      <w:r>
        <w:rPr>
          <w:rStyle w:val="163"/>
          <w:rFonts w:hint="eastAsia" w:ascii="仿宋" w:hAnsi="仿宋" w:eastAsia="仿宋" w:cs="仿宋"/>
          <w:b/>
          <w:bCs/>
          <w:sz w:val="30"/>
          <w:szCs w:val="30"/>
        </w:rPr>
        <w:t>】值</w:t>
      </w:r>
      <w:bookmarkEnd w:id="1280"/>
      <w:bookmarkEnd w:id="1281"/>
    </w:p>
    <w:p w14:paraId="509BFEBC">
      <w:pPr>
        <w:spacing w:before="120" w:after="120"/>
        <w:ind w:firstLine="0" w:firstLineChars="0"/>
        <w:jc w:val="center"/>
        <w:rPr>
          <w:rFonts w:ascii="仿宋" w:hAnsi="仿宋" w:eastAsia="仿宋" w:cs="仿宋"/>
          <w:b/>
          <w:bCs/>
          <w:sz w:val="32"/>
          <w:szCs w:val="32"/>
        </w:rPr>
      </w:pPr>
    </w:p>
    <w:p w14:paraId="0F9F360E">
      <w:pPr>
        <w:spacing w:before="120" w:after="120"/>
        <w:ind w:firstLine="0" w:firstLineChars="0"/>
        <w:jc w:val="center"/>
        <w:rPr>
          <w:rFonts w:ascii="仿宋" w:hAnsi="仿宋" w:eastAsia="仿宋" w:cs="仿宋"/>
          <w:b/>
          <w:bCs/>
          <w:sz w:val="32"/>
          <w:szCs w:val="32"/>
        </w:rPr>
      </w:pPr>
    </w:p>
    <w:p w14:paraId="5A653F3C">
      <w:pPr>
        <w:spacing w:before="120" w:after="120"/>
        <w:ind w:firstLine="0" w:firstLineChars="0"/>
        <w:jc w:val="center"/>
        <w:rPr>
          <w:rFonts w:ascii="仿宋" w:hAnsi="仿宋" w:eastAsia="仿宋" w:cs="仿宋"/>
          <w:b/>
          <w:bCs/>
          <w:sz w:val="32"/>
          <w:szCs w:val="32"/>
        </w:rPr>
      </w:pPr>
    </w:p>
    <w:p w14:paraId="406A6B9D">
      <w:pPr>
        <w:spacing w:before="120" w:after="120"/>
        <w:ind w:firstLine="0" w:firstLineChars="0"/>
        <w:jc w:val="center"/>
        <w:rPr>
          <w:rFonts w:ascii="仿宋" w:hAnsi="仿宋" w:eastAsia="仿宋" w:cs="仿宋"/>
          <w:b/>
          <w:bCs/>
          <w:sz w:val="32"/>
          <w:szCs w:val="32"/>
        </w:rPr>
      </w:pPr>
    </w:p>
    <w:p w14:paraId="25D95258">
      <w:pPr>
        <w:spacing w:before="120" w:after="120"/>
        <w:ind w:firstLine="0" w:firstLineChars="0"/>
        <w:jc w:val="center"/>
        <w:rPr>
          <w:rFonts w:ascii="仿宋" w:hAnsi="仿宋" w:eastAsia="仿宋" w:cs="仿宋"/>
          <w:b/>
          <w:bCs/>
          <w:sz w:val="32"/>
          <w:szCs w:val="32"/>
        </w:rPr>
      </w:pPr>
    </w:p>
    <w:p w14:paraId="3EF8151F">
      <w:pPr>
        <w:spacing w:before="120" w:after="120"/>
        <w:ind w:firstLine="0" w:firstLineChars="0"/>
        <w:jc w:val="center"/>
        <w:rPr>
          <w:rFonts w:ascii="仿宋" w:hAnsi="仿宋" w:eastAsia="仿宋" w:cs="仿宋"/>
          <w:b/>
          <w:bCs/>
          <w:sz w:val="32"/>
          <w:szCs w:val="32"/>
        </w:rPr>
      </w:pPr>
    </w:p>
    <w:p w14:paraId="4BC4404D">
      <w:pPr>
        <w:spacing w:before="120" w:after="120"/>
        <w:ind w:firstLine="0" w:firstLineChars="0"/>
        <w:jc w:val="center"/>
        <w:rPr>
          <w:rFonts w:ascii="仿宋" w:hAnsi="仿宋" w:eastAsia="仿宋" w:cs="仿宋"/>
          <w:b/>
          <w:bCs/>
          <w:sz w:val="32"/>
          <w:szCs w:val="32"/>
        </w:rPr>
      </w:pPr>
    </w:p>
    <w:p w14:paraId="227F0325">
      <w:pPr>
        <w:spacing w:before="120" w:after="120"/>
        <w:ind w:firstLine="0" w:firstLineChars="0"/>
        <w:jc w:val="center"/>
        <w:rPr>
          <w:rFonts w:ascii="仿宋" w:hAnsi="仿宋" w:eastAsia="仿宋" w:cs="仿宋"/>
          <w:b/>
          <w:bCs/>
          <w:sz w:val="32"/>
          <w:szCs w:val="32"/>
        </w:rPr>
      </w:pPr>
    </w:p>
    <w:p w14:paraId="3E42B904">
      <w:pPr>
        <w:spacing w:before="120" w:after="120"/>
        <w:ind w:firstLine="0" w:firstLineChars="0"/>
        <w:jc w:val="center"/>
        <w:rPr>
          <w:rFonts w:ascii="仿宋" w:hAnsi="仿宋" w:eastAsia="仿宋" w:cs="仿宋"/>
          <w:b/>
          <w:bCs/>
          <w:sz w:val="32"/>
          <w:szCs w:val="32"/>
        </w:rPr>
      </w:pPr>
    </w:p>
    <w:p w14:paraId="2D56C682">
      <w:pPr>
        <w:spacing w:before="120" w:after="120"/>
        <w:ind w:firstLine="0" w:firstLineChars="0"/>
        <w:jc w:val="center"/>
        <w:rPr>
          <w:rFonts w:ascii="仿宋" w:hAnsi="仿宋" w:eastAsia="仿宋" w:cs="仿宋"/>
          <w:b/>
          <w:bCs/>
          <w:sz w:val="32"/>
          <w:szCs w:val="32"/>
        </w:rPr>
      </w:pPr>
    </w:p>
    <w:p w14:paraId="518F9A6D">
      <w:pPr>
        <w:spacing w:before="120" w:after="120"/>
        <w:ind w:firstLine="0" w:firstLineChars="0"/>
        <w:jc w:val="center"/>
        <w:rPr>
          <w:rFonts w:ascii="仿宋" w:hAnsi="仿宋" w:eastAsia="仿宋" w:cs="仿宋"/>
          <w:b/>
          <w:bCs/>
          <w:sz w:val="32"/>
          <w:szCs w:val="32"/>
        </w:rPr>
      </w:pPr>
    </w:p>
    <w:p w14:paraId="3A5B3938">
      <w:pPr>
        <w:spacing w:before="120" w:after="120"/>
        <w:ind w:firstLine="0" w:firstLineChars="0"/>
        <w:jc w:val="center"/>
        <w:rPr>
          <w:rFonts w:ascii="仿宋" w:hAnsi="仿宋" w:eastAsia="仿宋" w:cs="仿宋"/>
          <w:b/>
          <w:bCs/>
          <w:sz w:val="32"/>
          <w:szCs w:val="32"/>
        </w:rPr>
      </w:pPr>
    </w:p>
    <w:p w14:paraId="1EE39F68">
      <w:pPr>
        <w:spacing w:before="120" w:after="120"/>
        <w:ind w:firstLine="0" w:firstLineChars="0"/>
        <w:jc w:val="center"/>
        <w:rPr>
          <w:rFonts w:ascii="仿宋" w:hAnsi="仿宋" w:eastAsia="仿宋" w:cs="仿宋"/>
          <w:b/>
          <w:bCs/>
          <w:sz w:val="32"/>
          <w:szCs w:val="32"/>
        </w:rPr>
      </w:pPr>
    </w:p>
    <w:p w14:paraId="52E4819F">
      <w:pPr>
        <w:spacing w:before="120" w:after="120"/>
        <w:ind w:firstLine="0" w:firstLineChars="0"/>
        <w:jc w:val="center"/>
        <w:rPr>
          <w:rFonts w:ascii="仿宋" w:hAnsi="仿宋" w:eastAsia="仿宋" w:cs="仿宋"/>
          <w:b/>
          <w:bCs/>
          <w:sz w:val="32"/>
          <w:szCs w:val="32"/>
        </w:rPr>
      </w:pPr>
    </w:p>
    <w:p w14:paraId="79A5074D">
      <w:pPr>
        <w:spacing w:before="120" w:after="120"/>
        <w:ind w:firstLine="0" w:firstLineChars="0"/>
        <w:jc w:val="center"/>
        <w:rPr>
          <w:rFonts w:ascii="仿宋" w:hAnsi="仿宋" w:eastAsia="仿宋" w:cs="仿宋"/>
          <w:b/>
          <w:bCs/>
          <w:sz w:val="32"/>
          <w:szCs w:val="32"/>
        </w:rPr>
      </w:pPr>
    </w:p>
    <w:p w14:paraId="0DC1259F">
      <w:pPr>
        <w:spacing w:before="120" w:after="120"/>
        <w:ind w:firstLine="0" w:firstLineChars="0"/>
        <w:jc w:val="center"/>
        <w:rPr>
          <w:rFonts w:ascii="仿宋" w:hAnsi="仿宋" w:eastAsia="仿宋" w:cs="仿宋"/>
          <w:b/>
          <w:bCs/>
          <w:sz w:val="32"/>
          <w:szCs w:val="32"/>
        </w:rPr>
      </w:pPr>
    </w:p>
    <w:p w14:paraId="2CEBCA31">
      <w:pPr>
        <w:spacing w:before="120" w:after="120"/>
        <w:ind w:firstLine="0" w:firstLineChars="0"/>
        <w:jc w:val="center"/>
        <w:rPr>
          <w:rFonts w:ascii="仿宋" w:hAnsi="仿宋" w:eastAsia="仿宋" w:cs="仿宋"/>
          <w:b/>
          <w:bCs/>
          <w:sz w:val="32"/>
          <w:szCs w:val="32"/>
        </w:rPr>
      </w:pPr>
    </w:p>
    <w:p w14:paraId="67893E50">
      <w:pPr>
        <w:spacing w:before="120" w:after="120"/>
        <w:ind w:firstLine="0" w:firstLineChars="0"/>
        <w:jc w:val="center"/>
        <w:rPr>
          <w:rFonts w:ascii="仿宋" w:hAnsi="仿宋" w:eastAsia="仿宋" w:cs="仿宋"/>
          <w:b/>
          <w:bCs/>
          <w:sz w:val="32"/>
          <w:szCs w:val="32"/>
        </w:rPr>
      </w:pPr>
    </w:p>
    <w:p w14:paraId="132F0968">
      <w:pPr>
        <w:spacing w:before="120" w:after="120"/>
        <w:ind w:firstLine="0" w:firstLineChars="0"/>
        <w:rPr>
          <w:rFonts w:ascii="仿宋" w:hAnsi="仿宋" w:eastAsia="仿宋" w:cs="仿宋"/>
          <w:b/>
          <w:bCs/>
          <w:sz w:val="32"/>
          <w:szCs w:val="32"/>
        </w:rPr>
      </w:pPr>
    </w:p>
    <w:p w14:paraId="222EA5C5">
      <w:pPr>
        <w:spacing w:before="120" w:after="120"/>
        <w:ind w:firstLine="0" w:firstLineChars="0"/>
        <w:rPr>
          <w:rFonts w:ascii="仿宋" w:hAnsi="仿宋" w:eastAsia="仿宋" w:cs="仿宋"/>
          <w:b/>
          <w:bCs/>
          <w:sz w:val="32"/>
          <w:szCs w:val="32"/>
        </w:rPr>
      </w:pPr>
      <w:r>
        <w:rPr>
          <w:rFonts w:hint="eastAsia" w:ascii="仿宋" w:hAnsi="仿宋" w:eastAsia="仿宋" w:cs="仿宋"/>
          <w:b/>
          <w:bCs/>
          <w:sz w:val="32"/>
          <w:szCs w:val="32"/>
        </w:rPr>
        <w:t xml:space="preserve">附件25： </w:t>
      </w:r>
    </w:p>
    <w:p w14:paraId="4FF53A3B">
      <w:pPr>
        <w:spacing w:before="120" w:after="120"/>
        <w:ind w:firstLine="0" w:firstLineChars="0"/>
        <w:jc w:val="center"/>
        <w:rPr>
          <w:rFonts w:ascii="Calibri" w:hAnsi="Calibri"/>
          <w:b/>
          <w:kern w:val="44"/>
          <w:sz w:val="30"/>
          <w:szCs w:val="22"/>
        </w:rPr>
      </w:pPr>
      <w:r>
        <w:rPr>
          <w:rFonts w:hint="eastAsia" w:ascii="Calibri" w:hAnsi="Calibri"/>
          <w:b/>
          <w:kern w:val="44"/>
          <w:sz w:val="30"/>
          <w:szCs w:val="22"/>
        </w:rPr>
        <w:t>省代建局直接管理项目设计单位</w:t>
      </w:r>
    </w:p>
    <w:p w14:paraId="19985251">
      <w:pPr>
        <w:pStyle w:val="2"/>
        <w:spacing w:after="120" w:line="240" w:lineRule="auto"/>
        <w:ind w:firstLine="602"/>
      </w:pPr>
      <w:r>
        <w:rPr>
          <w:rFonts w:hint="eastAsia"/>
        </w:rPr>
        <w:t>履约评价实施细则</w:t>
      </w:r>
    </w:p>
    <w:p w14:paraId="245DF23E">
      <w:pPr>
        <w:spacing w:after="120"/>
        <w:rPr>
          <w:szCs w:val="21"/>
        </w:rPr>
      </w:pPr>
    </w:p>
    <w:p w14:paraId="7F365CFE">
      <w:pPr>
        <w:spacing w:after="120" w:line="560" w:lineRule="exact"/>
        <w:ind w:firstLine="643"/>
        <w:rPr>
          <w:rFonts w:ascii="仿宋_GB2312" w:eastAsia="仿宋_GB2312"/>
          <w:sz w:val="32"/>
          <w:szCs w:val="32"/>
        </w:rPr>
      </w:pPr>
      <w:r>
        <w:rPr>
          <w:rFonts w:hint="eastAsia" w:ascii="仿宋_GB2312" w:eastAsia="仿宋_GB2312"/>
          <w:b/>
          <w:sz w:val="32"/>
          <w:szCs w:val="32"/>
        </w:rPr>
        <w:t>第一条</w:t>
      </w:r>
      <w:r>
        <w:rPr>
          <w:rFonts w:hint="eastAsia" w:ascii="仿宋_GB2312" w:eastAsia="仿宋_GB2312"/>
          <w:sz w:val="32"/>
          <w:szCs w:val="32"/>
        </w:rPr>
        <w:t xml:space="preserve"> 根据《省代建局直接管理项目合同履约评价管理办法（试行）》的有关规定，</w:t>
      </w:r>
      <w:r>
        <w:rPr>
          <w:rFonts w:ascii="仿宋_GB2312" w:eastAsia="仿宋_GB2312"/>
          <w:sz w:val="32"/>
          <w:szCs w:val="32"/>
        </w:rPr>
        <w:t>为</w:t>
      </w:r>
      <w:r>
        <w:rPr>
          <w:rFonts w:hint="eastAsia" w:ascii="仿宋_GB2312" w:eastAsia="仿宋_GB2312"/>
          <w:sz w:val="32"/>
          <w:szCs w:val="32"/>
        </w:rPr>
        <w:t>规范建设工程设计管理工作，激励设计</w:t>
      </w:r>
      <w:r>
        <w:rPr>
          <w:rFonts w:ascii="仿宋_GB2312" w:eastAsia="仿宋_GB2312"/>
          <w:sz w:val="32"/>
          <w:szCs w:val="32"/>
        </w:rPr>
        <w:t>单位加强</w:t>
      </w:r>
      <w:r>
        <w:rPr>
          <w:rFonts w:hint="eastAsia" w:ascii="仿宋_GB2312" w:eastAsia="仿宋_GB2312"/>
          <w:sz w:val="32"/>
          <w:szCs w:val="32"/>
        </w:rPr>
        <w:t>内部</w:t>
      </w:r>
      <w:r>
        <w:rPr>
          <w:rFonts w:ascii="仿宋_GB2312" w:eastAsia="仿宋_GB2312"/>
          <w:sz w:val="32"/>
          <w:szCs w:val="32"/>
        </w:rPr>
        <w:t>管理，</w:t>
      </w:r>
      <w:r>
        <w:rPr>
          <w:rFonts w:hint="eastAsia" w:ascii="仿宋_GB2312" w:eastAsia="仿宋_GB2312"/>
          <w:sz w:val="32"/>
          <w:szCs w:val="32"/>
        </w:rPr>
        <w:t>提高服务意识和设计质量，</w:t>
      </w:r>
      <w:r>
        <w:rPr>
          <w:rFonts w:ascii="仿宋_GB2312" w:eastAsia="仿宋_GB2312"/>
          <w:sz w:val="32"/>
          <w:szCs w:val="32"/>
        </w:rPr>
        <w:t>认真履行合同</w:t>
      </w:r>
      <w:r>
        <w:rPr>
          <w:rFonts w:hint="eastAsia" w:ascii="仿宋_GB2312" w:eastAsia="仿宋_GB2312"/>
          <w:sz w:val="32"/>
          <w:szCs w:val="32"/>
        </w:rPr>
        <w:t>条款</w:t>
      </w:r>
      <w:r>
        <w:rPr>
          <w:rFonts w:ascii="仿宋_GB2312" w:eastAsia="仿宋_GB2312"/>
          <w:sz w:val="32"/>
          <w:szCs w:val="32"/>
        </w:rPr>
        <w:t>，严格控制建设投资，</w:t>
      </w:r>
      <w:r>
        <w:rPr>
          <w:rFonts w:hint="eastAsia" w:ascii="仿宋_GB2312" w:eastAsia="仿宋_GB2312"/>
          <w:sz w:val="32"/>
          <w:szCs w:val="32"/>
        </w:rPr>
        <w:t>满足</w:t>
      </w:r>
      <w:r>
        <w:rPr>
          <w:rFonts w:ascii="仿宋_GB2312" w:eastAsia="仿宋_GB2312"/>
          <w:sz w:val="32"/>
          <w:szCs w:val="32"/>
        </w:rPr>
        <w:t>工程建设质量、安全、工期</w:t>
      </w:r>
      <w:r>
        <w:rPr>
          <w:rFonts w:hint="eastAsia" w:ascii="仿宋_GB2312" w:eastAsia="仿宋_GB2312"/>
          <w:sz w:val="32"/>
          <w:szCs w:val="32"/>
        </w:rPr>
        <w:t>等要求</w:t>
      </w:r>
      <w:r>
        <w:rPr>
          <w:rFonts w:ascii="仿宋_GB2312" w:eastAsia="仿宋_GB2312"/>
          <w:sz w:val="32"/>
          <w:szCs w:val="32"/>
        </w:rPr>
        <w:t>，</w:t>
      </w:r>
      <w:r>
        <w:rPr>
          <w:rFonts w:hint="eastAsia" w:ascii="仿宋_GB2312" w:eastAsia="仿宋_GB2312"/>
          <w:sz w:val="32"/>
          <w:szCs w:val="32"/>
        </w:rPr>
        <w:t>在符合有关规范和标准的前提下</w:t>
      </w:r>
      <w:r>
        <w:rPr>
          <w:rFonts w:ascii="仿宋_GB2312" w:eastAsia="仿宋_GB2312"/>
          <w:sz w:val="32"/>
          <w:szCs w:val="32"/>
        </w:rPr>
        <w:t>，快速、有序、优质、高效地完成</w:t>
      </w:r>
      <w:r>
        <w:rPr>
          <w:rFonts w:hint="eastAsia" w:ascii="仿宋_GB2312" w:eastAsia="仿宋_GB2312"/>
          <w:sz w:val="32"/>
          <w:szCs w:val="32"/>
        </w:rPr>
        <w:t>合同约定</w:t>
      </w:r>
      <w:r>
        <w:rPr>
          <w:rFonts w:ascii="仿宋_GB2312" w:eastAsia="仿宋_GB2312"/>
          <w:sz w:val="32"/>
          <w:szCs w:val="32"/>
        </w:rPr>
        <w:t>的</w:t>
      </w:r>
      <w:r>
        <w:rPr>
          <w:rFonts w:hint="eastAsia" w:ascii="仿宋_GB2312" w:eastAsia="仿宋_GB2312"/>
          <w:sz w:val="32"/>
          <w:szCs w:val="32"/>
        </w:rPr>
        <w:t>设计</w:t>
      </w:r>
      <w:r>
        <w:rPr>
          <w:rFonts w:ascii="仿宋_GB2312" w:eastAsia="仿宋_GB2312"/>
          <w:sz w:val="32"/>
          <w:szCs w:val="32"/>
        </w:rPr>
        <w:t>任务</w:t>
      </w:r>
      <w:r>
        <w:rPr>
          <w:rFonts w:hint="eastAsia" w:ascii="仿宋_GB2312" w:eastAsia="仿宋_GB2312"/>
          <w:sz w:val="32"/>
          <w:szCs w:val="32"/>
        </w:rPr>
        <w:t>，确保达到预期的建设目标，特制定本实施细则。</w:t>
      </w:r>
    </w:p>
    <w:p w14:paraId="1E7D7EFC">
      <w:pPr>
        <w:spacing w:after="120" w:line="560" w:lineRule="exact"/>
        <w:ind w:firstLine="643"/>
        <w:rPr>
          <w:rFonts w:ascii="仿宋_GB2312" w:eastAsia="仿宋_GB2312"/>
          <w:sz w:val="32"/>
          <w:szCs w:val="32"/>
        </w:rPr>
      </w:pPr>
      <w:r>
        <w:rPr>
          <w:rFonts w:hint="eastAsia" w:ascii="仿宋_GB2312" w:eastAsia="仿宋_GB2312"/>
          <w:b/>
          <w:sz w:val="32"/>
          <w:szCs w:val="32"/>
        </w:rPr>
        <w:t>第二条</w:t>
      </w:r>
      <w:r>
        <w:rPr>
          <w:rFonts w:hint="eastAsia" w:ascii="仿宋_GB2312" w:eastAsia="仿宋_GB2312"/>
          <w:sz w:val="32"/>
          <w:szCs w:val="32"/>
        </w:rPr>
        <w:t xml:space="preserve"> 本实施细则适用于与我局签订勘察设计施工总承包合同、全过程工程咨询合同、勘察设计合同、工程设计合同等涉及项目工程设计工作内容的设计单位，以单项合同为单位进行履约评价，评价内容不含BIM技术应用。</w:t>
      </w:r>
    </w:p>
    <w:p w14:paraId="6590F7E2">
      <w:pPr>
        <w:spacing w:after="120" w:line="560" w:lineRule="exact"/>
        <w:ind w:firstLine="643"/>
        <w:rPr>
          <w:rFonts w:ascii="仿宋_GB2312" w:eastAsia="仿宋_GB2312"/>
          <w:sz w:val="32"/>
          <w:szCs w:val="32"/>
        </w:rPr>
      </w:pPr>
      <w:r>
        <w:rPr>
          <w:rFonts w:hint="eastAsia" w:ascii="仿宋_GB2312" w:eastAsia="仿宋_GB2312"/>
          <w:b/>
          <w:sz w:val="32"/>
          <w:szCs w:val="32"/>
        </w:rPr>
        <w:t xml:space="preserve">第三条 </w:t>
      </w:r>
      <w:r>
        <w:rPr>
          <w:rFonts w:hint="eastAsia" w:ascii="仿宋_GB2312" w:eastAsia="仿宋_GB2312"/>
          <w:sz w:val="32"/>
          <w:szCs w:val="32"/>
        </w:rPr>
        <w:t>评价阶段</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440"/>
        <w:gridCol w:w="1620"/>
        <w:gridCol w:w="1620"/>
        <w:gridCol w:w="3778"/>
      </w:tblGrid>
      <w:tr w14:paraId="760A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shd w:val="clear" w:color="auto" w:fill="auto"/>
            <w:vAlign w:val="center"/>
          </w:tcPr>
          <w:p w14:paraId="6312533A">
            <w:pPr>
              <w:spacing w:after="120"/>
              <w:ind w:firstLine="0" w:firstLineChars="0"/>
              <w:rPr>
                <w:rFonts w:ascii="仿宋_GB2312" w:eastAsia="仿宋_GB2312"/>
                <w:sz w:val="28"/>
                <w:szCs w:val="28"/>
              </w:rPr>
            </w:pPr>
            <w:r>
              <w:rPr>
                <w:rFonts w:hint="eastAsia" w:ascii="仿宋_GB2312" w:eastAsia="仿宋_GB2312"/>
                <w:sz w:val="28"/>
                <w:szCs w:val="28"/>
              </w:rPr>
              <w:t>序号</w:t>
            </w:r>
          </w:p>
        </w:tc>
        <w:tc>
          <w:tcPr>
            <w:tcW w:w="3060" w:type="dxa"/>
            <w:gridSpan w:val="2"/>
            <w:shd w:val="clear" w:color="auto" w:fill="auto"/>
            <w:vAlign w:val="center"/>
          </w:tcPr>
          <w:p w14:paraId="066D5DDA">
            <w:pPr>
              <w:spacing w:after="120"/>
              <w:ind w:firstLine="1120" w:firstLineChars="400"/>
              <w:rPr>
                <w:rFonts w:ascii="仿宋_GB2312" w:eastAsia="仿宋_GB2312"/>
                <w:sz w:val="28"/>
                <w:szCs w:val="28"/>
              </w:rPr>
            </w:pPr>
            <w:r>
              <w:rPr>
                <w:rFonts w:hint="eastAsia" w:ascii="仿宋_GB2312" w:eastAsia="仿宋_GB2312"/>
                <w:sz w:val="28"/>
                <w:szCs w:val="28"/>
              </w:rPr>
              <w:t>阶段</w:t>
            </w:r>
          </w:p>
        </w:tc>
        <w:tc>
          <w:tcPr>
            <w:tcW w:w="1620" w:type="dxa"/>
            <w:vAlign w:val="center"/>
          </w:tcPr>
          <w:p w14:paraId="3C3535A1">
            <w:pPr>
              <w:spacing w:after="120"/>
              <w:ind w:firstLine="0" w:firstLineChars="0"/>
              <w:rPr>
                <w:rFonts w:ascii="仿宋_GB2312" w:eastAsia="仿宋_GB2312"/>
                <w:sz w:val="28"/>
                <w:szCs w:val="28"/>
              </w:rPr>
            </w:pPr>
            <w:r>
              <w:rPr>
                <w:rFonts w:hint="eastAsia" w:ascii="仿宋_GB2312" w:eastAsia="仿宋_GB2312"/>
                <w:sz w:val="28"/>
                <w:szCs w:val="28"/>
              </w:rPr>
              <w:t>负责部门</w:t>
            </w:r>
          </w:p>
        </w:tc>
        <w:tc>
          <w:tcPr>
            <w:tcW w:w="3778" w:type="dxa"/>
            <w:vAlign w:val="center"/>
          </w:tcPr>
          <w:p w14:paraId="6C5BFBF4">
            <w:pPr>
              <w:spacing w:after="120"/>
              <w:ind w:firstLine="560"/>
              <w:rPr>
                <w:rFonts w:ascii="仿宋_GB2312" w:eastAsia="仿宋_GB2312"/>
                <w:sz w:val="28"/>
                <w:szCs w:val="28"/>
              </w:rPr>
            </w:pPr>
            <w:r>
              <w:rPr>
                <w:rFonts w:hint="eastAsia" w:ascii="仿宋_GB2312" w:eastAsia="仿宋_GB2312"/>
                <w:sz w:val="28"/>
                <w:szCs w:val="28"/>
              </w:rPr>
              <w:t>评价时间</w:t>
            </w:r>
          </w:p>
        </w:tc>
      </w:tr>
      <w:tr w14:paraId="76CB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restart"/>
            <w:shd w:val="clear" w:color="auto" w:fill="auto"/>
            <w:vAlign w:val="center"/>
          </w:tcPr>
          <w:p w14:paraId="62F71688">
            <w:pPr>
              <w:spacing w:after="120"/>
              <w:ind w:firstLine="0" w:firstLineChars="0"/>
              <w:rPr>
                <w:rFonts w:ascii="仿宋_GB2312" w:eastAsia="仿宋_GB2312"/>
                <w:sz w:val="28"/>
                <w:szCs w:val="28"/>
              </w:rPr>
            </w:pPr>
            <w:r>
              <w:rPr>
                <w:rFonts w:ascii="仿宋_GB2312" w:eastAsia="仿宋_GB2312"/>
                <w:sz w:val="28"/>
                <w:szCs w:val="28"/>
              </w:rPr>
              <w:t>1</w:t>
            </w:r>
          </w:p>
        </w:tc>
        <w:tc>
          <w:tcPr>
            <w:tcW w:w="1440" w:type="dxa"/>
            <w:vMerge w:val="restart"/>
            <w:shd w:val="clear" w:color="auto" w:fill="auto"/>
            <w:vAlign w:val="center"/>
          </w:tcPr>
          <w:p w14:paraId="3C02B56D">
            <w:pPr>
              <w:spacing w:after="120"/>
              <w:ind w:firstLine="0" w:firstLineChars="0"/>
              <w:rPr>
                <w:rFonts w:ascii="仿宋_GB2312" w:eastAsia="仿宋_GB2312"/>
                <w:sz w:val="28"/>
                <w:szCs w:val="28"/>
              </w:rPr>
            </w:pPr>
            <w:r>
              <w:rPr>
                <w:rFonts w:hint="eastAsia" w:ascii="仿宋_GB2312" w:eastAsia="仿宋_GB2312"/>
                <w:sz w:val="28"/>
                <w:szCs w:val="28"/>
              </w:rPr>
              <w:t>设计阶段</w:t>
            </w:r>
          </w:p>
        </w:tc>
        <w:tc>
          <w:tcPr>
            <w:tcW w:w="1620" w:type="dxa"/>
            <w:shd w:val="clear" w:color="auto" w:fill="auto"/>
            <w:vAlign w:val="center"/>
          </w:tcPr>
          <w:p w14:paraId="41E5CF84">
            <w:pPr>
              <w:spacing w:after="120"/>
              <w:ind w:firstLine="0" w:firstLineChars="0"/>
              <w:rPr>
                <w:rFonts w:ascii="仿宋_GB2312" w:eastAsia="仿宋_GB2312"/>
                <w:sz w:val="28"/>
                <w:szCs w:val="28"/>
              </w:rPr>
            </w:pPr>
            <w:r>
              <w:rPr>
                <w:rFonts w:hint="eastAsia" w:ascii="仿宋_GB2312" w:eastAsia="仿宋_GB2312"/>
                <w:sz w:val="28"/>
                <w:szCs w:val="28"/>
              </w:rPr>
              <w:t>方案设计</w:t>
            </w:r>
          </w:p>
        </w:tc>
        <w:tc>
          <w:tcPr>
            <w:tcW w:w="1620" w:type="dxa"/>
            <w:vMerge w:val="restart"/>
            <w:shd w:val="clear" w:color="auto" w:fill="auto"/>
            <w:vAlign w:val="center"/>
          </w:tcPr>
          <w:p w14:paraId="4C844FDB">
            <w:pPr>
              <w:spacing w:after="120" w:line="560" w:lineRule="exact"/>
              <w:ind w:firstLine="0" w:firstLineChars="0"/>
              <w:rPr>
                <w:rFonts w:ascii="仿宋_GB2312" w:eastAsia="仿宋_GB2312"/>
                <w:sz w:val="28"/>
                <w:szCs w:val="28"/>
              </w:rPr>
            </w:pPr>
            <w:r>
              <w:rPr>
                <w:rFonts w:hint="eastAsia" w:ascii="仿宋_GB2312" w:eastAsia="仿宋_GB2312"/>
                <w:sz w:val="28"/>
                <w:szCs w:val="28"/>
              </w:rPr>
              <w:t>前期工作部</w:t>
            </w:r>
          </w:p>
        </w:tc>
        <w:tc>
          <w:tcPr>
            <w:tcW w:w="3778" w:type="dxa"/>
            <w:shd w:val="clear" w:color="auto" w:fill="auto"/>
            <w:vAlign w:val="center"/>
          </w:tcPr>
          <w:p w14:paraId="4668491A">
            <w:pPr>
              <w:spacing w:after="120"/>
              <w:ind w:firstLine="0" w:firstLineChars="0"/>
              <w:rPr>
                <w:rFonts w:ascii="仿宋_GB2312" w:eastAsia="仿宋_GB2312"/>
                <w:sz w:val="28"/>
                <w:szCs w:val="28"/>
              </w:rPr>
            </w:pPr>
            <w:r>
              <w:rPr>
                <w:rFonts w:hint="eastAsia" w:ascii="仿宋_GB2312" w:eastAsia="仿宋_GB2312"/>
                <w:sz w:val="28"/>
                <w:szCs w:val="28"/>
              </w:rPr>
              <w:t>取得规划部门对工程方案或修规的批复</w:t>
            </w:r>
          </w:p>
        </w:tc>
      </w:tr>
      <w:tr w14:paraId="55057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continue"/>
            <w:shd w:val="clear" w:color="auto" w:fill="auto"/>
            <w:vAlign w:val="center"/>
          </w:tcPr>
          <w:p w14:paraId="778CDA3E">
            <w:pPr>
              <w:spacing w:after="120"/>
              <w:ind w:firstLine="562"/>
              <w:jc w:val="center"/>
              <w:rPr>
                <w:rFonts w:ascii="仿宋_GB2312" w:eastAsia="仿宋_GB2312"/>
                <w:b/>
                <w:sz w:val="28"/>
                <w:szCs w:val="28"/>
              </w:rPr>
            </w:pPr>
          </w:p>
        </w:tc>
        <w:tc>
          <w:tcPr>
            <w:tcW w:w="1440" w:type="dxa"/>
            <w:vMerge w:val="continue"/>
            <w:shd w:val="clear" w:color="auto" w:fill="auto"/>
            <w:vAlign w:val="center"/>
          </w:tcPr>
          <w:p w14:paraId="430C0451">
            <w:pPr>
              <w:spacing w:after="120"/>
              <w:ind w:firstLine="562"/>
              <w:jc w:val="center"/>
              <w:rPr>
                <w:rFonts w:ascii="仿宋_GB2312" w:eastAsia="仿宋_GB2312"/>
                <w:b/>
                <w:sz w:val="28"/>
                <w:szCs w:val="28"/>
              </w:rPr>
            </w:pPr>
          </w:p>
        </w:tc>
        <w:tc>
          <w:tcPr>
            <w:tcW w:w="1620" w:type="dxa"/>
            <w:shd w:val="clear" w:color="auto" w:fill="auto"/>
            <w:vAlign w:val="center"/>
          </w:tcPr>
          <w:p w14:paraId="6CA8DD02">
            <w:pPr>
              <w:spacing w:after="120"/>
              <w:ind w:firstLine="0" w:firstLineChars="0"/>
              <w:rPr>
                <w:rFonts w:ascii="仿宋_GB2312" w:eastAsia="仿宋_GB2312"/>
                <w:sz w:val="28"/>
                <w:szCs w:val="28"/>
              </w:rPr>
            </w:pPr>
            <w:r>
              <w:rPr>
                <w:rFonts w:hint="eastAsia" w:ascii="仿宋_GB2312" w:eastAsia="仿宋_GB2312"/>
                <w:sz w:val="28"/>
                <w:szCs w:val="28"/>
              </w:rPr>
              <w:t>初步设计</w:t>
            </w:r>
          </w:p>
        </w:tc>
        <w:tc>
          <w:tcPr>
            <w:tcW w:w="1620" w:type="dxa"/>
            <w:vMerge w:val="continue"/>
            <w:shd w:val="clear" w:color="auto" w:fill="auto"/>
            <w:vAlign w:val="center"/>
          </w:tcPr>
          <w:p w14:paraId="4CC36667">
            <w:pPr>
              <w:spacing w:after="120" w:line="560" w:lineRule="exact"/>
              <w:ind w:firstLine="562"/>
              <w:jc w:val="center"/>
              <w:rPr>
                <w:rFonts w:ascii="仿宋_GB2312" w:eastAsia="仿宋_GB2312"/>
                <w:b/>
                <w:sz w:val="28"/>
                <w:szCs w:val="28"/>
              </w:rPr>
            </w:pPr>
          </w:p>
        </w:tc>
        <w:tc>
          <w:tcPr>
            <w:tcW w:w="3778" w:type="dxa"/>
            <w:shd w:val="clear" w:color="auto" w:fill="auto"/>
            <w:vAlign w:val="center"/>
          </w:tcPr>
          <w:p w14:paraId="479FB0CB">
            <w:pPr>
              <w:spacing w:after="120"/>
              <w:ind w:firstLine="0" w:firstLineChars="0"/>
              <w:rPr>
                <w:rFonts w:ascii="仿宋_GB2312" w:eastAsia="仿宋_GB2312"/>
                <w:sz w:val="28"/>
                <w:szCs w:val="28"/>
              </w:rPr>
            </w:pPr>
            <w:r>
              <w:rPr>
                <w:rFonts w:hint="eastAsia" w:ascii="仿宋_GB2312" w:eastAsia="仿宋_GB2312"/>
                <w:sz w:val="28"/>
                <w:szCs w:val="28"/>
              </w:rPr>
              <w:t>取得发改部门对初步设计概算的批复</w:t>
            </w:r>
          </w:p>
        </w:tc>
      </w:tr>
      <w:tr w14:paraId="3C5D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28" w:type="dxa"/>
            <w:vMerge w:val="continue"/>
            <w:shd w:val="clear" w:color="auto" w:fill="auto"/>
            <w:vAlign w:val="center"/>
          </w:tcPr>
          <w:p w14:paraId="58C1E811">
            <w:pPr>
              <w:spacing w:after="120"/>
              <w:ind w:firstLine="562"/>
              <w:jc w:val="center"/>
              <w:rPr>
                <w:rFonts w:ascii="仿宋_GB2312" w:eastAsia="仿宋_GB2312"/>
                <w:b/>
                <w:sz w:val="28"/>
                <w:szCs w:val="28"/>
              </w:rPr>
            </w:pPr>
          </w:p>
        </w:tc>
        <w:tc>
          <w:tcPr>
            <w:tcW w:w="1440" w:type="dxa"/>
            <w:vMerge w:val="continue"/>
            <w:shd w:val="clear" w:color="auto" w:fill="auto"/>
            <w:vAlign w:val="center"/>
          </w:tcPr>
          <w:p w14:paraId="0187C011">
            <w:pPr>
              <w:spacing w:after="120"/>
              <w:ind w:firstLine="562"/>
              <w:jc w:val="center"/>
              <w:rPr>
                <w:rFonts w:ascii="仿宋_GB2312" w:eastAsia="仿宋_GB2312"/>
                <w:b/>
                <w:sz w:val="28"/>
                <w:szCs w:val="28"/>
              </w:rPr>
            </w:pPr>
          </w:p>
        </w:tc>
        <w:tc>
          <w:tcPr>
            <w:tcW w:w="1620" w:type="dxa"/>
            <w:shd w:val="clear" w:color="auto" w:fill="auto"/>
            <w:vAlign w:val="center"/>
          </w:tcPr>
          <w:p w14:paraId="0ADD97DD">
            <w:pPr>
              <w:spacing w:after="120"/>
              <w:ind w:firstLine="0" w:firstLineChars="0"/>
              <w:rPr>
                <w:rFonts w:ascii="仿宋_GB2312" w:eastAsia="仿宋_GB2312"/>
                <w:sz w:val="28"/>
                <w:szCs w:val="28"/>
              </w:rPr>
            </w:pPr>
            <w:r>
              <w:rPr>
                <w:rFonts w:hint="eastAsia" w:ascii="仿宋_GB2312" w:eastAsia="仿宋_GB2312"/>
                <w:sz w:val="28"/>
                <w:szCs w:val="28"/>
              </w:rPr>
              <w:t>施工图设计</w:t>
            </w:r>
          </w:p>
        </w:tc>
        <w:tc>
          <w:tcPr>
            <w:tcW w:w="1620" w:type="dxa"/>
            <w:vMerge w:val="continue"/>
            <w:shd w:val="clear" w:color="auto" w:fill="auto"/>
            <w:vAlign w:val="center"/>
          </w:tcPr>
          <w:p w14:paraId="26ECD341">
            <w:pPr>
              <w:spacing w:after="120" w:line="560" w:lineRule="exact"/>
              <w:ind w:firstLine="562"/>
              <w:jc w:val="center"/>
              <w:rPr>
                <w:rFonts w:ascii="仿宋_GB2312" w:eastAsia="仿宋_GB2312"/>
                <w:b/>
                <w:sz w:val="28"/>
                <w:szCs w:val="28"/>
              </w:rPr>
            </w:pPr>
          </w:p>
        </w:tc>
        <w:tc>
          <w:tcPr>
            <w:tcW w:w="3778" w:type="dxa"/>
            <w:shd w:val="clear" w:color="auto" w:fill="auto"/>
            <w:vAlign w:val="center"/>
          </w:tcPr>
          <w:p w14:paraId="50E1B674">
            <w:pPr>
              <w:spacing w:after="120"/>
              <w:ind w:firstLine="0" w:firstLineChars="0"/>
              <w:rPr>
                <w:rFonts w:ascii="仿宋_GB2312" w:eastAsia="仿宋_GB2312"/>
                <w:sz w:val="28"/>
                <w:szCs w:val="28"/>
              </w:rPr>
            </w:pPr>
            <w:r>
              <w:rPr>
                <w:rFonts w:hint="eastAsia" w:ascii="仿宋_GB2312" w:eastAsia="仿宋_GB2312"/>
                <w:sz w:val="28"/>
                <w:szCs w:val="28"/>
              </w:rPr>
              <w:t>取得施工图审查合格报告，其它专业施工图及各专业深化施工图完成施工图审查，且局计划财务部完成施工图预算审定（</w:t>
            </w:r>
            <w:r>
              <w:rPr>
                <w:rFonts w:ascii="仿宋_GB2312" w:eastAsia="仿宋_GB2312"/>
                <w:sz w:val="28"/>
                <w:szCs w:val="28"/>
              </w:rPr>
              <w:t>EPC模式），或完成工程量清单编制并确定招标控制价（传统模式）</w:t>
            </w:r>
          </w:p>
        </w:tc>
      </w:tr>
      <w:tr w14:paraId="7E81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shd w:val="clear" w:color="auto" w:fill="auto"/>
            <w:vAlign w:val="center"/>
          </w:tcPr>
          <w:p w14:paraId="74636055">
            <w:pPr>
              <w:spacing w:after="120"/>
              <w:ind w:firstLine="0" w:firstLineChars="0"/>
              <w:rPr>
                <w:rFonts w:ascii="仿宋_GB2312" w:eastAsia="仿宋_GB2312"/>
                <w:sz w:val="28"/>
                <w:szCs w:val="28"/>
              </w:rPr>
            </w:pPr>
            <w:r>
              <w:rPr>
                <w:rFonts w:ascii="仿宋_GB2312" w:eastAsia="仿宋_GB2312"/>
                <w:sz w:val="28"/>
                <w:szCs w:val="28"/>
              </w:rPr>
              <w:t>2</w:t>
            </w:r>
          </w:p>
        </w:tc>
        <w:tc>
          <w:tcPr>
            <w:tcW w:w="3060" w:type="dxa"/>
            <w:gridSpan w:val="2"/>
            <w:shd w:val="clear" w:color="auto" w:fill="auto"/>
            <w:vAlign w:val="center"/>
          </w:tcPr>
          <w:p w14:paraId="7FBB04A8">
            <w:pPr>
              <w:spacing w:after="120"/>
              <w:ind w:firstLine="0" w:firstLineChars="0"/>
              <w:rPr>
                <w:rFonts w:ascii="仿宋_GB2312" w:eastAsia="仿宋_GB2312"/>
                <w:sz w:val="28"/>
                <w:szCs w:val="28"/>
              </w:rPr>
            </w:pPr>
            <w:r>
              <w:rPr>
                <w:rFonts w:hint="eastAsia" w:ascii="仿宋_GB2312" w:eastAsia="仿宋_GB2312"/>
                <w:sz w:val="28"/>
                <w:szCs w:val="28"/>
              </w:rPr>
              <w:t>施工阶段</w:t>
            </w:r>
          </w:p>
        </w:tc>
        <w:tc>
          <w:tcPr>
            <w:tcW w:w="1620" w:type="dxa"/>
            <w:vAlign w:val="center"/>
          </w:tcPr>
          <w:p w14:paraId="7CD98271">
            <w:pPr>
              <w:spacing w:after="120"/>
              <w:ind w:firstLine="0" w:firstLineChars="0"/>
              <w:rPr>
                <w:rFonts w:ascii="仿宋_GB2312" w:eastAsia="仿宋_GB2312"/>
                <w:sz w:val="28"/>
                <w:szCs w:val="28"/>
              </w:rPr>
            </w:pPr>
            <w:r>
              <w:rPr>
                <w:rFonts w:hint="eastAsia" w:ascii="仿宋_GB2312" w:eastAsia="仿宋_GB2312"/>
                <w:sz w:val="28"/>
                <w:szCs w:val="28"/>
              </w:rPr>
              <w:t>项目建设管理部</w:t>
            </w:r>
          </w:p>
        </w:tc>
        <w:tc>
          <w:tcPr>
            <w:tcW w:w="3778" w:type="dxa"/>
            <w:vAlign w:val="center"/>
          </w:tcPr>
          <w:p w14:paraId="341C9B36">
            <w:pPr>
              <w:spacing w:after="120"/>
              <w:ind w:firstLine="0" w:firstLineChars="0"/>
              <w:rPr>
                <w:rFonts w:ascii="仿宋_GB2312" w:eastAsia="仿宋_GB2312"/>
                <w:sz w:val="28"/>
                <w:szCs w:val="28"/>
              </w:rPr>
            </w:pPr>
            <w:r>
              <w:rPr>
                <w:rFonts w:hint="eastAsia" w:ascii="仿宋_GB2312" w:eastAsia="仿宋_GB2312"/>
                <w:sz w:val="28"/>
                <w:szCs w:val="28"/>
              </w:rPr>
              <w:t>季度末月度下旬进行当季（年）度评价，至完成竣工验收，向城建档案管理部门移交全套工程资料并取得相关证明，并完成所有设计变更审批手续</w:t>
            </w:r>
          </w:p>
        </w:tc>
      </w:tr>
      <w:tr w14:paraId="6E21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shd w:val="clear" w:color="auto" w:fill="auto"/>
            <w:vAlign w:val="center"/>
          </w:tcPr>
          <w:p w14:paraId="50B0C85D">
            <w:pPr>
              <w:spacing w:after="120"/>
              <w:ind w:firstLine="0" w:firstLineChars="0"/>
              <w:rPr>
                <w:rFonts w:ascii="仿宋_GB2312" w:eastAsia="仿宋_GB2312"/>
                <w:sz w:val="28"/>
                <w:szCs w:val="28"/>
              </w:rPr>
            </w:pPr>
            <w:r>
              <w:rPr>
                <w:rFonts w:ascii="仿宋_GB2312" w:eastAsia="仿宋_GB2312"/>
                <w:sz w:val="28"/>
                <w:szCs w:val="28"/>
              </w:rPr>
              <w:t>3</w:t>
            </w:r>
          </w:p>
        </w:tc>
        <w:tc>
          <w:tcPr>
            <w:tcW w:w="3060" w:type="dxa"/>
            <w:gridSpan w:val="2"/>
            <w:shd w:val="clear" w:color="auto" w:fill="auto"/>
            <w:vAlign w:val="center"/>
          </w:tcPr>
          <w:p w14:paraId="668C8271">
            <w:pPr>
              <w:spacing w:after="120"/>
              <w:ind w:firstLine="0" w:firstLineChars="0"/>
              <w:rPr>
                <w:rFonts w:ascii="仿宋_GB2312" w:eastAsia="仿宋_GB2312"/>
                <w:sz w:val="28"/>
                <w:szCs w:val="28"/>
              </w:rPr>
            </w:pPr>
            <w:r>
              <w:rPr>
                <w:rFonts w:hint="eastAsia" w:ascii="仿宋_GB2312" w:eastAsia="仿宋_GB2312"/>
                <w:sz w:val="28"/>
                <w:szCs w:val="28"/>
              </w:rPr>
              <w:t>缺陷责任期阶段</w:t>
            </w:r>
          </w:p>
        </w:tc>
        <w:tc>
          <w:tcPr>
            <w:tcW w:w="1620" w:type="dxa"/>
            <w:vAlign w:val="center"/>
          </w:tcPr>
          <w:p w14:paraId="4774B0A8">
            <w:pPr>
              <w:spacing w:after="120"/>
              <w:ind w:firstLine="0" w:firstLineChars="0"/>
              <w:rPr>
                <w:rFonts w:ascii="仿宋_GB2312" w:eastAsia="仿宋_GB2312"/>
                <w:sz w:val="28"/>
                <w:szCs w:val="28"/>
              </w:rPr>
            </w:pPr>
            <w:r>
              <w:rPr>
                <w:rFonts w:hint="eastAsia" w:ascii="仿宋_GB2312" w:eastAsia="仿宋_GB2312"/>
                <w:sz w:val="28"/>
                <w:szCs w:val="28"/>
              </w:rPr>
              <w:t>项目建设管理部</w:t>
            </w:r>
          </w:p>
        </w:tc>
        <w:tc>
          <w:tcPr>
            <w:tcW w:w="3778" w:type="dxa"/>
            <w:vAlign w:val="center"/>
          </w:tcPr>
          <w:p w14:paraId="0DCC55DD">
            <w:pPr>
              <w:spacing w:after="120"/>
              <w:ind w:firstLine="0" w:firstLineChars="0"/>
              <w:rPr>
                <w:rFonts w:ascii="仿宋_GB2312" w:eastAsia="仿宋_GB2312"/>
                <w:sz w:val="28"/>
                <w:szCs w:val="28"/>
              </w:rPr>
            </w:pPr>
            <w:r>
              <w:rPr>
                <w:rFonts w:hint="eastAsia" w:ascii="仿宋_GB2312" w:eastAsia="仿宋_GB2312"/>
                <w:sz w:val="28"/>
                <w:szCs w:val="28"/>
              </w:rPr>
              <w:t>年度末月度下旬进行当年评价，至缺陷责任期届满</w:t>
            </w:r>
          </w:p>
        </w:tc>
      </w:tr>
    </w:tbl>
    <w:p w14:paraId="60BBD860">
      <w:pPr>
        <w:spacing w:after="120" w:line="560" w:lineRule="exact"/>
        <w:ind w:firstLine="640"/>
        <w:rPr>
          <w:rFonts w:ascii="仿宋_GB2312" w:eastAsia="仿宋_GB2312"/>
          <w:sz w:val="32"/>
          <w:szCs w:val="32"/>
        </w:rPr>
      </w:pPr>
      <w:r>
        <w:rPr>
          <w:rFonts w:hint="eastAsia" w:ascii="仿宋_GB2312" w:eastAsia="仿宋_GB2312"/>
          <w:sz w:val="32"/>
          <w:szCs w:val="32"/>
        </w:rPr>
        <w:t>（一）设计阶段</w:t>
      </w:r>
    </w:p>
    <w:p w14:paraId="3613320E">
      <w:pPr>
        <w:spacing w:after="120" w:line="560" w:lineRule="exact"/>
        <w:ind w:firstLine="640"/>
        <w:rPr>
          <w:rFonts w:ascii="仿宋_GB2312" w:eastAsia="仿宋_GB2312"/>
          <w:sz w:val="32"/>
          <w:szCs w:val="32"/>
        </w:rPr>
      </w:pPr>
      <w:r>
        <w:rPr>
          <w:rFonts w:hint="eastAsia" w:ascii="仿宋_GB2312" w:eastAsia="仿宋_GB2312"/>
          <w:sz w:val="32"/>
          <w:szCs w:val="32"/>
        </w:rPr>
        <w:t>对设计单位进行分阶段三次评价，分别为：</w:t>
      </w:r>
    </w:p>
    <w:p w14:paraId="756D48CB">
      <w:pPr>
        <w:spacing w:after="120" w:line="560" w:lineRule="exact"/>
        <w:ind w:firstLine="640"/>
        <w:rPr>
          <w:rFonts w:ascii="仿宋_GB2312" w:eastAsia="仿宋_GB2312"/>
          <w:sz w:val="32"/>
          <w:szCs w:val="32"/>
        </w:rPr>
      </w:pPr>
      <w:r>
        <w:rPr>
          <w:rFonts w:hint="eastAsia" w:ascii="仿宋_GB2312" w:eastAsia="仿宋_GB2312"/>
          <w:sz w:val="32"/>
          <w:szCs w:val="32"/>
        </w:rPr>
        <w:t>1、方案设计评价</w:t>
      </w:r>
    </w:p>
    <w:p w14:paraId="3C9E446E">
      <w:pPr>
        <w:spacing w:after="120" w:line="560" w:lineRule="exact"/>
        <w:ind w:firstLine="640"/>
        <w:rPr>
          <w:rFonts w:ascii="仿宋_GB2312" w:eastAsia="仿宋_GB2312"/>
          <w:sz w:val="32"/>
          <w:szCs w:val="32"/>
        </w:rPr>
      </w:pPr>
      <w:r>
        <w:rPr>
          <w:rFonts w:hint="eastAsia" w:ascii="仿宋_GB2312" w:eastAsia="仿宋_GB2312"/>
          <w:sz w:val="32"/>
          <w:szCs w:val="32"/>
        </w:rPr>
        <w:t>取得规划部门对工程方案或修规的批复后，由前期工作部项目负责人填写《方案设计阶段合同履约评价表》（按附件一格式），报前期工作部部长审定。</w:t>
      </w:r>
    </w:p>
    <w:p w14:paraId="6E5BFA5B">
      <w:pPr>
        <w:spacing w:after="120" w:line="560" w:lineRule="exact"/>
        <w:ind w:firstLine="640"/>
        <w:rPr>
          <w:rFonts w:ascii="仿宋_GB2312" w:eastAsia="仿宋_GB2312"/>
          <w:sz w:val="32"/>
          <w:szCs w:val="32"/>
        </w:rPr>
      </w:pPr>
      <w:r>
        <w:rPr>
          <w:rFonts w:hint="eastAsia" w:ascii="仿宋_GB2312" w:eastAsia="仿宋_GB2312"/>
          <w:sz w:val="32"/>
          <w:szCs w:val="32"/>
        </w:rPr>
        <w:t>2、初步设计评价</w:t>
      </w:r>
    </w:p>
    <w:p w14:paraId="490E0D8E">
      <w:pPr>
        <w:spacing w:after="120" w:line="560" w:lineRule="exact"/>
        <w:ind w:firstLine="640"/>
        <w:rPr>
          <w:rFonts w:ascii="仿宋_GB2312" w:eastAsia="仿宋_GB2312"/>
          <w:sz w:val="32"/>
          <w:szCs w:val="32"/>
        </w:rPr>
      </w:pPr>
      <w:r>
        <w:rPr>
          <w:rFonts w:hint="eastAsia" w:ascii="仿宋_GB2312" w:eastAsia="仿宋_GB2312"/>
          <w:sz w:val="32"/>
          <w:szCs w:val="32"/>
        </w:rPr>
        <w:t>取得发改部门对初步设计概算的批复后，由前期工作部项目负责人填写《初步设计阶段合同履约评价表》（按附件二格式），报前期工作部部长审定。</w:t>
      </w:r>
    </w:p>
    <w:p w14:paraId="3C72715A">
      <w:pPr>
        <w:spacing w:after="120" w:line="560" w:lineRule="exact"/>
        <w:ind w:firstLine="640"/>
        <w:rPr>
          <w:rFonts w:ascii="仿宋_GB2312" w:eastAsia="仿宋_GB2312"/>
          <w:sz w:val="32"/>
          <w:szCs w:val="32"/>
        </w:rPr>
      </w:pPr>
      <w:r>
        <w:rPr>
          <w:rFonts w:hint="eastAsia" w:ascii="仿宋_GB2312" w:eastAsia="仿宋_GB2312"/>
          <w:sz w:val="32"/>
          <w:szCs w:val="32"/>
        </w:rPr>
        <w:t>3、施工图设计评价</w:t>
      </w:r>
    </w:p>
    <w:p w14:paraId="1A0B7DED">
      <w:pPr>
        <w:spacing w:after="120" w:line="560" w:lineRule="exact"/>
        <w:ind w:firstLine="640"/>
        <w:rPr>
          <w:rFonts w:ascii="仿宋_GB2312" w:eastAsia="仿宋_GB2312"/>
          <w:sz w:val="32"/>
          <w:szCs w:val="32"/>
        </w:rPr>
      </w:pPr>
      <w:r>
        <w:rPr>
          <w:rFonts w:hint="eastAsia" w:ascii="仿宋_GB2312" w:eastAsia="仿宋_GB2312"/>
          <w:sz w:val="32"/>
          <w:szCs w:val="32"/>
        </w:rPr>
        <w:t>取得施工图审查合格报告，且局计划财务部完成施工图预算审定（适用于EPC模式），或完成工程量清单编制并确定招标控制价（适用于传统模式）后，由前期工作部项目负责人填写《施工图设计阶段合同履约评价表》（按附件三格式），报前期工作部部长审定。</w:t>
      </w:r>
    </w:p>
    <w:p w14:paraId="358F4261">
      <w:pPr>
        <w:spacing w:after="120" w:line="560" w:lineRule="exact"/>
        <w:ind w:firstLine="640"/>
        <w:rPr>
          <w:rFonts w:ascii="仿宋_GB2312" w:eastAsia="仿宋_GB2312"/>
          <w:sz w:val="32"/>
          <w:szCs w:val="32"/>
        </w:rPr>
      </w:pPr>
      <w:r>
        <w:rPr>
          <w:rFonts w:hint="eastAsia" w:ascii="仿宋_GB2312" w:eastAsia="仿宋_GB2312"/>
          <w:sz w:val="32"/>
          <w:szCs w:val="32"/>
        </w:rPr>
        <w:t>（二）施工阶段</w:t>
      </w:r>
    </w:p>
    <w:p w14:paraId="2FE2B7F1">
      <w:pPr>
        <w:spacing w:after="120" w:line="560" w:lineRule="exact"/>
        <w:ind w:firstLine="640"/>
        <w:rPr>
          <w:rFonts w:ascii="仿宋_GB2312" w:eastAsia="仿宋_GB2312"/>
          <w:sz w:val="32"/>
          <w:szCs w:val="32"/>
        </w:rPr>
      </w:pPr>
      <w:r>
        <w:rPr>
          <w:rFonts w:hint="eastAsia" w:ascii="仿宋_GB2312" w:eastAsia="仿宋_GB2312"/>
          <w:sz w:val="32"/>
          <w:szCs w:val="32"/>
        </w:rPr>
        <w:t>对设计单位进行季度评价，评价时间为季度末月度下旬（第四季度末月度下旬进行当年度评价），自取得施工许可证起，至向城建档案管理部门移交全套工程资料并取得相关证明后止，由项目建设管理部派驻现场项目负责人会同前期工作部项目负责人填写《施工阶段设计合同履约评价表》（按附件四格式），报项目建设管理部部长审定。</w:t>
      </w:r>
    </w:p>
    <w:p w14:paraId="7EA98E70">
      <w:pPr>
        <w:spacing w:after="120" w:line="560" w:lineRule="exact"/>
        <w:ind w:firstLine="640"/>
        <w:rPr>
          <w:rFonts w:ascii="仿宋_GB2312" w:eastAsia="仿宋_GB2312"/>
          <w:sz w:val="32"/>
          <w:szCs w:val="32"/>
        </w:rPr>
      </w:pPr>
      <w:r>
        <w:rPr>
          <w:rFonts w:hint="eastAsia" w:ascii="仿宋_GB2312" w:eastAsia="仿宋_GB2312"/>
          <w:sz w:val="32"/>
          <w:szCs w:val="32"/>
        </w:rPr>
        <w:t>（三）缺陷责任期阶段</w:t>
      </w:r>
    </w:p>
    <w:p w14:paraId="7A8D2295">
      <w:pPr>
        <w:spacing w:after="120" w:line="560" w:lineRule="exact"/>
        <w:ind w:firstLine="640"/>
        <w:rPr>
          <w:rFonts w:ascii="仿宋_GB2312" w:eastAsia="仿宋_GB2312"/>
          <w:sz w:val="32"/>
          <w:szCs w:val="32"/>
        </w:rPr>
      </w:pPr>
      <w:r>
        <w:rPr>
          <w:rFonts w:hint="eastAsia" w:ascii="仿宋_GB2312" w:eastAsia="仿宋_GB2312"/>
          <w:sz w:val="32"/>
          <w:szCs w:val="32"/>
        </w:rPr>
        <w:t>对设计单位进行年度评价，评价时间为年度末月度下旬，自取得竣工验收相关证明之日起，至缺陷责任期（除基础设施工程、房屋建筑地基基础工程和主体结构工程外最长的保修期计）届满止，由项目建设管理部派驻现场项目负责人会同前期工作部项目负责人填写《缺陷责任期阶段设计合同履约评价表》（按附件五格式），报项目建设管理部部长审定。</w:t>
      </w:r>
    </w:p>
    <w:p w14:paraId="1753B7E0">
      <w:pPr>
        <w:spacing w:after="120" w:line="560" w:lineRule="exact"/>
        <w:ind w:firstLine="643"/>
        <w:rPr>
          <w:rFonts w:ascii="仿宋_GB2312" w:eastAsia="仿宋_GB2312"/>
          <w:sz w:val="32"/>
          <w:szCs w:val="32"/>
        </w:rPr>
      </w:pPr>
      <w:r>
        <w:rPr>
          <w:rFonts w:hint="eastAsia" w:ascii="仿宋_GB2312" w:eastAsia="仿宋_GB2312"/>
          <w:b/>
          <w:sz w:val="32"/>
          <w:szCs w:val="32"/>
        </w:rPr>
        <w:t xml:space="preserve">第四条 </w:t>
      </w:r>
      <w:r>
        <w:rPr>
          <w:rFonts w:hint="eastAsia" w:ascii="仿宋_GB2312" w:eastAsia="仿宋_GB2312"/>
          <w:sz w:val="32"/>
          <w:szCs w:val="32"/>
        </w:rPr>
        <w:t>评价内容</w:t>
      </w:r>
    </w:p>
    <w:p w14:paraId="33D93841">
      <w:pPr>
        <w:spacing w:after="120" w:line="560" w:lineRule="exact"/>
        <w:ind w:firstLine="640"/>
        <w:rPr>
          <w:rFonts w:ascii="仿宋_GB2312" w:eastAsia="仿宋_GB2312"/>
          <w:sz w:val="32"/>
          <w:szCs w:val="32"/>
        </w:rPr>
      </w:pPr>
      <w:r>
        <w:rPr>
          <w:rFonts w:hint="eastAsia" w:ascii="仿宋_GB2312" w:eastAsia="仿宋_GB2312"/>
          <w:sz w:val="32"/>
          <w:szCs w:val="32"/>
        </w:rPr>
        <w:t>（一）各责任部门按照本办法附件中所列项目进行独立打分，凡出现扣分项的，应在设计合同履约评分表中说明具体扣分原因。</w:t>
      </w:r>
    </w:p>
    <w:p w14:paraId="435A359C">
      <w:pPr>
        <w:spacing w:after="120" w:line="560" w:lineRule="exact"/>
        <w:ind w:firstLine="640"/>
        <w:rPr>
          <w:rFonts w:ascii="仿宋_GB2312" w:eastAsia="仿宋_GB2312"/>
          <w:sz w:val="32"/>
          <w:szCs w:val="32"/>
        </w:rPr>
      </w:pPr>
      <w:r>
        <w:rPr>
          <w:rFonts w:hint="eastAsia" w:ascii="仿宋_GB2312" w:eastAsia="仿宋_GB2312"/>
          <w:sz w:val="32"/>
          <w:szCs w:val="32"/>
        </w:rPr>
        <w:t>（二）评价期内建设行政主管部门、使用单位、设计单位上级主管单位（部门）、局下发的整改通知或通报所提问题，凡符合附件中有关内容的，均应纳入评价结果。</w:t>
      </w:r>
    </w:p>
    <w:p w14:paraId="6DD07652">
      <w:pPr>
        <w:spacing w:after="120" w:line="560" w:lineRule="exact"/>
        <w:ind w:firstLine="643"/>
        <w:rPr>
          <w:rFonts w:ascii="仿宋_GB2312" w:eastAsia="仿宋_GB2312"/>
          <w:bCs/>
          <w:sz w:val="32"/>
          <w:szCs w:val="32"/>
        </w:rPr>
      </w:pPr>
      <w:r>
        <w:rPr>
          <w:rFonts w:hint="eastAsia" w:ascii="仿宋_GB2312" w:eastAsia="仿宋_GB2312"/>
          <w:b/>
          <w:sz w:val="32"/>
          <w:szCs w:val="32"/>
        </w:rPr>
        <w:t xml:space="preserve">第五条 </w:t>
      </w:r>
      <w:r>
        <w:rPr>
          <w:rFonts w:hint="eastAsia" w:ascii="仿宋_GB2312" w:eastAsia="仿宋_GB2312"/>
          <w:sz w:val="32"/>
          <w:szCs w:val="32"/>
        </w:rPr>
        <w:t>设计费用的支付</w:t>
      </w:r>
    </w:p>
    <w:p w14:paraId="22E218E6">
      <w:pPr>
        <w:spacing w:after="120" w:line="560" w:lineRule="exact"/>
        <w:ind w:firstLine="640"/>
        <w:rPr>
          <w:rFonts w:ascii="仿宋_GB2312" w:eastAsia="仿宋_GB2312"/>
          <w:sz w:val="32"/>
          <w:szCs w:val="32"/>
        </w:rPr>
      </w:pPr>
      <w:r>
        <w:rPr>
          <w:rFonts w:hint="eastAsia" w:ascii="仿宋_GB2312" w:eastAsia="仿宋_GB2312"/>
          <w:sz w:val="32"/>
          <w:szCs w:val="32"/>
        </w:rPr>
        <w:t>（一）项目设计费用的支付节点分别为：</w:t>
      </w:r>
    </w:p>
    <w:p w14:paraId="7816C029">
      <w:pPr>
        <w:spacing w:after="120" w:line="560" w:lineRule="exact"/>
        <w:ind w:firstLine="640"/>
        <w:rPr>
          <w:rFonts w:ascii="仿宋_GB2312" w:eastAsia="仿宋_GB2312"/>
          <w:sz w:val="32"/>
          <w:szCs w:val="32"/>
        </w:rPr>
      </w:pPr>
      <w:r>
        <w:rPr>
          <w:rFonts w:hint="eastAsia" w:ascii="仿宋_GB2312" w:eastAsia="仿宋_GB2312"/>
          <w:sz w:val="32"/>
          <w:szCs w:val="32"/>
        </w:rPr>
        <w:t>1、全阶段设计模式（含全过程EPC模式、传统模式）</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4812"/>
        <w:gridCol w:w="2175"/>
        <w:gridCol w:w="1549"/>
      </w:tblGrid>
      <w:tr w14:paraId="375F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258A410B">
            <w:pPr>
              <w:spacing w:after="120"/>
              <w:ind w:firstLine="0" w:firstLineChars="0"/>
              <w:rPr>
                <w:rFonts w:ascii="仿宋_GB2312" w:eastAsia="仿宋_GB2312"/>
                <w:sz w:val="28"/>
                <w:szCs w:val="28"/>
              </w:rPr>
            </w:pPr>
            <w:r>
              <w:rPr>
                <w:rFonts w:hint="eastAsia" w:ascii="仿宋_GB2312" w:eastAsia="仿宋_GB2312"/>
                <w:sz w:val="28"/>
                <w:szCs w:val="28"/>
              </w:rPr>
              <w:t>支付节点</w:t>
            </w:r>
          </w:p>
        </w:tc>
        <w:tc>
          <w:tcPr>
            <w:tcW w:w="4812" w:type="dxa"/>
            <w:vAlign w:val="center"/>
          </w:tcPr>
          <w:p w14:paraId="38F5D1C1">
            <w:pPr>
              <w:spacing w:after="120"/>
              <w:ind w:firstLine="560"/>
              <w:jc w:val="center"/>
              <w:rPr>
                <w:rFonts w:ascii="仿宋_GB2312" w:eastAsia="仿宋_GB2312"/>
                <w:sz w:val="28"/>
                <w:szCs w:val="28"/>
              </w:rPr>
            </w:pPr>
            <w:r>
              <w:rPr>
                <w:rFonts w:hint="eastAsia" w:ascii="仿宋_GB2312" w:eastAsia="仿宋_GB2312"/>
                <w:sz w:val="28"/>
                <w:szCs w:val="28"/>
              </w:rPr>
              <w:t>支付条件</w:t>
            </w:r>
          </w:p>
        </w:tc>
        <w:tc>
          <w:tcPr>
            <w:tcW w:w="2175" w:type="dxa"/>
            <w:vAlign w:val="center"/>
          </w:tcPr>
          <w:p w14:paraId="706651E6">
            <w:pPr>
              <w:spacing w:after="120"/>
              <w:ind w:firstLine="560"/>
              <w:jc w:val="center"/>
              <w:rPr>
                <w:rFonts w:ascii="仿宋_GB2312" w:eastAsia="仿宋_GB2312"/>
                <w:sz w:val="28"/>
                <w:szCs w:val="28"/>
              </w:rPr>
            </w:pPr>
            <w:r>
              <w:rPr>
                <w:rFonts w:hint="eastAsia" w:ascii="仿宋_GB2312" w:eastAsia="仿宋_GB2312"/>
                <w:sz w:val="28"/>
                <w:szCs w:val="28"/>
              </w:rPr>
              <w:t>支付金额</w:t>
            </w:r>
          </w:p>
        </w:tc>
        <w:tc>
          <w:tcPr>
            <w:tcW w:w="1549" w:type="dxa"/>
            <w:vAlign w:val="center"/>
          </w:tcPr>
          <w:p w14:paraId="62EDD260">
            <w:pPr>
              <w:spacing w:after="120"/>
              <w:ind w:firstLine="0" w:firstLineChars="0"/>
              <w:rPr>
                <w:rFonts w:ascii="仿宋_GB2312" w:eastAsia="仿宋_GB2312"/>
                <w:sz w:val="28"/>
                <w:szCs w:val="28"/>
              </w:rPr>
            </w:pPr>
            <w:r>
              <w:rPr>
                <w:rFonts w:hint="eastAsia" w:ascii="仿宋_GB2312" w:eastAsia="仿宋_GB2312"/>
                <w:sz w:val="28"/>
                <w:szCs w:val="28"/>
              </w:rPr>
              <w:t>考评标准</w:t>
            </w:r>
          </w:p>
        </w:tc>
      </w:tr>
      <w:tr w14:paraId="7DC3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7BED9B98">
            <w:pPr>
              <w:spacing w:after="120"/>
              <w:ind w:firstLine="0" w:firstLineChars="0"/>
              <w:rPr>
                <w:rFonts w:ascii="仿宋_GB2312" w:eastAsia="仿宋_GB2312"/>
                <w:sz w:val="28"/>
                <w:szCs w:val="28"/>
              </w:rPr>
            </w:pPr>
            <w:r>
              <w:rPr>
                <w:rFonts w:ascii="仿宋_GB2312" w:eastAsia="仿宋_GB2312"/>
                <w:sz w:val="28"/>
                <w:szCs w:val="28"/>
              </w:rPr>
              <w:t>1</w:t>
            </w:r>
          </w:p>
        </w:tc>
        <w:tc>
          <w:tcPr>
            <w:tcW w:w="4812" w:type="dxa"/>
            <w:vAlign w:val="center"/>
          </w:tcPr>
          <w:p w14:paraId="4F70C4CE">
            <w:pPr>
              <w:spacing w:after="120"/>
              <w:ind w:firstLine="0" w:firstLineChars="0"/>
              <w:rPr>
                <w:rFonts w:ascii="仿宋_GB2312" w:eastAsia="仿宋_GB2312"/>
                <w:sz w:val="28"/>
                <w:szCs w:val="28"/>
              </w:rPr>
            </w:pPr>
            <w:r>
              <w:rPr>
                <w:rFonts w:hint="eastAsia" w:ascii="仿宋_GB2312" w:eastAsia="仿宋_GB2312"/>
                <w:sz w:val="28"/>
                <w:szCs w:val="28"/>
              </w:rPr>
              <w:t>签订合同并提交履约保函</w:t>
            </w:r>
          </w:p>
        </w:tc>
        <w:tc>
          <w:tcPr>
            <w:tcW w:w="2175" w:type="dxa"/>
            <w:vAlign w:val="center"/>
          </w:tcPr>
          <w:p w14:paraId="033CE537">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10%</w:t>
            </w:r>
          </w:p>
        </w:tc>
        <w:tc>
          <w:tcPr>
            <w:tcW w:w="1549" w:type="dxa"/>
            <w:vAlign w:val="center"/>
          </w:tcPr>
          <w:p w14:paraId="0105604A">
            <w:pPr>
              <w:spacing w:after="120"/>
              <w:ind w:firstLine="560"/>
              <w:jc w:val="center"/>
              <w:rPr>
                <w:rFonts w:ascii="仿宋_GB2312" w:eastAsia="仿宋_GB2312"/>
                <w:sz w:val="28"/>
                <w:szCs w:val="28"/>
              </w:rPr>
            </w:pPr>
            <w:r>
              <w:rPr>
                <w:rFonts w:ascii="仿宋_GB2312" w:eastAsia="仿宋_GB2312"/>
                <w:sz w:val="28"/>
                <w:szCs w:val="28"/>
              </w:rPr>
              <w:t>/</w:t>
            </w:r>
          </w:p>
        </w:tc>
      </w:tr>
      <w:tr w14:paraId="4CF3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59870CB7">
            <w:pPr>
              <w:spacing w:after="120"/>
              <w:ind w:firstLine="0" w:firstLineChars="0"/>
              <w:rPr>
                <w:rFonts w:ascii="仿宋_GB2312" w:eastAsia="仿宋_GB2312"/>
                <w:sz w:val="28"/>
                <w:szCs w:val="28"/>
              </w:rPr>
            </w:pPr>
            <w:r>
              <w:rPr>
                <w:rFonts w:ascii="仿宋_GB2312" w:eastAsia="仿宋_GB2312"/>
                <w:sz w:val="28"/>
                <w:szCs w:val="28"/>
              </w:rPr>
              <w:t>2</w:t>
            </w:r>
          </w:p>
        </w:tc>
        <w:tc>
          <w:tcPr>
            <w:tcW w:w="4812" w:type="dxa"/>
            <w:vAlign w:val="center"/>
          </w:tcPr>
          <w:p w14:paraId="137F57A9">
            <w:pPr>
              <w:spacing w:after="120"/>
              <w:ind w:firstLine="0" w:firstLineChars="0"/>
              <w:rPr>
                <w:rFonts w:ascii="仿宋_GB2312" w:eastAsia="仿宋_GB2312"/>
                <w:sz w:val="28"/>
                <w:szCs w:val="28"/>
              </w:rPr>
            </w:pPr>
            <w:r>
              <w:rPr>
                <w:rFonts w:hint="eastAsia" w:ascii="仿宋_GB2312" w:eastAsia="仿宋_GB2312"/>
                <w:sz w:val="28"/>
                <w:szCs w:val="28"/>
              </w:rPr>
              <w:t>取得规划部门对工程方案或修规的批复</w:t>
            </w:r>
          </w:p>
        </w:tc>
        <w:tc>
          <w:tcPr>
            <w:tcW w:w="2175" w:type="dxa"/>
            <w:vAlign w:val="center"/>
          </w:tcPr>
          <w:p w14:paraId="646BC7C8">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15%×A</w:t>
            </w:r>
          </w:p>
        </w:tc>
        <w:tc>
          <w:tcPr>
            <w:tcW w:w="1549" w:type="dxa"/>
            <w:vAlign w:val="center"/>
          </w:tcPr>
          <w:p w14:paraId="174664D2">
            <w:pPr>
              <w:spacing w:after="120"/>
              <w:ind w:firstLine="0" w:firstLineChars="0"/>
              <w:rPr>
                <w:rFonts w:ascii="仿宋_GB2312" w:eastAsia="仿宋_GB2312"/>
                <w:sz w:val="28"/>
                <w:szCs w:val="28"/>
              </w:rPr>
            </w:pPr>
            <w:r>
              <w:rPr>
                <w:rFonts w:hint="eastAsia" w:ascii="仿宋_GB2312" w:eastAsia="仿宋_GB2312"/>
                <w:sz w:val="28"/>
                <w:szCs w:val="28"/>
              </w:rPr>
              <w:t>按附件一</w:t>
            </w:r>
          </w:p>
        </w:tc>
      </w:tr>
      <w:tr w14:paraId="7F7C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0080AE1F">
            <w:pPr>
              <w:spacing w:after="120"/>
              <w:ind w:firstLine="0" w:firstLineChars="0"/>
              <w:rPr>
                <w:rFonts w:ascii="仿宋_GB2312" w:eastAsia="仿宋_GB2312"/>
                <w:sz w:val="28"/>
                <w:szCs w:val="28"/>
              </w:rPr>
            </w:pPr>
            <w:r>
              <w:rPr>
                <w:rFonts w:ascii="仿宋_GB2312" w:eastAsia="仿宋_GB2312"/>
                <w:sz w:val="28"/>
                <w:szCs w:val="28"/>
              </w:rPr>
              <w:t>3</w:t>
            </w:r>
          </w:p>
        </w:tc>
        <w:tc>
          <w:tcPr>
            <w:tcW w:w="4812" w:type="dxa"/>
            <w:vAlign w:val="center"/>
          </w:tcPr>
          <w:p w14:paraId="789EDF87">
            <w:pPr>
              <w:spacing w:after="120"/>
              <w:ind w:firstLine="0" w:firstLineChars="0"/>
              <w:rPr>
                <w:rFonts w:ascii="仿宋_GB2312" w:eastAsia="仿宋_GB2312"/>
                <w:sz w:val="28"/>
                <w:szCs w:val="28"/>
              </w:rPr>
            </w:pPr>
            <w:r>
              <w:rPr>
                <w:rFonts w:hint="eastAsia" w:ascii="仿宋_GB2312" w:eastAsia="仿宋_GB2312"/>
                <w:sz w:val="28"/>
                <w:szCs w:val="28"/>
              </w:rPr>
              <w:t>取得发改部门对初步设计概算的批复</w:t>
            </w:r>
          </w:p>
        </w:tc>
        <w:tc>
          <w:tcPr>
            <w:tcW w:w="2175" w:type="dxa"/>
            <w:vAlign w:val="center"/>
          </w:tcPr>
          <w:p w14:paraId="1D241CCA">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20%×A</w:t>
            </w:r>
          </w:p>
        </w:tc>
        <w:tc>
          <w:tcPr>
            <w:tcW w:w="1549" w:type="dxa"/>
            <w:vAlign w:val="center"/>
          </w:tcPr>
          <w:p w14:paraId="293E4D1E">
            <w:pPr>
              <w:spacing w:after="120"/>
              <w:ind w:firstLine="0" w:firstLineChars="0"/>
              <w:rPr>
                <w:rFonts w:ascii="仿宋_GB2312" w:eastAsia="仿宋_GB2312"/>
                <w:sz w:val="28"/>
                <w:szCs w:val="28"/>
              </w:rPr>
            </w:pPr>
            <w:r>
              <w:rPr>
                <w:rFonts w:hint="eastAsia" w:ascii="仿宋_GB2312" w:eastAsia="仿宋_GB2312"/>
                <w:sz w:val="28"/>
                <w:szCs w:val="28"/>
              </w:rPr>
              <w:t>按附件二</w:t>
            </w:r>
          </w:p>
        </w:tc>
      </w:tr>
      <w:tr w14:paraId="11A8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2EC5BCE1">
            <w:pPr>
              <w:spacing w:after="120"/>
              <w:ind w:firstLine="0" w:firstLineChars="0"/>
              <w:rPr>
                <w:rFonts w:ascii="仿宋_GB2312" w:eastAsia="仿宋_GB2312"/>
                <w:sz w:val="28"/>
                <w:szCs w:val="28"/>
              </w:rPr>
            </w:pPr>
            <w:r>
              <w:rPr>
                <w:rFonts w:ascii="仿宋_GB2312" w:eastAsia="仿宋_GB2312"/>
                <w:sz w:val="28"/>
                <w:szCs w:val="28"/>
              </w:rPr>
              <w:t>4</w:t>
            </w:r>
          </w:p>
        </w:tc>
        <w:tc>
          <w:tcPr>
            <w:tcW w:w="4812" w:type="dxa"/>
            <w:vAlign w:val="center"/>
          </w:tcPr>
          <w:p w14:paraId="1F872183">
            <w:pPr>
              <w:spacing w:after="120"/>
              <w:ind w:firstLine="0" w:firstLineChars="0"/>
              <w:rPr>
                <w:rFonts w:ascii="仿宋_GB2312" w:eastAsia="仿宋_GB2312"/>
                <w:sz w:val="28"/>
                <w:szCs w:val="28"/>
              </w:rPr>
            </w:pPr>
            <w:r>
              <w:rPr>
                <w:rFonts w:hint="eastAsia" w:ascii="仿宋_GB2312" w:eastAsia="仿宋_GB2312"/>
                <w:sz w:val="28"/>
                <w:szCs w:val="28"/>
              </w:rPr>
              <w:t>取得施工图审查合格报告，且完成施工图预算审定（</w:t>
            </w:r>
            <w:r>
              <w:rPr>
                <w:rFonts w:ascii="仿宋_GB2312" w:eastAsia="仿宋_GB2312"/>
                <w:sz w:val="28"/>
                <w:szCs w:val="28"/>
              </w:rPr>
              <w:t>EPC模式），或完成工程量清单编制并确定招标控制价（传统模式）</w:t>
            </w:r>
          </w:p>
        </w:tc>
        <w:tc>
          <w:tcPr>
            <w:tcW w:w="2175" w:type="dxa"/>
            <w:vAlign w:val="center"/>
          </w:tcPr>
          <w:p w14:paraId="20893201">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20%×A+F</w:t>
            </w:r>
          </w:p>
        </w:tc>
        <w:tc>
          <w:tcPr>
            <w:tcW w:w="1549" w:type="dxa"/>
            <w:vAlign w:val="center"/>
          </w:tcPr>
          <w:p w14:paraId="0068E1E1">
            <w:pPr>
              <w:spacing w:after="120"/>
              <w:ind w:firstLine="0" w:firstLineChars="0"/>
              <w:rPr>
                <w:rFonts w:ascii="仿宋_GB2312" w:eastAsia="仿宋_GB2312"/>
                <w:sz w:val="28"/>
                <w:szCs w:val="28"/>
              </w:rPr>
            </w:pPr>
            <w:r>
              <w:rPr>
                <w:rFonts w:hint="eastAsia" w:ascii="仿宋_GB2312" w:eastAsia="仿宋_GB2312"/>
                <w:sz w:val="28"/>
                <w:szCs w:val="28"/>
              </w:rPr>
              <w:t>按附件三</w:t>
            </w:r>
          </w:p>
        </w:tc>
      </w:tr>
      <w:tr w14:paraId="1D66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2545878D">
            <w:pPr>
              <w:spacing w:after="120"/>
              <w:ind w:firstLine="0" w:firstLineChars="0"/>
              <w:rPr>
                <w:rFonts w:ascii="仿宋_GB2312" w:eastAsia="仿宋_GB2312"/>
                <w:sz w:val="28"/>
                <w:szCs w:val="28"/>
              </w:rPr>
            </w:pPr>
            <w:r>
              <w:rPr>
                <w:rFonts w:ascii="仿宋_GB2312" w:eastAsia="仿宋_GB2312"/>
                <w:sz w:val="28"/>
                <w:szCs w:val="28"/>
              </w:rPr>
              <w:t>5</w:t>
            </w:r>
          </w:p>
        </w:tc>
        <w:tc>
          <w:tcPr>
            <w:tcW w:w="4812" w:type="dxa"/>
            <w:vAlign w:val="center"/>
          </w:tcPr>
          <w:p w14:paraId="568FFDD0">
            <w:pPr>
              <w:spacing w:after="120"/>
              <w:ind w:firstLine="0" w:firstLineChars="0"/>
              <w:rPr>
                <w:rFonts w:ascii="仿宋_GB2312" w:eastAsia="仿宋_GB2312"/>
                <w:sz w:val="28"/>
                <w:szCs w:val="28"/>
              </w:rPr>
            </w:pPr>
            <w:r>
              <w:rPr>
                <w:rFonts w:hint="eastAsia" w:ascii="仿宋_GB2312" w:eastAsia="仿宋_GB2312"/>
                <w:sz w:val="28"/>
                <w:szCs w:val="28"/>
              </w:rPr>
              <w:t>向城建档案管理部门移交全套工程资料并取得相关证明，并完成所有设计变更审批手续</w:t>
            </w:r>
          </w:p>
        </w:tc>
        <w:tc>
          <w:tcPr>
            <w:tcW w:w="2175" w:type="dxa"/>
            <w:vAlign w:val="center"/>
          </w:tcPr>
          <w:p w14:paraId="062D9324">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20%×B</w:t>
            </w:r>
          </w:p>
        </w:tc>
        <w:tc>
          <w:tcPr>
            <w:tcW w:w="1549" w:type="dxa"/>
            <w:vAlign w:val="center"/>
          </w:tcPr>
          <w:p w14:paraId="110782B3">
            <w:pPr>
              <w:spacing w:after="120"/>
              <w:ind w:firstLine="0" w:firstLineChars="0"/>
              <w:rPr>
                <w:rFonts w:ascii="仿宋_GB2312" w:eastAsia="仿宋_GB2312"/>
                <w:sz w:val="28"/>
                <w:szCs w:val="28"/>
              </w:rPr>
            </w:pPr>
            <w:r>
              <w:rPr>
                <w:rFonts w:hint="eastAsia" w:ascii="仿宋_GB2312" w:eastAsia="仿宋_GB2312"/>
                <w:sz w:val="28"/>
                <w:szCs w:val="28"/>
              </w:rPr>
              <w:t>按附件四</w:t>
            </w:r>
          </w:p>
        </w:tc>
      </w:tr>
      <w:tr w14:paraId="2EACD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2B4717A6">
            <w:pPr>
              <w:spacing w:after="120"/>
              <w:ind w:firstLine="560"/>
              <w:jc w:val="center"/>
              <w:rPr>
                <w:rFonts w:ascii="仿宋_GB2312" w:eastAsia="仿宋_GB2312"/>
                <w:sz w:val="28"/>
                <w:szCs w:val="28"/>
              </w:rPr>
            </w:pPr>
            <w:r>
              <w:rPr>
                <w:rFonts w:ascii="仿宋_GB2312" w:eastAsia="仿宋_GB2312"/>
                <w:sz w:val="28"/>
                <w:szCs w:val="28"/>
              </w:rPr>
              <w:t>6</w:t>
            </w:r>
          </w:p>
        </w:tc>
        <w:tc>
          <w:tcPr>
            <w:tcW w:w="4812" w:type="dxa"/>
            <w:vAlign w:val="center"/>
          </w:tcPr>
          <w:p w14:paraId="34522C6A">
            <w:pPr>
              <w:spacing w:after="120"/>
              <w:ind w:firstLine="0" w:firstLineChars="0"/>
              <w:rPr>
                <w:rFonts w:ascii="仿宋_GB2312" w:eastAsia="仿宋_GB2312"/>
                <w:sz w:val="28"/>
                <w:szCs w:val="28"/>
              </w:rPr>
            </w:pPr>
            <w:r>
              <w:rPr>
                <w:rFonts w:hint="eastAsia" w:ascii="仿宋_GB2312" w:eastAsia="仿宋_GB2312"/>
                <w:sz w:val="28"/>
                <w:szCs w:val="28"/>
              </w:rPr>
              <w:t>合同结算经省政府财政部门审定</w:t>
            </w:r>
          </w:p>
        </w:tc>
        <w:tc>
          <w:tcPr>
            <w:tcW w:w="2175" w:type="dxa"/>
            <w:vAlign w:val="center"/>
          </w:tcPr>
          <w:p w14:paraId="3BF37E4B">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10%或按省政府财政部门审定应付金额</w:t>
            </w:r>
          </w:p>
        </w:tc>
        <w:tc>
          <w:tcPr>
            <w:tcW w:w="1549" w:type="dxa"/>
            <w:vAlign w:val="center"/>
          </w:tcPr>
          <w:p w14:paraId="4EB13E31">
            <w:pPr>
              <w:spacing w:after="120"/>
              <w:ind w:firstLine="560"/>
              <w:jc w:val="center"/>
              <w:rPr>
                <w:rFonts w:ascii="仿宋_GB2312" w:eastAsia="仿宋_GB2312"/>
                <w:sz w:val="28"/>
                <w:szCs w:val="28"/>
              </w:rPr>
            </w:pPr>
            <w:r>
              <w:rPr>
                <w:rFonts w:ascii="仿宋_GB2312" w:eastAsia="仿宋_GB2312"/>
                <w:sz w:val="28"/>
                <w:szCs w:val="28"/>
              </w:rPr>
              <w:t>/</w:t>
            </w:r>
          </w:p>
        </w:tc>
      </w:tr>
      <w:tr w14:paraId="5675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39A8FB3D">
            <w:pPr>
              <w:spacing w:after="120"/>
              <w:ind w:firstLine="0" w:firstLineChars="0"/>
              <w:rPr>
                <w:rFonts w:ascii="仿宋_GB2312" w:eastAsia="仿宋_GB2312"/>
                <w:sz w:val="28"/>
                <w:szCs w:val="28"/>
              </w:rPr>
            </w:pPr>
            <w:r>
              <w:rPr>
                <w:rFonts w:ascii="仿宋_GB2312" w:eastAsia="仿宋_GB2312"/>
                <w:sz w:val="28"/>
                <w:szCs w:val="28"/>
              </w:rPr>
              <w:t>7</w:t>
            </w:r>
          </w:p>
        </w:tc>
        <w:tc>
          <w:tcPr>
            <w:tcW w:w="4812" w:type="dxa"/>
            <w:vAlign w:val="center"/>
          </w:tcPr>
          <w:p w14:paraId="74CE73F8">
            <w:pPr>
              <w:spacing w:after="120"/>
              <w:ind w:firstLine="0" w:firstLineChars="0"/>
              <w:rPr>
                <w:rFonts w:ascii="仿宋_GB2312" w:eastAsia="仿宋_GB2312"/>
                <w:sz w:val="28"/>
                <w:szCs w:val="28"/>
              </w:rPr>
            </w:pPr>
            <w:r>
              <w:rPr>
                <w:rFonts w:hint="eastAsia" w:ascii="仿宋_GB2312" w:eastAsia="仿宋_GB2312"/>
                <w:sz w:val="28"/>
                <w:szCs w:val="28"/>
              </w:rPr>
              <w:t>缺陷责任期届满</w:t>
            </w:r>
          </w:p>
        </w:tc>
        <w:tc>
          <w:tcPr>
            <w:tcW w:w="2175" w:type="dxa"/>
            <w:vAlign w:val="center"/>
          </w:tcPr>
          <w:p w14:paraId="0B0D2B94">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5%×C</w:t>
            </w:r>
          </w:p>
        </w:tc>
        <w:tc>
          <w:tcPr>
            <w:tcW w:w="1549" w:type="dxa"/>
            <w:vAlign w:val="center"/>
          </w:tcPr>
          <w:p w14:paraId="11BF3762">
            <w:pPr>
              <w:spacing w:after="120"/>
              <w:ind w:firstLine="0" w:firstLineChars="0"/>
              <w:rPr>
                <w:rFonts w:ascii="仿宋_GB2312" w:eastAsia="仿宋_GB2312"/>
                <w:sz w:val="28"/>
                <w:szCs w:val="28"/>
              </w:rPr>
            </w:pPr>
            <w:r>
              <w:rPr>
                <w:rFonts w:hint="eastAsia" w:ascii="仿宋_GB2312" w:eastAsia="仿宋_GB2312"/>
                <w:sz w:val="28"/>
                <w:szCs w:val="28"/>
              </w:rPr>
              <w:t>按附件五</w:t>
            </w:r>
          </w:p>
        </w:tc>
      </w:tr>
    </w:tbl>
    <w:p w14:paraId="3B6FD27F">
      <w:pPr>
        <w:spacing w:after="120" w:line="560" w:lineRule="exact"/>
        <w:ind w:firstLine="640"/>
        <w:rPr>
          <w:rFonts w:ascii="仿宋_GB2312" w:eastAsia="仿宋_GB2312"/>
          <w:sz w:val="32"/>
          <w:szCs w:val="32"/>
        </w:rPr>
      </w:pPr>
      <w:r>
        <w:rPr>
          <w:rFonts w:hint="eastAsia" w:ascii="仿宋_GB2312" w:eastAsia="仿宋_GB2312"/>
          <w:sz w:val="32"/>
          <w:szCs w:val="32"/>
        </w:rPr>
        <w:t>2、分阶段设计模式（取得初步设计批复后的EPC模式）</w:t>
      </w:r>
    </w:p>
    <w:p w14:paraId="64063556">
      <w:pPr>
        <w:spacing w:after="120" w:line="560" w:lineRule="exact"/>
        <w:ind w:firstLine="640"/>
        <w:rPr>
          <w:rFonts w:ascii="仿宋_GB2312" w:eastAsia="仿宋_GB2312"/>
          <w:sz w:val="32"/>
          <w:szCs w:val="32"/>
        </w:rPr>
      </w:pPr>
      <w:r>
        <w:rPr>
          <w:rFonts w:hint="eastAsia" w:ascii="仿宋_GB2312" w:eastAsia="仿宋_GB2312"/>
          <w:sz w:val="32"/>
          <w:szCs w:val="32"/>
        </w:rPr>
        <w:t>（1）方案设计及初步设计单位</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4857"/>
        <w:gridCol w:w="2595"/>
        <w:gridCol w:w="1084"/>
      </w:tblGrid>
      <w:tr w14:paraId="4D03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18503663">
            <w:pPr>
              <w:spacing w:after="120"/>
              <w:ind w:firstLine="0" w:firstLineChars="0"/>
              <w:rPr>
                <w:rFonts w:ascii="仿宋_GB2312" w:eastAsia="仿宋_GB2312"/>
                <w:sz w:val="28"/>
                <w:szCs w:val="28"/>
              </w:rPr>
            </w:pPr>
            <w:r>
              <w:rPr>
                <w:rFonts w:hint="eastAsia" w:ascii="仿宋_GB2312" w:eastAsia="仿宋_GB2312"/>
                <w:sz w:val="28"/>
                <w:szCs w:val="28"/>
              </w:rPr>
              <w:t>支付节点</w:t>
            </w:r>
          </w:p>
        </w:tc>
        <w:tc>
          <w:tcPr>
            <w:tcW w:w="4857" w:type="dxa"/>
            <w:vAlign w:val="center"/>
          </w:tcPr>
          <w:p w14:paraId="06CE11FF">
            <w:pPr>
              <w:spacing w:after="120"/>
              <w:ind w:firstLine="560"/>
              <w:jc w:val="center"/>
              <w:rPr>
                <w:rFonts w:ascii="仿宋_GB2312" w:eastAsia="仿宋_GB2312"/>
                <w:sz w:val="28"/>
                <w:szCs w:val="28"/>
              </w:rPr>
            </w:pPr>
            <w:r>
              <w:rPr>
                <w:rFonts w:hint="eastAsia" w:ascii="仿宋_GB2312" w:eastAsia="仿宋_GB2312"/>
                <w:sz w:val="28"/>
                <w:szCs w:val="28"/>
              </w:rPr>
              <w:t>支付条件</w:t>
            </w:r>
          </w:p>
        </w:tc>
        <w:tc>
          <w:tcPr>
            <w:tcW w:w="2595" w:type="dxa"/>
            <w:vAlign w:val="center"/>
          </w:tcPr>
          <w:p w14:paraId="587967AD">
            <w:pPr>
              <w:spacing w:after="120"/>
              <w:ind w:firstLine="560"/>
              <w:jc w:val="center"/>
              <w:rPr>
                <w:rFonts w:ascii="仿宋_GB2312" w:eastAsia="仿宋_GB2312"/>
                <w:sz w:val="28"/>
                <w:szCs w:val="28"/>
              </w:rPr>
            </w:pPr>
            <w:r>
              <w:rPr>
                <w:rFonts w:hint="eastAsia" w:ascii="仿宋_GB2312" w:eastAsia="仿宋_GB2312"/>
                <w:sz w:val="28"/>
                <w:szCs w:val="28"/>
              </w:rPr>
              <w:t>支付金额</w:t>
            </w:r>
          </w:p>
        </w:tc>
        <w:tc>
          <w:tcPr>
            <w:tcW w:w="1084" w:type="dxa"/>
            <w:vAlign w:val="center"/>
          </w:tcPr>
          <w:p w14:paraId="4E0FF9D6">
            <w:pPr>
              <w:spacing w:after="120"/>
              <w:ind w:firstLine="0" w:firstLineChars="0"/>
              <w:rPr>
                <w:rFonts w:ascii="仿宋_GB2312" w:eastAsia="仿宋_GB2312"/>
                <w:sz w:val="28"/>
                <w:szCs w:val="28"/>
              </w:rPr>
            </w:pPr>
            <w:r>
              <w:rPr>
                <w:rFonts w:hint="eastAsia" w:ascii="仿宋_GB2312" w:eastAsia="仿宋_GB2312"/>
                <w:sz w:val="28"/>
                <w:szCs w:val="28"/>
              </w:rPr>
              <w:t>考评标准</w:t>
            </w:r>
          </w:p>
        </w:tc>
      </w:tr>
      <w:tr w14:paraId="05CA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6EE35D21">
            <w:pPr>
              <w:spacing w:after="120"/>
              <w:ind w:firstLine="0" w:firstLineChars="0"/>
              <w:jc w:val="left"/>
              <w:rPr>
                <w:rFonts w:ascii="仿宋_GB2312" w:eastAsia="仿宋_GB2312"/>
                <w:sz w:val="28"/>
                <w:szCs w:val="28"/>
              </w:rPr>
            </w:pPr>
            <w:r>
              <w:rPr>
                <w:rFonts w:hint="eastAsia" w:ascii="仿宋_GB2312" w:eastAsia="仿宋_GB2312"/>
                <w:sz w:val="28"/>
                <w:szCs w:val="28"/>
              </w:rPr>
              <w:t>1</w:t>
            </w:r>
          </w:p>
        </w:tc>
        <w:tc>
          <w:tcPr>
            <w:tcW w:w="4857" w:type="dxa"/>
            <w:vAlign w:val="center"/>
          </w:tcPr>
          <w:p w14:paraId="2F0FC5B4">
            <w:pPr>
              <w:spacing w:after="120"/>
              <w:ind w:firstLine="0" w:firstLineChars="0"/>
              <w:jc w:val="left"/>
              <w:rPr>
                <w:rFonts w:ascii="仿宋_GB2312" w:eastAsia="仿宋_GB2312"/>
                <w:sz w:val="28"/>
                <w:szCs w:val="28"/>
              </w:rPr>
            </w:pPr>
            <w:r>
              <w:rPr>
                <w:rFonts w:hint="eastAsia" w:ascii="仿宋_GB2312" w:eastAsia="仿宋_GB2312"/>
                <w:sz w:val="28"/>
                <w:szCs w:val="28"/>
              </w:rPr>
              <w:t>签订合同并提交履约保函</w:t>
            </w:r>
          </w:p>
        </w:tc>
        <w:tc>
          <w:tcPr>
            <w:tcW w:w="2595" w:type="dxa"/>
            <w:vAlign w:val="center"/>
          </w:tcPr>
          <w:p w14:paraId="65BDDCFC">
            <w:pPr>
              <w:spacing w:after="120"/>
              <w:ind w:firstLine="0" w:firstLineChars="0"/>
              <w:rPr>
                <w:rFonts w:ascii="仿宋_GB2312" w:eastAsia="仿宋_GB2312"/>
                <w:sz w:val="28"/>
                <w:szCs w:val="28"/>
              </w:rPr>
            </w:pPr>
            <w:r>
              <w:rPr>
                <w:rFonts w:hint="eastAsia" w:ascii="仿宋_GB2312" w:eastAsia="仿宋_GB2312"/>
                <w:sz w:val="28"/>
                <w:szCs w:val="28"/>
              </w:rPr>
              <w:t>基数×10%</w:t>
            </w:r>
          </w:p>
        </w:tc>
        <w:tc>
          <w:tcPr>
            <w:tcW w:w="1084" w:type="dxa"/>
            <w:vAlign w:val="center"/>
          </w:tcPr>
          <w:p w14:paraId="6137DDC9">
            <w:pPr>
              <w:spacing w:after="120"/>
              <w:ind w:firstLine="560"/>
              <w:jc w:val="center"/>
              <w:rPr>
                <w:rFonts w:ascii="仿宋_GB2312" w:eastAsia="仿宋_GB2312"/>
                <w:sz w:val="28"/>
                <w:szCs w:val="28"/>
              </w:rPr>
            </w:pPr>
            <w:r>
              <w:rPr>
                <w:rFonts w:hint="eastAsia" w:ascii="仿宋_GB2312" w:eastAsia="仿宋_GB2312"/>
                <w:sz w:val="28"/>
                <w:szCs w:val="28"/>
              </w:rPr>
              <w:t>/</w:t>
            </w:r>
          </w:p>
        </w:tc>
      </w:tr>
      <w:tr w14:paraId="4ED2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279B984E">
            <w:pPr>
              <w:spacing w:after="120"/>
              <w:ind w:firstLine="0" w:firstLineChars="0"/>
              <w:jc w:val="left"/>
              <w:rPr>
                <w:rFonts w:ascii="仿宋_GB2312" w:eastAsia="仿宋_GB2312"/>
                <w:sz w:val="28"/>
                <w:szCs w:val="28"/>
              </w:rPr>
            </w:pPr>
            <w:r>
              <w:rPr>
                <w:rFonts w:hint="eastAsia" w:ascii="仿宋_GB2312" w:eastAsia="仿宋_GB2312"/>
                <w:sz w:val="28"/>
                <w:szCs w:val="28"/>
              </w:rPr>
              <w:t>2</w:t>
            </w:r>
          </w:p>
        </w:tc>
        <w:tc>
          <w:tcPr>
            <w:tcW w:w="4857" w:type="dxa"/>
            <w:vAlign w:val="center"/>
          </w:tcPr>
          <w:p w14:paraId="3D1EF5ED">
            <w:pPr>
              <w:spacing w:after="120"/>
              <w:ind w:firstLine="0" w:firstLineChars="0"/>
              <w:jc w:val="left"/>
              <w:rPr>
                <w:rFonts w:ascii="仿宋_GB2312" w:eastAsia="仿宋_GB2312"/>
                <w:sz w:val="28"/>
                <w:szCs w:val="28"/>
              </w:rPr>
            </w:pPr>
            <w:r>
              <w:rPr>
                <w:rFonts w:hint="eastAsia" w:ascii="仿宋_GB2312" w:eastAsia="仿宋_GB2312"/>
                <w:sz w:val="28"/>
                <w:szCs w:val="28"/>
              </w:rPr>
              <w:t>取得规划部门对工程方案或修规的批复</w:t>
            </w:r>
          </w:p>
        </w:tc>
        <w:tc>
          <w:tcPr>
            <w:tcW w:w="2595" w:type="dxa"/>
            <w:vAlign w:val="center"/>
          </w:tcPr>
          <w:p w14:paraId="6AAB161F">
            <w:pPr>
              <w:spacing w:after="120"/>
              <w:ind w:firstLine="0" w:firstLineChars="0"/>
              <w:rPr>
                <w:rFonts w:ascii="仿宋_GB2312" w:eastAsia="仿宋_GB2312"/>
                <w:sz w:val="28"/>
                <w:szCs w:val="28"/>
              </w:rPr>
            </w:pPr>
            <w:r>
              <w:rPr>
                <w:rFonts w:hint="eastAsia" w:ascii="仿宋_GB2312" w:eastAsia="仿宋_GB2312"/>
                <w:sz w:val="28"/>
                <w:szCs w:val="28"/>
              </w:rPr>
              <w:t>基数×30%×A</w:t>
            </w:r>
          </w:p>
        </w:tc>
        <w:tc>
          <w:tcPr>
            <w:tcW w:w="1084" w:type="dxa"/>
            <w:vAlign w:val="center"/>
          </w:tcPr>
          <w:p w14:paraId="6C623BA9">
            <w:pPr>
              <w:spacing w:after="120"/>
              <w:ind w:firstLine="0" w:firstLineChars="0"/>
              <w:rPr>
                <w:rFonts w:ascii="仿宋_GB2312" w:eastAsia="仿宋_GB2312"/>
                <w:sz w:val="28"/>
                <w:szCs w:val="28"/>
              </w:rPr>
            </w:pPr>
            <w:r>
              <w:rPr>
                <w:rFonts w:hint="eastAsia" w:ascii="仿宋_GB2312" w:eastAsia="仿宋_GB2312"/>
                <w:sz w:val="28"/>
                <w:szCs w:val="28"/>
              </w:rPr>
              <w:t>按附件一</w:t>
            </w:r>
          </w:p>
        </w:tc>
      </w:tr>
      <w:tr w14:paraId="6B27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0B3A3DBB">
            <w:pPr>
              <w:spacing w:after="120"/>
              <w:ind w:firstLine="0" w:firstLineChars="0"/>
              <w:jc w:val="left"/>
              <w:rPr>
                <w:rFonts w:ascii="仿宋_GB2312" w:eastAsia="仿宋_GB2312"/>
                <w:sz w:val="28"/>
                <w:szCs w:val="28"/>
              </w:rPr>
            </w:pPr>
            <w:r>
              <w:rPr>
                <w:rFonts w:hint="eastAsia" w:ascii="仿宋_GB2312" w:eastAsia="仿宋_GB2312"/>
                <w:sz w:val="28"/>
                <w:szCs w:val="28"/>
              </w:rPr>
              <w:t>3</w:t>
            </w:r>
          </w:p>
        </w:tc>
        <w:tc>
          <w:tcPr>
            <w:tcW w:w="4857" w:type="dxa"/>
            <w:vAlign w:val="center"/>
          </w:tcPr>
          <w:p w14:paraId="4A12D604">
            <w:pPr>
              <w:spacing w:after="120"/>
              <w:ind w:firstLine="0" w:firstLineChars="0"/>
              <w:jc w:val="left"/>
              <w:rPr>
                <w:rFonts w:ascii="仿宋_GB2312" w:eastAsia="仿宋_GB2312"/>
                <w:sz w:val="28"/>
                <w:szCs w:val="28"/>
              </w:rPr>
            </w:pPr>
            <w:r>
              <w:rPr>
                <w:rFonts w:hint="eastAsia" w:ascii="仿宋_GB2312" w:eastAsia="仿宋_GB2312"/>
                <w:sz w:val="28"/>
                <w:szCs w:val="28"/>
              </w:rPr>
              <w:t>取得发改部门对初步设计概算的批复</w:t>
            </w:r>
          </w:p>
        </w:tc>
        <w:tc>
          <w:tcPr>
            <w:tcW w:w="2595" w:type="dxa"/>
            <w:vAlign w:val="center"/>
          </w:tcPr>
          <w:p w14:paraId="78A9B330">
            <w:pPr>
              <w:spacing w:after="120"/>
              <w:ind w:firstLine="0" w:firstLineChars="0"/>
              <w:rPr>
                <w:rFonts w:ascii="仿宋_GB2312" w:eastAsia="仿宋_GB2312"/>
                <w:sz w:val="28"/>
                <w:szCs w:val="28"/>
              </w:rPr>
            </w:pPr>
            <w:r>
              <w:rPr>
                <w:rFonts w:hint="eastAsia" w:ascii="仿宋_GB2312" w:eastAsia="仿宋_GB2312"/>
                <w:sz w:val="28"/>
                <w:szCs w:val="28"/>
              </w:rPr>
              <w:t>基数×40%×A+F</w:t>
            </w:r>
          </w:p>
        </w:tc>
        <w:tc>
          <w:tcPr>
            <w:tcW w:w="1084" w:type="dxa"/>
            <w:vAlign w:val="center"/>
          </w:tcPr>
          <w:p w14:paraId="54678575">
            <w:pPr>
              <w:spacing w:after="120"/>
              <w:ind w:firstLine="0" w:firstLineChars="0"/>
              <w:rPr>
                <w:rFonts w:ascii="仿宋_GB2312" w:eastAsia="仿宋_GB2312"/>
                <w:sz w:val="28"/>
                <w:szCs w:val="28"/>
              </w:rPr>
            </w:pPr>
            <w:r>
              <w:rPr>
                <w:rFonts w:hint="eastAsia" w:ascii="仿宋_GB2312" w:eastAsia="仿宋_GB2312"/>
                <w:sz w:val="28"/>
                <w:szCs w:val="28"/>
              </w:rPr>
              <w:t>按附件二</w:t>
            </w:r>
          </w:p>
        </w:tc>
      </w:tr>
      <w:tr w14:paraId="28FD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269EC317">
            <w:pPr>
              <w:spacing w:after="120"/>
              <w:ind w:firstLine="0" w:firstLineChars="0"/>
              <w:jc w:val="left"/>
              <w:rPr>
                <w:rFonts w:ascii="仿宋_GB2312" w:eastAsia="仿宋_GB2312"/>
                <w:sz w:val="28"/>
                <w:szCs w:val="28"/>
              </w:rPr>
            </w:pPr>
            <w:r>
              <w:rPr>
                <w:rFonts w:hint="eastAsia" w:ascii="仿宋_GB2312" w:eastAsia="仿宋_GB2312"/>
                <w:sz w:val="28"/>
                <w:szCs w:val="28"/>
              </w:rPr>
              <w:t>4</w:t>
            </w:r>
          </w:p>
        </w:tc>
        <w:tc>
          <w:tcPr>
            <w:tcW w:w="4857" w:type="dxa"/>
            <w:vAlign w:val="center"/>
          </w:tcPr>
          <w:p w14:paraId="32C4E318">
            <w:pPr>
              <w:spacing w:after="120"/>
              <w:ind w:firstLine="0" w:firstLineChars="0"/>
              <w:jc w:val="left"/>
              <w:rPr>
                <w:rFonts w:ascii="仿宋_GB2312" w:eastAsia="仿宋_GB2312"/>
                <w:sz w:val="28"/>
                <w:szCs w:val="28"/>
              </w:rPr>
            </w:pPr>
            <w:r>
              <w:rPr>
                <w:rFonts w:hint="eastAsia" w:ascii="仿宋_GB2312" w:eastAsia="仿宋_GB2312"/>
                <w:sz w:val="28"/>
                <w:szCs w:val="28"/>
              </w:rPr>
              <w:t>完成对施工图设计单位的成果审核，取得施工图审查合格报告</w:t>
            </w:r>
          </w:p>
        </w:tc>
        <w:tc>
          <w:tcPr>
            <w:tcW w:w="2595" w:type="dxa"/>
            <w:vAlign w:val="center"/>
          </w:tcPr>
          <w:p w14:paraId="35875282">
            <w:pPr>
              <w:spacing w:after="120"/>
              <w:ind w:firstLine="0" w:firstLineChars="0"/>
              <w:rPr>
                <w:rFonts w:ascii="仿宋_GB2312" w:eastAsia="仿宋_GB2312"/>
                <w:sz w:val="28"/>
                <w:szCs w:val="28"/>
              </w:rPr>
            </w:pPr>
            <w:r>
              <w:rPr>
                <w:rFonts w:hint="eastAsia" w:ascii="仿宋_GB2312" w:eastAsia="仿宋_GB2312"/>
                <w:sz w:val="28"/>
                <w:szCs w:val="28"/>
              </w:rPr>
              <w:t>基数×10%×A</w:t>
            </w:r>
          </w:p>
        </w:tc>
        <w:tc>
          <w:tcPr>
            <w:tcW w:w="1084" w:type="dxa"/>
            <w:vAlign w:val="center"/>
          </w:tcPr>
          <w:p w14:paraId="28087BDF">
            <w:pPr>
              <w:spacing w:after="120"/>
              <w:ind w:firstLine="0" w:firstLineChars="0"/>
              <w:rPr>
                <w:rFonts w:ascii="仿宋_GB2312" w:eastAsia="仿宋_GB2312"/>
                <w:sz w:val="28"/>
                <w:szCs w:val="28"/>
              </w:rPr>
            </w:pPr>
            <w:r>
              <w:rPr>
                <w:rFonts w:hint="eastAsia" w:ascii="仿宋_GB2312" w:eastAsia="仿宋_GB2312"/>
                <w:sz w:val="28"/>
                <w:szCs w:val="28"/>
              </w:rPr>
              <w:t>/</w:t>
            </w:r>
          </w:p>
        </w:tc>
      </w:tr>
      <w:tr w14:paraId="3196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 w:type="dxa"/>
            <w:vAlign w:val="center"/>
          </w:tcPr>
          <w:p w14:paraId="4D1AA05D">
            <w:pPr>
              <w:spacing w:after="120"/>
              <w:ind w:firstLine="0" w:firstLineChars="0"/>
              <w:jc w:val="left"/>
              <w:rPr>
                <w:rFonts w:ascii="仿宋_GB2312" w:eastAsia="仿宋_GB2312"/>
                <w:sz w:val="28"/>
                <w:szCs w:val="28"/>
              </w:rPr>
            </w:pPr>
            <w:r>
              <w:rPr>
                <w:rFonts w:hint="eastAsia" w:ascii="仿宋_GB2312" w:eastAsia="仿宋_GB2312"/>
                <w:sz w:val="28"/>
                <w:szCs w:val="28"/>
              </w:rPr>
              <w:t>5</w:t>
            </w:r>
          </w:p>
        </w:tc>
        <w:tc>
          <w:tcPr>
            <w:tcW w:w="4857" w:type="dxa"/>
            <w:vAlign w:val="center"/>
          </w:tcPr>
          <w:p w14:paraId="03EA21FF">
            <w:pPr>
              <w:spacing w:after="120"/>
              <w:ind w:firstLine="0" w:firstLineChars="0"/>
              <w:jc w:val="left"/>
              <w:rPr>
                <w:rFonts w:ascii="仿宋_GB2312" w:eastAsia="仿宋_GB2312"/>
                <w:sz w:val="28"/>
                <w:szCs w:val="28"/>
              </w:rPr>
            </w:pPr>
            <w:r>
              <w:rPr>
                <w:rFonts w:hint="eastAsia" w:ascii="仿宋_GB2312" w:eastAsia="仿宋_GB2312"/>
                <w:sz w:val="28"/>
                <w:szCs w:val="28"/>
              </w:rPr>
              <w:t>合同结算经省政府财政部门审定</w:t>
            </w:r>
          </w:p>
        </w:tc>
        <w:tc>
          <w:tcPr>
            <w:tcW w:w="2595" w:type="dxa"/>
            <w:vAlign w:val="center"/>
          </w:tcPr>
          <w:p w14:paraId="2CE2BD1D">
            <w:pPr>
              <w:spacing w:after="120"/>
              <w:ind w:firstLine="0" w:firstLineChars="0"/>
              <w:rPr>
                <w:rFonts w:ascii="仿宋_GB2312" w:eastAsia="仿宋_GB2312"/>
                <w:sz w:val="28"/>
                <w:szCs w:val="28"/>
              </w:rPr>
            </w:pPr>
            <w:r>
              <w:rPr>
                <w:rFonts w:hint="eastAsia" w:ascii="仿宋_GB2312" w:eastAsia="仿宋_GB2312"/>
                <w:sz w:val="28"/>
                <w:szCs w:val="28"/>
              </w:rPr>
              <w:t>基数×10%或按省政府财政部门审定应付金额</w:t>
            </w:r>
          </w:p>
        </w:tc>
        <w:tc>
          <w:tcPr>
            <w:tcW w:w="1084" w:type="dxa"/>
            <w:vAlign w:val="center"/>
          </w:tcPr>
          <w:p w14:paraId="7225AE08">
            <w:pPr>
              <w:spacing w:after="120"/>
              <w:ind w:firstLine="0" w:firstLineChars="0"/>
              <w:rPr>
                <w:rFonts w:ascii="仿宋_GB2312" w:eastAsia="仿宋_GB2312"/>
                <w:sz w:val="28"/>
                <w:szCs w:val="28"/>
              </w:rPr>
            </w:pPr>
            <w:r>
              <w:rPr>
                <w:rFonts w:hint="eastAsia" w:ascii="仿宋_GB2312" w:eastAsia="仿宋_GB2312"/>
                <w:sz w:val="28"/>
                <w:szCs w:val="28"/>
              </w:rPr>
              <w:t>/</w:t>
            </w:r>
          </w:p>
        </w:tc>
      </w:tr>
    </w:tbl>
    <w:p w14:paraId="510B3924">
      <w:pPr>
        <w:spacing w:after="120" w:line="560" w:lineRule="exact"/>
        <w:ind w:firstLine="640"/>
        <w:rPr>
          <w:rFonts w:ascii="仿宋_GB2312" w:eastAsia="仿宋_GB2312"/>
          <w:sz w:val="32"/>
          <w:szCs w:val="32"/>
        </w:rPr>
      </w:pPr>
      <w:r>
        <w:rPr>
          <w:rFonts w:hint="eastAsia" w:ascii="仿宋_GB2312" w:eastAsia="仿宋_GB2312"/>
          <w:sz w:val="32"/>
          <w:szCs w:val="32"/>
        </w:rPr>
        <w:t>（2）施工图设计单位</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5220"/>
        <w:gridCol w:w="2340"/>
        <w:gridCol w:w="898"/>
      </w:tblGrid>
      <w:tr w14:paraId="3E8F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BF25D39">
            <w:pPr>
              <w:spacing w:after="120"/>
              <w:ind w:firstLine="0" w:firstLineChars="0"/>
              <w:rPr>
                <w:rFonts w:ascii="仿宋_GB2312" w:eastAsia="仿宋_GB2312"/>
                <w:sz w:val="28"/>
                <w:szCs w:val="28"/>
              </w:rPr>
            </w:pPr>
            <w:r>
              <w:rPr>
                <w:rFonts w:hint="eastAsia" w:ascii="仿宋_GB2312" w:eastAsia="仿宋_GB2312"/>
                <w:sz w:val="28"/>
                <w:szCs w:val="28"/>
              </w:rPr>
              <w:t>支付节点</w:t>
            </w:r>
          </w:p>
        </w:tc>
        <w:tc>
          <w:tcPr>
            <w:tcW w:w="5220" w:type="dxa"/>
            <w:vAlign w:val="center"/>
          </w:tcPr>
          <w:p w14:paraId="6A3F12BE">
            <w:pPr>
              <w:spacing w:after="120"/>
              <w:ind w:firstLine="560"/>
              <w:jc w:val="center"/>
              <w:rPr>
                <w:rFonts w:ascii="仿宋_GB2312" w:eastAsia="仿宋_GB2312"/>
                <w:sz w:val="28"/>
                <w:szCs w:val="28"/>
              </w:rPr>
            </w:pPr>
            <w:r>
              <w:rPr>
                <w:rFonts w:hint="eastAsia" w:ascii="仿宋_GB2312" w:eastAsia="仿宋_GB2312"/>
                <w:sz w:val="28"/>
                <w:szCs w:val="28"/>
              </w:rPr>
              <w:t>支付条件</w:t>
            </w:r>
          </w:p>
        </w:tc>
        <w:tc>
          <w:tcPr>
            <w:tcW w:w="2340" w:type="dxa"/>
            <w:vAlign w:val="center"/>
          </w:tcPr>
          <w:p w14:paraId="1A7D3EF1">
            <w:pPr>
              <w:spacing w:after="120"/>
              <w:ind w:firstLine="560"/>
              <w:jc w:val="center"/>
              <w:rPr>
                <w:rFonts w:ascii="仿宋_GB2312" w:eastAsia="仿宋_GB2312"/>
                <w:sz w:val="28"/>
                <w:szCs w:val="28"/>
              </w:rPr>
            </w:pPr>
            <w:r>
              <w:rPr>
                <w:rFonts w:hint="eastAsia" w:ascii="仿宋_GB2312" w:eastAsia="仿宋_GB2312"/>
                <w:sz w:val="28"/>
                <w:szCs w:val="28"/>
              </w:rPr>
              <w:t>支付金额</w:t>
            </w:r>
          </w:p>
        </w:tc>
        <w:tc>
          <w:tcPr>
            <w:tcW w:w="898" w:type="dxa"/>
            <w:vAlign w:val="center"/>
          </w:tcPr>
          <w:p w14:paraId="322D4871">
            <w:pPr>
              <w:spacing w:after="120"/>
              <w:ind w:firstLine="0" w:firstLineChars="0"/>
              <w:rPr>
                <w:rFonts w:ascii="仿宋_GB2312" w:eastAsia="仿宋_GB2312"/>
                <w:sz w:val="28"/>
                <w:szCs w:val="28"/>
              </w:rPr>
            </w:pPr>
            <w:r>
              <w:rPr>
                <w:rFonts w:hint="eastAsia" w:ascii="仿宋_GB2312" w:eastAsia="仿宋_GB2312"/>
                <w:sz w:val="28"/>
                <w:szCs w:val="28"/>
              </w:rPr>
              <w:t>考评标准</w:t>
            </w:r>
          </w:p>
        </w:tc>
      </w:tr>
      <w:tr w14:paraId="2F3B7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4F0CD4C">
            <w:pPr>
              <w:spacing w:after="120"/>
              <w:ind w:firstLine="0" w:firstLineChars="0"/>
              <w:rPr>
                <w:rFonts w:ascii="仿宋_GB2312" w:eastAsia="仿宋_GB2312"/>
                <w:sz w:val="28"/>
                <w:szCs w:val="28"/>
              </w:rPr>
            </w:pPr>
            <w:r>
              <w:rPr>
                <w:rFonts w:ascii="仿宋_GB2312" w:eastAsia="仿宋_GB2312"/>
                <w:sz w:val="28"/>
                <w:szCs w:val="28"/>
              </w:rPr>
              <w:t>1</w:t>
            </w:r>
          </w:p>
        </w:tc>
        <w:tc>
          <w:tcPr>
            <w:tcW w:w="5220" w:type="dxa"/>
            <w:vAlign w:val="center"/>
          </w:tcPr>
          <w:p w14:paraId="2BD83349">
            <w:pPr>
              <w:spacing w:after="120"/>
              <w:ind w:firstLine="0" w:firstLineChars="0"/>
              <w:rPr>
                <w:rFonts w:ascii="仿宋_GB2312" w:eastAsia="仿宋_GB2312"/>
                <w:sz w:val="28"/>
                <w:szCs w:val="28"/>
              </w:rPr>
            </w:pPr>
            <w:r>
              <w:rPr>
                <w:rFonts w:hint="eastAsia" w:ascii="仿宋_GB2312" w:eastAsia="仿宋_GB2312"/>
                <w:sz w:val="28"/>
                <w:szCs w:val="28"/>
              </w:rPr>
              <w:t>签订合同并提交履约保函</w:t>
            </w:r>
          </w:p>
        </w:tc>
        <w:tc>
          <w:tcPr>
            <w:tcW w:w="2340" w:type="dxa"/>
            <w:vAlign w:val="center"/>
          </w:tcPr>
          <w:p w14:paraId="1A5A0063">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10%</w:t>
            </w:r>
          </w:p>
        </w:tc>
        <w:tc>
          <w:tcPr>
            <w:tcW w:w="898" w:type="dxa"/>
            <w:vAlign w:val="center"/>
          </w:tcPr>
          <w:p w14:paraId="2D079427">
            <w:pPr>
              <w:spacing w:after="120"/>
              <w:ind w:firstLine="560"/>
              <w:jc w:val="center"/>
              <w:rPr>
                <w:rFonts w:ascii="仿宋_GB2312" w:eastAsia="仿宋_GB2312"/>
                <w:sz w:val="28"/>
                <w:szCs w:val="28"/>
              </w:rPr>
            </w:pPr>
            <w:r>
              <w:rPr>
                <w:rFonts w:ascii="仿宋_GB2312" w:eastAsia="仿宋_GB2312"/>
                <w:sz w:val="28"/>
                <w:szCs w:val="28"/>
              </w:rPr>
              <w:t>/</w:t>
            </w:r>
          </w:p>
        </w:tc>
      </w:tr>
      <w:tr w14:paraId="1C69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7F720D1">
            <w:pPr>
              <w:spacing w:after="120"/>
              <w:ind w:firstLine="0" w:firstLineChars="0"/>
              <w:rPr>
                <w:rFonts w:ascii="仿宋_GB2312" w:eastAsia="仿宋_GB2312"/>
                <w:sz w:val="28"/>
                <w:szCs w:val="28"/>
              </w:rPr>
            </w:pPr>
            <w:r>
              <w:rPr>
                <w:rFonts w:ascii="仿宋_GB2312" w:eastAsia="仿宋_GB2312"/>
                <w:sz w:val="28"/>
                <w:szCs w:val="28"/>
              </w:rPr>
              <w:t>2</w:t>
            </w:r>
          </w:p>
        </w:tc>
        <w:tc>
          <w:tcPr>
            <w:tcW w:w="5220" w:type="dxa"/>
            <w:vAlign w:val="center"/>
          </w:tcPr>
          <w:p w14:paraId="3923BCA8">
            <w:pPr>
              <w:spacing w:after="120"/>
              <w:ind w:firstLine="0" w:firstLineChars="0"/>
              <w:rPr>
                <w:rFonts w:ascii="仿宋_GB2312" w:eastAsia="仿宋_GB2312"/>
                <w:sz w:val="28"/>
                <w:szCs w:val="28"/>
              </w:rPr>
            </w:pPr>
            <w:r>
              <w:rPr>
                <w:rFonts w:hint="eastAsia" w:ascii="仿宋_GB2312" w:eastAsia="仿宋_GB2312"/>
                <w:sz w:val="28"/>
                <w:szCs w:val="28"/>
              </w:rPr>
              <w:t>取得施工图审查合格报告</w:t>
            </w:r>
          </w:p>
        </w:tc>
        <w:tc>
          <w:tcPr>
            <w:tcW w:w="2340" w:type="dxa"/>
            <w:vAlign w:val="center"/>
          </w:tcPr>
          <w:p w14:paraId="62F7C160">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35%×A</w:t>
            </w:r>
          </w:p>
        </w:tc>
        <w:tc>
          <w:tcPr>
            <w:tcW w:w="898" w:type="dxa"/>
            <w:vAlign w:val="center"/>
          </w:tcPr>
          <w:p w14:paraId="2B4AF274">
            <w:pPr>
              <w:spacing w:after="120"/>
              <w:ind w:firstLine="0" w:firstLineChars="0"/>
              <w:rPr>
                <w:rFonts w:ascii="仿宋_GB2312" w:eastAsia="仿宋_GB2312"/>
                <w:sz w:val="28"/>
                <w:szCs w:val="28"/>
              </w:rPr>
            </w:pPr>
            <w:r>
              <w:rPr>
                <w:rFonts w:hint="eastAsia" w:ascii="仿宋_GB2312" w:eastAsia="仿宋_GB2312"/>
                <w:sz w:val="28"/>
                <w:szCs w:val="28"/>
              </w:rPr>
              <w:t>按附件三</w:t>
            </w:r>
          </w:p>
        </w:tc>
      </w:tr>
      <w:tr w14:paraId="28DF7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B32480B">
            <w:pPr>
              <w:spacing w:after="120"/>
              <w:ind w:firstLine="0" w:firstLineChars="0"/>
              <w:rPr>
                <w:rFonts w:ascii="仿宋_GB2312" w:eastAsia="仿宋_GB2312"/>
                <w:sz w:val="28"/>
                <w:szCs w:val="28"/>
              </w:rPr>
            </w:pPr>
            <w:r>
              <w:rPr>
                <w:rFonts w:ascii="仿宋_GB2312" w:eastAsia="仿宋_GB2312"/>
                <w:sz w:val="28"/>
                <w:szCs w:val="28"/>
              </w:rPr>
              <w:t>3</w:t>
            </w:r>
          </w:p>
        </w:tc>
        <w:tc>
          <w:tcPr>
            <w:tcW w:w="5220" w:type="dxa"/>
            <w:vAlign w:val="center"/>
          </w:tcPr>
          <w:p w14:paraId="3DD7FCEE">
            <w:pPr>
              <w:spacing w:after="120"/>
              <w:ind w:firstLine="0" w:firstLineChars="0"/>
              <w:rPr>
                <w:rFonts w:ascii="仿宋_GB2312" w:eastAsia="仿宋_GB2312"/>
                <w:sz w:val="28"/>
                <w:szCs w:val="28"/>
              </w:rPr>
            </w:pPr>
            <w:r>
              <w:rPr>
                <w:rFonts w:hint="eastAsia" w:ascii="仿宋_GB2312" w:eastAsia="仿宋_GB2312"/>
                <w:sz w:val="28"/>
                <w:szCs w:val="28"/>
              </w:rPr>
              <w:t>其它专业施工图及各专业深化施工图完成施工图审查，且完成施工图预算审定</w:t>
            </w:r>
          </w:p>
        </w:tc>
        <w:tc>
          <w:tcPr>
            <w:tcW w:w="2340" w:type="dxa"/>
            <w:vAlign w:val="center"/>
          </w:tcPr>
          <w:p w14:paraId="33AC6BF2">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30%×A+F</w:t>
            </w:r>
          </w:p>
        </w:tc>
        <w:tc>
          <w:tcPr>
            <w:tcW w:w="898" w:type="dxa"/>
            <w:vAlign w:val="center"/>
          </w:tcPr>
          <w:p w14:paraId="13876CF8">
            <w:pPr>
              <w:spacing w:after="120"/>
              <w:ind w:firstLine="0" w:firstLineChars="0"/>
              <w:rPr>
                <w:rFonts w:ascii="仿宋_GB2312" w:eastAsia="仿宋_GB2312"/>
                <w:sz w:val="28"/>
                <w:szCs w:val="28"/>
              </w:rPr>
            </w:pPr>
            <w:r>
              <w:rPr>
                <w:rFonts w:hint="eastAsia" w:ascii="仿宋_GB2312" w:eastAsia="仿宋_GB2312"/>
                <w:sz w:val="28"/>
                <w:szCs w:val="28"/>
              </w:rPr>
              <w:t>按附件三</w:t>
            </w:r>
          </w:p>
        </w:tc>
      </w:tr>
      <w:tr w14:paraId="4545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09572CD0">
            <w:pPr>
              <w:spacing w:after="120"/>
              <w:ind w:firstLine="0" w:firstLineChars="0"/>
              <w:rPr>
                <w:rFonts w:ascii="仿宋_GB2312" w:eastAsia="仿宋_GB2312"/>
                <w:sz w:val="28"/>
                <w:szCs w:val="28"/>
              </w:rPr>
            </w:pPr>
            <w:r>
              <w:rPr>
                <w:rFonts w:ascii="仿宋_GB2312" w:eastAsia="仿宋_GB2312"/>
                <w:sz w:val="28"/>
                <w:szCs w:val="28"/>
              </w:rPr>
              <w:t>4</w:t>
            </w:r>
          </w:p>
        </w:tc>
        <w:tc>
          <w:tcPr>
            <w:tcW w:w="5220" w:type="dxa"/>
            <w:vAlign w:val="center"/>
          </w:tcPr>
          <w:p w14:paraId="59E75924">
            <w:pPr>
              <w:spacing w:after="120"/>
              <w:ind w:firstLine="0" w:firstLineChars="0"/>
              <w:rPr>
                <w:rFonts w:ascii="仿宋_GB2312" w:eastAsia="仿宋_GB2312"/>
                <w:sz w:val="28"/>
                <w:szCs w:val="28"/>
              </w:rPr>
            </w:pPr>
            <w:r>
              <w:rPr>
                <w:rFonts w:hint="eastAsia" w:ascii="仿宋_GB2312" w:eastAsia="仿宋_GB2312"/>
                <w:sz w:val="28"/>
                <w:szCs w:val="28"/>
              </w:rPr>
              <w:t>向城建档案管理部门移交全套工程资料并取得相关证明，并完成所有设计变更审批手续</w:t>
            </w:r>
          </w:p>
        </w:tc>
        <w:tc>
          <w:tcPr>
            <w:tcW w:w="2340" w:type="dxa"/>
            <w:vAlign w:val="center"/>
          </w:tcPr>
          <w:p w14:paraId="636CA4D4">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10%×B</w:t>
            </w:r>
          </w:p>
        </w:tc>
        <w:tc>
          <w:tcPr>
            <w:tcW w:w="898" w:type="dxa"/>
            <w:vAlign w:val="center"/>
          </w:tcPr>
          <w:p w14:paraId="4E42F889">
            <w:pPr>
              <w:spacing w:after="120"/>
              <w:ind w:firstLine="0" w:firstLineChars="0"/>
              <w:rPr>
                <w:rFonts w:ascii="仿宋_GB2312" w:eastAsia="仿宋_GB2312"/>
                <w:sz w:val="28"/>
                <w:szCs w:val="28"/>
              </w:rPr>
            </w:pPr>
            <w:r>
              <w:rPr>
                <w:rFonts w:hint="eastAsia" w:ascii="仿宋_GB2312" w:eastAsia="仿宋_GB2312"/>
                <w:sz w:val="28"/>
                <w:szCs w:val="28"/>
              </w:rPr>
              <w:t>按附件四</w:t>
            </w:r>
          </w:p>
        </w:tc>
      </w:tr>
      <w:tr w14:paraId="4BC0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42A0BCB3">
            <w:pPr>
              <w:spacing w:after="120"/>
              <w:ind w:firstLine="0" w:firstLineChars="0"/>
              <w:rPr>
                <w:rFonts w:ascii="仿宋_GB2312" w:eastAsia="仿宋_GB2312"/>
                <w:sz w:val="28"/>
                <w:szCs w:val="28"/>
              </w:rPr>
            </w:pPr>
            <w:r>
              <w:rPr>
                <w:rFonts w:ascii="仿宋_GB2312" w:eastAsia="仿宋_GB2312"/>
                <w:sz w:val="28"/>
                <w:szCs w:val="28"/>
              </w:rPr>
              <w:t>5</w:t>
            </w:r>
          </w:p>
        </w:tc>
        <w:tc>
          <w:tcPr>
            <w:tcW w:w="5220" w:type="dxa"/>
            <w:vAlign w:val="center"/>
          </w:tcPr>
          <w:p w14:paraId="4DEE3422">
            <w:pPr>
              <w:spacing w:after="120"/>
              <w:ind w:firstLine="0" w:firstLineChars="0"/>
              <w:rPr>
                <w:rFonts w:ascii="仿宋_GB2312" w:eastAsia="仿宋_GB2312"/>
                <w:sz w:val="28"/>
                <w:szCs w:val="28"/>
              </w:rPr>
            </w:pPr>
            <w:r>
              <w:rPr>
                <w:rFonts w:hint="eastAsia" w:ascii="仿宋_GB2312" w:eastAsia="仿宋_GB2312"/>
                <w:sz w:val="28"/>
                <w:szCs w:val="28"/>
              </w:rPr>
              <w:t>合同结算经省政府财政部门审定</w:t>
            </w:r>
          </w:p>
        </w:tc>
        <w:tc>
          <w:tcPr>
            <w:tcW w:w="2340" w:type="dxa"/>
            <w:vAlign w:val="center"/>
          </w:tcPr>
          <w:p w14:paraId="6F661997">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10%或按省政府财政部门审定应付金额</w:t>
            </w:r>
          </w:p>
        </w:tc>
        <w:tc>
          <w:tcPr>
            <w:tcW w:w="898" w:type="dxa"/>
            <w:vAlign w:val="center"/>
          </w:tcPr>
          <w:p w14:paraId="26DCA497">
            <w:pPr>
              <w:spacing w:after="120"/>
              <w:ind w:firstLine="560"/>
              <w:jc w:val="center"/>
              <w:rPr>
                <w:rFonts w:ascii="仿宋_GB2312" w:eastAsia="仿宋_GB2312"/>
                <w:sz w:val="28"/>
                <w:szCs w:val="28"/>
              </w:rPr>
            </w:pPr>
            <w:r>
              <w:rPr>
                <w:rFonts w:ascii="仿宋_GB2312" w:eastAsia="仿宋_GB2312"/>
                <w:sz w:val="28"/>
                <w:szCs w:val="28"/>
              </w:rPr>
              <w:t>/</w:t>
            </w:r>
          </w:p>
        </w:tc>
      </w:tr>
      <w:tr w14:paraId="2421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73A4527">
            <w:pPr>
              <w:spacing w:after="120"/>
              <w:ind w:firstLine="0" w:firstLineChars="0"/>
              <w:rPr>
                <w:rFonts w:ascii="仿宋_GB2312" w:eastAsia="仿宋_GB2312"/>
                <w:sz w:val="28"/>
                <w:szCs w:val="28"/>
              </w:rPr>
            </w:pPr>
            <w:r>
              <w:rPr>
                <w:rFonts w:ascii="仿宋_GB2312" w:eastAsia="仿宋_GB2312"/>
                <w:sz w:val="28"/>
                <w:szCs w:val="28"/>
              </w:rPr>
              <w:t>6</w:t>
            </w:r>
          </w:p>
        </w:tc>
        <w:tc>
          <w:tcPr>
            <w:tcW w:w="5220" w:type="dxa"/>
            <w:vAlign w:val="center"/>
          </w:tcPr>
          <w:p w14:paraId="6B3625C5">
            <w:pPr>
              <w:spacing w:after="120"/>
              <w:ind w:firstLine="0" w:firstLineChars="0"/>
              <w:rPr>
                <w:rFonts w:ascii="仿宋_GB2312" w:eastAsia="仿宋_GB2312"/>
                <w:sz w:val="28"/>
                <w:szCs w:val="28"/>
              </w:rPr>
            </w:pPr>
            <w:r>
              <w:rPr>
                <w:rFonts w:hint="eastAsia" w:ascii="仿宋_GB2312" w:eastAsia="仿宋_GB2312"/>
                <w:sz w:val="28"/>
                <w:szCs w:val="28"/>
              </w:rPr>
              <w:t>缺陷责任期届满</w:t>
            </w:r>
          </w:p>
        </w:tc>
        <w:tc>
          <w:tcPr>
            <w:tcW w:w="2340" w:type="dxa"/>
            <w:vAlign w:val="center"/>
          </w:tcPr>
          <w:p w14:paraId="74B60F40">
            <w:pPr>
              <w:spacing w:after="120"/>
              <w:ind w:firstLine="0" w:firstLineChars="0"/>
              <w:rPr>
                <w:rFonts w:ascii="仿宋_GB2312" w:eastAsia="仿宋_GB2312"/>
                <w:sz w:val="28"/>
                <w:szCs w:val="28"/>
              </w:rPr>
            </w:pPr>
            <w:r>
              <w:rPr>
                <w:rFonts w:hint="eastAsia" w:ascii="仿宋_GB2312" w:eastAsia="仿宋_GB2312"/>
                <w:sz w:val="28"/>
                <w:szCs w:val="28"/>
              </w:rPr>
              <w:t>基数×</w:t>
            </w:r>
            <w:r>
              <w:rPr>
                <w:rFonts w:ascii="仿宋_GB2312" w:eastAsia="仿宋_GB2312"/>
                <w:sz w:val="28"/>
                <w:szCs w:val="28"/>
              </w:rPr>
              <w:t>5%×C</w:t>
            </w:r>
          </w:p>
        </w:tc>
        <w:tc>
          <w:tcPr>
            <w:tcW w:w="898" w:type="dxa"/>
            <w:vAlign w:val="center"/>
          </w:tcPr>
          <w:p w14:paraId="0C064C21">
            <w:pPr>
              <w:spacing w:after="120"/>
              <w:ind w:firstLine="0" w:firstLineChars="0"/>
              <w:rPr>
                <w:rFonts w:ascii="仿宋_GB2312" w:eastAsia="仿宋_GB2312"/>
                <w:sz w:val="28"/>
                <w:szCs w:val="28"/>
              </w:rPr>
            </w:pPr>
            <w:r>
              <w:rPr>
                <w:rFonts w:hint="eastAsia" w:ascii="仿宋_GB2312" w:eastAsia="仿宋_GB2312"/>
                <w:sz w:val="28"/>
                <w:szCs w:val="28"/>
              </w:rPr>
              <w:t>按附件五</w:t>
            </w:r>
          </w:p>
        </w:tc>
      </w:tr>
    </w:tbl>
    <w:p w14:paraId="4F6B857D">
      <w:pPr>
        <w:spacing w:after="120" w:line="560" w:lineRule="exact"/>
        <w:ind w:firstLine="643"/>
        <w:rPr>
          <w:rFonts w:ascii="仿宋_GB2312" w:eastAsia="仿宋_GB2312"/>
          <w:b/>
          <w:sz w:val="32"/>
          <w:szCs w:val="32"/>
        </w:rPr>
      </w:pPr>
      <w:r>
        <w:rPr>
          <w:rFonts w:hint="eastAsia" w:ascii="仿宋_GB2312" w:eastAsia="仿宋_GB2312"/>
          <w:b/>
          <w:sz w:val="32"/>
          <w:szCs w:val="32"/>
        </w:rPr>
        <w:t>注：</w:t>
      </w:r>
    </w:p>
    <w:p w14:paraId="074A3508">
      <w:pPr>
        <w:spacing w:after="120" w:line="560" w:lineRule="exact"/>
        <w:ind w:firstLine="640"/>
        <w:rPr>
          <w:rFonts w:ascii="仿宋_GB2312" w:eastAsia="仿宋_GB2312"/>
          <w:sz w:val="32"/>
          <w:szCs w:val="32"/>
        </w:rPr>
      </w:pPr>
      <w:r>
        <w:rPr>
          <w:rFonts w:hint="eastAsia" w:ascii="仿宋_GB2312" w:eastAsia="仿宋_GB2312"/>
          <w:sz w:val="32"/>
          <w:szCs w:val="32"/>
        </w:rPr>
        <w:t>①基数为合同设计费总额（不含BIM 设计费）扣除合同约定的方案补偿费。</w:t>
      </w:r>
    </w:p>
    <w:p w14:paraId="138C1B7C">
      <w:pPr>
        <w:spacing w:after="120" w:line="560" w:lineRule="exact"/>
        <w:ind w:firstLine="640"/>
        <w:rPr>
          <w:rFonts w:ascii="仿宋_GB2312" w:eastAsia="仿宋_GB2312"/>
          <w:sz w:val="32"/>
          <w:szCs w:val="32"/>
        </w:rPr>
      </w:pPr>
      <w:r>
        <w:rPr>
          <w:rFonts w:hint="eastAsia" w:ascii="仿宋_GB2312" w:eastAsia="仿宋_GB2312"/>
          <w:sz w:val="32"/>
          <w:szCs w:val="32"/>
        </w:rPr>
        <w:t>②A为设计阶段合同履约评价得分对应的暂付设计费支付比例。</w:t>
      </w:r>
    </w:p>
    <w:p w14:paraId="302CEBCA">
      <w:pPr>
        <w:spacing w:after="120" w:line="560" w:lineRule="exact"/>
        <w:ind w:firstLine="640"/>
        <w:rPr>
          <w:rFonts w:ascii="仿宋_GB2312" w:eastAsia="仿宋_GB2312"/>
          <w:sz w:val="32"/>
          <w:szCs w:val="32"/>
        </w:rPr>
      </w:pPr>
      <w:r>
        <w:rPr>
          <w:rFonts w:hint="eastAsia" w:ascii="仿宋_GB2312" w:eastAsia="仿宋_GB2312"/>
          <w:sz w:val="32"/>
          <w:szCs w:val="32"/>
        </w:rPr>
        <w:t>③F为设计阶段合同履约评价综合得分对应的暂付设计费余额应返还金额。暂付设计费余额为设计阶段全额设计费与该阶段暂付设计费的差额。</w:t>
      </w:r>
    </w:p>
    <w:p w14:paraId="490FCC95">
      <w:pPr>
        <w:spacing w:after="120" w:line="560" w:lineRule="exact"/>
        <w:ind w:firstLine="640"/>
        <w:rPr>
          <w:rFonts w:ascii="仿宋_GB2312" w:eastAsia="仿宋_GB2312"/>
          <w:sz w:val="32"/>
          <w:szCs w:val="32"/>
        </w:rPr>
      </w:pPr>
      <w:r>
        <w:rPr>
          <w:rFonts w:hint="eastAsia" w:ascii="仿宋_GB2312" w:eastAsia="仿宋_GB2312"/>
          <w:sz w:val="32"/>
          <w:szCs w:val="32"/>
        </w:rPr>
        <w:t>④B为施工阶段合同履约评价综合得分对应的设计费支付比例。</w:t>
      </w:r>
    </w:p>
    <w:p w14:paraId="7FD0A4B7">
      <w:pPr>
        <w:spacing w:after="120" w:line="560" w:lineRule="exact"/>
        <w:ind w:firstLine="640"/>
        <w:rPr>
          <w:rFonts w:ascii="仿宋_GB2312" w:eastAsia="仿宋_GB2312"/>
          <w:sz w:val="32"/>
          <w:szCs w:val="32"/>
        </w:rPr>
      </w:pPr>
      <w:r>
        <w:rPr>
          <w:rFonts w:hint="eastAsia" w:ascii="仿宋_GB2312" w:eastAsia="仿宋_GB2312"/>
          <w:sz w:val="32"/>
          <w:szCs w:val="32"/>
        </w:rPr>
        <w:t>⑤C为缺陷责任期阶段合同履约评价综合得分对应的设计费支付比例。</w:t>
      </w:r>
    </w:p>
    <w:p w14:paraId="6DE9538C">
      <w:pPr>
        <w:spacing w:after="120" w:line="560" w:lineRule="exact"/>
        <w:ind w:firstLine="640"/>
        <w:rPr>
          <w:rFonts w:ascii="仿宋_GB2312" w:eastAsia="仿宋_GB2312"/>
          <w:sz w:val="32"/>
          <w:szCs w:val="32"/>
        </w:rPr>
      </w:pPr>
      <w:r>
        <w:rPr>
          <w:rFonts w:hint="eastAsia" w:ascii="仿宋_GB2312" w:eastAsia="仿宋_GB2312"/>
          <w:sz w:val="32"/>
          <w:szCs w:val="32"/>
        </w:rPr>
        <w:t>（二）设计阶段合同履约评价得分对应的暂付设计费支付比例A的取值方式</w:t>
      </w:r>
    </w:p>
    <w:p w14:paraId="4FA4A080">
      <w:pPr>
        <w:spacing w:after="120" w:line="560" w:lineRule="exact"/>
        <w:ind w:firstLine="640"/>
        <w:rPr>
          <w:rFonts w:ascii="仿宋_GB2312" w:eastAsia="仿宋_GB2312"/>
          <w:sz w:val="32"/>
          <w:szCs w:val="32"/>
        </w:rPr>
      </w:pPr>
      <w:r>
        <w:rPr>
          <w:rFonts w:hint="eastAsia" w:ascii="仿宋_GB2312" w:eastAsia="仿宋_GB2312"/>
          <w:sz w:val="32"/>
          <w:szCs w:val="32"/>
        </w:rPr>
        <w:t>1、某阶段设计合同履约评价得分≥90的，该阶段设计费全额支付，即A=1。</w:t>
      </w:r>
    </w:p>
    <w:p w14:paraId="61BEC9B0">
      <w:pPr>
        <w:spacing w:after="120" w:line="560" w:lineRule="exact"/>
        <w:ind w:firstLine="640"/>
        <w:rPr>
          <w:rFonts w:ascii="仿宋_GB2312" w:eastAsia="仿宋_GB2312"/>
          <w:sz w:val="32"/>
          <w:szCs w:val="32"/>
        </w:rPr>
      </w:pPr>
      <w:r>
        <w:rPr>
          <w:rFonts w:hint="eastAsia" w:ascii="仿宋_GB2312" w:eastAsia="仿宋_GB2312"/>
          <w:sz w:val="32"/>
          <w:szCs w:val="32"/>
        </w:rPr>
        <w:t>2、某阶段设计合同履约评价得分≥75且</w:t>
      </w:r>
      <w:r>
        <w:rPr>
          <w:rFonts w:hint="eastAsia" w:ascii="仿宋_GB2312" w:hAnsi="仿宋_GB2312" w:eastAsia="仿宋_GB2312"/>
          <w:sz w:val="32"/>
          <w:szCs w:val="32"/>
        </w:rPr>
        <w:t>&lt;</w:t>
      </w:r>
      <w:r>
        <w:rPr>
          <w:rFonts w:hint="eastAsia" w:ascii="仿宋_GB2312" w:eastAsia="仿宋_GB2312"/>
          <w:sz w:val="32"/>
          <w:szCs w:val="32"/>
        </w:rPr>
        <w:t>90的，该阶段设计费暂付比例为90%，即A=90%。</w:t>
      </w:r>
    </w:p>
    <w:p w14:paraId="37325C83">
      <w:pPr>
        <w:spacing w:after="120" w:line="560" w:lineRule="exact"/>
        <w:ind w:firstLine="640"/>
        <w:rPr>
          <w:rFonts w:ascii="仿宋_GB2312" w:eastAsia="仿宋_GB2312"/>
          <w:sz w:val="32"/>
          <w:szCs w:val="32"/>
        </w:rPr>
      </w:pPr>
      <w:r>
        <w:rPr>
          <w:rFonts w:hint="eastAsia" w:ascii="仿宋_GB2312" w:eastAsia="仿宋_GB2312"/>
          <w:sz w:val="32"/>
          <w:szCs w:val="32"/>
        </w:rPr>
        <w:t>3、某阶段设计合同履约评价得分≥60且</w:t>
      </w:r>
      <w:r>
        <w:rPr>
          <w:rFonts w:hint="eastAsia" w:ascii="仿宋_GB2312" w:hAnsi="仿宋_GB2312" w:eastAsia="仿宋_GB2312"/>
          <w:sz w:val="32"/>
          <w:szCs w:val="32"/>
        </w:rPr>
        <w:t>&lt;</w:t>
      </w:r>
      <w:r>
        <w:rPr>
          <w:rFonts w:hint="eastAsia" w:ascii="仿宋_GB2312" w:eastAsia="仿宋_GB2312"/>
          <w:sz w:val="32"/>
          <w:szCs w:val="32"/>
        </w:rPr>
        <w:t>75的，该阶段设计费暂付比例为80%，即A=80%。</w:t>
      </w:r>
    </w:p>
    <w:p w14:paraId="6A87FA26">
      <w:pPr>
        <w:spacing w:after="120" w:line="560" w:lineRule="exact"/>
        <w:ind w:firstLine="640"/>
        <w:rPr>
          <w:rFonts w:ascii="仿宋_GB2312" w:eastAsia="仿宋_GB2312"/>
          <w:sz w:val="32"/>
          <w:szCs w:val="32"/>
        </w:rPr>
      </w:pPr>
      <w:r>
        <w:rPr>
          <w:rFonts w:hint="eastAsia" w:ascii="仿宋_GB2312" w:eastAsia="仿宋_GB2312"/>
          <w:sz w:val="32"/>
          <w:szCs w:val="32"/>
        </w:rPr>
        <w:t>4、某阶段设计合同履约评价得分</w:t>
      </w:r>
      <w:r>
        <w:rPr>
          <w:rFonts w:hint="eastAsia" w:ascii="仿宋_GB2312" w:hAnsi="仿宋_GB2312" w:eastAsia="仿宋_GB2312"/>
          <w:sz w:val="32"/>
          <w:szCs w:val="32"/>
        </w:rPr>
        <w:t>&lt;</w:t>
      </w:r>
      <w:r>
        <w:rPr>
          <w:rFonts w:hint="eastAsia" w:ascii="仿宋_GB2312" w:eastAsia="仿宋_GB2312"/>
          <w:sz w:val="32"/>
          <w:szCs w:val="32"/>
        </w:rPr>
        <w:t>60的，该阶段设计费暂付比例为70%，即A=70%。</w:t>
      </w:r>
    </w:p>
    <w:p w14:paraId="74816E90">
      <w:pPr>
        <w:spacing w:after="120" w:line="560" w:lineRule="exact"/>
        <w:ind w:firstLine="640"/>
        <w:rPr>
          <w:rFonts w:ascii="仿宋_GB2312" w:eastAsia="仿宋_GB2312"/>
          <w:sz w:val="32"/>
          <w:szCs w:val="32"/>
        </w:rPr>
      </w:pPr>
      <w:r>
        <w:rPr>
          <w:rFonts w:hint="eastAsia" w:ascii="仿宋_GB2312" w:eastAsia="仿宋_GB2312"/>
          <w:sz w:val="32"/>
          <w:szCs w:val="32"/>
        </w:rPr>
        <w:t>（三）设计阶段合同履约评价暂付设计费余额应返还金额F的计算方式</w:t>
      </w:r>
    </w:p>
    <w:p w14:paraId="6007E46F">
      <w:pPr>
        <w:spacing w:after="120" w:line="560" w:lineRule="exact"/>
        <w:ind w:firstLine="640"/>
        <w:rPr>
          <w:rFonts w:ascii="仿宋_GB2312" w:eastAsia="仿宋_GB2312"/>
          <w:sz w:val="32"/>
          <w:szCs w:val="32"/>
        </w:rPr>
      </w:pPr>
      <w:r>
        <w:rPr>
          <w:rFonts w:hint="eastAsia" w:ascii="仿宋_GB2312" w:eastAsia="仿宋_GB2312"/>
          <w:sz w:val="32"/>
          <w:szCs w:val="32"/>
        </w:rPr>
        <w:t>1、设计阶段合同履约评价综合得分≥90的，前阶段暂付设计费全额返还（前阶段已全额支付的除外）。</w:t>
      </w:r>
    </w:p>
    <w:p w14:paraId="5D2859B8">
      <w:pPr>
        <w:spacing w:after="120" w:line="560" w:lineRule="exact"/>
        <w:ind w:firstLine="640"/>
        <w:rPr>
          <w:rFonts w:ascii="仿宋_GB2312" w:eastAsia="仿宋_GB2312"/>
          <w:sz w:val="32"/>
          <w:szCs w:val="32"/>
        </w:rPr>
      </w:pPr>
      <w:r>
        <w:rPr>
          <w:rFonts w:hint="eastAsia" w:ascii="仿宋_GB2312" w:eastAsia="仿宋_GB2312"/>
          <w:sz w:val="32"/>
          <w:szCs w:val="32"/>
        </w:rPr>
        <w:t>2、设计阶段合同履约评价综合得分≥75且</w:t>
      </w:r>
      <w:r>
        <w:rPr>
          <w:rFonts w:hint="eastAsia" w:ascii="仿宋_GB2312" w:hAnsi="仿宋_GB2312" w:eastAsia="仿宋_GB2312"/>
          <w:sz w:val="32"/>
          <w:szCs w:val="32"/>
        </w:rPr>
        <w:t>&lt;</w:t>
      </w:r>
      <w:r>
        <w:rPr>
          <w:rFonts w:hint="eastAsia" w:ascii="仿宋_GB2312" w:eastAsia="仿宋_GB2312"/>
          <w:sz w:val="32"/>
          <w:szCs w:val="32"/>
        </w:rPr>
        <w:t>90的，前阶段暂付设计费余额应返还比例为75%。</w:t>
      </w:r>
    </w:p>
    <w:p w14:paraId="125E9AE1">
      <w:pPr>
        <w:spacing w:after="120" w:line="560" w:lineRule="exact"/>
        <w:ind w:firstLine="640"/>
        <w:rPr>
          <w:rFonts w:ascii="仿宋_GB2312" w:eastAsia="仿宋_GB2312"/>
          <w:sz w:val="32"/>
          <w:szCs w:val="32"/>
        </w:rPr>
      </w:pPr>
      <w:r>
        <w:rPr>
          <w:rFonts w:hint="eastAsia" w:ascii="仿宋_GB2312" w:eastAsia="仿宋_GB2312"/>
          <w:sz w:val="32"/>
          <w:szCs w:val="32"/>
        </w:rPr>
        <w:t>3、设计阶段合同履约评价综合得分≥60且</w:t>
      </w:r>
      <w:r>
        <w:rPr>
          <w:rFonts w:hint="eastAsia" w:ascii="仿宋_GB2312" w:hAnsi="仿宋_GB2312" w:eastAsia="仿宋_GB2312"/>
          <w:sz w:val="32"/>
          <w:szCs w:val="32"/>
        </w:rPr>
        <w:t>&lt;</w:t>
      </w:r>
      <w:r>
        <w:rPr>
          <w:rFonts w:hint="eastAsia" w:ascii="仿宋_GB2312" w:eastAsia="仿宋_GB2312"/>
          <w:sz w:val="32"/>
          <w:szCs w:val="32"/>
        </w:rPr>
        <w:t>75的，前阶段暂付设计费余额应返还比例为50%。</w:t>
      </w:r>
    </w:p>
    <w:p w14:paraId="6D40B6AF">
      <w:pPr>
        <w:spacing w:after="120" w:line="560" w:lineRule="exact"/>
        <w:ind w:firstLine="640"/>
        <w:rPr>
          <w:rFonts w:ascii="仿宋_GB2312" w:eastAsia="仿宋_GB2312"/>
          <w:sz w:val="32"/>
          <w:szCs w:val="32"/>
        </w:rPr>
      </w:pPr>
      <w:r>
        <w:rPr>
          <w:rFonts w:hint="eastAsia" w:ascii="仿宋_GB2312" w:eastAsia="仿宋_GB2312"/>
          <w:sz w:val="32"/>
          <w:szCs w:val="32"/>
        </w:rPr>
        <w:t>4、设计阶段合同履约评价综合得分</w:t>
      </w:r>
      <w:r>
        <w:rPr>
          <w:rFonts w:hint="eastAsia" w:ascii="仿宋_GB2312" w:hAnsi="仿宋_GB2312" w:eastAsia="仿宋_GB2312"/>
          <w:sz w:val="32"/>
          <w:szCs w:val="32"/>
        </w:rPr>
        <w:t>&lt;</w:t>
      </w:r>
      <w:r>
        <w:rPr>
          <w:rFonts w:hint="eastAsia" w:ascii="仿宋_GB2312" w:eastAsia="仿宋_GB2312"/>
          <w:sz w:val="32"/>
          <w:szCs w:val="32"/>
        </w:rPr>
        <w:t>60的，前阶段暂付设计费余额不返还。</w:t>
      </w:r>
    </w:p>
    <w:p w14:paraId="568E11FF">
      <w:pPr>
        <w:spacing w:after="120" w:line="560" w:lineRule="exact"/>
        <w:ind w:firstLine="643"/>
        <w:rPr>
          <w:rFonts w:ascii="仿宋_GB2312" w:eastAsia="仿宋_GB2312"/>
          <w:b/>
          <w:sz w:val="32"/>
          <w:szCs w:val="32"/>
        </w:rPr>
      </w:pPr>
      <w:r>
        <w:rPr>
          <w:rFonts w:hint="eastAsia" w:ascii="仿宋_GB2312" w:eastAsia="仿宋_GB2312"/>
          <w:b/>
          <w:sz w:val="32"/>
          <w:szCs w:val="32"/>
        </w:rPr>
        <w:t>注：</w:t>
      </w:r>
    </w:p>
    <w:p w14:paraId="5AFDFD14">
      <w:pPr>
        <w:spacing w:after="120" w:line="560" w:lineRule="exact"/>
        <w:ind w:firstLine="640"/>
        <w:rPr>
          <w:rFonts w:ascii="仿宋_GB2312" w:eastAsia="仿宋_GB2312"/>
          <w:sz w:val="32"/>
          <w:szCs w:val="32"/>
        </w:rPr>
      </w:pPr>
      <w:r>
        <w:rPr>
          <w:rFonts w:hint="eastAsia" w:ascii="仿宋_GB2312" w:eastAsia="仿宋_GB2312"/>
          <w:sz w:val="32"/>
          <w:szCs w:val="32"/>
        </w:rPr>
        <w:t>①对于全阶段设计模式（含全过程EPC模式、传统模式）</w:t>
      </w:r>
    </w:p>
    <w:p w14:paraId="29E8ADA9">
      <w:pPr>
        <w:spacing w:after="120" w:line="560" w:lineRule="exact"/>
        <w:ind w:firstLine="640"/>
        <w:rPr>
          <w:rFonts w:ascii="仿宋_GB2312" w:eastAsia="仿宋_GB2312"/>
          <w:sz w:val="32"/>
          <w:szCs w:val="32"/>
        </w:rPr>
      </w:pPr>
      <w:r>
        <w:rPr>
          <w:rFonts w:hint="eastAsia" w:ascii="仿宋_GB2312" w:eastAsia="仿宋_GB2312"/>
          <w:sz w:val="32"/>
          <w:szCs w:val="32"/>
        </w:rPr>
        <w:t>设计阶段合同履约评价综合得分=方案设计、初步设计、施工图设计三阶段合同履约评价得分的算术平均值。</w:t>
      </w:r>
    </w:p>
    <w:p w14:paraId="0BDABF08">
      <w:pPr>
        <w:spacing w:after="120" w:line="560" w:lineRule="exact"/>
        <w:ind w:firstLine="640"/>
        <w:rPr>
          <w:rFonts w:ascii="仿宋_GB2312" w:eastAsia="仿宋_GB2312"/>
          <w:sz w:val="32"/>
          <w:szCs w:val="32"/>
        </w:rPr>
      </w:pPr>
      <w:r>
        <w:rPr>
          <w:rFonts w:hint="eastAsia" w:ascii="仿宋_GB2312" w:eastAsia="仿宋_GB2312"/>
          <w:sz w:val="32"/>
          <w:szCs w:val="32"/>
        </w:rPr>
        <w:t>②对于分阶段设计模式（取得初步设计批复后的EPC模式）中的方案设计及初步设计单位</w:t>
      </w:r>
    </w:p>
    <w:p w14:paraId="2E1D0DFF">
      <w:pPr>
        <w:spacing w:after="120" w:line="560" w:lineRule="exact"/>
        <w:ind w:firstLine="640"/>
        <w:rPr>
          <w:rFonts w:ascii="仿宋_GB2312" w:eastAsia="仿宋_GB2312"/>
          <w:sz w:val="32"/>
          <w:szCs w:val="32"/>
        </w:rPr>
      </w:pPr>
      <w:r>
        <w:rPr>
          <w:rFonts w:hint="eastAsia" w:ascii="仿宋_GB2312" w:eastAsia="仿宋_GB2312"/>
          <w:sz w:val="32"/>
          <w:szCs w:val="32"/>
        </w:rPr>
        <w:t>设计阶段合同履约评价综合得分=方案设计、初步设计两阶段合同履约评价得分的算术平均值。</w:t>
      </w:r>
    </w:p>
    <w:p w14:paraId="07FE752F">
      <w:pPr>
        <w:spacing w:after="120" w:line="560" w:lineRule="exact"/>
        <w:ind w:firstLine="640"/>
        <w:rPr>
          <w:rFonts w:ascii="仿宋_GB2312" w:eastAsia="仿宋_GB2312"/>
          <w:sz w:val="32"/>
          <w:szCs w:val="32"/>
        </w:rPr>
      </w:pPr>
      <w:r>
        <w:rPr>
          <w:rFonts w:hint="eastAsia" w:ascii="仿宋_GB2312" w:eastAsia="仿宋_GB2312"/>
          <w:sz w:val="32"/>
          <w:szCs w:val="32"/>
        </w:rPr>
        <w:t>③对于分阶段设计模式（取得初步设计批复后的EPC模式）中的施工图设计单位</w:t>
      </w:r>
    </w:p>
    <w:p w14:paraId="42D14891">
      <w:pPr>
        <w:spacing w:after="120" w:line="560" w:lineRule="exact"/>
        <w:ind w:firstLine="640"/>
        <w:rPr>
          <w:rFonts w:ascii="仿宋_GB2312" w:eastAsia="仿宋_GB2312"/>
          <w:sz w:val="32"/>
          <w:szCs w:val="32"/>
        </w:rPr>
      </w:pPr>
      <w:r>
        <w:rPr>
          <w:rFonts w:hint="eastAsia" w:ascii="仿宋_GB2312" w:eastAsia="仿宋_GB2312"/>
          <w:sz w:val="32"/>
          <w:szCs w:val="32"/>
        </w:rPr>
        <w:t>设计阶段合同履约评价综合得分=施工图设计（至取得施工图审查合格报告）、专业施工图及各专业深化施工图设计两阶段合同履约评价得分的算术平均值。</w:t>
      </w:r>
    </w:p>
    <w:p w14:paraId="23176C10">
      <w:pPr>
        <w:spacing w:after="120" w:line="560" w:lineRule="exact"/>
        <w:ind w:firstLine="640"/>
        <w:rPr>
          <w:rFonts w:ascii="仿宋_GB2312" w:eastAsia="仿宋_GB2312"/>
          <w:sz w:val="32"/>
          <w:szCs w:val="32"/>
        </w:rPr>
      </w:pPr>
      <w:r>
        <w:rPr>
          <w:rFonts w:hint="eastAsia" w:ascii="仿宋_GB2312" w:eastAsia="仿宋_GB2312"/>
          <w:sz w:val="32"/>
          <w:szCs w:val="32"/>
        </w:rPr>
        <w:t>（四）施工阶段设计合同履约评价得分对应的设计费支付比例B的取值方式</w:t>
      </w:r>
    </w:p>
    <w:p w14:paraId="605F9C3D">
      <w:pPr>
        <w:spacing w:after="120" w:line="560" w:lineRule="exact"/>
        <w:ind w:firstLine="640"/>
        <w:rPr>
          <w:rFonts w:ascii="仿宋_GB2312" w:eastAsia="仿宋_GB2312"/>
          <w:sz w:val="32"/>
          <w:szCs w:val="32"/>
        </w:rPr>
      </w:pPr>
      <w:r>
        <w:rPr>
          <w:rFonts w:hint="eastAsia" w:ascii="仿宋_GB2312" w:eastAsia="仿宋_GB2312"/>
          <w:sz w:val="32"/>
          <w:szCs w:val="32"/>
        </w:rPr>
        <w:t>1、施工阶段合同履约评价综合得分≥90的，该阶段设计费全额支付，即B=1。</w:t>
      </w:r>
    </w:p>
    <w:p w14:paraId="0C8C1984">
      <w:pPr>
        <w:spacing w:after="120" w:line="560" w:lineRule="exact"/>
        <w:ind w:firstLine="640"/>
        <w:rPr>
          <w:rFonts w:ascii="仿宋_GB2312" w:eastAsia="仿宋_GB2312"/>
          <w:sz w:val="32"/>
          <w:szCs w:val="32"/>
        </w:rPr>
      </w:pPr>
      <w:r>
        <w:rPr>
          <w:rFonts w:hint="eastAsia" w:ascii="仿宋_GB2312" w:eastAsia="仿宋_GB2312"/>
          <w:sz w:val="32"/>
          <w:szCs w:val="32"/>
        </w:rPr>
        <w:t>2、施工阶段合同履约评价综合得分≥75且</w:t>
      </w:r>
      <w:r>
        <w:rPr>
          <w:rFonts w:ascii="仿宋_GB2312" w:hAnsi="仿宋_GB2312" w:eastAsia="仿宋_GB2312"/>
          <w:sz w:val="32"/>
          <w:szCs w:val="32"/>
        </w:rPr>
        <w:t>&lt;</w:t>
      </w:r>
      <w:r>
        <w:rPr>
          <w:rFonts w:hint="eastAsia" w:ascii="仿宋_GB2312" w:eastAsia="仿宋_GB2312"/>
          <w:sz w:val="32"/>
          <w:szCs w:val="32"/>
        </w:rPr>
        <w:t>90的，该阶段设计费暂付比例为90%，即B=90%。</w:t>
      </w:r>
    </w:p>
    <w:p w14:paraId="4A918CED">
      <w:pPr>
        <w:spacing w:after="120" w:line="560" w:lineRule="exact"/>
        <w:ind w:firstLine="640"/>
        <w:rPr>
          <w:rFonts w:ascii="仿宋_GB2312" w:eastAsia="仿宋_GB2312"/>
          <w:sz w:val="32"/>
          <w:szCs w:val="32"/>
        </w:rPr>
      </w:pPr>
      <w:r>
        <w:rPr>
          <w:rFonts w:hint="eastAsia" w:ascii="仿宋_GB2312" w:eastAsia="仿宋_GB2312"/>
          <w:sz w:val="32"/>
          <w:szCs w:val="32"/>
        </w:rPr>
        <w:t>3、施工阶段合同履约评价综合得分≥60且</w:t>
      </w:r>
      <w:r>
        <w:rPr>
          <w:rFonts w:ascii="仿宋_GB2312" w:hAnsi="仿宋_GB2312" w:eastAsia="仿宋_GB2312"/>
          <w:sz w:val="32"/>
          <w:szCs w:val="32"/>
        </w:rPr>
        <w:t>&lt;</w:t>
      </w:r>
      <w:r>
        <w:rPr>
          <w:rFonts w:hint="eastAsia" w:ascii="仿宋_GB2312" w:eastAsia="仿宋_GB2312"/>
          <w:sz w:val="32"/>
          <w:szCs w:val="32"/>
        </w:rPr>
        <w:t>75的，该阶段设计费暂付比例为80%，即B=80%。</w:t>
      </w:r>
    </w:p>
    <w:p w14:paraId="3DC9038E">
      <w:pPr>
        <w:spacing w:after="120" w:line="560" w:lineRule="exact"/>
        <w:ind w:firstLine="640"/>
        <w:rPr>
          <w:rFonts w:ascii="仿宋_GB2312" w:eastAsia="仿宋_GB2312"/>
          <w:sz w:val="32"/>
          <w:szCs w:val="32"/>
        </w:rPr>
      </w:pPr>
      <w:r>
        <w:rPr>
          <w:rFonts w:hint="eastAsia" w:ascii="仿宋_GB2312" w:eastAsia="仿宋_GB2312"/>
          <w:sz w:val="32"/>
          <w:szCs w:val="32"/>
        </w:rPr>
        <w:t>4、施工阶段合同履约评价综合得分</w:t>
      </w:r>
      <w:r>
        <w:rPr>
          <w:rFonts w:ascii="仿宋_GB2312" w:hAnsi="仿宋_GB2312" w:eastAsia="仿宋_GB2312"/>
          <w:sz w:val="32"/>
          <w:szCs w:val="32"/>
        </w:rPr>
        <w:t>&lt;</w:t>
      </w:r>
      <w:r>
        <w:rPr>
          <w:rFonts w:hint="eastAsia" w:ascii="仿宋_GB2312" w:eastAsia="仿宋_GB2312"/>
          <w:sz w:val="32"/>
          <w:szCs w:val="32"/>
        </w:rPr>
        <w:t>60的，该阶段设计费暂付比例为70%，即B=70%。</w:t>
      </w:r>
    </w:p>
    <w:p w14:paraId="37FCF99A">
      <w:pPr>
        <w:spacing w:after="120" w:line="560" w:lineRule="exact"/>
        <w:ind w:firstLine="640"/>
        <w:rPr>
          <w:rFonts w:ascii="仿宋_GB2312" w:eastAsia="仿宋_GB2312"/>
          <w:sz w:val="32"/>
          <w:szCs w:val="32"/>
        </w:rPr>
      </w:pPr>
      <w:r>
        <w:rPr>
          <w:rFonts w:hint="eastAsia" w:ascii="仿宋_GB2312" w:eastAsia="仿宋_GB2312"/>
          <w:sz w:val="32"/>
          <w:szCs w:val="32"/>
        </w:rPr>
        <w:t>注：施工阶段合同履约评价综合得分=施工阶段各季度评价算术平均值。</w:t>
      </w:r>
    </w:p>
    <w:p w14:paraId="5243DB21">
      <w:pPr>
        <w:spacing w:after="120" w:line="560" w:lineRule="exact"/>
        <w:ind w:firstLine="640"/>
        <w:rPr>
          <w:rFonts w:ascii="仿宋_GB2312" w:eastAsia="仿宋_GB2312"/>
          <w:sz w:val="32"/>
          <w:szCs w:val="32"/>
        </w:rPr>
      </w:pPr>
      <w:r>
        <w:rPr>
          <w:rFonts w:hint="eastAsia" w:ascii="仿宋_GB2312" w:eastAsia="仿宋_GB2312"/>
          <w:sz w:val="32"/>
          <w:szCs w:val="32"/>
        </w:rPr>
        <w:t>（五）缺陷责任期阶段设计合同履约评价得分对应的设计费支付比例C的取值方式</w:t>
      </w:r>
    </w:p>
    <w:p w14:paraId="076A35C7">
      <w:pPr>
        <w:spacing w:after="120" w:line="560" w:lineRule="exact"/>
        <w:ind w:firstLine="640"/>
        <w:rPr>
          <w:rFonts w:ascii="仿宋_GB2312" w:eastAsia="仿宋_GB2312"/>
          <w:sz w:val="32"/>
          <w:szCs w:val="32"/>
        </w:rPr>
      </w:pPr>
      <w:r>
        <w:rPr>
          <w:rFonts w:hint="eastAsia" w:ascii="仿宋_GB2312" w:eastAsia="仿宋_GB2312"/>
          <w:sz w:val="32"/>
          <w:szCs w:val="32"/>
        </w:rPr>
        <w:t>1、缺陷责任期阶段合同履约评价综合得分≥90的，该阶段设计费全额支付，即C=1。</w:t>
      </w:r>
    </w:p>
    <w:p w14:paraId="69A97365">
      <w:pPr>
        <w:spacing w:after="120" w:line="560" w:lineRule="exact"/>
        <w:ind w:firstLine="640"/>
        <w:rPr>
          <w:rFonts w:ascii="仿宋_GB2312" w:eastAsia="仿宋_GB2312"/>
          <w:sz w:val="32"/>
          <w:szCs w:val="32"/>
        </w:rPr>
      </w:pPr>
      <w:r>
        <w:rPr>
          <w:rFonts w:hint="eastAsia" w:ascii="仿宋_GB2312" w:eastAsia="仿宋_GB2312"/>
          <w:sz w:val="32"/>
          <w:szCs w:val="32"/>
        </w:rPr>
        <w:t>2、缺陷责任期阶段合同履约评价综合得分≥75且</w:t>
      </w:r>
      <w:r>
        <w:rPr>
          <w:rFonts w:ascii="仿宋_GB2312" w:hAnsi="仿宋_GB2312" w:eastAsia="仿宋_GB2312"/>
          <w:sz w:val="32"/>
          <w:szCs w:val="32"/>
        </w:rPr>
        <w:t>&lt;</w:t>
      </w:r>
      <w:r>
        <w:rPr>
          <w:rFonts w:hint="eastAsia" w:ascii="仿宋_GB2312" w:eastAsia="仿宋_GB2312"/>
          <w:sz w:val="32"/>
          <w:szCs w:val="32"/>
        </w:rPr>
        <w:t>90的，该阶段设计费暂付比例为90%，即C=90%。</w:t>
      </w:r>
    </w:p>
    <w:p w14:paraId="7F509DA9">
      <w:pPr>
        <w:spacing w:after="120" w:line="560" w:lineRule="exact"/>
        <w:ind w:firstLine="640"/>
        <w:rPr>
          <w:rFonts w:ascii="仿宋_GB2312" w:eastAsia="仿宋_GB2312"/>
          <w:sz w:val="32"/>
          <w:szCs w:val="32"/>
        </w:rPr>
      </w:pPr>
      <w:r>
        <w:rPr>
          <w:rFonts w:hint="eastAsia" w:ascii="仿宋_GB2312" w:eastAsia="仿宋_GB2312"/>
          <w:sz w:val="32"/>
          <w:szCs w:val="32"/>
        </w:rPr>
        <w:t>3、缺陷责任期阶段合同履约评价综合得分≥60且</w:t>
      </w:r>
      <w:r>
        <w:rPr>
          <w:rFonts w:ascii="仿宋_GB2312" w:hAnsi="仿宋_GB2312" w:eastAsia="仿宋_GB2312"/>
          <w:sz w:val="32"/>
          <w:szCs w:val="32"/>
        </w:rPr>
        <w:t>&lt;</w:t>
      </w:r>
      <w:r>
        <w:rPr>
          <w:rFonts w:hint="eastAsia" w:ascii="仿宋_GB2312" w:eastAsia="仿宋_GB2312"/>
          <w:sz w:val="32"/>
          <w:szCs w:val="32"/>
        </w:rPr>
        <w:t>75的，该阶段设计费暂付比例为80%，即C=80%。</w:t>
      </w:r>
    </w:p>
    <w:p w14:paraId="70306406">
      <w:pPr>
        <w:spacing w:after="120" w:line="560" w:lineRule="exact"/>
        <w:ind w:firstLine="640"/>
        <w:rPr>
          <w:rFonts w:ascii="仿宋_GB2312" w:eastAsia="仿宋_GB2312"/>
          <w:sz w:val="32"/>
          <w:szCs w:val="32"/>
        </w:rPr>
      </w:pPr>
      <w:r>
        <w:rPr>
          <w:rFonts w:hint="eastAsia" w:ascii="仿宋_GB2312" w:eastAsia="仿宋_GB2312"/>
          <w:sz w:val="32"/>
          <w:szCs w:val="32"/>
        </w:rPr>
        <w:t>4、缺陷责任期阶段合同履约评价综合得分</w:t>
      </w:r>
      <w:r>
        <w:rPr>
          <w:rFonts w:ascii="仿宋_GB2312" w:hAnsi="仿宋_GB2312" w:eastAsia="仿宋_GB2312"/>
          <w:sz w:val="32"/>
          <w:szCs w:val="32"/>
        </w:rPr>
        <w:t>&lt;</w:t>
      </w:r>
      <w:r>
        <w:rPr>
          <w:rFonts w:hint="eastAsia" w:ascii="仿宋_GB2312" w:eastAsia="仿宋_GB2312"/>
          <w:sz w:val="32"/>
          <w:szCs w:val="32"/>
        </w:rPr>
        <w:t>60的，该阶段设计费暂付比例为70%，即C=70%。</w:t>
      </w:r>
    </w:p>
    <w:p w14:paraId="3D16F311">
      <w:pPr>
        <w:spacing w:after="120" w:line="560" w:lineRule="exact"/>
        <w:ind w:firstLine="640"/>
        <w:rPr>
          <w:rFonts w:ascii="仿宋_GB2312" w:eastAsia="仿宋_GB2312"/>
          <w:sz w:val="32"/>
          <w:szCs w:val="32"/>
        </w:rPr>
      </w:pPr>
      <w:r>
        <w:rPr>
          <w:rFonts w:hint="eastAsia" w:ascii="仿宋_GB2312" w:eastAsia="仿宋_GB2312"/>
          <w:sz w:val="32"/>
          <w:szCs w:val="32"/>
        </w:rPr>
        <w:t>注：缺陷责任期阶段合同履约评价综合得分=缺陷责任期阶段各年度评价算术平均值。</w:t>
      </w:r>
    </w:p>
    <w:p w14:paraId="40177A0D">
      <w:pPr>
        <w:spacing w:after="120" w:line="560" w:lineRule="exact"/>
        <w:ind w:firstLine="643"/>
        <w:rPr>
          <w:rFonts w:ascii="仿宋_GB2312" w:eastAsia="仿宋_GB2312"/>
          <w:sz w:val="32"/>
          <w:szCs w:val="32"/>
        </w:rPr>
      </w:pPr>
      <w:r>
        <w:rPr>
          <w:rFonts w:hint="eastAsia" w:ascii="仿宋_GB2312" w:eastAsia="仿宋_GB2312"/>
          <w:b/>
          <w:sz w:val="32"/>
          <w:szCs w:val="32"/>
        </w:rPr>
        <w:t xml:space="preserve">第六条 </w:t>
      </w:r>
      <w:r>
        <w:rPr>
          <w:rFonts w:hint="eastAsia" w:ascii="仿宋_GB2312" w:eastAsia="仿宋_GB2312"/>
          <w:sz w:val="32"/>
          <w:szCs w:val="32"/>
        </w:rPr>
        <w:t>对项目建设全过程所有各阶段履约评价算术平均得分不低于90，且单次最低履约评价得分不低于80的履约单位，按《省代建局直接管理项目合同履约评价管理办法（试行）》中第十二条“履约评价结果的运用”中第（二）点的有关规定执行。</w:t>
      </w:r>
    </w:p>
    <w:p w14:paraId="311E6CD4">
      <w:pPr>
        <w:spacing w:after="120" w:line="560" w:lineRule="exact"/>
        <w:ind w:firstLine="643"/>
        <w:rPr>
          <w:rFonts w:ascii="仿宋_GB2312" w:eastAsia="仿宋_GB2312"/>
          <w:sz w:val="32"/>
          <w:szCs w:val="32"/>
        </w:rPr>
      </w:pPr>
      <w:r>
        <w:rPr>
          <w:rFonts w:hint="eastAsia" w:ascii="仿宋_GB2312" w:eastAsia="仿宋_GB2312"/>
          <w:b/>
          <w:sz w:val="32"/>
          <w:szCs w:val="32"/>
        </w:rPr>
        <w:t xml:space="preserve">第七条 </w:t>
      </w:r>
      <w:r>
        <w:rPr>
          <w:rFonts w:hint="eastAsia" w:ascii="仿宋_GB2312" w:eastAsia="仿宋_GB2312"/>
          <w:sz w:val="32"/>
          <w:szCs w:val="32"/>
        </w:rPr>
        <w:t>对项目建设全过程所有各阶段履约评价算术平均得分低于70，或出现一次履约评价最低得分低于60的履约单位，按《省代建局直接管理项目合同履约评价管理办法（试行）》中第十二条“履约评价结果的运用”中第（三）点的有关规定执行。</w:t>
      </w:r>
    </w:p>
    <w:p w14:paraId="670A313F">
      <w:pPr>
        <w:spacing w:after="120" w:line="560" w:lineRule="exact"/>
        <w:ind w:firstLine="643"/>
        <w:rPr>
          <w:rFonts w:ascii="仿宋_GB2312" w:eastAsia="仿宋_GB2312"/>
          <w:sz w:val="32"/>
          <w:szCs w:val="32"/>
        </w:rPr>
      </w:pPr>
      <w:r>
        <w:rPr>
          <w:rFonts w:hint="eastAsia" w:ascii="仿宋_GB2312" w:eastAsia="仿宋_GB2312"/>
          <w:b/>
          <w:sz w:val="32"/>
          <w:szCs w:val="32"/>
        </w:rPr>
        <w:t>第八条</w:t>
      </w:r>
      <w:r>
        <w:rPr>
          <w:rFonts w:hint="eastAsia" w:ascii="仿宋_GB2312" w:eastAsia="仿宋_GB2312"/>
          <w:sz w:val="32"/>
          <w:szCs w:val="32"/>
        </w:rPr>
        <w:t xml:space="preserve"> 对于经我局批准允许分包的专业专项设计，其分包设计单位合同履约行为计入总体设计单位履约评价。</w:t>
      </w:r>
    </w:p>
    <w:p w14:paraId="16C76515">
      <w:pPr>
        <w:spacing w:after="120" w:line="560" w:lineRule="exact"/>
        <w:ind w:firstLine="643"/>
        <w:rPr>
          <w:rFonts w:ascii="仿宋_GB2312" w:eastAsia="仿宋_GB2312"/>
          <w:sz w:val="32"/>
          <w:szCs w:val="32"/>
        </w:rPr>
      </w:pPr>
      <w:r>
        <w:rPr>
          <w:rFonts w:hint="eastAsia" w:ascii="仿宋_GB2312" w:eastAsia="仿宋_GB2312"/>
          <w:b/>
          <w:sz w:val="32"/>
          <w:szCs w:val="32"/>
        </w:rPr>
        <w:t xml:space="preserve">第九条 </w:t>
      </w:r>
      <w:r>
        <w:rPr>
          <w:rFonts w:hint="eastAsia" w:ascii="仿宋_GB2312" w:eastAsia="仿宋_GB2312"/>
          <w:sz w:val="32"/>
          <w:szCs w:val="32"/>
        </w:rPr>
        <w:t>设计合同履约评价表完成审定后函送设计单位，设计单位对各阶段履约评价结果有异议的，按《省代建局直接管理项目合同履约评价管理办法（试行）》中第十一条的有关规定执行。</w:t>
      </w:r>
    </w:p>
    <w:p w14:paraId="333C8E61">
      <w:pPr>
        <w:spacing w:after="120" w:line="560" w:lineRule="exact"/>
        <w:ind w:firstLine="643"/>
        <w:rPr>
          <w:rFonts w:ascii="仿宋_GB2312" w:eastAsia="仿宋_GB2312"/>
          <w:sz w:val="32"/>
          <w:szCs w:val="32"/>
        </w:rPr>
      </w:pPr>
      <w:r>
        <w:rPr>
          <w:rFonts w:hint="eastAsia" w:ascii="仿宋_GB2312" w:eastAsia="仿宋_GB2312"/>
          <w:b/>
          <w:sz w:val="32"/>
          <w:szCs w:val="32"/>
        </w:rPr>
        <w:t xml:space="preserve">第十条 </w:t>
      </w:r>
      <w:r>
        <w:rPr>
          <w:rFonts w:hint="eastAsia" w:ascii="仿宋_GB2312" w:eastAsia="仿宋_GB2312"/>
          <w:sz w:val="32"/>
          <w:szCs w:val="32"/>
        </w:rPr>
        <w:t>本实施细则纳入涉及工程项目设计工作内容的勘察设计施工总承包、全过程工程咨询、勘察设计、工程设计等招标文件及合同中作为附件组成部分之一。</w:t>
      </w:r>
    </w:p>
    <w:p w14:paraId="67DFDF8A">
      <w:pPr>
        <w:spacing w:after="120" w:line="560" w:lineRule="exact"/>
        <w:ind w:firstLine="643"/>
        <w:rPr>
          <w:rFonts w:ascii="仿宋_GB2312" w:eastAsia="仿宋_GB2312"/>
          <w:sz w:val="32"/>
          <w:szCs w:val="32"/>
        </w:rPr>
      </w:pPr>
      <w:r>
        <w:rPr>
          <w:rFonts w:hint="eastAsia" w:ascii="仿宋_GB2312" w:eastAsia="仿宋_GB2312"/>
          <w:b/>
          <w:sz w:val="32"/>
          <w:szCs w:val="32"/>
        </w:rPr>
        <w:t xml:space="preserve">第十一条 </w:t>
      </w:r>
      <w:r>
        <w:rPr>
          <w:rFonts w:hint="eastAsia" w:ascii="仿宋_GB2312" w:eastAsia="仿宋_GB2312"/>
          <w:sz w:val="32"/>
          <w:szCs w:val="32"/>
        </w:rPr>
        <w:t>设计合同由使用单位签署的，经我局签订补充协议后，自补充协议签订之日起的设计工作，按本细则实施，由使用单位负责管理的阶段，经征求使用单位意见后，一并按本细则实施，设计合同履约评价表完成审定后抄送使用单位。</w:t>
      </w:r>
    </w:p>
    <w:p w14:paraId="003CF855">
      <w:pPr>
        <w:spacing w:after="120" w:line="560" w:lineRule="exact"/>
        <w:ind w:firstLine="643"/>
        <w:rPr>
          <w:rFonts w:ascii="仿宋_GB2312" w:eastAsia="仿宋_GB2312"/>
          <w:sz w:val="32"/>
          <w:szCs w:val="32"/>
        </w:rPr>
      </w:pPr>
      <w:r>
        <w:rPr>
          <w:rFonts w:hint="eastAsia" w:ascii="仿宋_GB2312" w:eastAsia="仿宋_GB2312"/>
          <w:b/>
          <w:sz w:val="32"/>
          <w:szCs w:val="32"/>
        </w:rPr>
        <w:t xml:space="preserve">第十二条 </w:t>
      </w:r>
      <w:r>
        <w:rPr>
          <w:rFonts w:hint="eastAsia" w:ascii="仿宋_GB2312" w:eastAsia="仿宋_GB2312"/>
          <w:sz w:val="32"/>
          <w:szCs w:val="32"/>
        </w:rPr>
        <w:t>本细则自广东省代建项目管理局办公会研究通过后开始试行。前期工作部可结合直接管理项目实施过程实际情况适时进行修订。</w:t>
      </w:r>
    </w:p>
    <w:p w14:paraId="7385E06A">
      <w:pPr>
        <w:spacing w:after="120" w:line="560" w:lineRule="exact"/>
        <w:ind w:firstLine="640"/>
        <w:rPr>
          <w:rFonts w:ascii="仿宋_GB2312" w:eastAsia="仿宋_GB2312"/>
          <w:sz w:val="32"/>
          <w:szCs w:val="32"/>
        </w:rPr>
      </w:pPr>
    </w:p>
    <w:p w14:paraId="553A3237">
      <w:pPr>
        <w:spacing w:after="120" w:line="560" w:lineRule="exact"/>
        <w:ind w:firstLine="640"/>
        <w:rPr>
          <w:rFonts w:ascii="仿宋_GB2312" w:eastAsia="仿宋_GB2312"/>
          <w:sz w:val="32"/>
          <w:szCs w:val="32"/>
        </w:rPr>
      </w:pPr>
      <w:r>
        <w:rPr>
          <w:rFonts w:hint="eastAsia" w:ascii="仿宋_GB2312" w:eastAsia="仿宋_GB2312"/>
          <w:sz w:val="32"/>
          <w:szCs w:val="32"/>
        </w:rPr>
        <w:t>附件：</w:t>
      </w:r>
    </w:p>
    <w:p w14:paraId="2983A945">
      <w:pPr>
        <w:spacing w:after="120" w:line="560" w:lineRule="exact"/>
        <w:ind w:firstLine="640"/>
        <w:rPr>
          <w:rFonts w:ascii="仿宋_GB2312" w:eastAsia="仿宋_GB2312"/>
          <w:sz w:val="32"/>
          <w:szCs w:val="32"/>
        </w:rPr>
      </w:pPr>
      <w:r>
        <w:rPr>
          <w:rFonts w:hint="eastAsia" w:ascii="仿宋_GB2312" w:eastAsia="仿宋_GB2312"/>
          <w:sz w:val="32"/>
          <w:szCs w:val="32"/>
        </w:rPr>
        <w:t>一、方案设计阶段设计合同履约评价表</w:t>
      </w:r>
    </w:p>
    <w:p w14:paraId="01B1A2AE">
      <w:pPr>
        <w:spacing w:after="120" w:line="560" w:lineRule="exact"/>
        <w:ind w:firstLine="640"/>
        <w:rPr>
          <w:rFonts w:ascii="仿宋_GB2312" w:eastAsia="仿宋_GB2312"/>
          <w:sz w:val="32"/>
          <w:szCs w:val="32"/>
        </w:rPr>
      </w:pPr>
      <w:r>
        <w:rPr>
          <w:rFonts w:hint="eastAsia" w:ascii="仿宋_GB2312" w:eastAsia="仿宋_GB2312"/>
          <w:sz w:val="32"/>
          <w:szCs w:val="32"/>
        </w:rPr>
        <w:t>二、初步设计阶段设计合同履约评价表</w:t>
      </w:r>
    </w:p>
    <w:p w14:paraId="0ECD5553">
      <w:pPr>
        <w:spacing w:after="120" w:line="560" w:lineRule="exact"/>
        <w:ind w:firstLine="640"/>
        <w:rPr>
          <w:rFonts w:ascii="仿宋_GB2312" w:eastAsia="仿宋_GB2312"/>
          <w:sz w:val="32"/>
          <w:szCs w:val="32"/>
        </w:rPr>
      </w:pPr>
      <w:r>
        <w:rPr>
          <w:rFonts w:hint="eastAsia" w:ascii="仿宋_GB2312" w:eastAsia="仿宋_GB2312"/>
          <w:sz w:val="32"/>
          <w:szCs w:val="32"/>
        </w:rPr>
        <w:t>三、施工图设计阶段设计合同履约评价表</w:t>
      </w:r>
    </w:p>
    <w:p w14:paraId="3467A995">
      <w:pPr>
        <w:spacing w:after="120" w:line="560" w:lineRule="exact"/>
        <w:ind w:firstLine="640"/>
        <w:rPr>
          <w:rFonts w:ascii="仿宋_GB2312" w:eastAsia="仿宋_GB2312"/>
          <w:sz w:val="32"/>
          <w:szCs w:val="32"/>
        </w:rPr>
      </w:pPr>
      <w:r>
        <w:rPr>
          <w:rFonts w:hint="eastAsia" w:ascii="仿宋_GB2312" w:eastAsia="仿宋_GB2312"/>
          <w:sz w:val="32"/>
          <w:szCs w:val="32"/>
        </w:rPr>
        <w:t>四、施工阶段设计合同履约评价表</w:t>
      </w:r>
    </w:p>
    <w:p w14:paraId="3DE1C19B">
      <w:pPr>
        <w:spacing w:after="120" w:line="560" w:lineRule="exact"/>
        <w:ind w:firstLine="640"/>
        <w:rPr>
          <w:rFonts w:ascii="仿宋_GB2312" w:eastAsia="仿宋_GB2312"/>
          <w:sz w:val="32"/>
          <w:szCs w:val="32"/>
        </w:rPr>
      </w:pPr>
      <w:r>
        <w:rPr>
          <w:rFonts w:hint="eastAsia" w:ascii="仿宋_GB2312" w:eastAsia="仿宋_GB2312"/>
          <w:sz w:val="32"/>
          <w:szCs w:val="32"/>
        </w:rPr>
        <w:t>五、缺陷责任期阶段设计合同履约评价表</w:t>
      </w:r>
    </w:p>
    <w:p w14:paraId="3FCE1ABC">
      <w:pPr>
        <w:spacing w:after="120" w:line="560" w:lineRule="exact"/>
        <w:ind w:firstLine="640"/>
        <w:rPr>
          <w:rFonts w:ascii="仿宋_GB2312" w:eastAsia="仿宋_GB2312"/>
          <w:sz w:val="32"/>
          <w:szCs w:val="32"/>
        </w:rPr>
      </w:pPr>
      <w:r>
        <w:rPr>
          <w:rFonts w:hint="eastAsia" w:ascii="仿宋_GB2312" w:eastAsia="仿宋_GB2312"/>
          <w:sz w:val="32"/>
          <w:szCs w:val="32"/>
        </w:rPr>
        <w:t>六、设计错误分类</w:t>
      </w:r>
    </w:p>
    <w:p w14:paraId="7C56B8B9">
      <w:pPr>
        <w:spacing w:after="120" w:line="560" w:lineRule="exact"/>
        <w:ind w:firstLine="640"/>
        <w:rPr>
          <w:rFonts w:ascii="仿宋_GB2312" w:eastAsia="仿宋_GB2312"/>
          <w:sz w:val="32"/>
          <w:szCs w:val="32"/>
        </w:rPr>
      </w:pPr>
      <w:r>
        <w:rPr>
          <w:rFonts w:ascii="仿宋_GB2312" w:eastAsia="仿宋_GB2312"/>
          <w:sz w:val="32"/>
          <w:szCs w:val="32"/>
        </w:rPr>
        <w:br w:type="page"/>
      </w:r>
      <w:r>
        <w:rPr>
          <w:rFonts w:hint="eastAsia" w:ascii="仿宋_GB2312" w:eastAsia="仿宋_GB2312"/>
          <w:sz w:val="32"/>
          <w:szCs w:val="32"/>
        </w:rPr>
        <w:t>附件一</w:t>
      </w:r>
    </w:p>
    <w:tbl>
      <w:tblPr>
        <w:tblStyle w:val="55"/>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14:paraId="2DBAED24">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vAlign w:val="center"/>
          </w:tcPr>
          <w:p w14:paraId="27980EF0">
            <w:pPr>
              <w:spacing w:after="120"/>
              <w:ind w:firstLine="560"/>
              <w:jc w:val="center"/>
              <w:rPr>
                <w:rFonts w:ascii="仿宋_GB2312" w:eastAsia="仿宋_GB2312"/>
                <w:sz w:val="28"/>
                <w:szCs w:val="28"/>
              </w:rPr>
            </w:pPr>
            <w:r>
              <w:rPr>
                <w:rFonts w:hint="eastAsia" w:ascii="仿宋_GB2312" w:eastAsia="仿宋_GB2312"/>
                <w:sz w:val="28"/>
                <w:szCs w:val="28"/>
              </w:rPr>
              <w:t>方案设计阶段设计合同履约评价表</w:t>
            </w:r>
          </w:p>
        </w:tc>
      </w:tr>
      <w:tr w14:paraId="2B625D6C">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vAlign w:val="center"/>
          </w:tcPr>
          <w:p w14:paraId="49CD6136">
            <w:pPr>
              <w:spacing w:after="120"/>
              <w:ind w:firstLine="0" w:firstLineChars="0"/>
              <w:rPr>
                <w:rFonts w:cs="宋体"/>
                <w:b/>
                <w:bCs/>
                <w:szCs w:val="21"/>
              </w:rPr>
            </w:pPr>
            <w:r>
              <w:rPr>
                <w:rFonts w:hint="eastAsia" w:cs="宋体"/>
                <w:b/>
                <w:bCs/>
                <w:szCs w:val="21"/>
              </w:rPr>
              <w:t>序号</w:t>
            </w:r>
          </w:p>
        </w:tc>
        <w:tc>
          <w:tcPr>
            <w:tcW w:w="1393" w:type="dxa"/>
            <w:tcBorders>
              <w:top w:val="single" w:color="auto" w:sz="4" w:space="0"/>
              <w:left w:val="nil"/>
              <w:bottom w:val="single" w:color="auto" w:sz="4" w:space="0"/>
              <w:right w:val="single" w:color="auto" w:sz="4" w:space="0"/>
            </w:tcBorders>
            <w:vAlign w:val="center"/>
          </w:tcPr>
          <w:p w14:paraId="271A88DD">
            <w:pPr>
              <w:spacing w:after="120"/>
              <w:ind w:firstLine="0" w:firstLineChars="0"/>
              <w:rPr>
                <w:rFonts w:cs="宋体"/>
                <w:b/>
                <w:bCs/>
                <w:szCs w:val="21"/>
              </w:rPr>
            </w:pPr>
            <w:r>
              <w:rPr>
                <w:rFonts w:hint="eastAsia" w:cs="宋体"/>
                <w:b/>
                <w:bCs/>
                <w:szCs w:val="21"/>
              </w:rPr>
              <w:t>内容</w:t>
            </w:r>
          </w:p>
        </w:tc>
        <w:tc>
          <w:tcPr>
            <w:tcW w:w="709" w:type="dxa"/>
            <w:tcBorders>
              <w:top w:val="single" w:color="auto" w:sz="4" w:space="0"/>
              <w:left w:val="nil"/>
              <w:bottom w:val="single" w:color="auto" w:sz="4" w:space="0"/>
              <w:right w:val="single" w:color="auto" w:sz="4" w:space="0"/>
            </w:tcBorders>
            <w:vAlign w:val="center"/>
          </w:tcPr>
          <w:p w14:paraId="715758E6">
            <w:pPr>
              <w:spacing w:after="120"/>
              <w:ind w:firstLine="0" w:firstLineChars="0"/>
              <w:rPr>
                <w:rFonts w:cs="宋体"/>
                <w:b/>
                <w:bCs/>
                <w:szCs w:val="21"/>
              </w:rPr>
            </w:pPr>
            <w:r>
              <w:rPr>
                <w:rFonts w:hint="eastAsia" w:cs="宋体"/>
                <w:b/>
                <w:bCs/>
                <w:szCs w:val="21"/>
              </w:rPr>
              <w:t>单项</w:t>
            </w:r>
          </w:p>
          <w:p w14:paraId="1636031F">
            <w:pPr>
              <w:spacing w:after="120"/>
              <w:ind w:firstLine="0" w:firstLineChars="0"/>
              <w:rPr>
                <w:rFonts w:cs="宋体"/>
                <w:b/>
                <w:bCs/>
                <w:szCs w:val="21"/>
              </w:rPr>
            </w:pPr>
            <w:r>
              <w:rPr>
                <w:rFonts w:hint="eastAsia" w:cs="宋体"/>
                <w:b/>
                <w:bCs/>
                <w:szCs w:val="21"/>
              </w:rPr>
              <w:t>分值</w:t>
            </w:r>
          </w:p>
        </w:tc>
        <w:tc>
          <w:tcPr>
            <w:tcW w:w="2551" w:type="dxa"/>
            <w:tcBorders>
              <w:top w:val="single" w:color="auto" w:sz="4" w:space="0"/>
              <w:left w:val="nil"/>
              <w:bottom w:val="single" w:color="auto" w:sz="4" w:space="0"/>
              <w:right w:val="single" w:color="auto" w:sz="4" w:space="0"/>
            </w:tcBorders>
            <w:vAlign w:val="center"/>
          </w:tcPr>
          <w:p w14:paraId="2FC84A0C">
            <w:pPr>
              <w:spacing w:after="120"/>
              <w:ind w:firstLine="482"/>
              <w:jc w:val="center"/>
              <w:rPr>
                <w:rFonts w:cs="宋体"/>
                <w:b/>
                <w:bCs/>
                <w:szCs w:val="21"/>
              </w:rPr>
            </w:pPr>
            <w:r>
              <w:rPr>
                <w:rFonts w:hint="eastAsia" w:cs="宋体"/>
                <w:b/>
                <w:bCs/>
                <w:szCs w:val="21"/>
              </w:rPr>
              <w:t>评价指标</w:t>
            </w:r>
          </w:p>
        </w:tc>
        <w:tc>
          <w:tcPr>
            <w:tcW w:w="3261" w:type="dxa"/>
            <w:tcBorders>
              <w:top w:val="single" w:color="auto" w:sz="4" w:space="0"/>
              <w:left w:val="nil"/>
              <w:bottom w:val="single" w:color="auto" w:sz="4" w:space="0"/>
              <w:right w:val="single" w:color="auto" w:sz="4" w:space="0"/>
            </w:tcBorders>
            <w:vAlign w:val="center"/>
          </w:tcPr>
          <w:p w14:paraId="7A9982B8">
            <w:pPr>
              <w:spacing w:after="120"/>
              <w:ind w:firstLine="482"/>
              <w:jc w:val="center"/>
              <w:rPr>
                <w:rFonts w:cs="宋体"/>
                <w:b/>
                <w:bCs/>
                <w:szCs w:val="21"/>
              </w:rPr>
            </w:pPr>
            <w:r>
              <w:rPr>
                <w:rFonts w:hint="eastAsia" w:cs="宋体"/>
                <w:b/>
                <w:bCs/>
                <w:szCs w:val="21"/>
              </w:rPr>
              <w:t>评分标准</w:t>
            </w:r>
          </w:p>
        </w:tc>
        <w:tc>
          <w:tcPr>
            <w:tcW w:w="992" w:type="dxa"/>
            <w:tcBorders>
              <w:top w:val="single" w:color="auto" w:sz="4" w:space="0"/>
              <w:left w:val="nil"/>
              <w:bottom w:val="single" w:color="auto" w:sz="4" w:space="0"/>
              <w:right w:val="single" w:color="auto" w:sz="4" w:space="0"/>
            </w:tcBorders>
            <w:vAlign w:val="center"/>
          </w:tcPr>
          <w:p w14:paraId="0AC1D8A1">
            <w:pPr>
              <w:spacing w:after="120"/>
              <w:ind w:firstLine="0" w:firstLineChars="0"/>
              <w:rPr>
                <w:rFonts w:cs="宋体"/>
                <w:szCs w:val="21"/>
              </w:rPr>
            </w:pPr>
            <w:r>
              <w:rPr>
                <w:rFonts w:hint="eastAsia" w:cs="宋体"/>
                <w:szCs w:val="21"/>
              </w:rPr>
              <w:t>得分</w:t>
            </w:r>
          </w:p>
        </w:tc>
      </w:tr>
      <w:tr w14:paraId="4777F875">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1A600F0D">
            <w:pPr>
              <w:spacing w:after="120"/>
              <w:ind w:firstLine="0" w:firstLineChars="0"/>
              <w:rPr>
                <w:szCs w:val="21"/>
              </w:rPr>
            </w:pPr>
            <w:r>
              <w:rPr>
                <w:rFonts w:hint="eastAsia"/>
                <w:szCs w:val="21"/>
              </w:rPr>
              <w:t>一</w:t>
            </w:r>
          </w:p>
        </w:tc>
        <w:tc>
          <w:tcPr>
            <w:tcW w:w="1393" w:type="dxa"/>
            <w:tcBorders>
              <w:top w:val="nil"/>
              <w:left w:val="nil"/>
              <w:bottom w:val="single" w:color="auto" w:sz="4" w:space="0"/>
              <w:right w:val="single" w:color="auto" w:sz="4" w:space="0"/>
            </w:tcBorders>
            <w:vAlign w:val="center"/>
          </w:tcPr>
          <w:p w14:paraId="36457BE8">
            <w:pPr>
              <w:spacing w:after="120"/>
              <w:ind w:firstLine="0" w:firstLineChars="0"/>
              <w:rPr>
                <w:szCs w:val="21"/>
              </w:rPr>
            </w:pPr>
            <w:r>
              <w:rPr>
                <w:rFonts w:hint="eastAsia"/>
                <w:szCs w:val="21"/>
              </w:rPr>
              <w:t>人员配备</w:t>
            </w:r>
          </w:p>
        </w:tc>
        <w:tc>
          <w:tcPr>
            <w:tcW w:w="709" w:type="dxa"/>
            <w:tcBorders>
              <w:top w:val="nil"/>
              <w:left w:val="nil"/>
              <w:bottom w:val="single" w:color="auto" w:sz="4" w:space="0"/>
              <w:right w:val="single" w:color="auto" w:sz="4" w:space="0"/>
            </w:tcBorders>
            <w:vAlign w:val="center"/>
          </w:tcPr>
          <w:p w14:paraId="7EA6CC96">
            <w:pPr>
              <w:spacing w:after="120"/>
              <w:ind w:firstLine="0" w:firstLineChars="0"/>
              <w:rPr>
                <w:szCs w:val="21"/>
              </w:rPr>
            </w:pPr>
            <w:r>
              <w:rPr>
                <w:szCs w:val="21"/>
              </w:rPr>
              <w:t>10</w:t>
            </w:r>
          </w:p>
        </w:tc>
        <w:tc>
          <w:tcPr>
            <w:tcW w:w="2551" w:type="dxa"/>
            <w:tcBorders>
              <w:top w:val="nil"/>
              <w:left w:val="nil"/>
              <w:bottom w:val="single" w:color="auto" w:sz="4" w:space="0"/>
              <w:right w:val="single" w:color="auto" w:sz="4" w:space="0"/>
            </w:tcBorders>
            <w:vAlign w:val="center"/>
          </w:tcPr>
          <w:p w14:paraId="4117539D">
            <w:pPr>
              <w:spacing w:after="120"/>
              <w:ind w:firstLine="482"/>
              <w:jc w:val="center"/>
              <w:rPr>
                <w:b/>
                <w:bCs/>
                <w:szCs w:val="21"/>
              </w:rPr>
            </w:pPr>
            <w:r>
              <w:rPr>
                <w:b/>
                <w:bCs/>
                <w:szCs w:val="21"/>
              </w:rPr>
              <w:t>　</w:t>
            </w:r>
          </w:p>
        </w:tc>
        <w:tc>
          <w:tcPr>
            <w:tcW w:w="3261" w:type="dxa"/>
            <w:tcBorders>
              <w:top w:val="nil"/>
              <w:left w:val="nil"/>
              <w:bottom w:val="single" w:color="auto" w:sz="4" w:space="0"/>
              <w:right w:val="single" w:color="auto" w:sz="4" w:space="0"/>
            </w:tcBorders>
            <w:vAlign w:val="center"/>
          </w:tcPr>
          <w:p w14:paraId="56335F5E">
            <w:pPr>
              <w:spacing w:after="120"/>
              <w:ind w:firstLine="482"/>
              <w:jc w:val="center"/>
              <w:rPr>
                <w:b/>
                <w:bCs/>
                <w:szCs w:val="21"/>
              </w:rPr>
            </w:pPr>
            <w:r>
              <w:rPr>
                <w:b/>
                <w:bCs/>
                <w:szCs w:val="21"/>
              </w:rPr>
              <w:t>　</w:t>
            </w:r>
          </w:p>
        </w:tc>
        <w:tc>
          <w:tcPr>
            <w:tcW w:w="992" w:type="dxa"/>
            <w:tcBorders>
              <w:top w:val="nil"/>
              <w:left w:val="nil"/>
              <w:bottom w:val="single" w:color="auto" w:sz="4" w:space="0"/>
              <w:right w:val="single" w:color="auto" w:sz="4" w:space="0"/>
            </w:tcBorders>
            <w:vAlign w:val="center"/>
          </w:tcPr>
          <w:p w14:paraId="4B33FBBB">
            <w:pPr>
              <w:spacing w:after="120"/>
              <w:jc w:val="center"/>
              <w:rPr>
                <w:szCs w:val="21"/>
              </w:rPr>
            </w:pPr>
            <w:r>
              <w:rPr>
                <w:szCs w:val="21"/>
              </w:rPr>
              <w:t>　</w:t>
            </w:r>
          </w:p>
        </w:tc>
      </w:tr>
      <w:tr w14:paraId="6717070B">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61CF1B4A">
            <w:pPr>
              <w:spacing w:after="120"/>
              <w:ind w:firstLine="0" w:firstLineChars="0"/>
              <w:rPr>
                <w:szCs w:val="21"/>
              </w:rPr>
            </w:pPr>
            <w:r>
              <w:rPr>
                <w:szCs w:val="21"/>
              </w:rPr>
              <w:t>1</w:t>
            </w:r>
          </w:p>
        </w:tc>
        <w:tc>
          <w:tcPr>
            <w:tcW w:w="1393" w:type="dxa"/>
            <w:tcBorders>
              <w:top w:val="nil"/>
              <w:left w:val="nil"/>
              <w:bottom w:val="single" w:color="auto" w:sz="4" w:space="0"/>
              <w:right w:val="nil"/>
            </w:tcBorders>
            <w:vAlign w:val="center"/>
          </w:tcPr>
          <w:p w14:paraId="126E2A3A">
            <w:pPr>
              <w:spacing w:after="120"/>
              <w:ind w:firstLine="0" w:firstLineChars="0"/>
              <w:rPr>
                <w:szCs w:val="21"/>
              </w:rPr>
            </w:pPr>
            <w:r>
              <w:rPr>
                <w:rFonts w:hint="eastAsia"/>
                <w:szCs w:val="21"/>
              </w:rPr>
              <w:t>项目负责人</w:t>
            </w:r>
          </w:p>
        </w:tc>
        <w:tc>
          <w:tcPr>
            <w:tcW w:w="709" w:type="dxa"/>
            <w:tcBorders>
              <w:top w:val="nil"/>
              <w:left w:val="single" w:color="auto" w:sz="4" w:space="0"/>
              <w:bottom w:val="single" w:color="auto" w:sz="4" w:space="0"/>
              <w:right w:val="single" w:color="auto" w:sz="4" w:space="0"/>
            </w:tcBorders>
            <w:vAlign w:val="center"/>
          </w:tcPr>
          <w:p w14:paraId="6432BBA0">
            <w:pPr>
              <w:spacing w:after="120"/>
              <w:ind w:firstLine="0" w:firstLineChars="0"/>
              <w:rPr>
                <w:szCs w:val="21"/>
              </w:rPr>
            </w:pPr>
            <w:r>
              <w:rPr>
                <w:rFonts w:hint="eastAsia"/>
                <w:szCs w:val="21"/>
              </w:rPr>
              <w:t>5</w:t>
            </w:r>
          </w:p>
        </w:tc>
        <w:tc>
          <w:tcPr>
            <w:tcW w:w="2551" w:type="dxa"/>
            <w:tcBorders>
              <w:top w:val="nil"/>
              <w:left w:val="nil"/>
              <w:bottom w:val="single" w:color="auto" w:sz="4" w:space="0"/>
              <w:right w:val="single" w:color="auto" w:sz="4" w:space="0"/>
            </w:tcBorders>
            <w:vAlign w:val="center"/>
          </w:tcPr>
          <w:p w14:paraId="12AF6B16">
            <w:pPr>
              <w:spacing w:after="120"/>
              <w:ind w:firstLine="0" w:firstLineChars="0"/>
              <w:jc w:val="left"/>
              <w:rPr>
                <w:szCs w:val="21"/>
              </w:rPr>
            </w:pPr>
            <w:r>
              <w:rPr>
                <w:rFonts w:hint="eastAsia"/>
                <w:szCs w:val="21"/>
              </w:rPr>
              <w:t>是否按合同到位</w:t>
            </w:r>
          </w:p>
        </w:tc>
        <w:tc>
          <w:tcPr>
            <w:tcW w:w="3261" w:type="dxa"/>
            <w:tcBorders>
              <w:top w:val="nil"/>
              <w:left w:val="nil"/>
              <w:bottom w:val="single" w:color="auto" w:sz="4" w:space="0"/>
              <w:right w:val="single" w:color="auto" w:sz="4" w:space="0"/>
            </w:tcBorders>
            <w:vAlign w:val="center"/>
          </w:tcPr>
          <w:p w14:paraId="1686B1D8">
            <w:pPr>
              <w:spacing w:after="120"/>
              <w:ind w:firstLine="0" w:firstLineChars="0"/>
              <w:jc w:val="left"/>
              <w:rPr>
                <w:szCs w:val="21"/>
              </w:rPr>
            </w:pPr>
            <w:r>
              <w:rPr>
                <w:rFonts w:hint="eastAsia"/>
                <w:szCs w:val="21"/>
              </w:rPr>
              <w:t>未按合同到位或未经甲方同意，每自行更换一次，扣2分；</w:t>
            </w:r>
          </w:p>
          <w:p w14:paraId="651C9408">
            <w:pPr>
              <w:spacing w:after="120"/>
              <w:ind w:firstLine="0" w:firstLineChars="0"/>
              <w:jc w:val="left"/>
              <w:rPr>
                <w:szCs w:val="21"/>
              </w:rPr>
            </w:pPr>
            <w:r>
              <w:rPr>
                <w:rFonts w:hint="eastAsia"/>
                <w:szCs w:val="21"/>
              </w:rPr>
              <w:t>缺席甲方要求参加的重要会议，每次扣1分。</w:t>
            </w:r>
          </w:p>
        </w:tc>
        <w:tc>
          <w:tcPr>
            <w:tcW w:w="992" w:type="dxa"/>
            <w:tcBorders>
              <w:top w:val="nil"/>
              <w:left w:val="nil"/>
              <w:bottom w:val="single" w:color="auto" w:sz="4" w:space="0"/>
              <w:right w:val="single" w:color="auto" w:sz="4" w:space="0"/>
            </w:tcBorders>
            <w:vAlign w:val="center"/>
          </w:tcPr>
          <w:p w14:paraId="5836DC0B">
            <w:pPr>
              <w:spacing w:after="120"/>
              <w:jc w:val="center"/>
              <w:rPr>
                <w:szCs w:val="21"/>
              </w:rPr>
            </w:pPr>
            <w:r>
              <w:rPr>
                <w:szCs w:val="21"/>
              </w:rPr>
              <w:t>　</w:t>
            </w:r>
          </w:p>
        </w:tc>
      </w:tr>
      <w:tr w14:paraId="0E06B577">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4485A456">
            <w:pPr>
              <w:spacing w:after="120"/>
              <w:ind w:firstLine="0" w:firstLineChars="0"/>
              <w:rPr>
                <w:szCs w:val="21"/>
              </w:rPr>
            </w:pPr>
            <w:r>
              <w:rPr>
                <w:rFonts w:hint="eastAsia"/>
                <w:szCs w:val="21"/>
              </w:rPr>
              <w:t>2</w:t>
            </w:r>
          </w:p>
        </w:tc>
        <w:tc>
          <w:tcPr>
            <w:tcW w:w="1393" w:type="dxa"/>
            <w:tcBorders>
              <w:top w:val="single" w:color="auto" w:sz="4" w:space="0"/>
              <w:left w:val="nil"/>
              <w:bottom w:val="nil"/>
              <w:right w:val="nil"/>
            </w:tcBorders>
            <w:vAlign w:val="center"/>
          </w:tcPr>
          <w:p w14:paraId="6C5791DB">
            <w:pPr>
              <w:spacing w:after="120"/>
              <w:ind w:firstLine="0" w:firstLineChars="0"/>
              <w:jc w:val="left"/>
              <w:rPr>
                <w:szCs w:val="21"/>
              </w:rPr>
            </w:pPr>
            <w:r>
              <w:rPr>
                <w:rFonts w:hint="eastAsia"/>
                <w:szCs w:val="21"/>
              </w:rPr>
              <w:t>各专业负责人</w:t>
            </w:r>
          </w:p>
        </w:tc>
        <w:tc>
          <w:tcPr>
            <w:tcW w:w="709" w:type="dxa"/>
            <w:tcBorders>
              <w:top w:val="nil"/>
              <w:left w:val="single" w:color="auto" w:sz="4" w:space="0"/>
              <w:bottom w:val="single" w:color="auto" w:sz="4" w:space="0"/>
              <w:right w:val="single" w:color="auto" w:sz="4" w:space="0"/>
            </w:tcBorders>
            <w:vAlign w:val="center"/>
          </w:tcPr>
          <w:p w14:paraId="191552C6">
            <w:pPr>
              <w:spacing w:after="120"/>
              <w:ind w:firstLine="0" w:firstLineChars="0"/>
              <w:rPr>
                <w:szCs w:val="21"/>
              </w:rPr>
            </w:pPr>
            <w:r>
              <w:rPr>
                <w:rFonts w:hint="eastAsia"/>
                <w:szCs w:val="21"/>
              </w:rPr>
              <w:t>5</w:t>
            </w:r>
          </w:p>
        </w:tc>
        <w:tc>
          <w:tcPr>
            <w:tcW w:w="2551" w:type="dxa"/>
            <w:tcBorders>
              <w:top w:val="nil"/>
              <w:left w:val="nil"/>
              <w:bottom w:val="single" w:color="auto" w:sz="4" w:space="0"/>
              <w:right w:val="single" w:color="auto" w:sz="4" w:space="0"/>
            </w:tcBorders>
            <w:vAlign w:val="center"/>
          </w:tcPr>
          <w:p w14:paraId="0EC251ED">
            <w:pPr>
              <w:spacing w:after="120"/>
              <w:ind w:firstLine="0" w:firstLineChars="0"/>
              <w:jc w:val="left"/>
              <w:rPr>
                <w:szCs w:val="21"/>
              </w:rPr>
            </w:pPr>
            <w:r>
              <w:rPr>
                <w:rFonts w:hint="eastAsia"/>
                <w:szCs w:val="21"/>
              </w:rPr>
              <w:t>人员是否稳定无更换</w:t>
            </w:r>
          </w:p>
        </w:tc>
        <w:tc>
          <w:tcPr>
            <w:tcW w:w="3261" w:type="dxa"/>
            <w:tcBorders>
              <w:top w:val="nil"/>
              <w:left w:val="nil"/>
              <w:bottom w:val="single" w:color="auto" w:sz="4" w:space="0"/>
              <w:right w:val="single" w:color="auto" w:sz="4" w:space="0"/>
            </w:tcBorders>
            <w:vAlign w:val="center"/>
          </w:tcPr>
          <w:p w14:paraId="7E5978FA">
            <w:pPr>
              <w:spacing w:after="120"/>
              <w:ind w:firstLine="0" w:firstLineChars="0"/>
              <w:jc w:val="left"/>
              <w:rPr>
                <w:szCs w:val="21"/>
              </w:rPr>
            </w:pPr>
            <w:r>
              <w:rPr>
                <w:rFonts w:hint="eastAsia"/>
                <w:szCs w:val="21"/>
              </w:rPr>
              <w:t>未按合同到位且未经甲方同意，每自行更换一次，扣2分；</w:t>
            </w:r>
          </w:p>
          <w:p w14:paraId="5D6A0D46">
            <w:pPr>
              <w:spacing w:after="120"/>
              <w:ind w:firstLine="0" w:firstLineChars="0"/>
              <w:jc w:val="left"/>
              <w:rPr>
                <w:szCs w:val="21"/>
              </w:rPr>
            </w:pPr>
            <w:r>
              <w:rPr>
                <w:rFonts w:hint="eastAsia"/>
                <w:szCs w:val="21"/>
              </w:rPr>
              <w:t>缺席甲方要求参加的重要会议，每次扣1分。</w:t>
            </w:r>
          </w:p>
        </w:tc>
        <w:tc>
          <w:tcPr>
            <w:tcW w:w="992" w:type="dxa"/>
            <w:tcBorders>
              <w:top w:val="nil"/>
              <w:left w:val="nil"/>
              <w:bottom w:val="single" w:color="auto" w:sz="4" w:space="0"/>
              <w:right w:val="single" w:color="auto" w:sz="4" w:space="0"/>
            </w:tcBorders>
            <w:vAlign w:val="center"/>
          </w:tcPr>
          <w:p w14:paraId="6CEF3EC5">
            <w:pPr>
              <w:spacing w:after="120"/>
              <w:jc w:val="center"/>
              <w:rPr>
                <w:szCs w:val="21"/>
              </w:rPr>
            </w:pPr>
          </w:p>
        </w:tc>
      </w:tr>
      <w:tr w14:paraId="40447748">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501ED7E0">
            <w:pPr>
              <w:spacing w:after="120"/>
              <w:ind w:firstLine="0" w:firstLineChars="0"/>
              <w:rPr>
                <w:szCs w:val="21"/>
              </w:rPr>
            </w:pPr>
            <w:r>
              <w:rPr>
                <w:rFonts w:hint="eastAsia"/>
                <w:szCs w:val="21"/>
              </w:rPr>
              <w:t>二</w:t>
            </w:r>
          </w:p>
        </w:tc>
        <w:tc>
          <w:tcPr>
            <w:tcW w:w="1393" w:type="dxa"/>
            <w:tcBorders>
              <w:top w:val="single" w:color="auto" w:sz="4" w:space="0"/>
              <w:left w:val="nil"/>
              <w:bottom w:val="single" w:color="auto" w:sz="4" w:space="0"/>
              <w:right w:val="single" w:color="auto" w:sz="4" w:space="0"/>
            </w:tcBorders>
            <w:vAlign w:val="center"/>
          </w:tcPr>
          <w:p w14:paraId="3DA84759">
            <w:pPr>
              <w:spacing w:after="120"/>
              <w:ind w:firstLine="0" w:firstLineChars="0"/>
              <w:jc w:val="left"/>
              <w:rPr>
                <w:szCs w:val="21"/>
              </w:rPr>
            </w:pPr>
            <w:r>
              <w:rPr>
                <w:rFonts w:hint="eastAsia"/>
                <w:szCs w:val="21"/>
              </w:rPr>
              <w:t>能力水平及履约表现</w:t>
            </w:r>
          </w:p>
        </w:tc>
        <w:tc>
          <w:tcPr>
            <w:tcW w:w="709" w:type="dxa"/>
            <w:tcBorders>
              <w:top w:val="nil"/>
              <w:left w:val="nil"/>
              <w:bottom w:val="single" w:color="auto" w:sz="4" w:space="0"/>
              <w:right w:val="single" w:color="auto" w:sz="4" w:space="0"/>
            </w:tcBorders>
            <w:vAlign w:val="center"/>
          </w:tcPr>
          <w:p w14:paraId="5DD77053">
            <w:pPr>
              <w:spacing w:after="120"/>
              <w:ind w:firstLine="0" w:firstLineChars="0"/>
              <w:rPr>
                <w:szCs w:val="21"/>
              </w:rPr>
            </w:pPr>
            <w:r>
              <w:rPr>
                <w:rFonts w:hint="eastAsia"/>
                <w:szCs w:val="21"/>
              </w:rPr>
              <w:t>20</w:t>
            </w:r>
          </w:p>
        </w:tc>
        <w:tc>
          <w:tcPr>
            <w:tcW w:w="2551" w:type="dxa"/>
            <w:tcBorders>
              <w:top w:val="nil"/>
              <w:left w:val="nil"/>
              <w:bottom w:val="single" w:color="auto" w:sz="4" w:space="0"/>
              <w:right w:val="single" w:color="auto" w:sz="4" w:space="0"/>
            </w:tcBorders>
            <w:vAlign w:val="center"/>
          </w:tcPr>
          <w:p w14:paraId="01E36FEB">
            <w:pPr>
              <w:spacing w:after="120"/>
              <w:jc w:val="left"/>
              <w:rPr>
                <w:szCs w:val="21"/>
              </w:rPr>
            </w:pPr>
            <w:r>
              <w:rPr>
                <w:szCs w:val="21"/>
              </w:rPr>
              <w:t>　</w:t>
            </w:r>
          </w:p>
        </w:tc>
        <w:tc>
          <w:tcPr>
            <w:tcW w:w="3261" w:type="dxa"/>
            <w:tcBorders>
              <w:top w:val="nil"/>
              <w:left w:val="nil"/>
              <w:bottom w:val="single" w:color="auto" w:sz="4" w:space="0"/>
              <w:right w:val="single" w:color="auto" w:sz="4" w:space="0"/>
            </w:tcBorders>
            <w:vAlign w:val="center"/>
          </w:tcPr>
          <w:p w14:paraId="33B96AFC">
            <w:pPr>
              <w:spacing w:after="120"/>
              <w:jc w:val="left"/>
              <w:rPr>
                <w:szCs w:val="21"/>
              </w:rPr>
            </w:pPr>
          </w:p>
        </w:tc>
        <w:tc>
          <w:tcPr>
            <w:tcW w:w="992" w:type="dxa"/>
            <w:tcBorders>
              <w:top w:val="nil"/>
              <w:left w:val="nil"/>
              <w:bottom w:val="single" w:color="auto" w:sz="4" w:space="0"/>
              <w:right w:val="single" w:color="auto" w:sz="4" w:space="0"/>
            </w:tcBorders>
            <w:vAlign w:val="center"/>
          </w:tcPr>
          <w:p w14:paraId="34763A00">
            <w:pPr>
              <w:spacing w:after="120"/>
              <w:jc w:val="center"/>
              <w:rPr>
                <w:szCs w:val="21"/>
              </w:rPr>
            </w:pPr>
            <w:r>
              <w:rPr>
                <w:szCs w:val="21"/>
              </w:rPr>
              <w:t>　</w:t>
            </w:r>
          </w:p>
        </w:tc>
      </w:tr>
      <w:tr w14:paraId="27520993">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3CA5E478">
            <w:pPr>
              <w:spacing w:after="120"/>
              <w:ind w:firstLine="0" w:firstLineChars="0"/>
              <w:rPr>
                <w:szCs w:val="21"/>
              </w:rPr>
            </w:pPr>
            <w:r>
              <w:rPr>
                <w:rFonts w:hint="eastAsia"/>
                <w:szCs w:val="21"/>
              </w:rPr>
              <w:t>1</w:t>
            </w:r>
          </w:p>
        </w:tc>
        <w:tc>
          <w:tcPr>
            <w:tcW w:w="1393" w:type="dxa"/>
            <w:tcBorders>
              <w:top w:val="nil"/>
              <w:left w:val="nil"/>
              <w:bottom w:val="single" w:color="auto" w:sz="4" w:space="0"/>
              <w:right w:val="single" w:color="auto" w:sz="4" w:space="0"/>
            </w:tcBorders>
            <w:vAlign w:val="center"/>
          </w:tcPr>
          <w:p w14:paraId="44B5CEC6">
            <w:pPr>
              <w:spacing w:after="120"/>
              <w:ind w:firstLine="0" w:firstLineChars="0"/>
              <w:jc w:val="left"/>
              <w:rPr>
                <w:szCs w:val="21"/>
              </w:rPr>
            </w:pPr>
            <w:r>
              <w:rPr>
                <w:rFonts w:hint="eastAsia"/>
                <w:szCs w:val="21"/>
              </w:rPr>
              <w:t>项目负责人</w:t>
            </w:r>
          </w:p>
        </w:tc>
        <w:tc>
          <w:tcPr>
            <w:tcW w:w="709" w:type="dxa"/>
            <w:tcBorders>
              <w:top w:val="nil"/>
              <w:left w:val="nil"/>
              <w:bottom w:val="single" w:color="auto" w:sz="4" w:space="0"/>
              <w:right w:val="single" w:color="auto" w:sz="4" w:space="0"/>
            </w:tcBorders>
            <w:vAlign w:val="center"/>
          </w:tcPr>
          <w:p w14:paraId="6D24A386">
            <w:pPr>
              <w:spacing w:after="120"/>
              <w:ind w:firstLine="0" w:firstLineChars="0"/>
              <w:rPr>
                <w:szCs w:val="21"/>
              </w:rPr>
            </w:pPr>
            <w:r>
              <w:rPr>
                <w:rFonts w:hint="eastAsia"/>
                <w:szCs w:val="21"/>
              </w:rPr>
              <w:t>10</w:t>
            </w:r>
          </w:p>
        </w:tc>
        <w:tc>
          <w:tcPr>
            <w:tcW w:w="2551" w:type="dxa"/>
            <w:tcBorders>
              <w:top w:val="nil"/>
              <w:left w:val="nil"/>
              <w:bottom w:val="single" w:color="auto" w:sz="4" w:space="0"/>
              <w:right w:val="single" w:color="auto" w:sz="4" w:space="0"/>
            </w:tcBorders>
            <w:vAlign w:val="center"/>
          </w:tcPr>
          <w:p w14:paraId="07362CDE">
            <w:pPr>
              <w:spacing w:after="120"/>
              <w:ind w:firstLine="0" w:firstLineChars="0"/>
              <w:jc w:val="left"/>
              <w:rPr>
                <w:szCs w:val="21"/>
              </w:rPr>
            </w:pPr>
            <w:r>
              <w:rPr>
                <w:rFonts w:hint="eastAsia"/>
                <w:szCs w:val="21"/>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vAlign w:val="center"/>
          </w:tcPr>
          <w:p w14:paraId="74D093E7">
            <w:pPr>
              <w:spacing w:after="120"/>
              <w:ind w:firstLine="0" w:firstLineChars="0"/>
              <w:jc w:val="left"/>
              <w:rPr>
                <w:szCs w:val="21"/>
              </w:rPr>
            </w:pPr>
            <w:r>
              <w:rPr>
                <w:szCs w:val="21"/>
              </w:rPr>
              <w:t>1</w:t>
            </w:r>
            <w:r>
              <w:rPr>
                <w:rFonts w:hint="eastAsia"/>
                <w:szCs w:val="21"/>
              </w:rPr>
              <w:t>、责任心不强、工作协调不到位；</w:t>
            </w:r>
          </w:p>
          <w:p w14:paraId="63B6589F">
            <w:pPr>
              <w:spacing w:after="120"/>
              <w:ind w:firstLine="0" w:firstLineChars="0"/>
              <w:jc w:val="left"/>
              <w:rPr>
                <w:szCs w:val="21"/>
              </w:rPr>
            </w:pPr>
            <w:r>
              <w:rPr>
                <w:szCs w:val="21"/>
              </w:rPr>
              <w:t>2</w:t>
            </w:r>
            <w:r>
              <w:rPr>
                <w:rFonts w:hint="eastAsia"/>
                <w:szCs w:val="21"/>
              </w:rPr>
              <w:t>、发现问题后未及时处理；</w:t>
            </w:r>
          </w:p>
          <w:p w14:paraId="346DA9ED">
            <w:pPr>
              <w:spacing w:after="120"/>
              <w:ind w:firstLine="0" w:firstLineChars="0"/>
              <w:jc w:val="left"/>
              <w:rPr>
                <w:szCs w:val="21"/>
              </w:rPr>
            </w:pPr>
            <w:r>
              <w:rPr>
                <w:szCs w:val="21"/>
              </w:rPr>
              <w:t>3</w:t>
            </w:r>
            <w:r>
              <w:rPr>
                <w:rFonts w:hint="eastAsia"/>
                <w:szCs w:val="21"/>
              </w:rPr>
              <w:t>、未与相关参建单位或管理部门及时沟通；</w:t>
            </w:r>
          </w:p>
          <w:p w14:paraId="0F8D9B27">
            <w:pPr>
              <w:spacing w:after="120"/>
              <w:ind w:firstLine="0" w:firstLineChars="0"/>
              <w:jc w:val="left"/>
              <w:rPr>
                <w:szCs w:val="21"/>
              </w:rPr>
            </w:pPr>
            <w:r>
              <w:rPr>
                <w:szCs w:val="21"/>
              </w:rPr>
              <w:t>4</w:t>
            </w:r>
            <w:r>
              <w:rPr>
                <w:rFonts w:hint="eastAsia"/>
                <w:szCs w:val="21"/>
              </w:rPr>
              <w:t>、未落实甲方的相关要求或会议纪要等文件精神。</w:t>
            </w:r>
          </w:p>
          <w:p w14:paraId="4F30DBA5">
            <w:pPr>
              <w:spacing w:after="120"/>
              <w:ind w:firstLine="0" w:firstLineChars="0"/>
              <w:jc w:val="left"/>
              <w:rPr>
                <w:szCs w:val="21"/>
              </w:rPr>
            </w:pPr>
            <w:r>
              <w:rPr>
                <w:rFonts w:hint="eastAsia"/>
                <w:szCs w:val="21"/>
              </w:rPr>
              <w:t>以上各项每发生一次扣2分。</w:t>
            </w:r>
          </w:p>
        </w:tc>
        <w:tc>
          <w:tcPr>
            <w:tcW w:w="992" w:type="dxa"/>
            <w:tcBorders>
              <w:top w:val="nil"/>
              <w:left w:val="nil"/>
              <w:bottom w:val="single" w:color="auto" w:sz="4" w:space="0"/>
              <w:right w:val="single" w:color="auto" w:sz="4" w:space="0"/>
            </w:tcBorders>
            <w:vAlign w:val="center"/>
          </w:tcPr>
          <w:p w14:paraId="10B2987E">
            <w:pPr>
              <w:spacing w:after="120"/>
              <w:jc w:val="center"/>
              <w:rPr>
                <w:szCs w:val="21"/>
              </w:rPr>
            </w:pPr>
            <w:r>
              <w:rPr>
                <w:szCs w:val="21"/>
              </w:rPr>
              <w:t>　</w:t>
            </w:r>
          </w:p>
        </w:tc>
      </w:tr>
      <w:tr w14:paraId="1E3D9C1B">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3879995">
            <w:pPr>
              <w:spacing w:after="120"/>
              <w:ind w:firstLine="0" w:firstLineChars="0"/>
              <w:rPr>
                <w:szCs w:val="21"/>
              </w:rPr>
            </w:pPr>
            <w:r>
              <w:rPr>
                <w:rFonts w:hint="eastAsia"/>
                <w:szCs w:val="21"/>
              </w:rPr>
              <w:t>2</w:t>
            </w:r>
          </w:p>
        </w:tc>
        <w:tc>
          <w:tcPr>
            <w:tcW w:w="1393" w:type="dxa"/>
            <w:tcBorders>
              <w:top w:val="nil"/>
              <w:left w:val="nil"/>
              <w:bottom w:val="single" w:color="auto" w:sz="4" w:space="0"/>
              <w:right w:val="single" w:color="auto" w:sz="4" w:space="0"/>
            </w:tcBorders>
            <w:vAlign w:val="center"/>
          </w:tcPr>
          <w:p w14:paraId="0B0717A1">
            <w:pPr>
              <w:spacing w:after="120"/>
              <w:ind w:firstLine="0" w:firstLineChars="0"/>
              <w:jc w:val="left"/>
              <w:rPr>
                <w:szCs w:val="21"/>
              </w:rPr>
            </w:pPr>
            <w:r>
              <w:rPr>
                <w:rFonts w:hint="eastAsia"/>
                <w:szCs w:val="21"/>
              </w:rPr>
              <w:t>各专业负责人</w:t>
            </w:r>
          </w:p>
        </w:tc>
        <w:tc>
          <w:tcPr>
            <w:tcW w:w="709" w:type="dxa"/>
            <w:tcBorders>
              <w:top w:val="nil"/>
              <w:left w:val="nil"/>
              <w:bottom w:val="single" w:color="auto" w:sz="4" w:space="0"/>
              <w:right w:val="single" w:color="auto" w:sz="4" w:space="0"/>
            </w:tcBorders>
            <w:vAlign w:val="center"/>
          </w:tcPr>
          <w:p w14:paraId="3092C443">
            <w:pPr>
              <w:spacing w:after="120"/>
              <w:ind w:firstLine="0" w:firstLineChars="0"/>
              <w:rPr>
                <w:szCs w:val="21"/>
              </w:rPr>
            </w:pPr>
            <w:r>
              <w:rPr>
                <w:rFonts w:hint="eastAsia"/>
                <w:szCs w:val="21"/>
              </w:rPr>
              <w:t>10</w:t>
            </w:r>
          </w:p>
        </w:tc>
        <w:tc>
          <w:tcPr>
            <w:tcW w:w="2551" w:type="dxa"/>
            <w:tcBorders>
              <w:top w:val="nil"/>
              <w:left w:val="nil"/>
              <w:bottom w:val="single" w:color="auto" w:sz="4" w:space="0"/>
              <w:right w:val="single" w:color="auto" w:sz="4" w:space="0"/>
            </w:tcBorders>
            <w:vAlign w:val="center"/>
          </w:tcPr>
          <w:p w14:paraId="024A61E0">
            <w:pPr>
              <w:spacing w:after="120"/>
              <w:ind w:firstLine="0" w:firstLineChars="0"/>
              <w:jc w:val="left"/>
              <w:rPr>
                <w:szCs w:val="21"/>
              </w:rPr>
            </w:pPr>
            <w:r>
              <w:rPr>
                <w:rFonts w:hint="eastAsia"/>
                <w:szCs w:val="21"/>
              </w:rPr>
              <w:t>是否有责任心；是否有较高的专业水平；与甲方、使用单位的沟通是否顺畅</w:t>
            </w:r>
          </w:p>
        </w:tc>
        <w:tc>
          <w:tcPr>
            <w:tcW w:w="3261" w:type="dxa"/>
            <w:tcBorders>
              <w:top w:val="nil"/>
              <w:left w:val="nil"/>
              <w:bottom w:val="single" w:color="auto" w:sz="4" w:space="0"/>
              <w:right w:val="single" w:color="auto" w:sz="4" w:space="0"/>
            </w:tcBorders>
            <w:vAlign w:val="center"/>
          </w:tcPr>
          <w:p w14:paraId="41C149AA">
            <w:pPr>
              <w:spacing w:after="120"/>
              <w:ind w:firstLine="0" w:firstLineChars="0"/>
              <w:jc w:val="left"/>
              <w:rPr>
                <w:szCs w:val="21"/>
              </w:rPr>
            </w:pPr>
            <w:r>
              <w:rPr>
                <w:szCs w:val="21"/>
              </w:rPr>
              <w:t>1</w:t>
            </w:r>
            <w:r>
              <w:rPr>
                <w:rFonts w:hint="eastAsia"/>
                <w:szCs w:val="21"/>
              </w:rPr>
              <w:t>、责任心不强；</w:t>
            </w:r>
          </w:p>
          <w:p w14:paraId="2C0CDDBF">
            <w:pPr>
              <w:spacing w:after="120"/>
              <w:ind w:firstLine="0" w:firstLineChars="0"/>
              <w:jc w:val="left"/>
              <w:rPr>
                <w:szCs w:val="21"/>
              </w:rPr>
            </w:pPr>
            <w:r>
              <w:rPr>
                <w:szCs w:val="21"/>
              </w:rPr>
              <w:t>2</w:t>
            </w:r>
            <w:r>
              <w:rPr>
                <w:rFonts w:hint="eastAsia"/>
                <w:szCs w:val="21"/>
              </w:rPr>
              <w:t>、专业水平不高；</w:t>
            </w:r>
          </w:p>
          <w:p w14:paraId="7A6C4A96">
            <w:pPr>
              <w:spacing w:after="120"/>
              <w:ind w:firstLine="0" w:firstLineChars="0"/>
              <w:jc w:val="left"/>
              <w:rPr>
                <w:szCs w:val="21"/>
              </w:rPr>
            </w:pPr>
            <w:r>
              <w:rPr>
                <w:szCs w:val="21"/>
              </w:rPr>
              <w:t>3</w:t>
            </w:r>
            <w:r>
              <w:rPr>
                <w:rFonts w:hint="eastAsia"/>
                <w:szCs w:val="21"/>
              </w:rPr>
              <w:t>、与甲方、使用单位的沟通不到位。</w:t>
            </w:r>
          </w:p>
          <w:p w14:paraId="6B30C272">
            <w:pPr>
              <w:spacing w:after="120"/>
              <w:ind w:firstLine="0" w:firstLineChars="0"/>
              <w:jc w:val="left"/>
              <w:rPr>
                <w:szCs w:val="21"/>
              </w:rPr>
            </w:pPr>
            <w:r>
              <w:rPr>
                <w:rFonts w:hint="eastAsia"/>
                <w:szCs w:val="21"/>
              </w:rPr>
              <w:t>以上各项每发生一次扣</w:t>
            </w:r>
            <w:r>
              <w:rPr>
                <w:szCs w:val="21"/>
              </w:rPr>
              <w:t>1</w:t>
            </w:r>
            <w:r>
              <w:rPr>
                <w:rFonts w:hint="eastAsia"/>
                <w:szCs w:val="21"/>
              </w:rPr>
              <w:t>分。</w:t>
            </w:r>
          </w:p>
        </w:tc>
        <w:tc>
          <w:tcPr>
            <w:tcW w:w="992" w:type="dxa"/>
            <w:tcBorders>
              <w:top w:val="nil"/>
              <w:left w:val="nil"/>
              <w:bottom w:val="single" w:color="auto" w:sz="4" w:space="0"/>
              <w:right w:val="single" w:color="auto" w:sz="4" w:space="0"/>
            </w:tcBorders>
            <w:vAlign w:val="center"/>
          </w:tcPr>
          <w:p w14:paraId="1C90FB47">
            <w:pPr>
              <w:spacing w:after="120"/>
              <w:jc w:val="center"/>
              <w:rPr>
                <w:szCs w:val="21"/>
              </w:rPr>
            </w:pPr>
            <w:r>
              <w:rPr>
                <w:szCs w:val="21"/>
              </w:rPr>
              <w:t>　</w:t>
            </w:r>
          </w:p>
        </w:tc>
      </w:tr>
      <w:tr w14:paraId="2CF089B6">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03173F3B">
            <w:pPr>
              <w:spacing w:after="120"/>
              <w:ind w:firstLine="0" w:firstLineChars="0"/>
              <w:rPr>
                <w:rFonts w:cs="宋体"/>
                <w:szCs w:val="21"/>
              </w:rPr>
            </w:pPr>
            <w:r>
              <w:rPr>
                <w:rFonts w:hint="eastAsia" w:cs="宋体"/>
                <w:szCs w:val="21"/>
              </w:rPr>
              <w:t>三</w:t>
            </w:r>
          </w:p>
        </w:tc>
        <w:tc>
          <w:tcPr>
            <w:tcW w:w="1393" w:type="dxa"/>
            <w:tcBorders>
              <w:top w:val="nil"/>
              <w:left w:val="nil"/>
              <w:bottom w:val="single" w:color="auto" w:sz="4" w:space="0"/>
              <w:right w:val="single" w:color="auto" w:sz="4" w:space="0"/>
            </w:tcBorders>
            <w:vAlign w:val="center"/>
          </w:tcPr>
          <w:p w14:paraId="26D158C7">
            <w:pPr>
              <w:spacing w:after="120"/>
              <w:ind w:firstLine="0" w:firstLineChars="0"/>
              <w:rPr>
                <w:rFonts w:cs="宋体"/>
                <w:szCs w:val="21"/>
              </w:rPr>
            </w:pPr>
            <w:r>
              <w:rPr>
                <w:rFonts w:hint="eastAsia" w:cs="宋体"/>
                <w:szCs w:val="21"/>
              </w:rPr>
              <w:t>设计质量</w:t>
            </w:r>
          </w:p>
        </w:tc>
        <w:tc>
          <w:tcPr>
            <w:tcW w:w="709" w:type="dxa"/>
            <w:tcBorders>
              <w:top w:val="nil"/>
              <w:left w:val="nil"/>
              <w:bottom w:val="single" w:color="auto" w:sz="4" w:space="0"/>
              <w:right w:val="single" w:color="auto" w:sz="4" w:space="0"/>
            </w:tcBorders>
            <w:vAlign w:val="center"/>
          </w:tcPr>
          <w:p w14:paraId="09C54BBD">
            <w:pPr>
              <w:spacing w:after="120"/>
              <w:ind w:firstLine="0" w:firstLineChars="0"/>
              <w:rPr>
                <w:rFonts w:ascii="仿宋_GB2312" w:eastAsia="仿宋_GB2312" w:cs="宋体"/>
                <w:szCs w:val="21"/>
              </w:rPr>
            </w:pPr>
            <w:r>
              <w:rPr>
                <w:rFonts w:hint="eastAsia" w:ascii="仿宋_GB2312" w:eastAsia="仿宋_GB2312" w:cs="宋体"/>
                <w:szCs w:val="21"/>
              </w:rPr>
              <w:t>40</w:t>
            </w:r>
          </w:p>
        </w:tc>
        <w:tc>
          <w:tcPr>
            <w:tcW w:w="2551" w:type="dxa"/>
            <w:tcBorders>
              <w:top w:val="nil"/>
              <w:left w:val="nil"/>
              <w:bottom w:val="single" w:color="auto" w:sz="4" w:space="0"/>
              <w:right w:val="single" w:color="auto" w:sz="4" w:space="0"/>
            </w:tcBorders>
            <w:vAlign w:val="center"/>
          </w:tcPr>
          <w:p w14:paraId="0E1428E2">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4D94FAC4">
            <w:pPr>
              <w:spacing w:after="120"/>
              <w:jc w:val="left"/>
              <w:rPr>
                <w:rFonts w:cs="宋体"/>
                <w:szCs w:val="21"/>
              </w:rPr>
            </w:pPr>
            <w:r>
              <w:rPr>
                <w:rFonts w:hint="eastAsia" w:cs="宋体"/>
                <w:szCs w:val="21"/>
              </w:rPr>
              <w:t>　</w:t>
            </w:r>
          </w:p>
        </w:tc>
        <w:tc>
          <w:tcPr>
            <w:tcW w:w="992" w:type="dxa"/>
            <w:tcBorders>
              <w:top w:val="nil"/>
              <w:left w:val="nil"/>
              <w:bottom w:val="single" w:color="auto" w:sz="4" w:space="0"/>
              <w:right w:val="single" w:color="auto" w:sz="4" w:space="0"/>
            </w:tcBorders>
            <w:vAlign w:val="center"/>
          </w:tcPr>
          <w:p w14:paraId="4C7C4F7B">
            <w:pPr>
              <w:spacing w:after="120"/>
              <w:jc w:val="left"/>
              <w:rPr>
                <w:rFonts w:cs="宋体"/>
                <w:szCs w:val="21"/>
              </w:rPr>
            </w:pPr>
            <w:r>
              <w:rPr>
                <w:rFonts w:hint="eastAsia" w:cs="宋体"/>
                <w:szCs w:val="21"/>
              </w:rPr>
              <w:t>　</w:t>
            </w:r>
          </w:p>
        </w:tc>
      </w:tr>
      <w:tr w14:paraId="1514DBEA">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45B715C6">
            <w:pPr>
              <w:spacing w:after="120"/>
              <w:ind w:firstLine="0" w:firstLineChars="0"/>
              <w:rPr>
                <w:rFonts w:cs="宋体"/>
                <w:szCs w:val="21"/>
              </w:rPr>
            </w:pPr>
            <w:r>
              <w:rPr>
                <w:rFonts w:hint="eastAsia" w:cs="宋体"/>
                <w:szCs w:val="21"/>
              </w:rPr>
              <w:t>1</w:t>
            </w:r>
          </w:p>
        </w:tc>
        <w:tc>
          <w:tcPr>
            <w:tcW w:w="1393" w:type="dxa"/>
            <w:tcBorders>
              <w:top w:val="nil"/>
              <w:left w:val="nil"/>
              <w:bottom w:val="single" w:color="auto" w:sz="4" w:space="0"/>
              <w:right w:val="single" w:color="auto" w:sz="4" w:space="0"/>
            </w:tcBorders>
            <w:vAlign w:val="center"/>
          </w:tcPr>
          <w:p w14:paraId="1BCA9370">
            <w:pPr>
              <w:spacing w:after="120"/>
              <w:ind w:firstLine="0" w:firstLineChars="0"/>
              <w:rPr>
                <w:rFonts w:cs="宋体"/>
                <w:szCs w:val="21"/>
              </w:rPr>
            </w:pPr>
            <w:r>
              <w:rPr>
                <w:rFonts w:hint="eastAsia" w:cs="宋体"/>
                <w:szCs w:val="21"/>
              </w:rPr>
              <w:t>建筑方案</w:t>
            </w:r>
          </w:p>
        </w:tc>
        <w:tc>
          <w:tcPr>
            <w:tcW w:w="709" w:type="dxa"/>
            <w:tcBorders>
              <w:top w:val="nil"/>
              <w:left w:val="nil"/>
              <w:bottom w:val="single" w:color="auto" w:sz="4" w:space="0"/>
              <w:right w:val="single" w:color="auto" w:sz="4" w:space="0"/>
            </w:tcBorders>
            <w:vAlign w:val="center"/>
          </w:tcPr>
          <w:p w14:paraId="53054B2B">
            <w:pPr>
              <w:spacing w:after="120"/>
              <w:rPr>
                <w:rFonts w:ascii="仿宋_GB2312" w:eastAsia="仿宋_GB2312" w:cs="宋体"/>
                <w:szCs w:val="21"/>
              </w:rPr>
            </w:pPr>
            <w:r>
              <w:rPr>
                <w:rFonts w:hint="eastAsia" w:ascii="仿宋_GB2312" w:eastAsia="仿宋_GB2312" w:cs="宋体"/>
                <w:szCs w:val="21"/>
              </w:rPr>
              <w:t>5</w:t>
            </w:r>
          </w:p>
        </w:tc>
        <w:tc>
          <w:tcPr>
            <w:tcW w:w="2551" w:type="dxa"/>
            <w:tcBorders>
              <w:top w:val="nil"/>
              <w:left w:val="nil"/>
              <w:bottom w:val="single" w:color="auto" w:sz="4" w:space="0"/>
              <w:right w:val="single" w:color="auto" w:sz="4" w:space="0"/>
            </w:tcBorders>
            <w:vAlign w:val="center"/>
          </w:tcPr>
          <w:p w14:paraId="45C7B53B">
            <w:pPr>
              <w:spacing w:after="120"/>
              <w:ind w:firstLine="0" w:firstLineChars="0"/>
              <w:jc w:val="left"/>
              <w:rPr>
                <w:rFonts w:cs="宋体"/>
                <w:szCs w:val="21"/>
              </w:rPr>
            </w:pPr>
            <w:r>
              <w:rPr>
                <w:rFonts w:hint="eastAsia" w:cs="宋体"/>
                <w:szCs w:val="21"/>
              </w:rPr>
              <w:t>是否达到招标文件或合同约定的方案设计要求。</w:t>
            </w:r>
          </w:p>
        </w:tc>
        <w:tc>
          <w:tcPr>
            <w:tcW w:w="3261" w:type="dxa"/>
            <w:tcBorders>
              <w:top w:val="nil"/>
              <w:left w:val="nil"/>
              <w:bottom w:val="single" w:color="auto" w:sz="4" w:space="0"/>
              <w:right w:val="single" w:color="auto" w:sz="4" w:space="0"/>
            </w:tcBorders>
            <w:vAlign w:val="center"/>
          </w:tcPr>
          <w:p w14:paraId="44238A2D">
            <w:pPr>
              <w:spacing w:after="120"/>
              <w:ind w:firstLine="0" w:firstLineChars="0"/>
              <w:jc w:val="left"/>
              <w:rPr>
                <w:szCs w:val="21"/>
              </w:rPr>
            </w:pPr>
            <w:r>
              <w:rPr>
                <w:rFonts w:hint="eastAsia"/>
                <w:szCs w:val="21"/>
              </w:rPr>
              <w:t>未</w:t>
            </w:r>
            <w:r>
              <w:rPr>
                <w:szCs w:val="21"/>
              </w:rPr>
              <w:t>达到</w:t>
            </w:r>
            <w:r>
              <w:rPr>
                <w:rFonts w:hint="eastAsia" w:cs="宋体"/>
                <w:szCs w:val="21"/>
              </w:rPr>
              <w:t>招标文件或</w:t>
            </w:r>
            <w:r>
              <w:rPr>
                <w:szCs w:val="21"/>
              </w:rPr>
              <w:t>合同约定</w:t>
            </w:r>
            <w:r>
              <w:rPr>
                <w:rFonts w:hint="eastAsia"/>
                <w:szCs w:val="21"/>
              </w:rPr>
              <w:t>、会议纪要、通知、函件等</w:t>
            </w:r>
            <w:r>
              <w:rPr>
                <w:szCs w:val="21"/>
              </w:rPr>
              <w:t>要求</w:t>
            </w:r>
            <w:r>
              <w:rPr>
                <w:rFonts w:hint="eastAsia"/>
                <w:szCs w:val="21"/>
              </w:rPr>
              <w:t>。</w:t>
            </w:r>
          </w:p>
          <w:p w14:paraId="21E8AEC1">
            <w:pPr>
              <w:spacing w:after="120"/>
              <w:ind w:firstLine="0" w:firstLineChars="0"/>
              <w:jc w:val="left"/>
              <w:rPr>
                <w:szCs w:val="21"/>
              </w:rPr>
            </w:pPr>
            <w:r>
              <w:rPr>
                <w:rFonts w:hint="eastAsia"/>
                <w:szCs w:val="21"/>
              </w:rPr>
              <w:t>每发生一项扣1分。</w:t>
            </w:r>
          </w:p>
        </w:tc>
        <w:tc>
          <w:tcPr>
            <w:tcW w:w="992" w:type="dxa"/>
            <w:tcBorders>
              <w:top w:val="nil"/>
              <w:left w:val="nil"/>
              <w:bottom w:val="single" w:color="auto" w:sz="4" w:space="0"/>
              <w:right w:val="single" w:color="auto" w:sz="4" w:space="0"/>
            </w:tcBorders>
            <w:vAlign w:val="center"/>
          </w:tcPr>
          <w:p w14:paraId="5877DC8A">
            <w:pPr>
              <w:spacing w:after="120"/>
              <w:jc w:val="left"/>
              <w:rPr>
                <w:rFonts w:cs="宋体"/>
                <w:szCs w:val="21"/>
              </w:rPr>
            </w:pPr>
            <w:r>
              <w:rPr>
                <w:rFonts w:hint="eastAsia" w:cs="宋体"/>
                <w:szCs w:val="21"/>
              </w:rPr>
              <w:t>　</w:t>
            </w:r>
          </w:p>
        </w:tc>
      </w:tr>
      <w:tr w14:paraId="54872E93">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0D8B359B">
            <w:pPr>
              <w:spacing w:after="120"/>
              <w:ind w:firstLine="0" w:firstLineChars="0"/>
              <w:rPr>
                <w:rFonts w:cs="宋体"/>
                <w:szCs w:val="21"/>
              </w:rPr>
            </w:pPr>
            <w:r>
              <w:rPr>
                <w:rFonts w:hint="eastAsia" w:cs="宋体"/>
                <w:szCs w:val="21"/>
              </w:rPr>
              <w:t>2</w:t>
            </w:r>
          </w:p>
        </w:tc>
        <w:tc>
          <w:tcPr>
            <w:tcW w:w="1393" w:type="dxa"/>
            <w:tcBorders>
              <w:top w:val="nil"/>
              <w:left w:val="nil"/>
              <w:bottom w:val="single" w:color="auto" w:sz="4" w:space="0"/>
              <w:right w:val="single" w:color="auto" w:sz="4" w:space="0"/>
            </w:tcBorders>
            <w:vAlign w:val="center"/>
          </w:tcPr>
          <w:p w14:paraId="3600E0E6">
            <w:pPr>
              <w:spacing w:after="120"/>
              <w:ind w:firstLine="0" w:firstLineChars="0"/>
              <w:rPr>
                <w:rFonts w:cs="宋体"/>
                <w:szCs w:val="21"/>
              </w:rPr>
            </w:pPr>
            <w:r>
              <w:rPr>
                <w:rFonts w:hint="eastAsia" w:cs="宋体"/>
                <w:szCs w:val="21"/>
              </w:rPr>
              <w:t>规划报建</w:t>
            </w:r>
          </w:p>
        </w:tc>
        <w:tc>
          <w:tcPr>
            <w:tcW w:w="709" w:type="dxa"/>
            <w:tcBorders>
              <w:top w:val="nil"/>
              <w:left w:val="nil"/>
              <w:bottom w:val="single" w:color="auto" w:sz="4" w:space="0"/>
              <w:right w:val="single" w:color="auto" w:sz="4" w:space="0"/>
            </w:tcBorders>
            <w:vAlign w:val="center"/>
          </w:tcPr>
          <w:p w14:paraId="60384A86">
            <w:pPr>
              <w:spacing w:after="120"/>
              <w:ind w:firstLine="0" w:firstLineChars="0"/>
              <w:rPr>
                <w:rFonts w:ascii="仿宋_GB2312" w:eastAsia="仿宋_GB2312" w:cs="宋体"/>
                <w:szCs w:val="21"/>
              </w:rPr>
            </w:pPr>
            <w:r>
              <w:rPr>
                <w:rFonts w:hint="eastAsia" w:ascii="仿宋_GB2312" w:eastAsia="仿宋_GB2312" w:cs="宋体"/>
                <w:szCs w:val="21"/>
              </w:rPr>
              <w:t>5</w:t>
            </w:r>
          </w:p>
        </w:tc>
        <w:tc>
          <w:tcPr>
            <w:tcW w:w="2551" w:type="dxa"/>
            <w:tcBorders>
              <w:top w:val="nil"/>
              <w:left w:val="nil"/>
              <w:bottom w:val="single" w:color="auto" w:sz="4" w:space="0"/>
              <w:right w:val="single" w:color="auto" w:sz="4" w:space="0"/>
            </w:tcBorders>
            <w:vAlign w:val="center"/>
          </w:tcPr>
          <w:p w14:paraId="0C57FA30">
            <w:pPr>
              <w:spacing w:after="120"/>
              <w:ind w:firstLine="0" w:firstLineChars="0"/>
              <w:jc w:val="left"/>
              <w:rPr>
                <w:rFonts w:cs="宋体"/>
                <w:szCs w:val="21"/>
              </w:rPr>
            </w:pPr>
            <w:r>
              <w:rPr>
                <w:rFonts w:hint="eastAsia" w:cs="宋体"/>
                <w:szCs w:val="21"/>
              </w:rPr>
              <w:t>是否满足规划管理部门对规划报建文件的要求</w:t>
            </w:r>
          </w:p>
        </w:tc>
        <w:tc>
          <w:tcPr>
            <w:tcW w:w="3261" w:type="dxa"/>
            <w:tcBorders>
              <w:top w:val="nil"/>
              <w:left w:val="nil"/>
              <w:bottom w:val="single" w:color="auto" w:sz="4" w:space="0"/>
              <w:right w:val="single" w:color="auto" w:sz="4" w:space="0"/>
            </w:tcBorders>
            <w:vAlign w:val="center"/>
          </w:tcPr>
          <w:p w14:paraId="0E1FD21D">
            <w:pPr>
              <w:spacing w:after="120"/>
              <w:ind w:firstLine="0" w:firstLineChars="0"/>
              <w:jc w:val="left"/>
              <w:rPr>
                <w:rFonts w:cs="宋体"/>
                <w:szCs w:val="21"/>
              </w:rPr>
            </w:pPr>
            <w:r>
              <w:rPr>
                <w:rFonts w:hint="eastAsia" w:cs="宋体"/>
                <w:szCs w:val="21"/>
              </w:rPr>
              <w:t>经规划管理部门或其委托的专业机构审查，规划报建文件（含电子报建文件）不符合要求而退回的。每发生一次扣2分。</w:t>
            </w:r>
          </w:p>
        </w:tc>
        <w:tc>
          <w:tcPr>
            <w:tcW w:w="992" w:type="dxa"/>
            <w:tcBorders>
              <w:top w:val="nil"/>
              <w:left w:val="nil"/>
              <w:bottom w:val="single" w:color="auto" w:sz="4" w:space="0"/>
              <w:right w:val="single" w:color="auto" w:sz="4" w:space="0"/>
            </w:tcBorders>
            <w:vAlign w:val="center"/>
          </w:tcPr>
          <w:p w14:paraId="09829C9C">
            <w:pPr>
              <w:spacing w:after="120"/>
              <w:jc w:val="left"/>
              <w:rPr>
                <w:rFonts w:cs="宋体"/>
                <w:szCs w:val="21"/>
              </w:rPr>
            </w:pPr>
            <w:r>
              <w:rPr>
                <w:rFonts w:hint="eastAsia" w:cs="宋体"/>
                <w:szCs w:val="21"/>
              </w:rPr>
              <w:t>　</w:t>
            </w:r>
          </w:p>
        </w:tc>
      </w:tr>
      <w:tr w14:paraId="3F476717">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668CD52C">
            <w:pPr>
              <w:spacing w:after="120"/>
              <w:ind w:firstLine="0" w:firstLineChars="0"/>
              <w:rPr>
                <w:rFonts w:cs="宋体"/>
                <w:szCs w:val="21"/>
              </w:rPr>
            </w:pPr>
            <w:r>
              <w:rPr>
                <w:rFonts w:hint="eastAsia" w:cs="宋体"/>
                <w:szCs w:val="21"/>
              </w:rPr>
              <w:t>3</w:t>
            </w:r>
          </w:p>
        </w:tc>
        <w:tc>
          <w:tcPr>
            <w:tcW w:w="1393" w:type="dxa"/>
            <w:tcBorders>
              <w:top w:val="nil"/>
              <w:left w:val="nil"/>
              <w:bottom w:val="single" w:color="auto" w:sz="4" w:space="0"/>
              <w:right w:val="single" w:color="auto" w:sz="4" w:space="0"/>
            </w:tcBorders>
            <w:vAlign w:val="center"/>
          </w:tcPr>
          <w:p w14:paraId="1F83A0BF">
            <w:pPr>
              <w:spacing w:after="120"/>
              <w:ind w:firstLine="0" w:firstLineChars="0"/>
              <w:rPr>
                <w:rFonts w:cs="宋体"/>
                <w:szCs w:val="21"/>
              </w:rPr>
            </w:pPr>
            <w:r>
              <w:rPr>
                <w:rFonts w:hint="eastAsia" w:cs="宋体"/>
                <w:szCs w:val="21"/>
              </w:rPr>
              <w:t>专业报建</w:t>
            </w:r>
          </w:p>
        </w:tc>
        <w:tc>
          <w:tcPr>
            <w:tcW w:w="709" w:type="dxa"/>
            <w:tcBorders>
              <w:top w:val="nil"/>
              <w:left w:val="nil"/>
              <w:bottom w:val="single" w:color="auto" w:sz="4" w:space="0"/>
              <w:right w:val="single" w:color="auto" w:sz="4" w:space="0"/>
            </w:tcBorders>
            <w:vAlign w:val="center"/>
          </w:tcPr>
          <w:p w14:paraId="09CFEE33">
            <w:pPr>
              <w:spacing w:after="120"/>
              <w:ind w:firstLine="0" w:firstLineChars="0"/>
              <w:rPr>
                <w:rFonts w:ascii="仿宋_GB2312" w:eastAsia="仿宋_GB2312" w:cs="宋体"/>
                <w:szCs w:val="21"/>
              </w:rPr>
            </w:pPr>
            <w:r>
              <w:rPr>
                <w:rFonts w:hint="eastAsia" w:ascii="仿宋_GB2312" w:eastAsia="仿宋_GB2312" w:cs="宋体"/>
                <w:szCs w:val="21"/>
              </w:rPr>
              <w:t>5</w:t>
            </w:r>
          </w:p>
        </w:tc>
        <w:tc>
          <w:tcPr>
            <w:tcW w:w="2551" w:type="dxa"/>
            <w:tcBorders>
              <w:top w:val="nil"/>
              <w:left w:val="nil"/>
              <w:bottom w:val="single" w:color="auto" w:sz="4" w:space="0"/>
              <w:right w:val="single" w:color="auto" w:sz="4" w:space="0"/>
            </w:tcBorders>
            <w:vAlign w:val="center"/>
          </w:tcPr>
          <w:p w14:paraId="1A051C48">
            <w:pPr>
              <w:spacing w:after="120"/>
              <w:ind w:firstLine="0" w:firstLineChars="0"/>
              <w:jc w:val="left"/>
              <w:rPr>
                <w:rFonts w:cs="宋体"/>
                <w:szCs w:val="21"/>
              </w:rPr>
            </w:pPr>
            <w:r>
              <w:rPr>
                <w:rFonts w:hint="eastAsia" w:cs="宋体"/>
                <w:szCs w:val="21"/>
              </w:rPr>
              <w:t>是否满足各专业管理部门对专业报建文件的要求</w:t>
            </w:r>
          </w:p>
        </w:tc>
        <w:tc>
          <w:tcPr>
            <w:tcW w:w="3261" w:type="dxa"/>
            <w:tcBorders>
              <w:top w:val="nil"/>
              <w:left w:val="nil"/>
              <w:bottom w:val="single" w:color="auto" w:sz="4" w:space="0"/>
              <w:right w:val="single" w:color="auto" w:sz="4" w:space="0"/>
            </w:tcBorders>
            <w:vAlign w:val="center"/>
          </w:tcPr>
          <w:p w14:paraId="078D8543">
            <w:pPr>
              <w:spacing w:after="120"/>
              <w:ind w:firstLine="0" w:firstLineChars="0"/>
              <w:jc w:val="left"/>
              <w:rPr>
                <w:rFonts w:cs="宋体"/>
                <w:szCs w:val="21"/>
              </w:rPr>
            </w:pPr>
            <w:r>
              <w:rPr>
                <w:rFonts w:hint="eastAsia" w:cs="宋体"/>
                <w:szCs w:val="21"/>
              </w:rPr>
              <w:t>经各专业管理部门或其委托的第三方机构审查，专业报建文件（含电子报建文件）不符合要求而退回的，每发生一次扣2分。</w:t>
            </w:r>
          </w:p>
        </w:tc>
        <w:tc>
          <w:tcPr>
            <w:tcW w:w="992" w:type="dxa"/>
            <w:tcBorders>
              <w:top w:val="nil"/>
              <w:left w:val="nil"/>
              <w:bottom w:val="single" w:color="auto" w:sz="4" w:space="0"/>
              <w:right w:val="single" w:color="auto" w:sz="4" w:space="0"/>
            </w:tcBorders>
            <w:vAlign w:val="center"/>
          </w:tcPr>
          <w:p w14:paraId="6744C2A4">
            <w:pPr>
              <w:spacing w:after="120"/>
              <w:jc w:val="left"/>
              <w:rPr>
                <w:rFonts w:cs="宋体"/>
                <w:szCs w:val="21"/>
              </w:rPr>
            </w:pPr>
          </w:p>
        </w:tc>
      </w:tr>
      <w:tr w14:paraId="1BF79724">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191AA146">
            <w:pPr>
              <w:spacing w:after="120"/>
              <w:ind w:firstLine="0" w:firstLineChars="0"/>
              <w:rPr>
                <w:rFonts w:cs="宋体"/>
                <w:szCs w:val="21"/>
              </w:rPr>
            </w:pPr>
            <w:r>
              <w:rPr>
                <w:rFonts w:hint="eastAsia" w:cs="宋体"/>
                <w:szCs w:val="21"/>
              </w:rPr>
              <w:t>4</w:t>
            </w:r>
          </w:p>
        </w:tc>
        <w:tc>
          <w:tcPr>
            <w:tcW w:w="1393" w:type="dxa"/>
            <w:tcBorders>
              <w:top w:val="nil"/>
              <w:left w:val="nil"/>
              <w:bottom w:val="single" w:color="auto" w:sz="4" w:space="0"/>
              <w:right w:val="single" w:color="auto" w:sz="4" w:space="0"/>
            </w:tcBorders>
            <w:vAlign w:val="center"/>
          </w:tcPr>
          <w:p w14:paraId="47659B43">
            <w:pPr>
              <w:spacing w:after="120"/>
              <w:ind w:firstLine="0" w:firstLineChars="0"/>
              <w:rPr>
                <w:rFonts w:cs="宋体"/>
                <w:szCs w:val="21"/>
              </w:rPr>
            </w:pPr>
            <w:r>
              <w:rPr>
                <w:rFonts w:hint="eastAsia" w:cs="宋体"/>
                <w:szCs w:val="21"/>
              </w:rPr>
              <w:t>设计图纸深度</w:t>
            </w:r>
          </w:p>
        </w:tc>
        <w:tc>
          <w:tcPr>
            <w:tcW w:w="709" w:type="dxa"/>
            <w:tcBorders>
              <w:top w:val="nil"/>
              <w:left w:val="nil"/>
              <w:bottom w:val="single" w:color="auto" w:sz="4" w:space="0"/>
              <w:right w:val="single" w:color="auto" w:sz="4" w:space="0"/>
            </w:tcBorders>
            <w:vAlign w:val="center"/>
          </w:tcPr>
          <w:p w14:paraId="0027FF71">
            <w:pPr>
              <w:spacing w:after="120"/>
              <w:ind w:firstLine="0" w:firstLineChars="0"/>
              <w:rPr>
                <w:rFonts w:ascii="仿宋_GB2312" w:eastAsia="仿宋_GB2312" w:cs="宋体"/>
                <w:szCs w:val="21"/>
              </w:rPr>
            </w:pPr>
            <w:r>
              <w:rPr>
                <w:rFonts w:hint="eastAsia" w:ascii="仿宋_GB2312" w:eastAsia="仿宋_GB2312" w:cs="宋体"/>
                <w:szCs w:val="21"/>
              </w:rPr>
              <w:t>5</w:t>
            </w:r>
          </w:p>
        </w:tc>
        <w:tc>
          <w:tcPr>
            <w:tcW w:w="2551" w:type="dxa"/>
            <w:tcBorders>
              <w:top w:val="nil"/>
              <w:left w:val="nil"/>
              <w:bottom w:val="single" w:color="auto" w:sz="4" w:space="0"/>
              <w:right w:val="single" w:color="auto" w:sz="4" w:space="0"/>
            </w:tcBorders>
            <w:vAlign w:val="center"/>
          </w:tcPr>
          <w:p w14:paraId="3472AFC2">
            <w:pPr>
              <w:spacing w:after="120"/>
              <w:ind w:firstLine="0" w:firstLineChars="0"/>
              <w:jc w:val="left"/>
              <w:rPr>
                <w:rFonts w:cs="宋体"/>
                <w:szCs w:val="21"/>
              </w:rPr>
            </w:pPr>
            <w:r>
              <w:rPr>
                <w:rFonts w:hint="eastAsia" w:cs="宋体"/>
                <w:szCs w:val="21"/>
              </w:rPr>
              <w:t>是否满足住建部《建筑工程设计文件编制深度规定》对该阶段设计深度的有关要求</w:t>
            </w:r>
          </w:p>
        </w:tc>
        <w:tc>
          <w:tcPr>
            <w:tcW w:w="3261" w:type="dxa"/>
            <w:tcBorders>
              <w:top w:val="nil"/>
              <w:left w:val="nil"/>
              <w:bottom w:val="single" w:color="auto" w:sz="4" w:space="0"/>
              <w:right w:val="single" w:color="auto" w:sz="4" w:space="0"/>
            </w:tcBorders>
            <w:vAlign w:val="center"/>
          </w:tcPr>
          <w:p w14:paraId="5AF0313B">
            <w:pPr>
              <w:spacing w:after="120"/>
              <w:ind w:firstLine="0" w:firstLineChars="0"/>
              <w:jc w:val="left"/>
              <w:rPr>
                <w:rFonts w:cs="宋体"/>
                <w:szCs w:val="21"/>
              </w:rPr>
            </w:pPr>
            <w:r>
              <w:rPr>
                <w:rFonts w:hint="eastAsia" w:cs="宋体"/>
                <w:szCs w:val="21"/>
              </w:rPr>
              <w:t>经第三方单位审核，有一个专业达不到深度的，扣1分。</w:t>
            </w:r>
          </w:p>
        </w:tc>
        <w:tc>
          <w:tcPr>
            <w:tcW w:w="992" w:type="dxa"/>
            <w:tcBorders>
              <w:top w:val="nil"/>
              <w:left w:val="nil"/>
              <w:bottom w:val="single" w:color="auto" w:sz="4" w:space="0"/>
              <w:right w:val="single" w:color="auto" w:sz="4" w:space="0"/>
            </w:tcBorders>
            <w:vAlign w:val="center"/>
          </w:tcPr>
          <w:p w14:paraId="5291D0FB">
            <w:pPr>
              <w:spacing w:after="120"/>
              <w:jc w:val="center"/>
              <w:rPr>
                <w:rFonts w:cs="宋体"/>
                <w:szCs w:val="21"/>
              </w:rPr>
            </w:pPr>
            <w:r>
              <w:rPr>
                <w:rFonts w:hint="eastAsia" w:cs="宋体"/>
                <w:szCs w:val="21"/>
              </w:rPr>
              <w:t>　</w:t>
            </w:r>
          </w:p>
        </w:tc>
      </w:tr>
      <w:tr w14:paraId="4BD73557">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2CADF3C">
            <w:pPr>
              <w:spacing w:after="120"/>
              <w:ind w:firstLine="0" w:firstLineChars="0"/>
              <w:rPr>
                <w:rFonts w:cs="宋体"/>
                <w:szCs w:val="21"/>
              </w:rPr>
            </w:pPr>
            <w:r>
              <w:rPr>
                <w:rFonts w:hint="eastAsia" w:cs="宋体"/>
                <w:szCs w:val="21"/>
              </w:rPr>
              <w:t>5</w:t>
            </w:r>
          </w:p>
        </w:tc>
        <w:tc>
          <w:tcPr>
            <w:tcW w:w="1393" w:type="dxa"/>
            <w:tcBorders>
              <w:top w:val="nil"/>
              <w:left w:val="nil"/>
              <w:bottom w:val="single" w:color="auto" w:sz="4" w:space="0"/>
              <w:right w:val="single" w:color="auto" w:sz="4" w:space="0"/>
            </w:tcBorders>
            <w:vAlign w:val="center"/>
          </w:tcPr>
          <w:p w14:paraId="5518F3B9">
            <w:pPr>
              <w:spacing w:after="120"/>
              <w:ind w:firstLine="0" w:firstLineChars="0"/>
              <w:rPr>
                <w:rFonts w:cs="宋体"/>
                <w:szCs w:val="21"/>
              </w:rPr>
            </w:pPr>
            <w:r>
              <w:rPr>
                <w:rFonts w:hint="eastAsia" w:cs="宋体"/>
                <w:szCs w:val="21"/>
              </w:rPr>
              <w:t>限额设计</w:t>
            </w:r>
          </w:p>
        </w:tc>
        <w:tc>
          <w:tcPr>
            <w:tcW w:w="709" w:type="dxa"/>
            <w:tcBorders>
              <w:top w:val="nil"/>
              <w:left w:val="nil"/>
              <w:bottom w:val="single" w:color="auto" w:sz="4" w:space="0"/>
              <w:right w:val="single" w:color="auto" w:sz="4" w:space="0"/>
            </w:tcBorders>
            <w:vAlign w:val="center"/>
          </w:tcPr>
          <w:p w14:paraId="089B9218">
            <w:pPr>
              <w:spacing w:after="120"/>
              <w:ind w:firstLine="0" w:firstLineChars="0"/>
              <w:rPr>
                <w:rFonts w:ascii="仿宋_GB2312" w:eastAsia="仿宋_GB2312" w:cs="宋体"/>
                <w:szCs w:val="21"/>
              </w:rPr>
            </w:pPr>
            <w:r>
              <w:rPr>
                <w:rFonts w:hint="eastAsia"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646B4ED1">
            <w:pPr>
              <w:spacing w:after="120"/>
              <w:ind w:firstLine="0" w:firstLineChars="0"/>
              <w:jc w:val="left"/>
              <w:rPr>
                <w:rFonts w:cs="宋体"/>
                <w:szCs w:val="21"/>
              </w:rPr>
            </w:pPr>
            <w:r>
              <w:rPr>
                <w:rFonts w:hint="eastAsia" w:cs="宋体"/>
                <w:szCs w:val="21"/>
              </w:rPr>
              <w:t>方案估算是否满足经批复的投资估算</w:t>
            </w:r>
          </w:p>
        </w:tc>
        <w:tc>
          <w:tcPr>
            <w:tcW w:w="3261" w:type="dxa"/>
            <w:tcBorders>
              <w:top w:val="nil"/>
              <w:left w:val="nil"/>
              <w:bottom w:val="single" w:color="auto" w:sz="4" w:space="0"/>
              <w:right w:val="single" w:color="auto" w:sz="4" w:space="0"/>
            </w:tcBorders>
            <w:vAlign w:val="center"/>
          </w:tcPr>
          <w:p w14:paraId="534398E9">
            <w:pPr>
              <w:spacing w:after="120"/>
              <w:ind w:firstLine="0" w:firstLineChars="0"/>
              <w:jc w:val="left"/>
              <w:rPr>
                <w:rFonts w:cs="宋体"/>
                <w:szCs w:val="21"/>
              </w:rPr>
            </w:pPr>
            <w:r>
              <w:rPr>
                <w:rFonts w:hint="eastAsia" w:cs="宋体"/>
                <w:szCs w:val="21"/>
              </w:rPr>
              <w:t>估算超出经批复的投资估算价，每报一版扣2分；</w:t>
            </w:r>
          </w:p>
          <w:p w14:paraId="0EDE6A2E">
            <w:pPr>
              <w:spacing w:after="120"/>
              <w:ind w:firstLine="0" w:firstLineChars="0"/>
              <w:jc w:val="left"/>
              <w:rPr>
                <w:rFonts w:cs="宋体"/>
                <w:szCs w:val="21"/>
              </w:rPr>
            </w:pPr>
            <w:r>
              <w:rPr>
                <w:rFonts w:hint="eastAsia" w:cs="宋体"/>
                <w:szCs w:val="21"/>
              </w:rPr>
              <w:t>甲方委托的造价咨询公司审核价与乙方编制的估算价偏差每超出1%，扣1分。</w:t>
            </w:r>
          </w:p>
        </w:tc>
        <w:tc>
          <w:tcPr>
            <w:tcW w:w="992" w:type="dxa"/>
            <w:tcBorders>
              <w:top w:val="nil"/>
              <w:left w:val="nil"/>
              <w:bottom w:val="single" w:color="auto" w:sz="4" w:space="0"/>
              <w:right w:val="single" w:color="auto" w:sz="4" w:space="0"/>
            </w:tcBorders>
            <w:vAlign w:val="center"/>
          </w:tcPr>
          <w:p w14:paraId="66170628">
            <w:pPr>
              <w:spacing w:after="120"/>
              <w:jc w:val="center"/>
              <w:rPr>
                <w:rFonts w:cs="宋体"/>
                <w:szCs w:val="21"/>
              </w:rPr>
            </w:pPr>
          </w:p>
        </w:tc>
      </w:tr>
      <w:tr w14:paraId="45FE2C00">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08E9236">
            <w:pPr>
              <w:spacing w:after="120"/>
              <w:ind w:firstLine="0" w:firstLineChars="0"/>
              <w:rPr>
                <w:rFonts w:cs="宋体"/>
                <w:szCs w:val="21"/>
              </w:rPr>
            </w:pPr>
            <w:r>
              <w:rPr>
                <w:rFonts w:hint="eastAsia" w:cs="宋体"/>
                <w:szCs w:val="21"/>
              </w:rPr>
              <w:t>四</w:t>
            </w:r>
          </w:p>
        </w:tc>
        <w:tc>
          <w:tcPr>
            <w:tcW w:w="1393" w:type="dxa"/>
            <w:tcBorders>
              <w:top w:val="nil"/>
              <w:left w:val="nil"/>
              <w:bottom w:val="single" w:color="auto" w:sz="4" w:space="0"/>
              <w:right w:val="single" w:color="auto" w:sz="4" w:space="0"/>
            </w:tcBorders>
            <w:vAlign w:val="center"/>
          </w:tcPr>
          <w:p w14:paraId="1BDAFD26">
            <w:pPr>
              <w:spacing w:after="120"/>
              <w:ind w:firstLine="0" w:firstLineChars="0"/>
              <w:rPr>
                <w:rFonts w:cs="宋体"/>
                <w:szCs w:val="21"/>
              </w:rPr>
            </w:pPr>
            <w:r>
              <w:rPr>
                <w:rFonts w:hint="eastAsia" w:cs="宋体"/>
                <w:szCs w:val="21"/>
              </w:rPr>
              <w:t>设计进度</w:t>
            </w:r>
          </w:p>
        </w:tc>
        <w:tc>
          <w:tcPr>
            <w:tcW w:w="709" w:type="dxa"/>
            <w:tcBorders>
              <w:top w:val="nil"/>
              <w:left w:val="nil"/>
              <w:bottom w:val="single" w:color="auto" w:sz="4" w:space="0"/>
              <w:right w:val="single" w:color="auto" w:sz="4" w:space="0"/>
            </w:tcBorders>
            <w:vAlign w:val="center"/>
          </w:tcPr>
          <w:p w14:paraId="729CEF29">
            <w:pPr>
              <w:spacing w:after="120"/>
              <w:ind w:firstLine="0" w:firstLineChars="0"/>
              <w:rPr>
                <w:rFonts w:ascii="仿宋_GB2312" w:eastAsia="仿宋_GB2312" w:cs="宋体"/>
                <w:szCs w:val="21"/>
              </w:rPr>
            </w:pPr>
            <w:r>
              <w:rPr>
                <w:rFonts w:hint="eastAsia"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67F5F7FD">
            <w:pPr>
              <w:spacing w:after="120"/>
              <w:ind w:firstLine="482"/>
              <w:jc w:val="left"/>
              <w:rPr>
                <w:rFonts w:cs="宋体"/>
                <w:b/>
                <w:szCs w:val="21"/>
              </w:rPr>
            </w:pPr>
          </w:p>
        </w:tc>
        <w:tc>
          <w:tcPr>
            <w:tcW w:w="3261" w:type="dxa"/>
            <w:tcBorders>
              <w:top w:val="nil"/>
              <w:left w:val="nil"/>
              <w:bottom w:val="single" w:color="auto" w:sz="4" w:space="0"/>
              <w:right w:val="single" w:color="auto" w:sz="4" w:space="0"/>
            </w:tcBorders>
            <w:vAlign w:val="center"/>
          </w:tcPr>
          <w:p w14:paraId="236A12BC">
            <w:pPr>
              <w:spacing w:after="120"/>
              <w:ind w:firstLine="482"/>
              <w:jc w:val="left"/>
              <w:rPr>
                <w:rFonts w:cs="宋体"/>
                <w:b/>
                <w:szCs w:val="21"/>
              </w:rPr>
            </w:pPr>
          </w:p>
        </w:tc>
        <w:tc>
          <w:tcPr>
            <w:tcW w:w="992" w:type="dxa"/>
            <w:tcBorders>
              <w:top w:val="nil"/>
              <w:left w:val="nil"/>
              <w:bottom w:val="single" w:color="auto" w:sz="4" w:space="0"/>
              <w:right w:val="single" w:color="auto" w:sz="4" w:space="0"/>
            </w:tcBorders>
            <w:vAlign w:val="center"/>
          </w:tcPr>
          <w:p w14:paraId="09CC0B8D">
            <w:pPr>
              <w:spacing w:after="120"/>
              <w:jc w:val="left"/>
              <w:rPr>
                <w:rFonts w:cs="宋体"/>
                <w:szCs w:val="21"/>
              </w:rPr>
            </w:pPr>
            <w:r>
              <w:rPr>
                <w:rFonts w:hint="eastAsia" w:cs="宋体"/>
                <w:szCs w:val="21"/>
              </w:rPr>
              <w:t>　</w:t>
            </w:r>
          </w:p>
        </w:tc>
      </w:tr>
      <w:tr w14:paraId="68256D3E">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5A0DF8A7">
            <w:pPr>
              <w:spacing w:after="120"/>
              <w:ind w:firstLine="0" w:firstLineChars="0"/>
              <w:rPr>
                <w:rFonts w:cs="宋体"/>
                <w:szCs w:val="21"/>
              </w:rPr>
            </w:pPr>
            <w:r>
              <w:rPr>
                <w:rFonts w:hint="eastAsia" w:cs="宋体"/>
                <w:szCs w:val="21"/>
              </w:rPr>
              <w:t>1</w:t>
            </w:r>
          </w:p>
        </w:tc>
        <w:tc>
          <w:tcPr>
            <w:tcW w:w="1393" w:type="dxa"/>
            <w:tcBorders>
              <w:top w:val="nil"/>
              <w:left w:val="nil"/>
              <w:bottom w:val="single" w:color="auto" w:sz="4" w:space="0"/>
              <w:right w:val="single" w:color="auto" w:sz="4" w:space="0"/>
            </w:tcBorders>
            <w:vAlign w:val="center"/>
          </w:tcPr>
          <w:p w14:paraId="329BC611">
            <w:pPr>
              <w:spacing w:after="120"/>
              <w:ind w:firstLine="0" w:firstLineChars="0"/>
              <w:rPr>
                <w:rFonts w:cs="宋体"/>
                <w:szCs w:val="21"/>
              </w:rPr>
            </w:pPr>
            <w:r>
              <w:rPr>
                <w:rFonts w:hint="eastAsia" w:cs="宋体"/>
                <w:szCs w:val="21"/>
              </w:rPr>
              <w:t>设计进度</w:t>
            </w:r>
          </w:p>
        </w:tc>
        <w:tc>
          <w:tcPr>
            <w:tcW w:w="709" w:type="dxa"/>
            <w:tcBorders>
              <w:top w:val="nil"/>
              <w:left w:val="nil"/>
              <w:bottom w:val="single" w:color="auto" w:sz="4" w:space="0"/>
              <w:right w:val="single" w:color="auto" w:sz="4" w:space="0"/>
            </w:tcBorders>
            <w:vAlign w:val="center"/>
          </w:tcPr>
          <w:p w14:paraId="00FA9ADE">
            <w:pPr>
              <w:spacing w:after="120"/>
              <w:ind w:firstLine="0" w:firstLineChars="0"/>
              <w:rPr>
                <w:rFonts w:ascii="仿宋_GB2312" w:eastAsia="仿宋_GB2312" w:cs="宋体"/>
                <w:szCs w:val="21"/>
              </w:rPr>
            </w:pPr>
            <w:r>
              <w:rPr>
                <w:rFonts w:hint="eastAsia"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319A5B29">
            <w:pPr>
              <w:spacing w:after="120"/>
              <w:ind w:firstLine="0" w:firstLineChars="0"/>
              <w:jc w:val="left"/>
              <w:rPr>
                <w:rFonts w:cs="宋体"/>
                <w:szCs w:val="21"/>
              </w:rPr>
            </w:pPr>
            <w:r>
              <w:rPr>
                <w:rFonts w:hint="eastAsia" w:cs="宋体"/>
                <w:szCs w:val="21"/>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vAlign w:val="center"/>
          </w:tcPr>
          <w:p w14:paraId="68853E47">
            <w:pPr>
              <w:spacing w:after="120"/>
              <w:ind w:firstLine="0" w:firstLineChars="0"/>
              <w:jc w:val="left"/>
              <w:rPr>
                <w:rFonts w:cs="宋体"/>
                <w:szCs w:val="21"/>
              </w:rPr>
            </w:pPr>
            <w:r>
              <w:rPr>
                <w:rFonts w:hint="eastAsia" w:cs="宋体"/>
                <w:szCs w:val="21"/>
              </w:rPr>
              <w:t>因乙方原因，每延误一天扣1分，至扣完为止。</w:t>
            </w:r>
          </w:p>
        </w:tc>
        <w:tc>
          <w:tcPr>
            <w:tcW w:w="992" w:type="dxa"/>
            <w:tcBorders>
              <w:top w:val="nil"/>
              <w:left w:val="nil"/>
              <w:bottom w:val="single" w:color="auto" w:sz="4" w:space="0"/>
              <w:right w:val="single" w:color="auto" w:sz="4" w:space="0"/>
            </w:tcBorders>
            <w:vAlign w:val="center"/>
          </w:tcPr>
          <w:p w14:paraId="719FF8A0">
            <w:pPr>
              <w:spacing w:after="120"/>
              <w:jc w:val="left"/>
              <w:rPr>
                <w:rFonts w:cs="宋体"/>
                <w:szCs w:val="21"/>
              </w:rPr>
            </w:pPr>
            <w:r>
              <w:rPr>
                <w:rFonts w:hint="eastAsia" w:cs="宋体"/>
                <w:szCs w:val="21"/>
              </w:rPr>
              <w:t>　</w:t>
            </w:r>
          </w:p>
        </w:tc>
      </w:tr>
      <w:tr w14:paraId="611C6832">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0EC59B15">
            <w:pPr>
              <w:spacing w:after="120"/>
              <w:ind w:firstLine="0" w:firstLineChars="0"/>
              <w:rPr>
                <w:rFonts w:cs="宋体"/>
                <w:szCs w:val="21"/>
              </w:rPr>
            </w:pPr>
            <w:r>
              <w:rPr>
                <w:rFonts w:hint="eastAsia" w:cs="宋体"/>
                <w:szCs w:val="21"/>
              </w:rPr>
              <w:t>五</w:t>
            </w:r>
          </w:p>
        </w:tc>
        <w:tc>
          <w:tcPr>
            <w:tcW w:w="1393" w:type="dxa"/>
            <w:tcBorders>
              <w:top w:val="nil"/>
              <w:left w:val="nil"/>
              <w:bottom w:val="single" w:color="auto" w:sz="4" w:space="0"/>
              <w:right w:val="single" w:color="auto" w:sz="4" w:space="0"/>
            </w:tcBorders>
            <w:vAlign w:val="center"/>
          </w:tcPr>
          <w:p w14:paraId="6995E2B2">
            <w:pPr>
              <w:spacing w:after="120"/>
              <w:ind w:firstLine="0" w:firstLineChars="0"/>
              <w:rPr>
                <w:rFonts w:cs="宋体"/>
                <w:szCs w:val="21"/>
              </w:rPr>
            </w:pPr>
            <w:r>
              <w:rPr>
                <w:rFonts w:hint="eastAsia" w:cs="宋体"/>
                <w:szCs w:val="21"/>
              </w:rPr>
              <w:t>设计配合</w:t>
            </w:r>
          </w:p>
        </w:tc>
        <w:tc>
          <w:tcPr>
            <w:tcW w:w="709" w:type="dxa"/>
            <w:tcBorders>
              <w:top w:val="nil"/>
              <w:left w:val="nil"/>
              <w:bottom w:val="single" w:color="auto" w:sz="4" w:space="0"/>
              <w:right w:val="single" w:color="auto" w:sz="4" w:space="0"/>
            </w:tcBorders>
            <w:vAlign w:val="center"/>
          </w:tcPr>
          <w:p w14:paraId="2E5FD997">
            <w:pPr>
              <w:spacing w:after="120"/>
              <w:ind w:firstLine="0" w:firstLineChars="0"/>
              <w:rPr>
                <w:rFonts w:ascii="仿宋_GB2312" w:eastAsia="仿宋_GB2312" w:cs="宋体"/>
                <w:szCs w:val="21"/>
              </w:rPr>
            </w:pPr>
            <w:r>
              <w:rPr>
                <w:rFonts w:hint="eastAsia"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23534600">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279A6013">
            <w:pPr>
              <w:spacing w:after="120"/>
              <w:jc w:val="left"/>
              <w:rPr>
                <w:rFonts w:cs="宋体"/>
                <w:szCs w:val="21"/>
              </w:rPr>
            </w:pPr>
            <w:r>
              <w:rPr>
                <w:rFonts w:hint="eastAsia" w:cs="宋体"/>
                <w:szCs w:val="21"/>
              </w:rPr>
              <w:t>　</w:t>
            </w:r>
          </w:p>
        </w:tc>
        <w:tc>
          <w:tcPr>
            <w:tcW w:w="992" w:type="dxa"/>
            <w:tcBorders>
              <w:top w:val="nil"/>
              <w:left w:val="nil"/>
              <w:bottom w:val="single" w:color="auto" w:sz="4" w:space="0"/>
              <w:right w:val="single" w:color="auto" w:sz="4" w:space="0"/>
            </w:tcBorders>
            <w:vAlign w:val="center"/>
          </w:tcPr>
          <w:p w14:paraId="43716ED0">
            <w:pPr>
              <w:spacing w:after="120"/>
              <w:jc w:val="left"/>
              <w:rPr>
                <w:rFonts w:cs="宋体"/>
                <w:szCs w:val="21"/>
              </w:rPr>
            </w:pPr>
            <w:r>
              <w:rPr>
                <w:rFonts w:hint="eastAsia" w:cs="宋体"/>
                <w:szCs w:val="21"/>
              </w:rPr>
              <w:t>　</w:t>
            </w:r>
          </w:p>
        </w:tc>
      </w:tr>
      <w:tr w14:paraId="6730A88F">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059B3016">
            <w:pPr>
              <w:spacing w:after="120"/>
              <w:ind w:firstLine="0" w:firstLineChars="0"/>
              <w:rPr>
                <w:rFonts w:cs="宋体"/>
                <w:szCs w:val="21"/>
              </w:rPr>
            </w:pPr>
            <w:r>
              <w:rPr>
                <w:rFonts w:hint="eastAsia" w:cs="宋体"/>
                <w:szCs w:val="21"/>
              </w:rPr>
              <w:t>1</w:t>
            </w:r>
          </w:p>
        </w:tc>
        <w:tc>
          <w:tcPr>
            <w:tcW w:w="1393" w:type="dxa"/>
            <w:tcBorders>
              <w:top w:val="nil"/>
              <w:left w:val="nil"/>
              <w:bottom w:val="single" w:color="auto" w:sz="4" w:space="0"/>
              <w:right w:val="single" w:color="auto" w:sz="4" w:space="0"/>
            </w:tcBorders>
            <w:vAlign w:val="center"/>
          </w:tcPr>
          <w:p w14:paraId="525AA56E">
            <w:pPr>
              <w:spacing w:after="120"/>
              <w:ind w:firstLine="0" w:firstLineChars="0"/>
              <w:rPr>
                <w:rFonts w:cs="宋体"/>
                <w:szCs w:val="21"/>
              </w:rPr>
            </w:pPr>
            <w:r>
              <w:rPr>
                <w:rFonts w:hint="eastAsia" w:cs="宋体"/>
                <w:szCs w:val="21"/>
              </w:rPr>
              <w:t>设计配合</w:t>
            </w:r>
          </w:p>
        </w:tc>
        <w:tc>
          <w:tcPr>
            <w:tcW w:w="709" w:type="dxa"/>
            <w:tcBorders>
              <w:top w:val="nil"/>
              <w:left w:val="nil"/>
              <w:bottom w:val="single" w:color="auto" w:sz="4" w:space="0"/>
              <w:right w:val="single" w:color="auto" w:sz="4" w:space="0"/>
            </w:tcBorders>
            <w:vAlign w:val="center"/>
          </w:tcPr>
          <w:p w14:paraId="7900B0CA">
            <w:pPr>
              <w:spacing w:after="120"/>
              <w:ind w:firstLine="0" w:firstLineChars="0"/>
              <w:rPr>
                <w:rFonts w:ascii="仿宋_GB2312" w:eastAsia="仿宋_GB2312" w:cs="宋体"/>
                <w:szCs w:val="21"/>
              </w:rPr>
            </w:pPr>
            <w:r>
              <w:rPr>
                <w:rFonts w:hint="eastAsia"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09A995ED">
            <w:pPr>
              <w:spacing w:after="120"/>
              <w:ind w:firstLine="0" w:firstLineChars="0"/>
              <w:jc w:val="left"/>
              <w:rPr>
                <w:rFonts w:cs="宋体"/>
                <w:szCs w:val="21"/>
              </w:rPr>
            </w:pPr>
            <w:r>
              <w:rPr>
                <w:rFonts w:hint="eastAsia" w:cs="宋体"/>
                <w:szCs w:val="21"/>
              </w:rPr>
              <w:t>能否按合同及甲方要求及时协调配合甲方、专项设计单位及其它相关部门的工作；是否具有较强的沟通协调能力；能否在各报建报批环节积极协助甲方完成相关工作</w:t>
            </w:r>
          </w:p>
        </w:tc>
        <w:tc>
          <w:tcPr>
            <w:tcW w:w="3261" w:type="dxa"/>
            <w:tcBorders>
              <w:top w:val="nil"/>
              <w:left w:val="nil"/>
              <w:bottom w:val="single" w:color="auto" w:sz="4" w:space="0"/>
              <w:right w:val="single" w:color="auto" w:sz="4" w:space="0"/>
            </w:tcBorders>
            <w:vAlign w:val="center"/>
          </w:tcPr>
          <w:p w14:paraId="1F634973">
            <w:pPr>
              <w:spacing w:after="120"/>
              <w:jc w:val="left"/>
              <w:rPr>
                <w:rFonts w:cs="宋体"/>
                <w:szCs w:val="21"/>
              </w:rPr>
            </w:pPr>
            <w:r>
              <w:rPr>
                <w:rFonts w:hint="eastAsia" w:cs="宋体"/>
                <w:szCs w:val="21"/>
              </w:rPr>
              <w:t>好：得10分</w:t>
            </w:r>
          </w:p>
          <w:p w14:paraId="584C4342">
            <w:pPr>
              <w:spacing w:after="120"/>
              <w:jc w:val="left"/>
              <w:rPr>
                <w:rFonts w:cs="宋体"/>
                <w:szCs w:val="21"/>
              </w:rPr>
            </w:pPr>
            <w:r>
              <w:rPr>
                <w:rFonts w:hint="eastAsia" w:cs="宋体"/>
                <w:szCs w:val="21"/>
              </w:rPr>
              <w:t>较好：得8分</w:t>
            </w:r>
          </w:p>
          <w:p w14:paraId="14C41E77">
            <w:pPr>
              <w:spacing w:after="120"/>
              <w:jc w:val="left"/>
              <w:rPr>
                <w:rFonts w:cs="宋体"/>
                <w:szCs w:val="21"/>
              </w:rPr>
            </w:pPr>
            <w:r>
              <w:rPr>
                <w:rFonts w:hint="eastAsia" w:cs="宋体"/>
                <w:szCs w:val="21"/>
              </w:rPr>
              <w:t>一般：得6分</w:t>
            </w:r>
          </w:p>
          <w:p w14:paraId="0FCAC19E">
            <w:pPr>
              <w:spacing w:after="120"/>
              <w:jc w:val="left"/>
              <w:rPr>
                <w:rFonts w:cs="宋体"/>
                <w:szCs w:val="21"/>
              </w:rPr>
            </w:pPr>
            <w:r>
              <w:rPr>
                <w:rFonts w:hint="eastAsia" w:cs="宋体"/>
                <w:szCs w:val="21"/>
              </w:rPr>
              <w:t>较差：得4分</w:t>
            </w:r>
          </w:p>
          <w:p w14:paraId="08168C9E">
            <w:pPr>
              <w:spacing w:after="120"/>
              <w:jc w:val="left"/>
              <w:rPr>
                <w:rFonts w:cs="宋体"/>
                <w:szCs w:val="21"/>
              </w:rPr>
            </w:pPr>
            <w:r>
              <w:rPr>
                <w:rFonts w:hint="eastAsia" w:cs="宋体"/>
                <w:szCs w:val="21"/>
              </w:rPr>
              <w:t>差：得2分</w:t>
            </w:r>
          </w:p>
        </w:tc>
        <w:tc>
          <w:tcPr>
            <w:tcW w:w="992" w:type="dxa"/>
            <w:tcBorders>
              <w:top w:val="nil"/>
              <w:left w:val="nil"/>
              <w:bottom w:val="single" w:color="auto" w:sz="4" w:space="0"/>
              <w:right w:val="single" w:color="auto" w:sz="4" w:space="0"/>
            </w:tcBorders>
            <w:vAlign w:val="center"/>
          </w:tcPr>
          <w:p w14:paraId="0C76C72C">
            <w:pPr>
              <w:spacing w:after="120"/>
              <w:jc w:val="left"/>
              <w:rPr>
                <w:rFonts w:cs="宋体"/>
                <w:szCs w:val="21"/>
              </w:rPr>
            </w:pPr>
            <w:r>
              <w:rPr>
                <w:rFonts w:hint="eastAsia" w:cs="宋体"/>
                <w:szCs w:val="21"/>
              </w:rPr>
              <w:t>　</w:t>
            </w:r>
          </w:p>
        </w:tc>
      </w:tr>
      <w:tr w14:paraId="6811852B">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736CE6A">
            <w:pPr>
              <w:spacing w:after="120"/>
              <w:ind w:firstLine="0" w:firstLineChars="0"/>
              <w:rPr>
                <w:szCs w:val="21"/>
              </w:rPr>
            </w:pPr>
            <w:r>
              <w:rPr>
                <w:szCs w:val="21"/>
              </w:rPr>
              <w:t>　</w:t>
            </w:r>
          </w:p>
        </w:tc>
        <w:tc>
          <w:tcPr>
            <w:tcW w:w="1393" w:type="dxa"/>
            <w:tcBorders>
              <w:top w:val="nil"/>
              <w:left w:val="nil"/>
              <w:bottom w:val="single" w:color="auto" w:sz="4" w:space="0"/>
              <w:right w:val="single" w:color="auto" w:sz="4" w:space="0"/>
            </w:tcBorders>
            <w:vAlign w:val="center"/>
          </w:tcPr>
          <w:p w14:paraId="3BB8AE9A">
            <w:pPr>
              <w:spacing w:after="120"/>
              <w:rPr>
                <w:szCs w:val="21"/>
              </w:rPr>
            </w:pPr>
            <w:r>
              <w:rPr>
                <w:szCs w:val="21"/>
              </w:rPr>
              <w:t>合计</w:t>
            </w:r>
          </w:p>
        </w:tc>
        <w:tc>
          <w:tcPr>
            <w:tcW w:w="709" w:type="dxa"/>
            <w:tcBorders>
              <w:top w:val="nil"/>
              <w:left w:val="nil"/>
              <w:bottom w:val="single" w:color="auto" w:sz="4" w:space="0"/>
              <w:right w:val="single" w:color="auto" w:sz="4" w:space="0"/>
            </w:tcBorders>
            <w:vAlign w:val="center"/>
          </w:tcPr>
          <w:p w14:paraId="3F2FB5B7">
            <w:pPr>
              <w:spacing w:after="120"/>
              <w:ind w:firstLine="0" w:firstLineChars="0"/>
              <w:rPr>
                <w:szCs w:val="21"/>
              </w:rPr>
            </w:pPr>
            <w:r>
              <w:rPr>
                <w:szCs w:val="21"/>
              </w:rPr>
              <w:t>100</w:t>
            </w:r>
          </w:p>
        </w:tc>
        <w:tc>
          <w:tcPr>
            <w:tcW w:w="2551" w:type="dxa"/>
            <w:tcBorders>
              <w:top w:val="nil"/>
              <w:left w:val="nil"/>
              <w:bottom w:val="single" w:color="auto" w:sz="4" w:space="0"/>
              <w:right w:val="single" w:color="auto" w:sz="4" w:space="0"/>
            </w:tcBorders>
            <w:vAlign w:val="center"/>
          </w:tcPr>
          <w:p w14:paraId="77A0C341">
            <w:pPr>
              <w:spacing w:after="120"/>
              <w:jc w:val="center"/>
              <w:rPr>
                <w:szCs w:val="21"/>
              </w:rPr>
            </w:pPr>
            <w:r>
              <w:rPr>
                <w:szCs w:val="21"/>
              </w:rPr>
              <w:t>　</w:t>
            </w:r>
          </w:p>
        </w:tc>
        <w:tc>
          <w:tcPr>
            <w:tcW w:w="3261" w:type="dxa"/>
            <w:tcBorders>
              <w:top w:val="nil"/>
              <w:left w:val="nil"/>
              <w:bottom w:val="single" w:color="auto" w:sz="4" w:space="0"/>
              <w:right w:val="single" w:color="auto" w:sz="4" w:space="0"/>
            </w:tcBorders>
            <w:vAlign w:val="center"/>
          </w:tcPr>
          <w:p w14:paraId="20DFCFC0">
            <w:pPr>
              <w:spacing w:after="120"/>
              <w:jc w:val="center"/>
              <w:rPr>
                <w:szCs w:val="21"/>
              </w:rPr>
            </w:pPr>
            <w:r>
              <w:rPr>
                <w:szCs w:val="21"/>
              </w:rPr>
              <w:t>　</w:t>
            </w:r>
          </w:p>
        </w:tc>
        <w:tc>
          <w:tcPr>
            <w:tcW w:w="992" w:type="dxa"/>
            <w:tcBorders>
              <w:top w:val="nil"/>
              <w:left w:val="nil"/>
              <w:bottom w:val="single" w:color="auto" w:sz="4" w:space="0"/>
              <w:right w:val="single" w:color="auto" w:sz="4" w:space="0"/>
            </w:tcBorders>
            <w:vAlign w:val="center"/>
          </w:tcPr>
          <w:p w14:paraId="38BED2FA">
            <w:pPr>
              <w:spacing w:after="120"/>
              <w:jc w:val="center"/>
              <w:rPr>
                <w:szCs w:val="21"/>
              </w:rPr>
            </w:pPr>
            <w:r>
              <w:rPr>
                <w:szCs w:val="21"/>
              </w:rPr>
              <w:t>　</w:t>
            </w:r>
          </w:p>
        </w:tc>
      </w:tr>
    </w:tbl>
    <w:p w14:paraId="58AA0800">
      <w:pPr>
        <w:spacing w:after="120"/>
        <w:rPr>
          <w:rFonts w:cs="宋体"/>
          <w:szCs w:val="21"/>
        </w:rPr>
      </w:pPr>
      <w:r>
        <w:rPr>
          <w:rFonts w:hint="eastAsia" w:cs="宋体"/>
          <w:szCs w:val="21"/>
        </w:rPr>
        <w:t>一、注：</w:t>
      </w:r>
    </w:p>
    <w:p w14:paraId="73AD0BE5">
      <w:pPr>
        <w:spacing w:after="120"/>
        <w:rPr>
          <w:rFonts w:cs="宋体"/>
          <w:szCs w:val="21"/>
        </w:rPr>
      </w:pPr>
      <w:r>
        <w:rPr>
          <w:rFonts w:hint="eastAsia" w:cs="宋体"/>
          <w:szCs w:val="21"/>
        </w:rPr>
        <w:t>1、每一评分项扣分，至该项对应分值扣完为止。</w:t>
      </w:r>
    </w:p>
    <w:p w14:paraId="408427C3">
      <w:pPr>
        <w:spacing w:after="120"/>
        <w:rPr>
          <w:rFonts w:cs="宋体"/>
          <w:szCs w:val="21"/>
        </w:rPr>
      </w:pPr>
      <w:r>
        <w:rPr>
          <w:rFonts w:hint="eastAsia" w:cs="宋体"/>
          <w:szCs w:val="21"/>
        </w:rPr>
        <w:t>2、应在岗实际未在岗累计达到3天的，或经问询明显不了解项目具体情况累计达到3次的，或未按甲方要求出席会议累计达到3次的，可认定自行更换</w:t>
      </w:r>
    </w:p>
    <w:p w14:paraId="55C4F4B9">
      <w:pPr>
        <w:spacing w:after="120"/>
        <w:rPr>
          <w:rFonts w:cs="宋体"/>
          <w:szCs w:val="21"/>
        </w:rPr>
      </w:pPr>
    </w:p>
    <w:p w14:paraId="617D3B06">
      <w:pPr>
        <w:spacing w:after="120"/>
        <w:rPr>
          <w:rFonts w:cs="宋体"/>
          <w:szCs w:val="21"/>
        </w:rPr>
      </w:pPr>
      <w:r>
        <w:rPr>
          <w:rFonts w:hint="eastAsia" w:cs="宋体"/>
          <w:szCs w:val="21"/>
        </w:rPr>
        <w:t>二、扣分情况说明：</w:t>
      </w:r>
    </w:p>
    <w:p w14:paraId="66DAE28C">
      <w:pPr>
        <w:spacing w:after="120"/>
        <w:rPr>
          <w:rFonts w:cs="宋体"/>
          <w:szCs w:val="21"/>
        </w:rPr>
      </w:pPr>
      <w:r>
        <w:rPr>
          <w:rFonts w:hint="eastAsia" w:cs="宋体"/>
          <w:szCs w:val="21"/>
        </w:rPr>
        <w:t>1、</w:t>
      </w:r>
    </w:p>
    <w:p w14:paraId="38A39686">
      <w:pPr>
        <w:spacing w:after="120"/>
        <w:rPr>
          <w:rFonts w:cs="宋体"/>
          <w:szCs w:val="21"/>
        </w:rPr>
      </w:pPr>
      <w:r>
        <w:rPr>
          <w:rFonts w:hint="eastAsia" w:cs="宋体"/>
          <w:szCs w:val="21"/>
        </w:rPr>
        <w:t>2、</w:t>
      </w:r>
    </w:p>
    <w:p w14:paraId="7EDC3206">
      <w:pPr>
        <w:spacing w:after="120"/>
        <w:rPr>
          <w:rFonts w:cs="宋体"/>
          <w:szCs w:val="21"/>
        </w:rPr>
      </w:pPr>
      <w:r>
        <w:rPr>
          <w:rFonts w:hint="eastAsia" w:cs="宋体"/>
          <w:szCs w:val="21"/>
        </w:rPr>
        <w:t>3、</w:t>
      </w:r>
    </w:p>
    <w:p w14:paraId="13D35E95">
      <w:pPr>
        <w:spacing w:after="120"/>
        <w:rPr>
          <w:rFonts w:cs="宋体"/>
          <w:szCs w:val="21"/>
        </w:rPr>
      </w:pPr>
      <w:r>
        <w:rPr>
          <w:rFonts w:hint="eastAsia" w:cs="宋体"/>
          <w:szCs w:val="21"/>
        </w:rPr>
        <w:t>…</w:t>
      </w:r>
    </w:p>
    <w:p w14:paraId="465EAB99">
      <w:pPr>
        <w:spacing w:after="120"/>
        <w:rPr>
          <w:rFonts w:cs="宋体"/>
          <w:szCs w:val="21"/>
        </w:rPr>
      </w:pPr>
    </w:p>
    <w:p w14:paraId="7932CDC4">
      <w:pPr>
        <w:spacing w:after="120"/>
        <w:rPr>
          <w:rFonts w:cs="宋体"/>
          <w:szCs w:val="21"/>
          <w:u w:val="single"/>
        </w:rPr>
      </w:pPr>
      <w:r>
        <w:rPr>
          <w:rFonts w:hint="eastAsia" w:cs="宋体"/>
          <w:szCs w:val="21"/>
        </w:rPr>
        <w:t>项目负责人：×××  签名：</w:t>
      </w:r>
    </w:p>
    <w:p w14:paraId="1B487CDD">
      <w:pPr>
        <w:spacing w:after="120"/>
        <w:rPr>
          <w:rFonts w:cs="宋体"/>
          <w:szCs w:val="21"/>
        </w:rPr>
      </w:pPr>
    </w:p>
    <w:p w14:paraId="722B7B52">
      <w:pPr>
        <w:spacing w:after="120"/>
        <w:rPr>
          <w:rFonts w:cs="宋体"/>
          <w:szCs w:val="21"/>
          <w:u w:val="single"/>
        </w:rPr>
      </w:pPr>
      <w:r>
        <w:rPr>
          <w:rFonts w:hint="eastAsia" w:cs="宋体"/>
          <w:szCs w:val="21"/>
        </w:rPr>
        <w:t>部门负责人：×××  签名：</w:t>
      </w:r>
    </w:p>
    <w:p w14:paraId="1396F81E">
      <w:pPr>
        <w:spacing w:after="120"/>
        <w:rPr>
          <w:rFonts w:cs="宋体"/>
          <w:szCs w:val="21"/>
        </w:rPr>
      </w:pPr>
    </w:p>
    <w:p w14:paraId="14A229AD">
      <w:pPr>
        <w:spacing w:after="120"/>
        <w:rPr>
          <w:rFonts w:cs="宋体"/>
          <w:szCs w:val="21"/>
        </w:rPr>
      </w:pPr>
      <w:r>
        <w:rPr>
          <w:rFonts w:hint="eastAsia" w:cs="宋体"/>
          <w:szCs w:val="21"/>
        </w:rPr>
        <w:t>日期：      年    月    日</w:t>
      </w:r>
    </w:p>
    <w:p w14:paraId="45E53D5A">
      <w:pPr>
        <w:spacing w:after="120"/>
        <w:rPr>
          <w:rFonts w:cs="宋体"/>
          <w:szCs w:val="21"/>
        </w:rPr>
      </w:pPr>
    </w:p>
    <w:p w14:paraId="5B7E4BFA">
      <w:pPr>
        <w:spacing w:after="120" w:line="560" w:lineRule="exact"/>
        <w:ind w:firstLine="482"/>
        <w:rPr>
          <w:rFonts w:ascii="仿宋_GB2312" w:eastAsia="仿宋_GB2312"/>
          <w:sz w:val="32"/>
          <w:szCs w:val="32"/>
        </w:rPr>
      </w:pPr>
      <w:r>
        <w:rPr>
          <w:b/>
          <w:szCs w:val="21"/>
        </w:rPr>
        <w:br w:type="page"/>
      </w:r>
      <w:r>
        <w:rPr>
          <w:rFonts w:hint="eastAsia" w:ascii="仿宋_GB2312" w:eastAsia="仿宋_GB2312"/>
          <w:sz w:val="32"/>
          <w:szCs w:val="32"/>
        </w:rPr>
        <w:t>附件二</w:t>
      </w:r>
    </w:p>
    <w:tbl>
      <w:tblPr>
        <w:tblStyle w:val="55"/>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14:paraId="13D19753">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vAlign w:val="center"/>
          </w:tcPr>
          <w:p w14:paraId="287C26A9">
            <w:pPr>
              <w:spacing w:after="120"/>
              <w:ind w:firstLine="560"/>
              <w:jc w:val="center"/>
              <w:rPr>
                <w:rFonts w:ascii="仿宋_GB2312" w:eastAsia="仿宋_GB2312"/>
                <w:sz w:val="28"/>
                <w:szCs w:val="28"/>
              </w:rPr>
            </w:pPr>
            <w:r>
              <w:rPr>
                <w:rFonts w:hint="eastAsia" w:ascii="仿宋_GB2312" w:eastAsia="仿宋_GB2312"/>
                <w:sz w:val="28"/>
                <w:szCs w:val="28"/>
              </w:rPr>
              <w:t>初步设计阶段设计合同履约评价表</w:t>
            </w:r>
          </w:p>
        </w:tc>
      </w:tr>
      <w:tr w14:paraId="3AD69A1F">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vAlign w:val="center"/>
          </w:tcPr>
          <w:p w14:paraId="05244CE4">
            <w:pPr>
              <w:spacing w:after="120"/>
              <w:ind w:firstLine="0" w:firstLineChars="0"/>
              <w:rPr>
                <w:rFonts w:cs="宋体"/>
                <w:b/>
                <w:bCs/>
                <w:szCs w:val="21"/>
              </w:rPr>
            </w:pPr>
            <w:r>
              <w:rPr>
                <w:rFonts w:hint="eastAsia" w:cs="宋体"/>
                <w:b/>
                <w:bCs/>
                <w:szCs w:val="21"/>
              </w:rPr>
              <w:t>序号</w:t>
            </w:r>
          </w:p>
        </w:tc>
        <w:tc>
          <w:tcPr>
            <w:tcW w:w="1393" w:type="dxa"/>
            <w:tcBorders>
              <w:top w:val="single" w:color="auto" w:sz="4" w:space="0"/>
              <w:left w:val="nil"/>
              <w:bottom w:val="single" w:color="auto" w:sz="4" w:space="0"/>
              <w:right w:val="single" w:color="auto" w:sz="4" w:space="0"/>
            </w:tcBorders>
            <w:vAlign w:val="center"/>
          </w:tcPr>
          <w:p w14:paraId="6DDC5658">
            <w:pPr>
              <w:spacing w:after="120"/>
              <w:ind w:firstLine="482"/>
              <w:jc w:val="center"/>
              <w:rPr>
                <w:rFonts w:cs="宋体"/>
                <w:b/>
                <w:bCs/>
                <w:szCs w:val="21"/>
              </w:rPr>
            </w:pPr>
            <w:r>
              <w:rPr>
                <w:rFonts w:hint="eastAsia" w:cs="宋体"/>
                <w:b/>
                <w:bCs/>
                <w:szCs w:val="21"/>
              </w:rPr>
              <w:t>内容</w:t>
            </w:r>
          </w:p>
        </w:tc>
        <w:tc>
          <w:tcPr>
            <w:tcW w:w="709" w:type="dxa"/>
            <w:tcBorders>
              <w:top w:val="single" w:color="auto" w:sz="4" w:space="0"/>
              <w:left w:val="nil"/>
              <w:bottom w:val="single" w:color="auto" w:sz="4" w:space="0"/>
              <w:right w:val="single" w:color="auto" w:sz="4" w:space="0"/>
            </w:tcBorders>
            <w:vAlign w:val="center"/>
          </w:tcPr>
          <w:p w14:paraId="0DA5454B">
            <w:pPr>
              <w:spacing w:after="120"/>
              <w:ind w:firstLine="0" w:firstLineChars="0"/>
              <w:rPr>
                <w:rFonts w:cs="宋体"/>
                <w:b/>
                <w:bCs/>
                <w:szCs w:val="21"/>
              </w:rPr>
            </w:pPr>
            <w:r>
              <w:rPr>
                <w:rFonts w:hint="eastAsia" w:cs="宋体"/>
                <w:b/>
                <w:bCs/>
                <w:szCs w:val="21"/>
              </w:rPr>
              <w:t>单项</w:t>
            </w:r>
          </w:p>
          <w:p w14:paraId="20F1E660">
            <w:pPr>
              <w:spacing w:after="120"/>
              <w:ind w:firstLine="0" w:firstLineChars="0"/>
              <w:rPr>
                <w:rFonts w:cs="宋体"/>
                <w:b/>
                <w:bCs/>
                <w:szCs w:val="21"/>
              </w:rPr>
            </w:pPr>
            <w:r>
              <w:rPr>
                <w:rFonts w:hint="eastAsia" w:cs="宋体"/>
                <w:b/>
                <w:bCs/>
                <w:szCs w:val="21"/>
              </w:rPr>
              <w:t>分值</w:t>
            </w:r>
          </w:p>
        </w:tc>
        <w:tc>
          <w:tcPr>
            <w:tcW w:w="2551" w:type="dxa"/>
            <w:tcBorders>
              <w:top w:val="single" w:color="auto" w:sz="4" w:space="0"/>
              <w:left w:val="nil"/>
              <w:bottom w:val="single" w:color="auto" w:sz="4" w:space="0"/>
              <w:right w:val="single" w:color="auto" w:sz="4" w:space="0"/>
            </w:tcBorders>
            <w:vAlign w:val="center"/>
          </w:tcPr>
          <w:p w14:paraId="3258F113">
            <w:pPr>
              <w:spacing w:after="120"/>
              <w:ind w:firstLine="482"/>
              <w:jc w:val="center"/>
              <w:rPr>
                <w:rFonts w:cs="宋体"/>
                <w:b/>
                <w:bCs/>
                <w:szCs w:val="21"/>
              </w:rPr>
            </w:pPr>
            <w:r>
              <w:rPr>
                <w:rFonts w:hint="eastAsia" w:cs="宋体"/>
                <w:b/>
                <w:bCs/>
                <w:szCs w:val="21"/>
              </w:rPr>
              <w:t>评价指标</w:t>
            </w:r>
          </w:p>
        </w:tc>
        <w:tc>
          <w:tcPr>
            <w:tcW w:w="3261" w:type="dxa"/>
            <w:tcBorders>
              <w:top w:val="single" w:color="auto" w:sz="4" w:space="0"/>
              <w:left w:val="nil"/>
              <w:bottom w:val="single" w:color="auto" w:sz="4" w:space="0"/>
              <w:right w:val="single" w:color="auto" w:sz="4" w:space="0"/>
            </w:tcBorders>
            <w:vAlign w:val="center"/>
          </w:tcPr>
          <w:p w14:paraId="45726DF8">
            <w:pPr>
              <w:spacing w:after="120"/>
              <w:ind w:firstLine="482"/>
              <w:jc w:val="center"/>
              <w:rPr>
                <w:rFonts w:cs="宋体"/>
                <w:b/>
                <w:bCs/>
                <w:szCs w:val="21"/>
              </w:rPr>
            </w:pPr>
            <w:r>
              <w:rPr>
                <w:rFonts w:hint="eastAsia" w:cs="宋体"/>
                <w:b/>
                <w:bCs/>
                <w:szCs w:val="21"/>
              </w:rPr>
              <w:t>评分标准</w:t>
            </w:r>
          </w:p>
        </w:tc>
        <w:tc>
          <w:tcPr>
            <w:tcW w:w="992" w:type="dxa"/>
            <w:tcBorders>
              <w:top w:val="single" w:color="auto" w:sz="4" w:space="0"/>
              <w:left w:val="nil"/>
              <w:bottom w:val="single" w:color="auto" w:sz="4" w:space="0"/>
              <w:right w:val="single" w:color="auto" w:sz="4" w:space="0"/>
            </w:tcBorders>
            <w:vAlign w:val="center"/>
          </w:tcPr>
          <w:p w14:paraId="4B798C83">
            <w:pPr>
              <w:spacing w:after="120"/>
              <w:ind w:firstLine="0" w:firstLineChars="0"/>
              <w:rPr>
                <w:rFonts w:cs="宋体"/>
                <w:szCs w:val="21"/>
              </w:rPr>
            </w:pPr>
            <w:r>
              <w:rPr>
                <w:rFonts w:hint="eastAsia" w:cs="宋体"/>
                <w:szCs w:val="21"/>
              </w:rPr>
              <w:t>得分</w:t>
            </w:r>
          </w:p>
        </w:tc>
      </w:tr>
      <w:tr w14:paraId="14FF59DE">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1E4C87D">
            <w:pPr>
              <w:spacing w:after="120"/>
              <w:ind w:firstLine="0" w:firstLineChars="0"/>
              <w:rPr>
                <w:szCs w:val="21"/>
              </w:rPr>
            </w:pPr>
            <w:r>
              <w:rPr>
                <w:rFonts w:hint="eastAsia"/>
                <w:szCs w:val="21"/>
              </w:rPr>
              <w:t>一</w:t>
            </w:r>
          </w:p>
        </w:tc>
        <w:tc>
          <w:tcPr>
            <w:tcW w:w="1393" w:type="dxa"/>
            <w:tcBorders>
              <w:top w:val="nil"/>
              <w:left w:val="nil"/>
              <w:bottom w:val="single" w:color="auto" w:sz="4" w:space="0"/>
              <w:right w:val="single" w:color="auto" w:sz="4" w:space="0"/>
            </w:tcBorders>
            <w:vAlign w:val="center"/>
          </w:tcPr>
          <w:p w14:paraId="1147C2BC">
            <w:pPr>
              <w:spacing w:after="120"/>
              <w:ind w:firstLine="0" w:firstLineChars="0"/>
              <w:rPr>
                <w:szCs w:val="21"/>
              </w:rPr>
            </w:pPr>
            <w:r>
              <w:rPr>
                <w:rFonts w:hint="eastAsia"/>
                <w:szCs w:val="21"/>
              </w:rPr>
              <w:t>人员配备</w:t>
            </w:r>
          </w:p>
        </w:tc>
        <w:tc>
          <w:tcPr>
            <w:tcW w:w="709" w:type="dxa"/>
            <w:tcBorders>
              <w:top w:val="nil"/>
              <w:left w:val="nil"/>
              <w:bottom w:val="single" w:color="auto" w:sz="4" w:space="0"/>
              <w:right w:val="single" w:color="auto" w:sz="4" w:space="0"/>
            </w:tcBorders>
            <w:vAlign w:val="center"/>
          </w:tcPr>
          <w:p w14:paraId="16EFD523">
            <w:pPr>
              <w:spacing w:after="120"/>
              <w:ind w:firstLine="0" w:firstLineChars="0"/>
              <w:rPr>
                <w:szCs w:val="21"/>
              </w:rPr>
            </w:pPr>
            <w:r>
              <w:rPr>
                <w:szCs w:val="21"/>
              </w:rPr>
              <w:t>10</w:t>
            </w:r>
          </w:p>
        </w:tc>
        <w:tc>
          <w:tcPr>
            <w:tcW w:w="2551" w:type="dxa"/>
            <w:tcBorders>
              <w:top w:val="nil"/>
              <w:left w:val="nil"/>
              <w:bottom w:val="single" w:color="auto" w:sz="4" w:space="0"/>
              <w:right w:val="single" w:color="auto" w:sz="4" w:space="0"/>
            </w:tcBorders>
            <w:vAlign w:val="center"/>
          </w:tcPr>
          <w:p w14:paraId="635402B4">
            <w:pPr>
              <w:spacing w:after="120"/>
              <w:ind w:firstLine="482"/>
              <w:jc w:val="center"/>
              <w:rPr>
                <w:b/>
                <w:bCs/>
                <w:szCs w:val="21"/>
              </w:rPr>
            </w:pPr>
            <w:r>
              <w:rPr>
                <w:b/>
                <w:bCs/>
                <w:szCs w:val="21"/>
              </w:rPr>
              <w:t>　</w:t>
            </w:r>
          </w:p>
        </w:tc>
        <w:tc>
          <w:tcPr>
            <w:tcW w:w="3261" w:type="dxa"/>
            <w:tcBorders>
              <w:top w:val="nil"/>
              <w:left w:val="nil"/>
              <w:bottom w:val="single" w:color="auto" w:sz="4" w:space="0"/>
              <w:right w:val="single" w:color="auto" w:sz="4" w:space="0"/>
            </w:tcBorders>
            <w:vAlign w:val="center"/>
          </w:tcPr>
          <w:p w14:paraId="6A4C34EC">
            <w:pPr>
              <w:spacing w:after="120"/>
              <w:ind w:firstLine="482"/>
              <w:jc w:val="center"/>
              <w:rPr>
                <w:b/>
                <w:bCs/>
                <w:szCs w:val="21"/>
              </w:rPr>
            </w:pPr>
            <w:r>
              <w:rPr>
                <w:b/>
                <w:bCs/>
                <w:szCs w:val="21"/>
              </w:rPr>
              <w:t>　</w:t>
            </w:r>
          </w:p>
        </w:tc>
        <w:tc>
          <w:tcPr>
            <w:tcW w:w="992" w:type="dxa"/>
            <w:tcBorders>
              <w:top w:val="nil"/>
              <w:left w:val="nil"/>
              <w:bottom w:val="single" w:color="auto" w:sz="4" w:space="0"/>
              <w:right w:val="single" w:color="auto" w:sz="4" w:space="0"/>
            </w:tcBorders>
            <w:vAlign w:val="center"/>
          </w:tcPr>
          <w:p w14:paraId="6D0ABEDB">
            <w:pPr>
              <w:spacing w:after="120"/>
              <w:jc w:val="center"/>
              <w:rPr>
                <w:szCs w:val="21"/>
              </w:rPr>
            </w:pPr>
            <w:r>
              <w:rPr>
                <w:szCs w:val="21"/>
              </w:rPr>
              <w:t>　</w:t>
            </w:r>
          </w:p>
        </w:tc>
      </w:tr>
      <w:tr w14:paraId="3C52356B">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19B01BFE">
            <w:pPr>
              <w:spacing w:after="120"/>
              <w:ind w:firstLine="0" w:firstLineChars="0"/>
              <w:rPr>
                <w:szCs w:val="21"/>
              </w:rPr>
            </w:pPr>
            <w:r>
              <w:rPr>
                <w:szCs w:val="21"/>
              </w:rPr>
              <w:t>1</w:t>
            </w:r>
          </w:p>
        </w:tc>
        <w:tc>
          <w:tcPr>
            <w:tcW w:w="1393" w:type="dxa"/>
            <w:tcBorders>
              <w:top w:val="nil"/>
              <w:left w:val="nil"/>
              <w:bottom w:val="single" w:color="auto" w:sz="4" w:space="0"/>
              <w:right w:val="nil"/>
            </w:tcBorders>
            <w:vAlign w:val="center"/>
          </w:tcPr>
          <w:p w14:paraId="7675F0ED">
            <w:pPr>
              <w:spacing w:after="120"/>
              <w:ind w:firstLine="0" w:firstLineChars="0"/>
              <w:rPr>
                <w:szCs w:val="21"/>
              </w:rPr>
            </w:pPr>
            <w:r>
              <w:rPr>
                <w:rFonts w:hint="eastAsia"/>
                <w:szCs w:val="21"/>
              </w:rPr>
              <w:t>项目负责人</w:t>
            </w:r>
          </w:p>
        </w:tc>
        <w:tc>
          <w:tcPr>
            <w:tcW w:w="709" w:type="dxa"/>
            <w:tcBorders>
              <w:top w:val="nil"/>
              <w:left w:val="single" w:color="auto" w:sz="4" w:space="0"/>
              <w:bottom w:val="single" w:color="auto" w:sz="4" w:space="0"/>
              <w:right w:val="single" w:color="auto" w:sz="4" w:space="0"/>
            </w:tcBorders>
            <w:vAlign w:val="center"/>
          </w:tcPr>
          <w:p w14:paraId="223F9C9B">
            <w:pPr>
              <w:spacing w:after="120"/>
              <w:ind w:firstLine="0" w:firstLineChars="0"/>
              <w:rPr>
                <w:szCs w:val="21"/>
              </w:rPr>
            </w:pPr>
            <w:r>
              <w:rPr>
                <w:rFonts w:hint="eastAsia"/>
                <w:szCs w:val="21"/>
              </w:rPr>
              <w:t>5</w:t>
            </w:r>
          </w:p>
        </w:tc>
        <w:tc>
          <w:tcPr>
            <w:tcW w:w="2551" w:type="dxa"/>
            <w:tcBorders>
              <w:top w:val="nil"/>
              <w:left w:val="nil"/>
              <w:bottom w:val="single" w:color="auto" w:sz="4" w:space="0"/>
              <w:right w:val="single" w:color="auto" w:sz="4" w:space="0"/>
            </w:tcBorders>
            <w:vAlign w:val="center"/>
          </w:tcPr>
          <w:p w14:paraId="613F6484">
            <w:pPr>
              <w:spacing w:after="120"/>
              <w:jc w:val="left"/>
              <w:rPr>
                <w:szCs w:val="21"/>
              </w:rPr>
            </w:pPr>
            <w:r>
              <w:rPr>
                <w:rFonts w:hint="eastAsia"/>
                <w:szCs w:val="21"/>
              </w:rPr>
              <w:t>是否按合同到位</w:t>
            </w:r>
          </w:p>
        </w:tc>
        <w:tc>
          <w:tcPr>
            <w:tcW w:w="3261" w:type="dxa"/>
            <w:tcBorders>
              <w:top w:val="nil"/>
              <w:left w:val="nil"/>
              <w:bottom w:val="single" w:color="auto" w:sz="4" w:space="0"/>
              <w:right w:val="single" w:color="auto" w:sz="4" w:space="0"/>
            </w:tcBorders>
            <w:vAlign w:val="center"/>
          </w:tcPr>
          <w:p w14:paraId="09DDDF18">
            <w:pPr>
              <w:spacing w:after="120"/>
              <w:ind w:firstLine="0" w:firstLineChars="0"/>
              <w:jc w:val="left"/>
              <w:rPr>
                <w:szCs w:val="21"/>
              </w:rPr>
            </w:pPr>
            <w:r>
              <w:rPr>
                <w:rFonts w:hint="eastAsia"/>
                <w:szCs w:val="21"/>
              </w:rPr>
              <w:t>未按合同到位且未经甲方同意，每自行更换一次，扣2分；</w:t>
            </w:r>
          </w:p>
          <w:p w14:paraId="28CE60C2">
            <w:pPr>
              <w:spacing w:after="120"/>
              <w:ind w:firstLine="0" w:firstLineChars="0"/>
              <w:jc w:val="left"/>
              <w:rPr>
                <w:szCs w:val="21"/>
              </w:rPr>
            </w:pPr>
            <w:r>
              <w:rPr>
                <w:rFonts w:hint="eastAsia"/>
                <w:szCs w:val="21"/>
              </w:rPr>
              <w:t>缺席甲方要求参加的重要会议，每次扣1分。</w:t>
            </w:r>
          </w:p>
        </w:tc>
        <w:tc>
          <w:tcPr>
            <w:tcW w:w="992" w:type="dxa"/>
            <w:tcBorders>
              <w:top w:val="nil"/>
              <w:left w:val="nil"/>
              <w:bottom w:val="single" w:color="auto" w:sz="4" w:space="0"/>
              <w:right w:val="single" w:color="auto" w:sz="4" w:space="0"/>
            </w:tcBorders>
            <w:vAlign w:val="center"/>
          </w:tcPr>
          <w:p w14:paraId="35554270">
            <w:pPr>
              <w:spacing w:after="120"/>
              <w:jc w:val="center"/>
              <w:rPr>
                <w:szCs w:val="21"/>
              </w:rPr>
            </w:pPr>
            <w:r>
              <w:rPr>
                <w:szCs w:val="21"/>
              </w:rPr>
              <w:t>　</w:t>
            </w:r>
          </w:p>
        </w:tc>
      </w:tr>
      <w:tr w14:paraId="1DDA53D0">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1DA13344">
            <w:pPr>
              <w:spacing w:after="120"/>
              <w:ind w:firstLine="0" w:firstLineChars="0"/>
              <w:rPr>
                <w:szCs w:val="21"/>
              </w:rPr>
            </w:pPr>
            <w:r>
              <w:rPr>
                <w:rFonts w:hint="eastAsia"/>
                <w:szCs w:val="21"/>
              </w:rPr>
              <w:t>2</w:t>
            </w:r>
          </w:p>
        </w:tc>
        <w:tc>
          <w:tcPr>
            <w:tcW w:w="1393" w:type="dxa"/>
            <w:tcBorders>
              <w:top w:val="single" w:color="auto" w:sz="4" w:space="0"/>
              <w:left w:val="nil"/>
              <w:bottom w:val="nil"/>
              <w:right w:val="nil"/>
            </w:tcBorders>
            <w:vAlign w:val="center"/>
          </w:tcPr>
          <w:p w14:paraId="417ADD18">
            <w:pPr>
              <w:spacing w:after="120"/>
              <w:ind w:firstLine="0" w:firstLineChars="0"/>
              <w:jc w:val="left"/>
              <w:rPr>
                <w:szCs w:val="21"/>
              </w:rPr>
            </w:pPr>
            <w:r>
              <w:rPr>
                <w:rFonts w:hint="eastAsia"/>
                <w:szCs w:val="21"/>
              </w:rPr>
              <w:t>各专业负责人</w:t>
            </w:r>
          </w:p>
        </w:tc>
        <w:tc>
          <w:tcPr>
            <w:tcW w:w="709" w:type="dxa"/>
            <w:tcBorders>
              <w:top w:val="nil"/>
              <w:left w:val="single" w:color="auto" w:sz="4" w:space="0"/>
              <w:bottom w:val="single" w:color="auto" w:sz="4" w:space="0"/>
              <w:right w:val="single" w:color="auto" w:sz="4" w:space="0"/>
            </w:tcBorders>
            <w:vAlign w:val="center"/>
          </w:tcPr>
          <w:p w14:paraId="7EDA23CB">
            <w:pPr>
              <w:spacing w:after="120"/>
              <w:ind w:firstLine="0" w:firstLineChars="0"/>
              <w:rPr>
                <w:szCs w:val="21"/>
              </w:rPr>
            </w:pPr>
            <w:r>
              <w:rPr>
                <w:rFonts w:hint="eastAsia"/>
                <w:szCs w:val="21"/>
              </w:rPr>
              <w:t>5</w:t>
            </w:r>
          </w:p>
        </w:tc>
        <w:tc>
          <w:tcPr>
            <w:tcW w:w="2551" w:type="dxa"/>
            <w:tcBorders>
              <w:top w:val="nil"/>
              <w:left w:val="nil"/>
              <w:bottom w:val="single" w:color="auto" w:sz="4" w:space="0"/>
              <w:right w:val="single" w:color="auto" w:sz="4" w:space="0"/>
            </w:tcBorders>
            <w:vAlign w:val="center"/>
          </w:tcPr>
          <w:p w14:paraId="07DE07D9">
            <w:pPr>
              <w:spacing w:after="120"/>
              <w:ind w:firstLine="0" w:firstLineChars="0"/>
              <w:jc w:val="left"/>
              <w:rPr>
                <w:szCs w:val="21"/>
              </w:rPr>
            </w:pPr>
            <w:r>
              <w:rPr>
                <w:rFonts w:hint="eastAsia"/>
                <w:szCs w:val="21"/>
              </w:rPr>
              <w:t>人员是否稳定无更换</w:t>
            </w:r>
          </w:p>
        </w:tc>
        <w:tc>
          <w:tcPr>
            <w:tcW w:w="3261" w:type="dxa"/>
            <w:tcBorders>
              <w:top w:val="nil"/>
              <w:left w:val="nil"/>
              <w:bottom w:val="single" w:color="auto" w:sz="4" w:space="0"/>
              <w:right w:val="single" w:color="auto" w:sz="4" w:space="0"/>
            </w:tcBorders>
            <w:vAlign w:val="center"/>
          </w:tcPr>
          <w:p w14:paraId="2BF6C453">
            <w:pPr>
              <w:spacing w:after="120"/>
              <w:ind w:firstLine="0" w:firstLineChars="0"/>
              <w:jc w:val="left"/>
              <w:rPr>
                <w:szCs w:val="21"/>
              </w:rPr>
            </w:pPr>
            <w:r>
              <w:rPr>
                <w:rFonts w:hint="eastAsia"/>
                <w:szCs w:val="21"/>
              </w:rPr>
              <w:t>未按合同到位且未经甲方同意，每自行更换一次，扣2分；</w:t>
            </w:r>
          </w:p>
          <w:p w14:paraId="4F4FA0C2">
            <w:pPr>
              <w:spacing w:after="120"/>
              <w:ind w:firstLine="0" w:firstLineChars="0"/>
              <w:jc w:val="left"/>
              <w:rPr>
                <w:szCs w:val="21"/>
              </w:rPr>
            </w:pPr>
            <w:r>
              <w:rPr>
                <w:rFonts w:hint="eastAsia"/>
                <w:szCs w:val="21"/>
              </w:rPr>
              <w:t>缺席甲方要求参加的有关会议，每次扣1分。</w:t>
            </w:r>
          </w:p>
        </w:tc>
        <w:tc>
          <w:tcPr>
            <w:tcW w:w="992" w:type="dxa"/>
            <w:tcBorders>
              <w:top w:val="nil"/>
              <w:left w:val="nil"/>
              <w:bottom w:val="single" w:color="auto" w:sz="4" w:space="0"/>
              <w:right w:val="single" w:color="auto" w:sz="4" w:space="0"/>
            </w:tcBorders>
            <w:vAlign w:val="center"/>
          </w:tcPr>
          <w:p w14:paraId="24285467">
            <w:pPr>
              <w:spacing w:after="120"/>
              <w:jc w:val="center"/>
              <w:rPr>
                <w:szCs w:val="21"/>
              </w:rPr>
            </w:pPr>
          </w:p>
        </w:tc>
      </w:tr>
      <w:tr w14:paraId="08A7A82F">
        <w:tblPrEx>
          <w:tblCellMar>
            <w:top w:w="0" w:type="dxa"/>
            <w:left w:w="108" w:type="dxa"/>
            <w:bottom w:w="0" w:type="dxa"/>
            <w:right w:w="108" w:type="dxa"/>
          </w:tblCellMar>
        </w:tblPrEx>
        <w:trPr>
          <w:trHeight w:val="1145" w:hRule="atLeast"/>
          <w:jc w:val="center"/>
        </w:trPr>
        <w:tc>
          <w:tcPr>
            <w:tcW w:w="460" w:type="dxa"/>
            <w:tcBorders>
              <w:top w:val="nil"/>
              <w:left w:val="single" w:color="auto" w:sz="4" w:space="0"/>
              <w:bottom w:val="single" w:color="auto" w:sz="4" w:space="0"/>
              <w:right w:val="single" w:color="auto" w:sz="4" w:space="0"/>
            </w:tcBorders>
            <w:vAlign w:val="center"/>
          </w:tcPr>
          <w:p w14:paraId="25C9DD12">
            <w:pPr>
              <w:spacing w:after="120"/>
              <w:ind w:firstLine="0" w:firstLineChars="0"/>
              <w:rPr>
                <w:szCs w:val="21"/>
              </w:rPr>
            </w:pPr>
            <w:r>
              <w:rPr>
                <w:rFonts w:hint="eastAsia"/>
                <w:szCs w:val="21"/>
              </w:rPr>
              <w:t>二</w:t>
            </w:r>
          </w:p>
        </w:tc>
        <w:tc>
          <w:tcPr>
            <w:tcW w:w="1393" w:type="dxa"/>
            <w:tcBorders>
              <w:top w:val="single" w:color="auto" w:sz="4" w:space="0"/>
              <w:left w:val="nil"/>
              <w:bottom w:val="single" w:color="auto" w:sz="4" w:space="0"/>
              <w:right w:val="single" w:color="auto" w:sz="4" w:space="0"/>
            </w:tcBorders>
            <w:vAlign w:val="center"/>
          </w:tcPr>
          <w:p w14:paraId="064F9C30">
            <w:pPr>
              <w:spacing w:after="120"/>
              <w:ind w:firstLine="0" w:firstLineChars="0"/>
              <w:jc w:val="left"/>
              <w:rPr>
                <w:szCs w:val="21"/>
              </w:rPr>
            </w:pPr>
            <w:r>
              <w:rPr>
                <w:rFonts w:hint="eastAsia"/>
                <w:szCs w:val="21"/>
              </w:rPr>
              <w:t>能力水平及履约表现</w:t>
            </w:r>
          </w:p>
        </w:tc>
        <w:tc>
          <w:tcPr>
            <w:tcW w:w="709" w:type="dxa"/>
            <w:tcBorders>
              <w:top w:val="nil"/>
              <w:left w:val="nil"/>
              <w:bottom w:val="single" w:color="auto" w:sz="4" w:space="0"/>
              <w:right w:val="single" w:color="auto" w:sz="4" w:space="0"/>
            </w:tcBorders>
            <w:vAlign w:val="center"/>
          </w:tcPr>
          <w:p w14:paraId="3FCD5371">
            <w:pPr>
              <w:spacing w:after="120"/>
              <w:ind w:firstLine="0" w:firstLineChars="0"/>
              <w:rPr>
                <w:szCs w:val="21"/>
              </w:rPr>
            </w:pPr>
            <w:r>
              <w:rPr>
                <w:rFonts w:hint="eastAsia"/>
                <w:szCs w:val="21"/>
              </w:rPr>
              <w:t>10</w:t>
            </w:r>
          </w:p>
        </w:tc>
        <w:tc>
          <w:tcPr>
            <w:tcW w:w="2551" w:type="dxa"/>
            <w:tcBorders>
              <w:top w:val="nil"/>
              <w:left w:val="nil"/>
              <w:bottom w:val="single" w:color="auto" w:sz="4" w:space="0"/>
              <w:right w:val="single" w:color="auto" w:sz="4" w:space="0"/>
            </w:tcBorders>
            <w:vAlign w:val="center"/>
          </w:tcPr>
          <w:p w14:paraId="35241C1F">
            <w:pPr>
              <w:spacing w:after="120"/>
              <w:jc w:val="left"/>
              <w:rPr>
                <w:szCs w:val="21"/>
              </w:rPr>
            </w:pPr>
            <w:r>
              <w:rPr>
                <w:szCs w:val="21"/>
              </w:rPr>
              <w:t>　</w:t>
            </w:r>
          </w:p>
        </w:tc>
        <w:tc>
          <w:tcPr>
            <w:tcW w:w="3261" w:type="dxa"/>
            <w:tcBorders>
              <w:top w:val="nil"/>
              <w:left w:val="nil"/>
              <w:bottom w:val="single" w:color="auto" w:sz="4" w:space="0"/>
              <w:right w:val="single" w:color="auto" w:sz="4" w:space="0"/>
            </w:tcBorders>
            <w:vAlign w:val="center"/>
          </w:tcPr>
          <w:p w14:paraId="7D4E732F">
            <w:pPr>
              <w:spacing w:after="120"/>
              <w:jc w:val="left"/>
              <w:rPr>
                <w:szCs w:val="21"/>
              </w:rPr>
            </w:pPr>
          </w:p>
        </w:tc>
        <w:tc>
          <w:tcPr>
            <w:tcW w:w="992" w:type="dxa"/>
            <w:tcBorders>
              <w:top w:val="nil"/>
              <w:left w:val="nil"/>
              <w:bottom w:val="single" w:color="auto" w:sz="4" w:space="0"/>
              <w:right w:val="single" w:color="auto" w:sz="4" w:space="0"/>
            </w:tcBorders>
            <w:vAlign w:val="center"/>
          </w:tcPr>
          <w:p w14:paraId="5ABC7FB9">
            <w:pPr>
              <w:spacing w:after="120"/>
              <w:jc w:val="center"/>
              <w:rPr>
                <w:szCs w:val="21"/>
              </w:rPr>
            </w:pPr>
            <w:r>
              <w:rPr>
                <w:szCs w:val="21"/>
              </w:rPr>
              <w:t>　</w:t>
            </w:r>
          </w:p>
        </w:tc>
      </w:tr>
      <w:tr w14:paraId="0F2BC9F7">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BA95F60">
            <w:pPr>
              <w:spacing w:after="120"/>
              <w:ind w:firstLine="0" w:firstLineChars="0"/>
              <w:rPr>
                <w:szCs w:val="21"/>
              </w:rPr>
            </w:pPr>
            <w:r>
              <w:rPr>
                <w:rFonts w:hint="eastAsia"/>
                <w:szCs w:val="21"/>
              </w:rPr>
              <w:t>1</w:t>
            </w:r>
          </w:p>
        </w:tc>
        <w:tc>
          <w:tcPr>
            <w:tcW w:w="1393" w:type="dxa"/>
            <w:tcBorders>
              <w:top w:val="nil"/>
              <w:left w:val="nil"/>
              <w:bottom w:val="single" w:color="auto" w:sz="4" w:space="0"/>
              <w:right w:val="single" w:color="auto" w:sz="4" w:space="0"/>
            </w:tcBorders>
            <w:vAlign w:val="center"/>
          </w:tcPr>
          <w:p w14:paraId="3FB8DCD8">
            <w:pPr>
              <w:spacing w:after="120"/>
              <w:ind w:firstLine="0" w:firstLineChars="0"/>
              <w:jc w:val="left"/>
              <w:rPr>
                <w:szCs w:val="21"/>
              </w:rPr>
            </w:pPr>
            <w:r>
              <w:rPr>
                <w:rFonts w:hint="eastAsia"/>
                <w:szCs w:val="21"/>
              </w:rPr>
              <w:t>项目负责人</w:t>
            </w:r>
          </w:p>
        </w:tc>
        <w:tc>
          <w:tcPr>
            <w:tcW w:w="709" w:type="dxa"/>
            <w:tcBorders>
              <w:top w:val="nil"/>
              <w:left w:val="nil"/>
              <w:bottom w:val="single" w:color="auto" w:sz="4" w:space="0"/>
              <w:right w:val="single" w:color="auto" w:sz="4" w:space="0"/>
            </w:tcBorders>
            <w:vAlign w:val="center"/>
          </w:tcPr>
          <w:p w14:paraId="087BAA7F">
            <w:pPr>
              <w:spacing w:after="120"/>
              <w:ind w:firstLine="0" w:firstLineChars="0"/>
              <w:rPr>
                <w:szCs w:val="21"/>
              </w:rPr>
            </w:pPr>
            <w:r>
              <w:rPr>
                <w:rFonts w:hint="eastAsia"/>
                <w:szCs w:val="21"/>
              </w:rPr>
              <w:t>5</w:t>
            </w:r>
          </w:p>
        </w:tc>
        <w:tc>
          <w:tcPr>
            <w:tcW w:w="2551" w:type="dxa"/>
            <w:tcBorders>
              <w:top w:val="nil"/>
              <w:left w:val="nil"/>
              <w:bottom w:val="single" w:color="auto" w:sz="4" w:space="0"/>
              <w:right w:val="single" w:color="auto" w:sz="4" w:space="0"/>
            </w:tcBorders>
            <w:vAlign w:val="center"/>
          </w:tcPr>
          <w:p w14:paraId="02D2BD2D">
            <w:pPr>
              <w:spacing w:after="120"/>
              <w:ind w:firstLine="0" w:firstLineChars="0"/>
              <w:jc w:val="left"/>
              <w:rPr>
                <w:szCs w:val="21"/>
              </w:rPr>
            </w:pPr>
            <w:r>
              <w:rPr>
                <w:rFonts w:hint="eastAsia"/>
                <w:szCs w:val="21"/>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vAlign w:val="center"/>
          </w:tcPr>
          <w:p w14:paraId="68C1AE14">
            <w:pPr>
              <w:spacing w:after="120"/>
              <w:ind w:firstLine="0" w:firstLineChars="0"/>
              <w:jc w:val="left"/>
              <w:rPr>
                <w:szCs w:val="21"/>
              </w:rPr>
            </w:pPr>
            <w:r>
              <w:rPr>
                <w:szCs w:val="21"/>
              </w:rPr>
              <w:t>1</w:t>
            </w:r>
            <w:r>
              <w:rPr>
                <w:rFonts w:hint="eastAsia"/>
                <w:szCs w:val="21"/>
              </w:rPr>
              <w:t>、责任心不强、工作协调不到位；</w:t>
            </w:r>
          </w:p>
          <w:p w14:paraId="71D33619">
            <w:pPr>
              <w:spacing w:after="120"/>
              <w:ind w:firstLine="0" w:firstLineChars="0"/>
              <w:jc w:val="left"/>
              <w:rPr>
                <w:szCs w:val="21"/>
              </w:rPr>
            </w:pPr>
            <w:r>
              <w:rPr>
                <w:szCs w:val="21"/>
              </w:rPr>
              <w:t>2</w:t>
            </w:r>
            <w:r>
              <w:rPr>
                <w:rFonts w:hint="eastAsia"/>
                <w:szCs w:val="21"/>
              </w:rPr>
              <w:t>、发现问题后未及时处理；</w:t>
            </w:r>
          </w:p>
          <w:p w14:paraId="559160C0">
            <w:pPr>
              <w:spacing w:after="120"/>
              <w:ind w:firstLine="0" w:firstLineChars="0"/>
              <w:jc w:val="left"/>
              <w:rPr>
                <w:szCs w:val="21"/>
              </w:rPr>
            </w:pPr>
            <w:r>
              <w:rPr>
                <w:szCs w:val="21"/>
              </w:rPr>
              <w:t>3</w:t>
            </w:r>
            <w:r>
              <w:rPr>
                <w:rFonts w:hint="eastAsia"/>
                <w:szCs w:val="21"/>
              </w:rPr>
              <w:t>、未与相关参建单位或管理部门及时沟通；</w:t>
            </w:r>
          </w:p>
          <w:p w14:paraId="564C4B58">
            <w:pPr>
              <w:spacing w:after="120"/>
              <w:ind w:firstLine="0" w:firstLineChars="0"/>
              <w:jc w:val="left"/>
              <w:rPr>
                <w:szCs w:val="21"/>
              </w:rPr>
            </w:pPr>
            <w:r>
              <w:rPr>
                <w:szCs w:val="21"/>
              </w:rPr>
              <w:t>4</w:t>
            </w:r>
            <w:r>
              <w:rPr>
                <w:rFonts w:hint="eastAsia"/>
                <w:szCs w:val="21"/>
              </w:rPr>
              <w:t>、未落实甲方的相关要求或会议纪要等文件精神。</w:t>
            </w:r>
          </w:p>
          <w:p w14:paraId="7AEEB432">
            <w:pPr>
              <w:spacing w:after="120"/>
              <w:ind w:firstLine="0" w:firstLineChars="0"/>
              <w:jc w:val="left"/>
              <w:rPr>
                <w:szCs w:val="21"/>
              </w:rPr>
            </w:pPr>
            <w:r>
              <w:rPr>
                <w:rFonts w:hint="eastAsia"/>
                <w:szCs w:val="21"/>
              </w:rPr>
              <w:t>以上各项每发生一次扣1分。</w:t>
            </w:r>
          </w:p>
        </w:tc>
        <w:tc>
          <w:tcPr>
            <w:tcW w:w="992" w:type="dxa"/>
            <w:tcBorders>
              <w:top w:val="nil"/>
              <w:left w:val="nil"/>
              <w:bottom w:val="single" w:color="auto" w:sz="4" w:space="0"/>
              <w:right w:val="single" w:color="auto" w:sz="4" w:space="0"/>
            </w:tcBorders>
            <w:vAlign w:val="center"/>
          </w:tcPr>
          <w:p w14:paraId="61405ED1">
            <w:pPr>
              <w:spacing w:after="120"/>
              <w:jc w:val="center"/>
              <w:rPr>
                <w:szCs w:val="21"/>
              </w:rPr>
            </w:pPr>
            <w:r>
              <w:rPr>
                <w:szCs w:val="21"/>
              </w:rPr>
              <w:t>　</w:t>
            </w:r>
          </w:p>
        </w:tc>
      </w:tr>
      <w:tr w14:paraId="394B6293">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5982BF73">
            <w:pPr>
              <w:spacing w:after="120"/>
              <w:ind w:firstLine="0" w:firstLineChars="0"/>
              <w:rPr>
                <w:szCs w:val="21"/>
              </w:rPr>
            </w:pPr>
            <w:r>
              <w:rPr>
                <w:rFonts w:hint="eastAsia"/>
                <w:szCs w:val="21"/>
              </w:rPr>
              <w:t>2</w:t>
            </w:r>
          </w:p>
        </w:tc>
        <w:tc>
          <w:tcPr>
            <w:tcW w:w="1393" w:type="dxa"/>
            <w:tcBorders>
              <w:top w:val="nil"/>
              <w:left w:val="nil"/>
              <w:bottom w:val="single" w:color="auto" w:sz="4" w:space="0"/>
              <w:right w:val="single" w:color="auto" w:sz="4" w:space="0"/>
            </w:tcBorders>
            <w:vAlign w:val="center"/>
          </w:tcPr>
          <w:p w14:paraId="336B494B">
            <w:pPr>
              <w:spacing w:after="120"/>
              <w:ind w:firstLine="0" w:firstLineChars="0"/>
              <w:jc w:val="left"/>
              <w:rPr>
                <w:szCs w:val="21"/>
              </w:rPr>
            </w:pPr>
            <w:r>
              <w:rPr>
                <w:rFonts w:hint="eastAsia"/>
                <w:szCs w:val="21"/>
              </w:rPr>
              <w:t>各专业负责人</w:t>
            </w:r>
          </w:p>
        </w:tc>
        <w:tc>
          <w:tcPr>
            <w:tcW w:w="709" w:type="dxa"/>
            <w:tcBorders>
              <w:top w:val="nil"/>
              <w:left w:val="nil"/>
              <w:bottom w:val="single" w:color="auto" w:sz="4" w:space="0"/>
              <w:right w:val="single" w:color="auto" w:sz="4" w:space="0"/>
            </w:tcBorders>
            <w:vAlign w:val="center"/>
          </w:tcPr>
          <w:p w14:paraId="5A50BA9D">
            <w:pPr>
              <w:spacing w:after="120"/>
              <w:ind w:firstLine="0" w:firstLineChars="0"/>
              <w:rPr>
                <w:szCs w:val="21"/>
              </w:rPr>
            </w:pPr>
            <w:r>
              <w:rPr>
                <w:rFonts w:hint="eastAsia"/>
                <w:szCs w:val="21"/>
              </w:rPr>
              <w:t>5</w:t>
            </w:r>
          </w:p>
        </w:tc>
        <w:tc>
          <w:tcPr>
            <w:tcW w:w="2551" w:type="dxa"/>
            <w:tcBorders>
              <w:top w:val="nil"/>
              <w:left w:val="nil"/>
              <w:bottom w:val="single" w:color="auto" w:sz="4" w:space="0"/>
              <w:right w:val="single" w:color="auto" w:sz="4" w:space="0"/>
            </w:tcBorders>
            <w:vAlign w:val="center"/>
          </w:tcPr>
          <w:p w14:paraId="5B6DB1A5">
            <w:pPr>
              <w:spacing w:after="120"/>
              <w:ind w:firstLine="0" w:firstLineChars="0"/>
              <w:jc w:val="left"/>
              <w:rPr>
                <w:szCs w:val="21"/>
              </w:rPr>
            </w:pPr>
            <w:r>
              <w:rPr>
                <w:rFonts w:hint="eastAsia"/>
                <w:szCs w:val="21"/>
              </w:rPr>
              <w:t>是否有责任心；是否有较高的专业水平；与甲方、使用单位的沟通是否顺畅</w:t>
            </w:r>
          </w:p>
        </w:tc>
        <w:tc>
          <w:tcPr>
            <w:tcW w:w="3261" w:type="dxa"/>
            <w:tcBorders>
              <w:top w:val="nil"/>
              <w:left w:val="nil"/>
              <w:bottom w:val="single" w:color="auto" w:sz="4" w:space="0"/>
              <w:right w:val="single" w:color="auto" w:sz="4" w:space="0"/>
            </w:tcBorders>
            <w:vAlign w:val="center"/>
          </w:tcPr>
          <w:p w14:paraId="6D152A60">
            <w:pPr>
              <w:spacing w:after="120"/>
              <w:ind w:firstLine="0" w:firstLineChars="0"/>
              <w:jc w:val="left"/>
              <w:rPr>
                <w:szCs w:val="21"/>
              </w:rPr>
            </w:pPr>
            <w:r>
              <w:rPr>
                <w:szCs w:val="21"/>
              </w:rPr>
              <w:t>1</w:t>
            </w:r>
            <w:r>
              <w:rPr>
                <w:rFonts w:hint="eastAsia"/>
                <w:szCs w:val="21"/>
              </w:rPr>
              <w:t>、责任心不强；</w:t>
            </w:r>
          </w:p>
          <w:p w14:paraId="5588D9E4">
            <w:pPr>
              <w:spacing w:after="120"/>
              <w:ind w:firstLine="0" w:firstLineChars="0"/>
              <w:jc w:val="left"/>
              <w:rPr>
                <w:szCs w:val="21"/>
              </w:rPr>
            </w:pPr>
            <w:r>
              <w:rPr>
                <w:szCs w:val="21"/>
              </w:rPr>
              <w:t>2</w:t>
            </w:r>
            <w:r>
              <w:rPr>
                <w:rFonts w:hint="eastAsia"/>
                <w:szCs w:val="21"/>
              </w:rPr>
              <w:t>、专业水平不高；</w:t>
            </w:r>
          </w:p>
          <w:p w14:paraId="2035F57D">
            <w:pPr>
              <w:spacing w:after="120"/>
              <w:ind w:firstLine="0" w:firstLineChars="0"/>
              <w:jc w:val="left"/>
              <w:rPr>
                <w:szCs w:val="21"/>
              </w:rPr>
            </w:pPr>
            <w:r>
              <w:rPr>
                <w:szCs w:val="21"/>
              </w:rPr>
              <w:t>3</w:t>
            </w:r>
            <w:r>
              <w:rPr>
                <w:rFonts w:hint="eastAsia"/>
                <w:szCs w:val="21"/>
              </w:rPr>
              <w:t>、与甲方、使用单位的沟通不到位；</w:t>
            </w:r>
          </w:p>
          <w:p w14:paraId="6272474C">
            <w:pPr>
              <w:spacing w:after="120"/>
              <w:ind w:firstLine="0" w:firstLineChars="0"/>
              <w:jc w:val="left"/>
              <w:rPr>
                <w:szCs w:val="21"/>
              </w:rPr>
            </w:pPr>
            <w:r>
              <w:rPr>
                <w:rFonts w:hint="eastAsia"/>
                <w:szCs w:val="21"/>
              </w:rPr>
              <w:t>以上各项每发生一次扣</w:t>
            </w:r>
            <w:r>
              <w:rPr>
                <w:szCs w:val="21"/>
              </w:rPr>
              <w:t>1</w:t>
            </w:r>
            <w:r>
              <w:rPr>
                <w:rFonts w:hint="eastAsia"/>
                <w:szCs w:val="21"/>
              </w:rPr>
              <w:t>分。</w:t>
            </w:r>
          </w:p>
        </w:tc>
        <w:tc>
          <w:tcPr>
            <w:tcW w:w="992" w:type="dxa"/>
            <w:tcBorders>
              <w:top w:val="nil"/>
              <w:left w:val="nil"/>
              <w:bottom w:val="single" w:color="auto" w:sz="4" w:space="0"/>
              <w:right w:val="single" w:color="auto" w:sz="4" w:space="0"/>
            </w:tcBorders>
            <w:vAlign w:val="center"/>
          </w:tcPr>
          <w:p w14:paraId="31B506FD">
            <w:pPr>
              <w:spacing w:after="120"/>
              <w:jc w:val="center"/>
              <w:rPr>
                <w:szCs w:val="21"/>
              </w:rPr>
            </w:pPr>
            <w:r>
              <w:rPr>
                <w:szCs w:val="21"/>
              </w:rPr>
              <w:t>　</w:t>
            </w:r>
          </w:p>
        </w:tc>
      </w:tr>
      <w:tr w14:paraId="2F6B01D2">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15ADC7E6">
            <w:pPr>
              <w:spacing w:after="120"/>
              <w:ind w:firstLine="0" w:firstLineChars="0"/>
              <w:rPr>
                <w:rFonts w:cs="宋体"/>
                <w:szCs w:val="21"/>
              </w:rPr>
            </w:pPr>
            <w:r>
              <w:rPr>
                <w:rFonts w:hint="eastAsia" w:cs="宋体"/>
                <w:szCs w:val="21"/>
              </w:rPr>
              <w:t>三</w:t>
            </w:r>
          </w:p>
        </w:tc>
        <w:tc>
          <w:tcPr>
            <w:tcW w:w="1393" w:type="dxa"/>
            <w:tcBorders>
              <w:top w:val="nil"/>
              <w:left w:val="nil"/>
              <w:bottom w:val="single" w:color="auto" w:sz="4" w:space="0"/>
              <w:right w:val="single" w:color="auto" w:sz="4" w:space="0"/>
            </w:tcBorders>
            <w:vAlign w:val="center"/>
          </w:tcPr>
          <w:p w14:paraId="6E13F7BD">
            <w:pPr>
              <w:spacing w:after="120"/>
              <w:ind w:firstLine="0" w:firstLineChars="0"/>
              <w:rPr>
                <w:rFonts w:cs="宋体"/>
                <w:szCs w:val="21"/>
              </w:rPr>
            </w:pPr>
            <w:r>
              <w:rPr>
                <w:rFonts w:hint="eastAsia" w:cs="宋体"/>
                <w:szCs w:val="21"/>
              </w:rPr>
              <w:t>设计质量</w:t>
            </w:r>
          </w:p>
        </w:tc>
        <w:tc>
          <w:tcPr>
            <w:tcW w:w="709" w:type="dxa"/>
            <w:tcBorders>
              <w:top w:val="nil"/>
              <w:left w:val="nil"/>
              <w:bottom w:val="single" w:color="auto" w:sz="4" w:space="0"/>
              <w:right w:val="single" w:color="auto" w:sz="4" w:space="0"/>
            </w:tcBorders>
            <w:vAlign w:val="center"/>
          </w:tcPr>
          <w:p w14:paraId="3F84453F">
            <w:pPr>
              <w:spacing w:after="120"/>
              <w:ind w:firstLine="0" w:firstLineChars="0"/>
              <w:rPr>
                <w:rFonts w:ascii="仿宋_GB2312" w:eastAsia="仿宋_GB2312" w:cs="宋体"/>
                <w:szCs w:val="21"/>
              </w:rPr>
            </w:pPr>
            <w:r>
              <w:rPr>
                <w:rFonts w:hint="eastAsia" w:ascii="仿宋_GB2312" w:eastAsia="仿宋_GB2312" w:cs="宋体"/>
                <w:szCs w:val="21"/>
              </w:rPr>
              <w:t>55</w:t>
            </w:r>
          </w:p>
        </w:tc>
        <w:tc>
          <w:tcPr>
            <w:tcW w:w="2551" w:type="dxa"/>
            <w:tcBorders>
              <w:top w:val="nil"/>
              <w:left w:val="nil"/>
              <w:bottom w:val="single" w:color="auto" w:sz="4" w:space="0"/>
              <w:right w:val="single" w:color="auto" w:sz="4" w:space="0"/>
            </w:tcBorders>
            <w:vAlign w:val="center"/>
          </w:tcPr>
          <w:p w14:paraId="0FCF5ECF">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1DF502D3">
            <w:pPr>
              <w:spacing w:after="120"/>
              <w:jc w:val="left"/>
              <w:rPr>
                <w:rFonts w:cs="宋体"/>
                <w:szCs w:val="21"/>
              </w:rPr>
            </w:pPr>
            <w:r>
              <w:rPr>
                <w:rFonts w:hint="eastAsia" w:cs="宋体"/>
                <w:szCs w:val="21"/>
              </w:rPr>
              <w:t>　</w:t>
            </w:r>
          </w:p>
        </w:tc>
        <w:tc>
          <w:tcPr>
            <w:tcW w:w="992" w:type="dxa"/>
            <w:tcBorders>
              <w:top w:val="nil"/>
              <w:left w:val="nil"/>
              <w:bottom w:val="single" w:color="auto" w:sz="4" w:space="0"/>
              <w:right w:val="single" w:color="auto" w:sz="4" w:space="0"/>
            </w:tcBorders>
            <w:vAlign w:val="center"/>
          </w:tcPr>
          <w:p w14:paraId="573C5B03">
            <w:pPr>
              <w:spacing w:after="120"/>
              <w:jc w:val="left"/>
              <w:rPr>
                <w:rFonts w:cs="宋体"/>
                <w:szCs w:val="21"/>
              </w:rPr>
            </w:pPr>
            <w:r>
              <w:rPr>
                <w:rFonts w:hint="eastAsia" w:cs="宋体"/>
                <w:szCs w:val="21"/>
              </w:rPr>
              <w:t>　</w:t>
            </w:r>
          </w:p>
        </w:tc>
      </w:tr>
      <w:tr w14:paraId="5F590760">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42402C1D">
            <w:pPr>
              <w:spacing w:after="120"/>
              <w:ind w:firstLine="0" w:firstLineChars="0"/>
              <w:rPr>
                <w:rFonts w:cs="宋体"/>
                <w:szCs w:val="21"/>
              </w:rPr>
            </w:pPr>
            <w:r>
              <w:rPr>
                <w:rFonts w:hint="eastAsia" w:cs="宋体"/>
                <w:szCs w:val="21"/>
              </w:rPr>
              <w:t>1</w:t>
            </w:r>
          </w:p>
        </w:tc>
        <w:tc>
          <w:tcPr>
            <w:tcW w:w="1393" w:type="dxa"/>
            <w:tcBorders>
              <w:top w:val="nil"/>
              <w:left w:val="nil"/>
              <w:bottom w:val="single" w:color="auto" w:sz="4" w:space="0"/>
              <w:right w:val="single" w:color="auto" w:sz="4" w:space="0"/>
            </w:tcBorders>
            <w:vAlign w:val="center"/>
          </w:tcPr>
          <w:p w14:paraId="159A7405">
            <w:pPr>
              <w:spacing w:after="120"/>
              <w:ind w:firstLine="0" w:firstLineChars="0"/>
              <w:rPr>
                <w:rFonts w:cs="宋体"/>
                <w:szCs w:val="21"/>
              </w:rPr>
            </w:pPr>
            <w:r>
              <w:rPr>
                <w:rFonts w:hint="eastAsia" w:cs="宋体"/>
                <w:szCs w:val="21"/>
              </w:rPr>
              <w:t>建筑</w:t>
            </w:r>
          </w:p>
        </w:tc>
        <w:tc>
          <w:tcPr>
            <w:tcW w:w="709" w:type="dxa"/>
            <w:tcBorders>
              <w:top w:val="nil"/>
              <w:left w:val="nil"/>
              <w:bottom w:val="single" w:color="auto" w:sz="4" w:space="0"/>
              <w:right w:val="single" w:color="auto" w:sz="4" w:space="0"/>
            </w:tcBorders>
            <w:vAlign w:val="center"/>
          </w:tcPr>
          <w:p w14:paraId="28F1A9FD">
            <w:pPr>
              <w:spacing w:after="120"/>
              <w:ind w:firstLine="0" w:firstLineChars="0"/>
              <w:rPr>
                <w:rFonts w:ascii="仿宋_GB2312" w:eastAsia="仿宋_GB2312" w:cs="宋体"/>
                <w:szCs w:val="21"/>
              </w:rPr>
            </w:pPr>
            <w:r>
              <w:rPr>
                <w:rFonts w:hint="eastAsia"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56D97D28">
            <w:pPr>
              <w:spacing w:after="120"/>
              <w:ind w:firstLine="0" w:firstLineChars="0"/>
              <w:jc w:val="left"/>
              <w:rPr>
                <w:rFonts w:cs="宋体"/>
                <w:szCs w:val="21"/>
              </w:rPr>
            </w:pPr>
            <w:r>
              <w:rPr>
                <w:rFonts w:hint="eastAsia" w:cs="宋体"/>
                <w:szCs w:val="21"/>
              </w:rPr>
              <w:t>建筑选型和立面、平面布局是否合理</w:t>
            </w:r>
          </w:p>
        </w:tc>
        <w:tc>
          <w:tcPr>
            <w:tcW w:w="3261" w:type="dxa"/>
            <w:tcBorders>
              <w:top w:val="nil"/>
              <w:left w:val="nil"/>
              <w:bottom w:val="single" w:color="auto" w:sz="4" w:space="0"/>
              <w:right w:val="single" w:color="auto" w:sz="4" w:space="0"/>
            </w:tcBorders>
            <w:vAlign w:val="center"/>
          </w:tcPr>
          <w:p w14:paraId="75618A95">
            <w:pPr>
              <w:spacing w:after="120"/>
              <w:ind w:firstLine="0" w:firstLineChars="0"/>
              <w:jc w:val="left"/>
              <w:rPr>
                <w:rFonts w:cs="宋体"/>
                <w:szCs w:val="21"/>
              </w:rPr>
            </w:pPr>
            <w:r>
              <w:rPr>
                <w:rFonts w:hint="eastAsia" w:cs="宋体"/>
                <w:szCs w:val="21"/>
              </w:rPr>
              <w:t>经甲方、使用方、第三方专家或单位审核，建筑选型和立面、平面布局不当，每一处扣2分</w:t>
            </w:r>
          </w:p>
        </w:tc>
        <w:tc>
          <w:tcPr>
            <w:tcW w:w="992" w:type="dxa"/>
            <w:tcBorders>
              <w:top w:val="nil"/>
              <w:left w:val="nil"/>
              <w:bottom w:val="single" w:color="auto" w:sz="4" w:space="0"/>
              <w:right w:val="single" w:color="auto" w:sz="4" w:space="0"/>
            </w:tcBorders>
            <w:vAlign w:val="center"/>
          </w:tcPr>
          <w:p w14:paraId="4CE37009">
            <w:pPr>
              <w:spacing w:after="120"/>
              <w:jc w:val="left"/>
              <w:rPr>
                <w:rFonts w:cs="宋体"/>
                <w:szCs w:val="21"/>
              </w:rPr>
            </w:pPr>
            <w:r>
              <w:rPr>
                <w:rFonts w:hint="eastAsia" w:cs="宋体"/>
                <w:szCs w:val="21"/>
              </w:rPr>
              <w:t>　</w:t>
            </w:r>
          </w:p>
        </w:tc>
      </w:tr>
      <w:tr w14:paraId="032F4BB9">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5E5689BB">
            <w:pPr>
              <w:spacing w:after="120"/>
              <w:ind w:firstLine="0" w:firstLineChars="0"/>
              <w:rPr>
                <w:rFonts w:cs="宋体"/>
                <w:szCs w:val="21"/>
              </w:rPr>
            </w:pPr>
            <w:r>
              <w:rPr>
                <w:rFonts w:hint="eastAsia" w:cs="宋体"/>
                <w:szCs w:val="21"/>
              </w:rPr>
              <w:t>2</w:t>
            </w:r>
          </w:p>
        </w:tc>
        <w:tc>
          <w:tcPr>
            <w:tcW w:w="1393" w:type="dxa"/>
            <w:tcBorders>
              <w:top w:val="nil"/>
              <w:left w:val="nil"/>
              <w:bottom w:val="single" w:color="auto" w:sz="4" w:space="0"/>
              <w:right w:val="single" w:color="auto" w:sz="4" w:space="0"/>
            </w:tcBorders>
            <w:vAlign w:val="center"/>
          </w:tcPr>
          <w:p w14:paraId="4C014A08">
            <w:pPr>
              <w:spacing w:after="120"/>
              <w:ind w:firstLine="0" w:firstLineChars="0"/>
              <w:rPr>
                <w:rFonts w:cs="宋体"/>
                <w:szCs w:val="21"/>
              </w:rPr>
            </w:pPr>
            <w:r>
              <w:rPr>
                <w:rFonts w:hint="eastAsia" w:cs="宋体"/>
                <w:szCs w:val="21"/>
              </w:rPr>
              <w:t>结构</w:t>
            </w:r>
          </w:p>
        </w:tc>
        <w:tc>
          <w:tcPr>
            <w:tcW w:w="709" w:type="dxa"/>
            <w:tcBorders>
              <w:top w:val="nil"/>
              <w:left w:val="nil"/>
              <w:bottom w:val="single" w:color="auto" w:sz="4" w:space="0"/>
              <w:right w:val="single" w:color="auto" w:sz="4" w:space="0"/>
            </w:tcBorders>
            <w:vAlign w:val="center"/>
          </w:tcPr>
          <w:p w14:paraId="69B54053">
            <w:pPr>
              <w:spacing w:after="120"/>
              <w:ind w:firstLine="0" w:firstLineChars="0"/>
              <w:rPr>
                <w:rFonts w:ascii="仿宋_GB2312" w:eastAsia="仿宋_GB2312" w:cs="宋体"/>
                <w:szCs w:val="21"/>
              </w:rPr>
            </w:pPr>
            <w:r>
              <w:rPr>
                <w:rFonts w:hint="eastAsia"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287315A5">
            <w:pPr>
              <w:spacing w:after="120"/>
              <w:ind w:firstLine="0" w:firstLineChars="0"/>
              <w:jc w:val="left"/>
              <w:rPr>
                <w:rFonts w:cs="宋体"/>
                <w:szCs w:val="21"/>
              </w:rPr>
            </w:pPr>
            <w:r>
              <w:rPr>
                <w:rFonts w:hint="eastAsia" w:cs="宋体"/>
                <w:szCs w:val="21"/>
              </w:rPr>
              <w:t>基础和上部结构选型是否合理；结构方案是否便于实施；</w:t>
            </w:r>
          </w:p>
        </w:tc>
        <w:tc>
          <w:tcPr>
            <w:tcW w:w="3261" w:type="dxa"/>
            <w:tcBorders>
              <w:top w:val="nil"/>
              <w:left w:val="nil"/>
              <w:bottom w:val="single" w:color="auto" w:sz="4" w:space="0"/>
              <w:right w:val="single" w:color="auto" w:sz="4" w:space="0"/>
            </w:tcBorders>
            <w:vAlign w:val="center"/>
          </w:tcPr>
          <w:p w14:paraId="1EBB9F75">
            <w:pPr>
              <w:spacing w:after="120"/>
              <w:ind w:firstLine="0" w:firstLineChars="0"/>
              <w:jc w:val="left"/>
              <w:rPr>
                <w:rFonts w:cs="宋体"/>
                <w:szCs w:val="21"/>
              </w:rPr>
            </w:pPr>
            <w:r>
              <w:rPr>
                <w:rFonts w:hint="eastAsia" w:cs="宋体"/>
                <w:szCs w:val="21"/>
              </w:rPr>
              <w:t>经第三方专家或单位审核，</w:t>
            </w:r>
          </w:p>
          <w:p w14:paraId="6D9CFEDF">
            <w:pPr>
              <w:spacing w:after="120"/>
              <w:ind w:firstLine="0" w:firstLineChars="0"/>
              <w:jc w:val="left"/>
              <w:rPr>
                <w:rFonts w:cs="宋体"/>
                <w:szCs w:val="21"/>
              </w:rPr>
            </w:pPr>
            <w:r>
              <w:rPr>
                <w:rFonts w:hint="eastAsia" w:cs="宋体"/>
                <w:szCs w:val="21"/>
              </w:rPr>
              <w:t>1、基坑支护、基础或上部结构选型不合理或不经济；</w:t>
            </w:r>
          </w:p>
          <w:p w14:paraId="49692880">
            <w:pPr>
              <w:spacing w:after="120"/>
              <w:ind w:firstLine="0" w:firstLineChars="0"/>
              <w:jc w:val="left"/>
              <w:rPr>
                <w:rFonts w:cs="宋体"/>
                <w:szCs w:val="21"/>
              </w:rPr>
            </w:pPr>
            <w:r>
              <w:rPr>
                <w:rFonts w:hint="eastAsia" w:cs="宋体"/>
                <w:szCs w:val="21"/>
              </w:rPr>
              <w:t>2、结构方案不便于实施；</w:t>
            </w:r>
          </w:p>
          <w:p w14:paraId="69A0BEB1">
            <w:pPr>
              <w:spacing w:after="120"/>
              <w:ind w:firstLine="0" w:firstLineChars="0"/>
              <w:jc w:val="left"/>
              <w:rPr>
                <w:rFonts w:cs="宋体"/>
                <w:szCs w:val="21"/>
              </w:rPr>
            </w:pPr>
            <w:r>
              <w:rPr>
                <w:rFonts w:hint="eastAsia" w:cs="宋体"/>
                <w:szCs w:val="21"/>
              </w:rPr>
              <w:t>以上各项每一处扣2分。</w:t>
            </w:r>
          </w:p>
        </w:tc>
        <w:tc>
          <w:tcPr>
            <w:tcW w:w="992" w:type="dxa"/>
            <w:tcBorders>
              <w:top w:val="nil"/>
              <w:left w:val="nil"/>
              <w:bottom w:val="single" w:color="auto" w:sz="4" w:space="0"/>
              <w:right w:val="single" w:color="auto" w:sz="4" w:space="0"/>
            </w:tcBorders>
            <w:vAlign w:val="center"/>
          </w:tcPr>
          <w:p w14:paraId="34C94578">
            <w:pPr>
              <w:spacing w:after="120"/>
              <w:jc w:val="left"/>
              <w:rPr>
                <w:rFonts w:cs="宋体"/>
                <w:szCs w:val="21"/>
              </w:rPr>
            </w:pPr>
            <w:r>
              <w:rPr>
                <w:rFonts w:hint="eastAsia" w:cs="宋体"/>
                <w:szCs w:val="21"/>
              </w:rPr>
              <w:t>　</w:t>
            </w:r>
          </w:p>
        </w:tc>
      </w:tr>
      <w:tr w14:paraId="5F629413">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D72AE91">
            <w:pPr>
              <w:spacing w:after="120"/>
              <w:ind w:firstLine="0" w:firstLineChars="0"/>
              <w:rPr>
                <w:rFonts w:cs="宋体"/>
                <w:szCs w:val="21"/>
              </w:rPr>
            </w:pPr>
            <w:r>
              <w:rPr>
                <w:rFonts w:hint="eastAsia" w:cs="宋体"/>
                <w:szCs w:val="21"/>
              </w:rPr>
              <w:t>3</w:t>
            </w:r>
          </w:p>
        </w:tc>
        <w:tc>
          <w:tcPr>
            <w:tcW w:w="1393" w:type="dxa"/>
            <w:tcBorders>
              <w:top w:val="nil"/>
              <w:left w:val="nil"/>
              <w:bottom w:val="single" w:color="auto" w:sz="4" w:space="0"/>
              <w:right w:val="single" w:color="auto" w:sz="4" w:space="0"/>
            </w:tcBorders>
            <w:vAlign w:val="center"/>
          </w:tcPr>
          <w:p w14:paraId="004268F0">
            <w:pPr>
              <w:spacing w:after="120"/>
              <w:ind w:firstLine="0" w:firstLineChars="0"/>
              <w:rPr>
                <w:rFonts w:cs="宋体"/>
                <w:szCs w:val="21"/>
              </w:rPr>
            </w:pPr>
            <w:r>
              <w:rPr>
                <w:rFonts w:hint="eastAsia" w:cs="宋体"/>
                <w:szCs w:val="21"/>
              </w:rPr>
              <w:t>机电系统及设备选型</w:t>
            </w:r>
          </w:p>
        </w:tc>
        <w:tc>
          <w:tcPr>
            <w:tcW w:w="709" w:type="dxa"/>
            <w:tcBorders>
              <w:top w:val="nil"/>
              <w:left w:val="nil"/>
              <w:bottom w:val="single" w:color="auto" w:sz="4" w:space="0"/>
              <w:right w:val="single" w:color="auto" w:sz="4" w:space="0"/>
            </w:tcBorders>
            <w:vAlign w:val="center"/>
          </w:tcPr>
          <w:p w14:paraId="7BB9FBB4">
            <w:pPr>
              <w:spacing w:after="120"/>
              <w:ind w:firstLine="0" w:firstLineChars="0"/>
              <w:rPr>
                <w:rFonts w:ascii="仿宋_GB2312" w:eastAsia="仿宋_GB2312" w:cs="宋体"/>
                <w:szCs w:val="21"/>
              </w:rPr>
            </w:pPr>
            <w:r>
              <w:rPr>
                <w:rFonts w:hint="eastAsia"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60E8DBE0">
            <w:pPr>
              <w:spacing w:after="120"/>
              <w:ind w:firstLine="0" w:firstLineChars="0"/>
              <w:jc w:val="left"/>
              <w:rPr>
                <w:rFonts w:cs="宋体"/>
                <w:szCs w:val="21"/>
              </w:rPr>
            </w:pPr>
            <w:r>
              <w:rPr>
                <w:rFonts w:hint="eastAsia" w:cs="宋体"/>
                <w:szCs w:val="21"/>
              </w:rPr>
              <w:t>系统及设备选用是否恰当，能否满足功能要求；是否考虑使用和维护成本</w:t>
            </w:r>
          </w:p>
        </w:tc>
        <w:tc>
          <w:tcPr>
            <w:tcW w:w="3261" w:type="dxa"/>
            <w:tcBorders>
              <w:top w:val="nil"/>
              <w:left w:val="nil"/>
              <w:bottom w:val="single" w:color="auto" w:sz="4" w:space="0"/>
              <w:right w:val="single" w:color="auto" w:sz="4" w:space="0"/>
            </w:tcBorders>
            <w:vAlign w:val="center"/>
          </w:tcPr>
          <w:p w14:paraId="467C666C">
            <w:pPr>
              <w:spacing w:after="120"/>
              <w:ind w:firstLine="0" w:firstLineChars="0"/>
              <w:jc w:val="left"/>
              <w:rPr>
                <w:rFonts w:cs="宋体"/>
                <w:szCs w:val="21"/>
              </w:rPr>
            </w:pPr>
            <w:r>
              <w:rPr>
                <w:rFonts w:hint="eastAsia" w:cs="宋体"/>
                <w:szCs w:val="21"/>
              </w:rPr>
              <w:t>经第三方专家或单位审核，</w:t>
            </w:r>
          </w:p>
          <w:p w14:paraId="756862C3">
            <w:pPr>
              <w:spacing w:after="120"/>
              <w:ind w:firstLine="0" w:firstLineChars="0"/>
              <w:jc w:val="left"/>
              <w:rPr>
                <w:rFonts w:cs="宋体"/>
                <w:szCs w:val="21"/>
              </w:rPr>
            </w:pPr>
            <w:r>
              <w:rPr>
                <w:rFonts w:hint="eastAsia" w:cs="宋体"/>
                <w:szCs w:val="21"/>
              </w:rPr>
              <w:t>1、系统及设备选用不合理或不经济；</w:t>
            </w:r>
          </w:p>
          <w:p w14:paraId="5DA94588">
            <w:pPr>
              <w:spacing w:after="120"/>
              <w:ind w:firstLine="0" w:firstLineChars="0"/>
              <w:jc w:val="left"/>
              <w:rPr>
                <w:rFonts w:cs="宋体"/>
                <w:szCs w:val="21"/>
              </w:rPr>
            </w:pPr>
            <w:r>
              <w:rPr>
                <w:rFonts w:hint="eastAsia" w:cs="宋体"/>
                <w:szCs w:val="21"/>
              </w:rPr>
              <w:t>2、系统及设备不能满足功能要求；</w:t>
            </w:r>
          </w:p>
          <w:p w14:paraId="6A7E151F">
            <w:pPr>
              <w:spacing w:after="120"/>
              <w:ind w:firstLine="0" w:firstLineChars="0"/>
              <w:jc w:val="left"/>
              <w:rPr>
                <w:rFonts w:cs="宋体"/>
                <w:szCs w:val="21"/>
              </w:rPr>
            </w:pPr>
            <w:r>
              <w:rPr>
                <w:rFonts w:hint="eastAsia" w:cs="宋体"/>
                <w:szCs w:val="21"/>
              </w:rPr>
              <w:t>3、选用设备的使用和维护成本大；</w:t>
            </w:r>
          </w:p>
          <w:p w14:paraId="0E8A6D90">
            <w:pPr>
              <w:spacing w:after="120"/>
              <w:ind w:firstLine="0" w:firstLineChars="0"/>
              <w:jc w:val="left"/>
              <w:rPr>
                <w:rFonts w:cs="宋体"/>
                <w:szCs w:val="21"/>
              </w:rPr>
            </w:pPr>
            <w:r>
              <w:rPr>
                <w:rFonts w:hint="eastAsia" w:cs="宋体"/>
                <w:szCs w:val="21"/>
              </w:rPr>
              <w:t>以上各项每一项扣2分。</w:t>
            </w:r>
          </w:p>
        </w:tc>
        <w:tc>
          <w:tcPr>
            <w:tcW w:w="992" w:type="dxa"/>
            <w:tcBorders>
              <w:top w:val="nil"/>
              <w:left w:val="nil"/>
              <w:bottom w:val="single" w:color="auto" w:sz="4" w:space="0"/>
              <w:right w:val="single" w:color="auto" w:sz="4" w:space="0"/>
            </w:tcBorders>
            <w:vAlign w:val="center"/>
          </w:tcPr>
          <w:p w14:paraId="7F38A5F5">
            <w:pPr>
              <w:spacing w:after="120"/>
              <w:jc w:val="left"/>
              <w:rPr>
                <w:rFonts w:cs="宋体"/>
                <w:szCs w:val="21"/>
              </w:rPr>
            </w:pPr>
          </w:p>
        </w:tc>
      </w:tr>
      <w:tr w14:paraId="2B7DB704">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DDA5991">
            <w:pPr>
              <w:spacing w:after="120"/>
              <w:ind w:firstLine="0" w:firstLineChars="0"/>
              <w:rPr>
                <w:rFonts w:cs="宋体"/>
                <w:szCs w:val="21"/>
              </w:rPr>
            </w:pPr>
            <w:r>
              <w:rPr>
                <w:rFonts w:hint="eastAsia" w:cs="宋体"/>
                <w:szCs w:val="21"/>
              </w:rPr>
              <w:t>4</w:t>
            </w:r>
          </w:p>
        </w:tc>
        <w:tc>
          <w:tcPr>
            <w:tcW w:w="1393" w:type="dxa"/>
            <w:tcBorders>
              <w:top w:val="nil"/>
              <w:left w:val="nil"/>
              <w:bottom w:val="single" w:color="auto" w:sz="4" w:space="0"/>
              <w:right w:val="single" w:color="auto" w:sz="4" w:space="0"/>
            </w:tcBorders>
            <w:vAlign w:val="center"/>
          </w:tcPr>
          <w:p w14:paraId="1FB47CF3">
            <w:pPr>
              <w:spacing w:after="120"/>
              <w:ind w:firstLine="0" w:firstLineChars="0"/>
              <w:rPr>
                <w:rFonts w:cs="宋体"/>
                <w:szCs w:val="21"/>
              </w:rPr>
            </w:pPr>
            <w:r>
              <w:rPr>
                <w:rFonts w:hint="eastAsia" w:cs="宋体"/>
                <w:szCs w:val="21"/>
              </w:rPr>
              <w:t>设计图纸深度</w:t>
            </w:r>
          </w:p>
        </w:tc>
        <w:tc>
          <w:tcPr>
            <w:tcW w:w="709" w:type="dxa"/>
            <w:tcBorders>
              <w:top w:val="nil"/>
              <w:left w:val="nil"/>
              <w:bottom w:val="single" w:color="auto" w:sz="4" w:space="0"/>
              <w:right w:val="single" w:color="auto" w:sz="4" w:space="0"/>
            </w:tcBorders>
            <w:vAlign w:val="center"/>
          </w:tcPr>
          <w:p w14:paraId="189F4509">
            <w:pPr>
              <w:spacing w:after="120"/>
              <w:ind w:firstLine="0" w:firstLineChars="0"/>
              <w:rPr>
                <w:rFonts w:ascii="仿宋_GB2312" w:eastAsia="仿宋_GB2312" w:cs="宋体"/>
                <w:szCs w:val="21"/>
              </w:rPr>
            </w:pPr>
            <w:r>
              <w:rPr>
                <w:rFonts w:hint="eastAsia" w:ascii="仿宋_GB2312" w:eastAsia="仿宋_GB2312" w:cs="宋体"/>
                <w:szCs w:val="21"/>
              </w:rPr>
              <w:t>5</w:t>
            </w:r>
          </w:p>
        </w:tc>
        <w:tc>
          <w:tcPr>
            <w:tcW w:w="2551" w:type="dxa"/>
            <w:tcBorders>
              <w:top w:val="nil"/>
              <w:left w:val="nil"/>
              <w:bottom w:val="single" w:color="auto" w:sz="4" w:space="0"/>
              <w:right w:val="single" w:color="auto" w:sz="4" w:space="0"/>
            </w:tcBorders>
            <w:vAlign w:val="center"/>
          </w:tcPr>
          <w:p w14:paraId="24B2FEA5">
            <w:pPr>
              <w:spacing w:after="120"/>
              <w:ind w:firstLine="0" w:firstLineChars="0"/>
              <w:jc w:val="left"/>
              <w:rPr>
                <w:rFonts w:cs="宋体"/>
                <w:szCs w:val="21"/>
              </w:rPr>
            </w:pPr>
            <w:r>
              <w:rPr>
                <w:rFonts w:hint="eastAsia" w:cs="宋体"/>
                <w:szCs w:val="21"/>
              </w:rPr>
              <w:t>是否满足住建部《建筑工程设计文件编制深度规定》对该阶段设计深度的有关要求</w:t>
            </w:r>
          </w:p>
        </w:tc>
        <w:tc>
          <w:tcPr>
            <w:tcW w:w="3261" w:type="dxa"/>
            <w:tcBorders>
              <w:top w:val="nil"/>
              <w:left w:val="nil"/>
              <w:bottom w:val="single" w:color="auto" w:sz="4" w:space="0"/>
              <w:right w:val="single" w:color="auto" w:sz="4" w:space="0"/>
            </w:tcBorders>
            <w:vAlign w:val="center"/>
          </w:tcPr>
          <w:p w14:paraId="2273EBD8">
            <w:pPr>
              <w:spacing w:after="120"/>
              <w:ind w:firstLine="0" w:firstLineChars="0"/>
              <w:jc w:val="left"/>
              <w:rPr>
                <w:rFonts w:cs="宋体"/>
                <w:szCs w:val="21"/>
              </w:rPr>
            </w:pPr>
            <w:r>
              <w:rPr>
                <w:rFonts w:hint="eastAsia" w:cs="宋体"/>
                <w:szCs w:val="21"/>
              </w:rPr>
              <w:t>经第三方单位审核，有一个专业达不到深度的，扣2分。</w:t>
            </w:r>
          </w:p>
        </w:tc>
        <w:tc>
          <w:tcPr>
            <w:tcW w:w="992" w:type="dxa"/>
            <w:tcBorders>
              <w:top w:val="nil"/>
              <w:left w:val="nil"/>
              <w:bottom w:val="single" w:color="auto" w:sz="4" w:space="0"/>
              <w:right w:val="single" w:color="auto" w:sz="4" w:space="0"/>
            </w:tcBorders>
            <w:vAlign w:val="center"/>
          </w:tcPr>
          <w:p w14:paraId="1B273552">
            <w:pPr>
              <w:spacing w:after="120"/>
              <w:jc w:val="center"/>
              <w:rPr>
                <w:rFonts w:cs="宋体"/>
                <w:szCs w:val="21"/>
              </w:rPr>
            </w:pPr>
            <w:r>
              <w:rPr>
                <w:rFonts w:hint="eastAsia" w:cs="宋体"/>
                <w:szCs w:val="21"/>
              </w:rPr>
              <w:t>　</w:t>
            </w:r>
          </w:p>
        </w:tc>
      </w:tr>
      <w:tr w14:paraId="60459B9C">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5459FF7D">
            <w:pPr>
              <w:spacing w:after="120"/>
              <w:ind w:firstLine="0" w:firstLineChars="0"/>
              <w:rPr>
                <w:rFonts w:cs="宋体"/>
                <w:szCs w:val="21"/>
              </w:rPr>
            </w:pPr>
            <w:r>
              <w:rPr>
                <w:rFonts w:hint="eastAsia" w:cs="宋体"/>
                <w:szCs w:val="21"/>
              </w:rPr>
              <w:t>5</w:t>
            </w:r>
          </w:p>
        </w:tc>
        <w:tc>
          <w:tcPr>
            <w:tcW w:w="1393" w:type="dxa"/>
            <w:tcBorders>
              <w:top w:val="nil"/>
              <w:left w:val="nil"/>
              <w:bottom w:val="single" w:color="auto" w:sz="4" w:space="0"/>
              <w:right w:val="single" w:color="auto" w:sz="4" w:space="0"/>
            </w:tcBorders>
            <w:vAlign w:val="center"/>
          </w:tcPr>
          <w:p w14:paraId="397273A0">
            <w:pPr>
              <w:spacing w:after="120"/>
              <w:ind w:firstLine="0" w:firstLineChars="0"/>
              <w:rPr>
                <w:rFonts w:cs="宋体"/>
                <w:szCs w:val="21"/>
              </w:rPr>
            </w:pPr>
            <w:r>
              <w:rPr>
                <w:rFonts w:hint="eastAsia" w:cs="宋体"/>
                <w:szCs w:val="21"/>
              </w:rPr>
              <w:t>限额设计</w:t>
            </w:r>
          </w:p>
        </w:tc>
        <w:tc>
          <w:tcPr>
            <w:tcW w:w="709" w:type="dxa"/>
            <w:tcBorders>
              <w:top w:val="nil"/>
              <w:left w:val="nil"/>
              <w:bottom w:val="single" w:color="auto" w:sz="4" w:space="0"/>
              <w:right w:val="single" w:color="auto" w:sz="4" w:space="0"/>
            </w:tcBorders>
            <w:vAlign w:val="center"/>
          </w:tcPr>
          <w:p w14:paraId="012392E0">
            <w:pPr>
              <w:spacing w:after="120"/>
              <w:ind w:firstLine="0" w:firstLineChars="0"/>
              <w:rPr>
                <w:rFonts w:ascii="仿宋_GB2312" w:eastAsia="仿宋_GB2312" w:cs="宋体"/>
                <w:szCs w:val="21"/>
              </w:rPr>
            </w:pPr>
            <w:r>
              <w:rPr>
                <w:rFonts w:hint="eastAsia"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38C088B2">
            <w:pPr>
              <w:spacing w:after="120"/>
              <w:ind w:firstLine="0" w:firstLineChars="0"/>
              <w:jc w:val="left"/>
              <w:rPr>
                <w:rFonts w:cs="宋体"/>
                <w:szCs w:val="21"/>
              </w:rPr>
            </w:pPr>
            <w:r>
              <w:rPr>
                <w:rFonts w:hint="eastAsia" w:cs="宋体"/>
                <w:szCs w:val="21"/>
              </w:rPr>
              <w:t>是否按合同要求进行限额设计</w:t>
            </w:r>
          </w:p>
        </w:tc>
        <w:tc>
          <w:tcPr>
            <w:tcW w:w="3261" w:type="dxa"/>
            <w:tcBorders>
              <w:top w:val="nil"/>
              <w:left w:val="nil"/>
              <w:bottom w:val="single" w:color="auto" w:sz="4" w:space="0"/>
              <w:right w:val="single" w:color="auto" w:sz="4" w:space="0"/>
            </w:tcBorders>
            <w:vAlign w:val="center"/>
          </w:tcPr>
          <w:p w14:paraId="4D82CC66">
            <w:pPr>
              <w:spacing w:after="120"/>
              <w:ind w:firstLine="0" w:firstLineChars="0"/>
              <w:jc w:val="left"/>
              <w:rPr>
                <w:rFonts w:cs="宋体"/>
                <w:szCs w:val="21"/>
              </w:rPr>
            </w:pPr>
            <w:r>
              <w:rPr>
                <w:rFonts w:hint="eastAsia" w:cs="宋体"/>
                <w:szCs w:val="21"/>
              </w:rPr>
              <w:t>编制的概算超出经批复的投资估算价，每报一版扣1分；甲方委托的造价咨询公司审核概算价与乙方编制的概算申报额偏差每超出1%，扣2分；</w:t>
            </w:r>
          </w:p>
          <w:p w14:paraId="7687E0FC">
            <w:pPr>
              <w:spacing w:after="120"/>
              <w:ind w:firstLine="0" w:firstLineChars="0"/>
              <w:jc w:val="left"/>
              <w:rPr>
                <w:rFonts w:cs="宋体"/>
                <w:szCs w:val="21"/>
              </w:rPr>
            </w:pPr>
            <w:r>
              <w:rPr>
                <w:rFonts w:hint="eastAsia" w:cs="宋体"/>
                <w:szCs w:val="21"/>
              </w:rPr>
              <w:t>概算申报额与经投资主管部门批复的概算偏差每超出1%，扣3分。</w:t>
            </w:r>
          </w:p>
        </w:tc>
        <w:tc>
          <w:tcPr>
            <w:tcW w:w="992" w:type="dxa"/>
            <w:tcBorders>
              <w:top w:val="nil"/>
              <w:left w:val="nil"/>
              <w:bottom w:val="single" w:color="auto" w:sz="4" w:space="0"/>
              <w:right w:val="single" w:color="auto" w:sz="4" w:space="0"/>
            </w:tcBorders>
            <w:vAlign w:val="center"/>
          </w:tcPr>
          <w:p w14:paraId="42137896">
            <w:pPr>
              <w:spacing w:after="120"/>
              <w:jc w:val="center"/>
              <w:rPr>
                <w:rFonts w:cs="宋体"/>
                <w:szCs w:val="21"/>
              </w:rPr>
            </w:pPr>
          </w:p>
        </w:tc>
      </w:tr>
      <w:tr w14:paraId="085963FE">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23806D0">
            <w:pPr>
              <w:spacing w:after="120"/>
              <w:ind w:firstLine="0" w:firstLineChars="0"/>
              <w:rPr>
                <w:rFonts w:cs="宋体"/>
                <w:szCs w:val="21"/>
              </w:rPr>
            </w:pPr>
            <w:r>
              <w:rPr>
                <w:rFonts w:hint="eastAsia" w:cs="宋体"/>
                <w:szCs w:val="21"/>
              </w:rPr>
              <w:t>四</w:t>
            </w:r>
          </w:p>
        </w:tc>
        <w:tc>
          <w:tcPr>
            <w:tcW w:w="1393" w:type="dxa"/>
            <w:tcBorders>
              <w:top w:val="nil"/>
              <w:left w:val="nil"/>
              <w:bottom w:val="single" w:color="auto" w:sz="4" w:space="0"/>
              <w:right w:val="single" w:color="auto" w:sz="4" w:space="0"/>
            </w:tcBorders>
            <w:vAlign w:val="center"/>
          </w:tcPr>
          <w:p w14:paraId="37B8B459">
            <w:pPr>
              <w:spacing w:after="120"/>
              <w:ind w:firstLine="0" w:firstLineChars="0"/>
              <w:rPr>
                <w:rFonts w:cs="宋体"/>
                <w:szCs w:val="21"/>
              </w:rPr>
            </w:pPr>
            <w:r>
              <w:rPr>
                <w:rFonts w:hint="eastAsia" w:cs="宋体"/>
                <w:szCs w:val="21"/>
              </w:rPr>
              <w:t>设计进度</w:t>
            </w:r>
          </w:p>
        </w:tc>
        <w:tc>
          <w:tcPr>
            <w:tcW w:w="709" w:type="dxa"/>
            <w:tcBorders>
              <w:top w:val="nil"/>
              <w:left w:val="nil"/>
              <w:bottom w:val="single" w:color="auto" w:sz="4" w:space="0"/>
              <w:right w:val="single" w:color="auto" w:sz="4" w:space="0"/>
            </w:tcBorders>
            <w:vAlign w:val="center"/>
          </w:tcPr>
          <w:p w14:paraId="302499E9">
            <w:pPr>
              <w:spacing w:after="120"/>
              <w:ind w:firstLine="0" w:firstLineChars="0"/>
              <w:rPr>
                <w:rFonts w:ascii="仿宋_GB2312" w:eastAsia="仿宋_GB2312" w:cs="宋体"/>
                <w:szCs w:val="21"/>
              </w:rPr>
            </w:pPr>
            <w:r>
              <w:rPr>
                <w:rFonts w:hint="eastAsia"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1873B269">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7C58C8D6">
            <w:pPr>
              <w:spacing w:after="120"/>
              <w:jc w:val="left"/>
              <w:rPr>
                <w:rFonts w:cs="宋体"/>
                <w:szCs w:val="21"/>
              </w:rPr>
            </w:pPr>
            <w:r>
              <w:rPr>
                <w:rFonts w:hint="eastAsia" w:cs="宋体"/>
                <w:szCs w:val="21"/>
              </w:rPr>
              <w:t>　</w:t>
            </w:r>
          </w:p>
        </w:tc>
        <w:tc>
          <w:tcPr>
            <w:tcW w:w="992" w:type="dxa"/>
            <w:tcBorders>
              <w:top w:val="nil"/>
              <w:left w:val="nil"/>
              <w:bottom w:val="single" w:color="auto" w:sz="4" w:space="0"/>
              <w:right w:val="single" w:color="auto" w:sz="4" w:space="0"/>
            </w:tcBorders>
            <w:vAlign w:val="center"/>
          </w:tcPr>
          <w:p w14:paraId="2C9D96E8">
            <w:pPr>
              <w:spacing w:after="120"/>
              <w:jc w:val="left"/>
              <w:rPr>
                <w:rFonts w:cs="宋体"/>
                <w:szCs w:val="21"/>
              </w:rPr>
            </w:pPr>
            <w:r>
              <w:rPr>
                <w:rFonts w:hint="eastAsia" w:cs="宋体"/>
                <w:szCs w:val="21"/>
              </w:rPr>
              <w:t>　</w:t>
            </w:r>
          </w:p>
        </w:tc>
      </w:tr>
      <w:tr w14:paraId="0502301F">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74866ACE">
            <w:pPr>
              <w:spacing w:after="120"/>
              <w:ind w:firstLine="0" w:firstLineChars="0"/>
              <w:rPr>
                <w:rFonts w:cs="宋体"/>
                <w:szCs w:val="21"/>
              </w:rPr>
            </w:pPr>
            <w:r>
              <w:rPr>
                <w:rFonts w:hint="eastAsia" w:cs="宋体"/>
                <w:szCs w:val="21"/>
              </w:rPr>
              <w:t>1</w:t>
            </w:r>
          </w:p>
        </w:tc>
        <w:tc>
          <w:tcPr>
            <w:tcW w:w="1393" w:type="dxa"/>
            <w:tcBorders>
              <w:top w:val="nil"/>
              <w:left w:val="nil"/>
              <w:bottom w:val="single" w:color="auto" w:sz="4" w:space="0"/>
              <w:right w:val="single" w:color="auto" w:sz="4" w:space="0"/>
            </w:tcBorders>
            <w:vAlign w:val="center"/>
          </w:tcPr>
          <w:p w14:paraId="3628A8E9">
            <w:pPr>
              <w:spacing w:after="120"/>
              <w:ind w:firstLine="0" w:firstLineChars="0"/>
              <w:rPr>
                <w:rFonts w:cs="宋体"/>
                <w:szCs w:val="21"/>
              </w:rPr>
            </w:pPr>
            <w:r>
              <w:rPr>
                <w:rFonts w:hint="eastAsia" w:cs="宋体"/>
                <w:szCs w:val="21"/>
              </w:rPr>
              <w:t>设计进度</w:t>
            </w:r>
          </w:p>
        </w:tc>
        <w:tc>
          <w:tcPr>
            <w:tcW w:w="709" w:type="dxa"/>
            <w:tcBorders>
              <w:top w:val="nil"/>
              <w:left w:val="nil"/>
              <w:bottom w:val="single" w:color="auto" w:sz="4" w:space="0"/>
              <w:right w:val="single" w:color="auto" w:sz="4" w:space="0"/>
            </w:tcBorders>
            <w:vAlign w:val="center"/>
          </w:tcPr>
          <w:p w14:paraId="785EEC3F">
            <w:pPr>
              <w:spacing w:after="120"/>
              <w:ind w:firstLine="0" w:firstLineChars="0"/>
              <w:rPr>
                <w:rFonts w:ascii="仿宋_GB2312" w:eastAsia="仿宋_GB2312" w:cs="宋体"/>
                <w:szCs w:val="21"/>
              </w:rPr>
            </w:pPr>
            <w:r>
              <w:rPr>
                <w:rFonts w:hint="eastAsia"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64F8707B">
            <w:pPr>
              <w:spacing w:after="120"/>
              <w:ind w:firstLine="0" w:firstLineChars="0"/>
              <w:jc w:val="left"/>
              <w:rPr>
                <w:rFonts w:cs="宋体"/>
                <w:szCs w:val="21"/>
              </w:rPr>
            </w:pPr>
            <w:r>
              <w:rPr>
                <w:rFonts w:hint="eastAsia" w:cs="宋体"/>
                <w:szCs w:val="21"/>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vAlign w:val="center"/>
          </w:tcPr>
          <w:p w14:paraId="5F3C70E2">
            <w:pPr>
              <w:spacing w:after="120"/>
              <w:ind w:firstLine="0" w:firstLineChars="0"/>
              <w:jc w:val="left"/>
              <w:rPr>
                <w:rFonts w:cs="宋体"/>
                <w:szCs w:val="21"/>
              </w:rPr>
            </w:pPr>
            <w:r>
              <w:rPr>
                <w:rFonts w:hint="eastAsia" w:cs="宋体"/>
                <w:szCs w:val="21"/>
              </w:rPr>
              <w:t>因乙方原因，每延误一天扣1分。</w:t>
            </w:r>
          </w:p>
        </w:tc>
        <w:tc>
          <w:tcPr>
            <w:tcW w:w="992" w:type="dxa"/>
            <w:tcBorders>
              <w:top w:val="nil"/>
              <w:left w:val="nil"/>
              <w:bottom w:val="single" w:color="auto" w:sz="4" w:space="0"/>
              <w:right w:val="single" w:color="auto" w:sz="4" w:space="0"/>
            </w:tcBorders>
            <w:vAlign w:val="center"/>
          </w:tcPr>
          <w:p w14:paraId="342F7924">
            <w:pPr>
              <w:spacing w:after="120"/>
              <w:jc w:val="left"/>
              <w:rPr>
                <w:rFonts w:cs="宋体"/>
                <w:szCs w:val="21"/>
              </w:rPr>
            </w:pPr>
            <w:r>
              <w:rPr>
                <w:rFonts w:hint="eastAsia" w:cs="宋体"/>
                <w:szCs w:val="21"/>
              </w:rPr>
              <w:t>　</w:t>
            </w:r>
          </w:p>
        </w:tc>
      </w:tr>
      <w:tr w14:paraId="5D10B8FC">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55292C88">
            <w:pPr>
              <w:spacing w:after="120"/>
              <w:ind w:firstLine="0" w:firstLineChars="0"/>
              <w:rPr>
                <w:rFonts w:cs="宋体"/>
                <w:szCs w:val="21"/>
              </w:rPr>
            </w:pPr>
            <w:r>
              <w:rPr>
                <w:rFonts w:hint="eastAsia" w:cs="宋体"/>
                <w:szCs w:val="21"/>
              </w:rPr>
              <w:t>五</w:t>
            </w:r>
          </w:p>
        </w:tc>
        <w:tc>
          <w:tcPr>
            <w:tcW w:w="1393" w:type="dxa"/>
            <w:tcBorders>
              <w:top w:val="nil"/>
              <w:left w:val="nil"/>
              <w:bottom w:val="single" w:color="auto" w:sz="4" w:space="0"/>
              <w:right w:val="single" w:color="auto" w:sz="4" w:space="0"/>
            </w:tcBorders>
            <w:vAlign w:val="center"/>
          </w:tcPr>
          <w:p w14:paraId="152448B3">
            <w:pPr>
              <w:spacing w:after="120"/>
              <w:ind w:firstLine="0" w:firstLineChars="0"/>
              <w:rPr>
                <w:rFonts w:cs="宋体"/>
                <w:szCs w:val="21"/>
              </w:rPr>
            </w:pPr>
            <w:r>
              <w:rPr>
                <w:rFonts w:hint="eastAsia" w:cs="宋体"/>
                <w:szCs w:val="21"/>
              </w:rPr>
              <w:t>设计配合</w:t>
            </w:r>
          </w:p>
        </w:tc>
        <w:tc>
          <w:tcPr>
            <w:tcW w:w="709" w:type="dxa"/>
            <w:tcBorders>
              <w:top w:val="nil"/>
              <w:left w:val="nil"/>
              <w:bottom w:val="single" w:color="auto" w:sz="4" w:space="0"/>
              <w:right w:val="single" w:color="auto" w:sz="4" w:space="0"/>
            </w:tcBorders>
            <w:vAlign w:val="center"/>
          </w:tcPr>
          <w:p w14:paraId="1C24C9FE">
            <w:pPr>
              <w:spacing w:after="120"/>
              <w:ind w:firstLine="0" w:firstLineChars="0"/>
              <w:rPr>
                <w:rFonts w:ascii="仿宋_GB2312" w:eastAsia="仿宋_GB2312" w:cs="宋体"/>
                <w:szCs w:val="21"/>
              </w:rPr>
            </w:pPr>
            <w:r>
              <w:rPr>
                <w:rFonts w:hint="eastAsia" w:ascii="仿宋_GB2312" w:eastAsia="仿宋_GB2312" w:cs="宋体"/>
                <w:szCs w:val="21"/>
              </w:rPr>
              <w:t>5</w:t>
            </w:r>
          </w:p>
        </w:tc>
        <w:tc>
          <w:tcPr>
            <w:tcW w:w="2551" w:type="dxa"/>
            <w:tcBorders>
              <w:top w:val="nil"/>
              <w:left w:val="nil"/>
              <w:bottom w:val="single" w:color="auto" w:sz="4" w:space="0"/>
              <w:right w:val="single" w:color="auto" w:sz="4" w:space="0"/>
            </w:tcBorders>
            <w:vAlign w:val="center"/>
          </w:tcPr>
          <w:p w14:paraId="5579EA53">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64EDB981">
            <w:pPr>
              <w:spacing w:after="120"/>
              <w:jc w:val="left"/>
              <w:rPr>
                <w:rFonts w:cs="宋体"/>
                <w:szCs w:val="21"/>
              </w:rPr>
            </w:pPr>
            <w:r>
              <w:rPr>
                <w:rFonts w:hint="eastAsia" w:cs="宋体"/>
                <w:szCs w:val="21"/>
              </w:rPr>
              <w:t>　</w:t>
            </w:r>
          </w:p>
        </w:tc>
        <w:tc>
          <w:tcPr>
            <w:tcW w:w="992" w:type="dxa"/>
            <w:tcBorders>
              <w:top w:val="nil"/>
              <w:left w:val="nil"/>
              <w:bottom w:val="single" w:color="auto" w:sz="4" w:space="0"/>
              <w:right w:val="single" w:color="auto" w:sz="4" w:space="0"/>
            </w:tcBorders>
            <w:vAlign w:val="center"/>
          </w:tcPr>
          <w:p w14:paraId="02D27126">
            <w:pPr>
              <w:spacing w:after="120"/>
              <w:jc w:val="left"/>
              <w:rPr>
                <w:rFonts w:cs="宋体"/>
                <w:szCs w:val="21"/>
              </w:rPr>
            </w:pPr>
            <w:r>
              <w:rPr>
                <w:rFonts w:hint="eastAsia" w:cs="宋体"/>
                <w:szCs w:val="21"/>
              </w:rPr>
              <w:t>　</w:t>
            </w:r>
          </w:p>
        </w:tc>
      </w:tr>
      <w:tr w14:paraId="4EA8DBEA">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4826B446">
            <w:pPr>
              <w:spacing w:after="120"/>
              <w:ind w:firstLine="0" w:firstLineChars="0"/>
              <w:rPr>
                <w:rFonts w:cs="宋体"/>
                <w:szCs w:val="21"/>
              </w:rPr>
            </w:pPr>
            <w:r>
              <w:rPr>
                <w:rFonts w:hint="eastAsia" w:cs="宋体"/>
                <w:szCs w:val="21"/>
              </w:rPr>
              <w:t>1</w:t>
            </w:r>
          </w:p>
        </w:tc>
        <w:tc>
          <w:tcPr>
            <w:tcW w:w="1393" w:type="dxa"/>
            <w:tcBorders>
              <w:top w:val="nil"/>
              <w:left w:val="nil"/>
              <w:bottom w:val="single" w:color="auto" w:sz="4" w:space="0"/>
              <w:right w:val="single" w:color="auto" w:sz="4" w:space="0"/>
            </w:tcBorders>
            <w:vAlign w:val="center"/>
          </w:tcPr>
          <w:p w14:paraId="437DC600">
            <w:pPr>
              <w:spacing w:after="120"/>
              <w:ind w:firstLine="0" w:firstLineChars="0"/>
              <w:rPr>
                <w:rFonts w:cs="宋体"/>
                <w:szCs w:val="21"/>
              </w:rPr>
            </w:pPr>
            <w:r>
              <w:rPr>
                <w:rFonts w:hint="eastAsia" w:cs="宋体"/>
                <w:szCs w:val="21"/>
              </w:rPr>
              <w:t>设计配合</w:t>
            </w:r>
          </w:p>
        </w:tc>
        <w:tc>
          <w:tcPr>
            <w:tcW w:w="709" w:type="dxa"/>
            <w:tcBorders>
              <w:top w:val="nil"/>
              <w:left w:val="nil"/>
              <w:bottom w:val="single" w:color="auto" w:sz="4" w:space="0"/>
              <w:right w:val="single" w:color="auto" w:sz="4" w:space="0"/>
            </w:tcBorders>
            <w:vAlign w:val="center"/>
          </w:tcPr>
          <w:p w14:paraId="34CE579C">
            <w:pPr>
              <w:spacing w:after="120"/>
              <w:ind w:firstLine="0" w:firstLineChars="0"/>
              <w:rPr>
                <w:rFonts w:ascii="仿宋_GB2312" w:eastAsia="仿宋_GB2312" w:cs="宋体"/>
                <w:szCs w:val="21"/>
              </w:rPr>
            </w:pPr>
            <w:r>
              <w:rPr>
                <w:rFonts w:hint="eastAsia" w:ascii="仿宋_GB2312" w:eastAsia="仿宋_GB2312" w:cs="宋体"/>
                <w:szCs w:val="21"/>
              </w:rPr>
              <w:t>5</w:t>
            </w:r>
          </w:p>
        </w:tc>
        <w:tc>
          <w:tcPr>
            <w:tcW w:w="2551" w:type="dxa"/>
            <w:tcBorders>
              <w:top w:val="nil"/>
              <w:left w:val="nil"/>
              <w:bottom w:val="single" w:color="auto" w:sz="4" w:space="0"/>
              <w:right w:val="single" w:color="auto" w:sz="4" w:space="0"/>
            </w:tcBorders>
            <w:vAlign w:val="center"/>
          </w:tcPr>
          <w:p w14:paraId="6D0E3E67">
            <w:pPr>
              <w:spacing w:after="120"/>
              <w:ind w:firstLine="0" w:firstLineChars="0"/>
              <w:jc w:val="left"/>
              <w:rPr>
                <w:rFonts w:cs="宋体"/>
                <w:szCs w:val="21"/>
              </w:rPr>
            </w:pPr>
            <w:r>
              <w:rPr>
                <w:rFonts w:hint="eastAsia" w:cs="宋体"/>
                <w:szCs w:val="21"/>
              </w:rPr>
              <w:t>能否按合同及甲方要求及时协调配合甲方、专项设计单位及其它相关部门的工作；是否具有较强的沟通协调能力</w:t>
            </w:r>
          </w:p>
        </w:tc>
        <w:tc>
          <w:tcPr>
            <w:tcW w:w="3261" w:type="dxa"/>
            <w:tcBorders>
              <w:top w:val="nil"/>
              <w:left w:val="nil"/>
              <w:bottom w:val="single" w:color="auto" w:sz="4" w:space="0"/>
              <w:right w:val="single" w:color="auto" w:sz="4" w:space="0"/>
            </w:tcBorders>
            <w:vAlign w:val="center"/>
          </w:tcPr>
          <w:p w14:paraId="44094CF3">
            <w:pPr>
              <w:spacing w:after="120"/>
              <w:ind w:firstLine="0" w:firstLineChars="0"/>
              <w:jc w:val="left"/>
              <w:rPr>
                <w:rFonts w:cs="宋体"/>
                <w:szCs w:val="21"/>
              </w:rPr>
            </w:pPr>
            <w:r>
              <w:rPr>
                <w:rFonts w:hint="eastAsia" w:cs="宋体"/>
                <w:szCs w:val="21"/>
              </w:rPr>
              <w:t>好：得5分</w:t>
            </w:r>
          </w:p>
          <w:p w14:paraId="7071B9E6">
            <w:pPr>
              <w:spacing w:after="120"/>
              <w:ind w:firstLine="0" w:firstLineChars="0"/>
              <w:jc w:val="left"/>
              <w:rPr>
                <w:rFonts w:cs="宋体"/>
                <w:szCs w:val="21"/>
              </w:rPr>
            </w:pPr>
            <w:r>
              <w:rPr>
                <w:rFonts w:hint="eastAsia" w:cs="宋体"/>
                <w:szCs w:val="21"/>
              </w:rPr>
              <w:t>较好：得4分</w:t>
            </w:r>
          </w:p>
          <w:p w14:paraId="44AD4B7B">
            <w:pPr>
              <w:spacing w:after="120"/>
              <w:ind w:firstLine="0" w:firstLineChars="0"/>
              <w:jc w:val="left"/>
              <w:rPr>
                <w:rFonts w:cs="宋体"/>
                <w:szCs w:val="21"/>
              </w:rPr>
            </w:pPr>
            <w:r>
              <w:rPr>
                <w:rFonts w:hint="eastAsia" w:cs="宋体"/>
                <w:szCs w:val="21"/>
              </w:rPr>
              <w:t>一般：得2分</w:t>
            </w:r>
          </w:p>
          <w:p w14:paraId="3DB2E70A">
            <w:pPr>
              <w:spacing w:after="120"/>
              <w:ind w:firstLine="0" w:firstLineChars="0"/>
              <w:jc w:val="left"/>
              <w:rPr>
                <w:rFonts w:cs="宋体"/>
                <w:szCs w:val="21"/>
              </w:rPr>
            </w:pPr>
            <w:r>
              <w:rPr>
                <w:rFonts w:hint="eastAsia" w:cs="宋体"/>
                <w:szCs w:val="21"/>
              </w:rPr>
              <w:t>较差：得1分</w:t>
            </w:r>
          </w:p>
          <w:p w14:paraId="5877A20A">
            <w:pPr>
              <w:spacing w:after="120"/>
              <w:ind w:firstLine="0" w:firstLineChars="0"/>
              <w:jc w:val="left"/>
              <w:rPr>
                <w:rFonts w:cs="宋体"/>
                <w:szCs w:val="21"/>
              </w:rPr>
            </w:pPr>
            <w:r>
              <w:rPr>
                <w:rFonts w:hint="eastAsia" w:cs="宋体"/>
                <w:szCs w:val="21"/>
              </w:rPr>
              <w:t>差：得0分</w:t>
            </w:r>
          </w:p>
        </w:tc>
        <w:tc>
          <w:tcPr>
            <w:tcW w:w="992" w:type="dxa"/>
            <w:tcBorders>
              <w:top w:val="nil"/>
              <w:left w:val="nil"/>
              <w:bottom w:val="single" w:color="auto" w:sz="4" w:space="0"/>
              <w:right w:val="single" w:color="auto" w:sz="4" w:space="0"/>
            </w:tcBorders>
            <w:vAlign w:val="center"/>
          </w:tcPr>
          <w:p w14:paraId="259FB132">
            <w:pPr>
              <w:spacing w:after="120"/>
              <w:jc w:val="left"/>
              <w:rPr>
                <w:rFonts w:cs="宋体"/>
                <w:szCs w:val="21"/>
              </w:rPr>
            </w:pPr>
            <w:r>
              <w:rPr>
                <w:rFonts w:hint="eastAsia" w:cs="宋体"/>
                <w:szCs w:val="21"/>
              </w:rPr>
              <w:t>　</w:t>
            </w:r>
          </w:p>
        </w:tc>
      </w:tr>
      <w:tr w14:paraId="5CF73935">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3F8F5C02">
            <w:pPr>
              <w:spacing w:after="120"/>
              <w:jc w:val="center"/>
              <w:rPr>
                <w:szCs w:val="21"/>
              </w:rPr>
            </w:pPr>
            <w:r>
              <w:rPr>
                <w:szCs w:val="21"/>
              </w:rPr>
              <w:t>　</w:t>
            </w:r>
          </w:p>
        </w:tc>
        <w:tc>
          <w:tcPr>
            <w:tcW w:w="1393" w:type="dxa"/>
            <w:tcBorders>
              <w:top w:val="nil"/>
              <w:left w:val="nil"/>
              <w:bottom w:val="single" w:color="auto" w:sz="4" w:space="0"/>
              <w:right w:val="single" w:color="auto" w:sz="4" w:space="0"/>
            </w:tcBorders>
            <w:vAlign w:val="center"/>
          </w:tcPr>
          <w:p w14:paraId="459398F4">
            <w:pPr>
              <w:spacing w:after="120"/>
              <w:jc w:val="center"/>
              <w:rPr>
                <w:szCs w:val="21"/>
              </w:rPr>
            </w:pPr>
            <w:r>
              <w:rPr>
                <w:szCs w:val="21"/>
              </w:rPr>
              <w:t>合计</w:t>
            </w:r>
          </w:p>
        </w:tc>
        <w:tc>
          <w:tcPr>
            <w:tcW w:w="709" w:type="dxa"/>
            <w:tcBorders>
              <w:top w:val="nil"/>
              <w:left w:val="nil"/>
              <w:bottom w:val="single" w:color="auto" w:sz="4" w:space="0"/>
              <w:right w:val="single" w:color="auto" w:sz="4" w:space="0"/>
            </w:tcBorders>
            <w:vAlign w:val="center"/>
          </w:tcPr>
          <w:p w14:paraId="04D12081">
            <w:pPr>
              <w:spacing w:after="120"/>
              <w:ind w:firstLine="0" w:firstLineChars="0"/>
              <w:rPr>
                <w:szCs w:val="21"/>
              </w:rPr>
            </w:pPr>
            <w:r>
              <w:rPr>
                <w:szCs w:val="21"/>
              </w:rPr>
              <w:t>100</w:t>
            </w:r>
          </w:p>
        </w:tc>
        <w:tc>
          <w:tcPr>
            <w:tcW w:w="2551" w:type="dxa"/>
            <w:tcBorders>
              <w:top w:val="nil"/>
              <w:left w:val="nil"/>
              <w:bottom w:val="single" w:color="auto" w:sz="4" w:space="0"/>
              <w:right w:val="single" w:color="auto" w:sz="4" w:space="0"/>
            </w:tcBorders>
            <w:vAlign w:val="center"/>
          </w:tcPr>
          <w:p w14:paraId="2F435053">
            <w:pPr>
              <w:spacing w:after="120"/>
              <w:jc w:val="center"/>
              <w:rPr>
                <w:szCs w:val="21"/>
              </w:rPr>
            </w:pPr>
            <w:r>
              <w:rPr>
                <w:szCs w:val="21"/>
              </w:rPr>
              <w:t>　</w:t>
            </w:r>
          </w:p>
        </w:tc>
        <w:tc>
          <w:tcPr>
            <w:tcW w:w="3261" w:type="dxa"/>
            <w:tcBorders>
              <w:top w:val="nil"/>
              <w:left w:val="nil"/>
              <w:bottom w:val="single" w:color="auto" w:sz="4" w:space="0"/>
              <w:right w:val="single" w:color="auto" w:sz="4" w:space="0"/>
            </w:tcBorders>
            <w:vAlign w:val="center"/>
          </w:tcPr>
          <w:p w14:paraId="4FB12A62">
            <w:pPr>
              <w:spacing w:after="120"/>
              <w:jc w:val="center"/>
              <w:rPr>
                <w:szCs w:val="21"/>
              </w:rPr>
            </w:pPr>
            <w:r>
              <w:rPr>
                <w:szCs w:val="21"/>
              </w:rPr>
              <w:t>　</w:t>
            </w:r>
          </w:p>
        </w:tc>
        <w:tc>
          <w:tcPr>
            <w:tcW w:w="992" w:type="dxa"/>
            <w:tcBorders>
              <w:top w:val="nil"/>
              <w:left w:val="nil"/>
              <w:bottom w:val="single" w:color="auto" w:sz="4" w:space="0"/>
              <w:right w:val="single" w:color="auto" w:sz="4" w:space="0"/>
            </w:tcBorders>
            <w:vAlign w:val="center"/>
          </w:tcPr>
          <w:p w14:paraId="1CD479AA">
            <w:pPr>
              <w:spacing w:after="120"/>
              <w:jc w:val="center"/>
              <w:rPr>
                <w:szCs w:val="21"/>
              </w:rPr>
            </w:pPr>
            <w:r>
              <w:rPr>
                <w:szCs w:val="21"/>
              </w:rPr>
              <w:t>　</w:t>
            </w:r>
          </w:p>
        </w:tc>
      </w:tr>
    </w:tbl>
    <w:p w14:paraId="039ACE81">
      <w:pPr>
        <w:spacing w:after="120"/>
        <w:rPr>
          <w:rFonts w:cs="宋体"/>
          <w:szCs w:val="21"/>
        </w:rPr>
      </w:pPr>
      <w:r>
        <w:rPr>
          <w:rFonts w:hint="eastAsia" w:cs="宋体"/>
          <w:szCs w:val="21"/>
        </w:rPr>
        <w:t>一、注：</w:t>
      </w:r>
    </w:p>
    <w:p w14:paraId="11241D6A">
      <w:pPr>
        <w:spacing w:after="120"/>
        <w:rPr>
          <w:rFonts w:cs="宋体"/>
          <w:szCs w:val="21"/>
        </w:rPr>
      </w:pPr>
      <w:r>
        <w:rPr>
          <w:rFonts w:hint="eastAsia" w:cs="宋体"/>
          <w:szCs w:val="21"/>
        </w:rPr>
        <w:t>1、每一评分项扣分，至该项对应分值扣完为止。</w:t>
      </w:r>
    </w:p>
    <w:p w14:paraId="09CC2B2D">
      <w:pPr>
        <w:spacing w:after="120"/>
        <w:rPr>
          <w:rFonts w:cs="宋体"/>
          <w:szCs w:val="21"/>
        </w:rPr>
      </w:pPr>
      <w:r>
        <w:rPr>
          <w:rFonts w:hint="eastAsia" w:cs="宋体"/>
          <w:szCs w:val="21"/>
        </w:rPr>
        <w:t>2、应在岗实际未在岗累计达到3天的，或经问询明显不了解项目具体情况累计达到3次的，或未按甲方要求出席会议累计达到3次的，可认定自行更换</w:t>
      </w:r>
    </w:p>
    <w:p w14:paraId="74CF4149">
      <w:pPr>
        <w:spacing w:after="120"/>
        <w:rPr>
          <w:rFonts w:cs="宋体"/>
          <w:szCs w:val="21"/>
        </w:rPr>
      </w:pPr>
    </w:p>
    <w:p w14:paraId="2EE03F04">
      <w:pPr>
        <w:spacing w:after="120"/>
        <w:rPr>
          <w:rFonts w:cs="宋体"/>
          <w:szCs w:val="21"/>
        </w:rPr>
      </w:pPr>
      <w:r>
        <w:rPr>
          <w:rFonts w:hint="eastAsia" w:cs="宋体"/>
          <w:szCs w:val="21"/>
        </w:rPr>
        <w:t>二、扣分情况说明：</w:t>
      </w:r>
    </w:p>
    <w:p w14:paraId="792FA798">
      <w:pPr>
        <w:spacing w:after="120"/>
        <w:rPr>
          <w:rFonts w:cs="宋体"/>
          <w:szCs w:val="21"/>
        </w:rPr>
      </w:pPr>
      <w:r>
        <w:rPr>
          <w:rFonts w:hint="eastAsia" w:cs="宋体"/>
          <w:szCs w:val="21"/>
        </w:rPr>
        <w:t>1、</w:t>
      </w:r>
    </w:p>
    <w:p w14:paraId="5BB5E622">
      <w:pPr>
        <w:spacing w:after="120"/>
        <w:rPr>
          <w:rFonts w:cs="宋体"/>
          <w:szCs w:val="21"/>
        </w:rPr>
      </w:pPr>
      <w:r>
        <w:rPr>
          <w:rFonts w:hint="eastAsia" w:cs="宋体"/>
          <w:szCs w:val="21"/>
        </w:rPr>
        <w:t>2、</w:t>
      </w:r>
    </w:p>
    <w:p w14:paraId="5E853188">
      <w:pPr>
        <w:spacing w:after="120"/>
        <w:rPr>
          <w:rFonts w:cs="宋体"/>
          <w:szCs w:val="21"/>
        </w:rPr>
      </w:pPr>
      <w:r>
        <w:rPr>
          <w:rFonts w:hint="eastAsia" w:cs="宋体"/>
          <w:szCs w:val="21"/>
        </w:rPr>
        <w:t>3、</w:t>
      </w:r>
    </w:p>
    <w:p w14:paraId="0A3E5CC9">
      <w:pPr>
        <w:spacing w:after="120"/>
        <w:rPr>
          <w:rFonts w:cs="宋体"/>
          <w:szCs w:val="21"/>
        </w:rPr>
      </w:pPr>
      <w:r>
        <w:rPr>
          <w:rFonts w:hint="eastAsia" w:cs="宋体"/>
          <w:szCs w:val="21"/>
        </w:rPr>
        <w:t>…</w:t>
      </w:r>
    </w:p>
    <w:p w14:paraId="402AA7EE">
      <w:pPr>
        <w:spacing w:after="120"/>
        <w:rPr>
          <w:rFonts w:cs="宋体"/>
          <w:szCs w:val="21"/>
        </w:rPr>
      </w:pPr>
    </w:p>
    <w:p w14:paraId="77394B7C">
      <w:pPr>
        <w:spacing w:after="120"/>
        <w:rPr>
          <w:rFonts w:cs="宋体"/>
          <w:szCs w:val="21"/>
          <w:u w:val="single"/>
        </w:rPr>
      </w:pPr>
      <w:r>
        <w:rPr>
          <w:rFonts w:hint="eastAsia" w:cs="宋体"/>
          <w:szCs w:val="21"/>
        </w:rPr>
        <w:t>项目负责人：×××  签名：</w:t>
      </w:r>
    </w:p>
    <w:p w14:paraId="559C2259">
      <w:pPr>
        <w:spacing w:after="120"/>
        <w:rPr>
          <w:rFonts w:cs="宋体"/>
          <w:szCs w:val="21"/>
        </w:rPr>
      </w:pPr>
    </w:p>
    <w:p w14:paraId="0D062ED3">
      <w:pPr>
        <w:spacing w:after="120"/>
        <w:rPr>
          <w:rFonts w:cs="宋体"/>
          <w:szCs w:val="21"/>
          <w:u w:val="single"/>
        </w:rPr>
      </w:pPr>
      <w:r>
        <w:rPr>
          <w:rFonts w:hint="eastAsia" w:cs="宋体"/>
          <w:szCs w:val="21"/>
        </w:rPr>
        <w:t>部门负责人：×××  签名：</w:t>
      </w:r>
    </w:p>
    <w:p w14:paraId="14A2DB15">
      <w:pPr>
        <w:spacing w:after="120"/>
        <w:rPr>
          <w:rFonts w:cs="宋体"/>
          <w:szCs w:val="21"/>
        </w:rPr>
      </w:pPr>
    </w:p>
    <w:p w14:paraId="480B88E8">
      <w:pPr>
        <w:spacing w:after="120"/>
        <w:rPr>
          <w:rFonts w:cs="宋体"/>
          <w:szCs w:val="21"/>
        </w:rPr>
      </w:pPr>
      <w:r>
        <w:rPr>
          <w:rFonts w:hint="eastAsia" w:cs="宋体"/>
          <w:szCs w:val="21"/>
        </w:rPr>
        <w:t>日期：      年    月    日</w:t>
      </w:r>
    </w:p>
    <w:p w14:paraId="05A94BEE">
      <w:pPr>
        <w:spacing w:after="120"/>
        <w:rPr>
          <w:rFonts w:cs="宋体"/>
          <w:szCs w:val="21"/>
        </w:rPr>
      </w:pPr>
    </w:p>
    <w:p w14:paraId="60715E83">
      <w:pPr>
        <w:spacing w:after="120" w:line="560" w:lineRule="exact"/>
        <w:ind w:firstLine="482"/>
        <w:rPr>
          <w:rFonts w:ascii="仿宋_GB2312" w:eastAsia="仿宋_GB2312"/>
          <w:sz w:val="32"/>
          <w:szCs w:val="32"/>
        </w:rPr>
      </w:pPr>
      <w:r>
        <w:rPr>
          <w:b/>
          <w:szCs w:val="21"/>
        </w:rPr>
        <w:br w:type="page"/>
      </w:r>
      <w:r>
        <w:rPr>
          <w:rFonts w:hint="eastAsia" w:ascii="仿宋_GB2312" w:eastAsia="仿宋_GB2312"/>
          <w:sz w:val="32"/>
          <w:szCs w:val="32"/>
        </w:rPr>
        <w:t>附件三</w:t>
      </w:r>
    </w:p>
    <w:tbl>
      <w:tblPr>
        <w:tblStyle w:val="55"/>
        <w:tblW w:w="9366" w:type="dxa"/>
        <w:jc w:val="center"/>
        <w:tblLayout w:type="fixed"/>
        <w:tblCellMar>
          <w:top w:w="0" w:type="dxa"/>
          <w:left w:w="108" w:type="dxa"/>
          <w:bottom w:w="0" w:type="dxa"/>
          <w:right w:w="108" w:type="dxa"/>
        </w:tblCellMar>
      </w:tblPr>
      <w:tblGrid>
        <w:gridCol w:w="460"/>
        <w:gridCol w:w="1393"/>
        <w:gridCol w:w="709"/>
        <w:gridCol w:w="2551"/>
        <w:gridCol w:w="3261"/>
        <w:gridCol w:w="992"/>
      </w:tblGrid>
      <w:tr w14:paraId="012B6F15">
        <w:tblPrEx>
          <w:tblCellMar>
            <w:top w:w="0" w:type="dxa"/>
            <w:left w:w="108" w:type="dxa"/>
            <w:bottom w:w="0" w:type="dxa"/>
            <w:right w:w="108" w:type="dxa"/>
          </w:tblCellMar>
        </w:tblPrEx>
        <w:trPr>
          <w:trHeight w:val="795" w:hRule="atLeast"/>
          <w:jc w:val="center"/>
        </w:trPr>
        <w:tc>
          <w:tcPr>
            <w:tcW w:w="9366" w:type="dxa"/>
            <w:gridSpan w:val="6"/>
            <w:tcBorders>
              <w:top w:val="nil"/>
              <w:left w:val="nil"/>
              <w:bottom w:val="nil"/>
              <w:right w:val="nil"/>
            </w:tcBorders>
            <w:vAlign w:val="center"/>
          </w:tcPr>
          <w:p w14:paraId="18126B9A">
            <w:pPr>
              <w:spacing w:after="120"/>
              <w:ind w:firstLine="560"/>
              <w:jc w:val="center"/>
              <w:rPr>
                <w:rFonts w:ascii="仿宋_GB2312" w:eastAsia="仿宋_GB2312"/>
                <w:sz w:val="28"/>
                <w:szCs w:val="28"/>
              </w:rPr>
            </w:pPr>
            <w:r>
              <w:rPr>
                <w:rFonts w:hint="eastAsia" w:ascii="仿宋_GB2312" w:eastAsia="仿宋_GB2312"/>
                <w:sz w:val="28"/>
                <w:szCs w:val="28"/>
              </w:rPr>
              <w:t>施工图设计阶段设计合同履约评价表</w:t>
            </w:r>
          </w:p>
        </w:tc>
      </w:tr>
      <w:tr w14:paraId="3F633CD9">
        <w:tblPrEx>
          <w:tblCellMar>
            <w:top w:w="0" w:type="dxa"/>
            <w:left w:w="108" w:type="dxa"/>
            <w:bottom w:w="0" w:type="dxa"/>
            <w:right w:w="108" w:type="dxa"/>
          </w:tblCellMar>
        </w:tblPrEx>
        <w:trPr>
          <w:jc w:val="center"/>
        </w:trPr>
        <w:tc>
          <w:tcPr>
            <w:tcW w:w="460" w:type="dxa"/>
            <w:tcBorders>
              <w:top w:val="single" w:color="auto" w:sz="4" w:space="0"/>
              <w:left w:val="single" w:color="auto" w:sz="4" w:space="0"/>
              <w:bottom w:val="single" w:color="auto" w:sz="4" w:space="0"/>
              <w:right w:val="single" w:color="auto" w:sz="4" w:space="0"/>
            </w:tcBorders>
            <w:vAlign w:val="center"/>
          </w:tcPr>
          <w:p w14:paraId="636AC17E">
            <w:pPr>
              <w:spacing w:after="120"/>
              <w:ind w:firstLine="0" w:firstLineChars="0"/>
              <w:rPr>
                <w:rFonts w:cs="宋体"/>
                <w:b/>
                <w:bCs/>
                <w:szCs w:val="21"/>
              </w:rPr>
            </w:pPr>
            <w:r>
              <w:rPr>
                <w:rFonts w:hint="eastAsia" w:cs="宋体"/>
                <w:b/>
                <w:bCs/>
                <w:szCs w:val="21"/>
              </w:rPr>
              <w:t>序号</w:t>
            </w:r>
          </w:p>
        </w:tc>
        <w:tc>
          <w:tcPr>
            <w:tcW w:w="1393" w:type="dxa"/>
            <w:tcBorders>
              <w:top w:val="single" w:color="auto" w:sz="4" w:space="0"/>
              <w:left w:val="nil"/>
              <w:bottom w:val="single" w:color="auto" w:sz="4" w:space="0"/>
              <w:right w:val="single" w:color="auto" w:sz="4" w:space="0"/>
            </w:tcBorders>
            <w:vAlign w:val="center"/>
          </w:tcPr>
          <w:p w14:paraId="373A09E5">
            <w:pPr>
              <w:spacing w:after="120"/>
              <w:ind w:firstLine="482"/>
              <w:jc w:val="center"/>
              <w:rPr>
                <w:rFonts w:cs="宋体"/>
                <w:b/>
                <w:bCs/>
                <w:szCs w:val="21"/>
              </w:rPr>
            </w:pPr>
            <w:r>
              <w:rPr>
                <w:rFonts w:hint="eastAsia" w:cs="宋体"/>
                <w:b/>
                <w:bCs/>
                <w:szCs w:val="21"/>
              </w:rPr>
              <w:t>内容</w:t>
            </w:r>
          </w:p>
        </w:tc>
        <w:tc>
          <w:tcPr>
            <w:tcW w:w="709" w:type="dxa"/>
            <w:tcBorders>
              <w:top w:val="single" w:color="auto" w:sz="4" w:space="0"/>
              <w:left w:val="nil"/>
              <w:bottom w:val="single" w:color="auto" w:sz="4" w:space="0"/>
              <w:right w:val="single" w:color="auto" w:sz="4" w:space="0"/>
            </w:tcBorders>
            <w:vAlign w:val="center"/>
          </w:tcPr>
          <w:p w14:paraId="0A123F1C">
            <w:pPr>
              <w:spacing w:after="120"/>
              <w:ind w:firstLine="0" w:firstLineChars="0"/>
              <w:rPr>
                <w:rFonts w:cs="宋体"/>
                <w:b/>
                <w:bCs/>
                <w:szCs w:val="21"/>
              </w:rPr>
            </w:pPr>
            <w:r>
              <w:rPr>
                <w:rFonts w:hint="eastAsia" w:cs="宋体"/>
                <w:b/>
                <w:bCs/>
                <w:szCs w:val="21"/>
              </w:rPr>
              <w:t>单项</w:t>
            </w:r>
          </w:p>
          <w:p w14:paraId="6C780CD7">
            <w:pPr>
              <w:spacing w:after="120"/>
              <w:ind w:firstLine="0" w:firstLineChars="0"/>
              <w:rPr>
                <w:rFonts w:cs="宋体"/>
                <w:b/>
                <w:bCs/>
                <w:szCs w:val="21"/>
              </w:rPr>
            </w:pPr>
            <w:r>
              <w:rPr>
                <w:rFonts w:hint="eastAsia" w:cs="宋体"/>
                <w:b/>
                <w:bCs/>
                <w:szCs w:val="21"/>
              </w:rPr>
              <w:t>分值</w:t>
            </w:r>
          </w:p>
        </w:tc>
        <w:tc>
          <w:tcPr>
            <w:tcW w:w="2551" w:type="dxa"/>
            <w:tcBorders>
              <w:top w:val="single" w:color="auto" w:sz="4" w:space="0"/>
              <w:left w:val="nil"/>
              <w:bottom w:val="single" w:color="auto" w:sz="4" w:space="0"/>
              <w:right w:val="single" w:color="auto" w:sz="4" w:space="0"/>
            </w:tcBorders>
            <w:vAlign w:val="center"/>
          </w:tcPr>
          <w:p w14:paraId="1DD2A001">
            <w:pPr>
              <w:spacing w:after="120"/>
              <w:ind w:firstLine="482"/>
              <w:jc w:val="center"/>
              <w:rPr>
                <w:rFonts w:cs="宋体"/>
                <w:b/>
                <w:bCs/>
                <w:szCs w:val="21"/>
              </w:rPr>
            </w:pPr>
            <w:r>
              <w:rPr>
                <w:rFonts w:hint="eastAsia" w:cs="宋体"/>
                <w:b/>
                <w:bCs/>
                <w:szCs w:val="21"/>
              </w:rPr>
              <w:t>评价指标</w:t>
            </w:r>
          </w:p>
        </w:tc>
        <w:tc>
          <w:tcPr>
            <w:tcW w:w="3261" w:type="dxa"/>
            <w:tcBorders>
              <w:top w:val="single" w:color="auto" w:sz="4" w:space="0"/>
              <w:left w:val="nil"/>
              <w:bottom w:val="single" w:color="auto" w:sz="4" w:space="0"/>
              <w:right w:val="single" w:color="auto" w:sz="4" w:space="0"/>
            </w:tcBorders>
            <w:vAlign w:val="center"/>
          </w:tcPr>
          <w:p w14:paraId="330A356B">
            <w:pPr>
              <w:spacing w:after="120"/>
              <w:ind w:firstLine="482"/>
              <w:jc w:val="center"/>
              <w:rPr>
                <w:rFonts w:cs="宋体"/>
                <w:b/>
                <w:bCs/>
                <w:szCs w:val="21"/>
              </w:rPr>
            </w:pPr>
            <w:r>
              <w:rPr>
                <w:rFonts w:hint="eastAsia" w:cs="宋体"/>
                <w:b/>
                <w:bCs/>
                <w:szCs w:val="21"/>
              </w:rPr>
              <w:t>评分标准</w:t>
            </w:r>
          </w:p>
        </w:tc>
        <w:tc>
          <w:tcPr>
            <w:tcW w:w="992" w:type="dxa"/>
            <w:tcBorders>
              <w:top w:val="single" w:color="auto" w:sz="4" w:space="0"/>
              <w:left w:val="nil"/>
              <w:bottom w:val="single" w:color="auto" w:sz="4" w:space="0"/>
              <w:right w:val="single" w:color="auto" w:sz="4" w:space="0"/>
            </w:tcBorders>
            <w:vAlign w:val="center"/>
          </w:tcPr>
          <w:p w14:paraId="40EF4721">
            <w:pPr>
              <w:spacing w:after="120"/>
              <w:ind w:firstLine="0" w:firstLineChars="0"/>
              <w:rPr>
                <w:rFonts w:cs="宋体"/>
                <w:szCs w:val="21"/>
              </w:rPr>
            </w:pPr>
            <w:r>
              <w:rPr>
                <w:rFonts w:hint="eastAsia" w:cs="宋体"/>
                <w:szCs w:val="21"/>
              </w:rPr>
              <w:t>得分</w:t>
            </w:r>
          </w:p>
        </w:tc>
      </w:tr>
      <w:tr w14:paraId="329D5B62">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14755630">
            <w:pPr>
              <w:spacing w:after="120"/>
              <w:ind w:firstLine="0" w:firstLineChars="0"/>
              <w:rPr>
                <w:szCs w:val="21"/>
              </w:rPr>
            </w:pPr>
            <w:r>
              <w:rPr>
                <w:rFonts w:hint="eastAsia"/>
                <w:szCs w:val="21"/>
              </w:rPr>
              <w:t>一</w:t>
            </w:r>
          </w:p>
        </w:tc>
        <w:tc>
          <w:tcPr>
            <w:tcW w:w="1393" w:type="dxa"/>
            <w:tcBorders>
              <w:top w:val="nil"/>
              <w:left w:val="nil"/>
              <w:bottom w:val="single" w:color="auto" w:sz="4" w:space="0"/>
              <w:right w:val="single" w:color="auto" w:sz="4" w:space="0"/>
            </w:tcBorders>
            <w:vAlign w:val="center"/>
          </w:tcPr>
          <w:p w14:paraId="54EEAF8A">
            <w:pPr>
              <w:spacing w:after="120"/>
              <w:ind w:firstLine="0" w:firstLineChars="0"/>
              <w:rPr>
                <w:szCs w:val="21"/>
              </w:rPr>
            </w:pPr>
            <w:r>
              <w:rPr>
                <w:rFonts w:hint="eastAsia"/>
                <w:szCs w:val="21"/>
              </w:rPr>
              <w:t>人员配备</w:t>
            </w:r>
          </w:p>
        </w:tc>
        <w:tc>
          <w:tcPr>
            <w:tcW w:w="709" w:type="dxa"/>
            <w:tcBorders>
              <w:top w:val="nil"/>
              <w:left w:val="nil"/>
              <w:bottom w:val="single" w:color="auto" w:sz="4" w:space="0"/>
              <w:right w:val="single" w:color="auto" w:sz="4" w:space="0"/>
            </w:tcBorders>
            <w:vAlign w:val="center"/>
          </w:tcPr>
          <w:p w14:paraId="1FA81EEF">
            <w:pPr>
              <w:spacing w:after="120"/>
              <w:ind w:firstLine="0" w:firstLineChars="0"/>
              <w:rPr>
                <w:szCs w:val="21"/>
              </w:rPr>
            </w:pPr>
            <w:r>
              <w:rPr>
                <w:szCs w:val="21"/>
              </w:rPr>
              <w:t>10</w:t>
            </w:r>
          </w:p>
        </w:tc>
        <w:tc>
          <w:tcPr>
            <w:tcW w:w="2551" w:type="dxa"/>
            <w:tcBorders>
              <w:top w:val="nil"/>
              <w:left w:val="nil"/>
              <w:bottom w:val="single" w:color="auto" w:sz="4" w:space="0"/>
              <w:right w:val="single" w:color="auto" w:sz="4" w:space="0"/>
            </w:tcBorders>
            <w:vAlign w:val="center"/>
          </w:tcPr>
          <w:p w14:paraId="3DBDDEDC">
            <w:pPr>
              <w:spacing w:after="120"/>
              <w:ind w:firstLine="482"/>
              <w:jc w:val="center"/>
              <w:rPr>
                <w:b/>
                <w:bCs/>
                <w:szCs w:val="21"/>
              </w:rPr>
            </w:pPr>
            <w:r>
              <w:rPr>
                <w:rFonts w:hint="eastAsia"/>
                <w:b/>
                <w:bCs/>
                <w:szCs w:val="21"/>
              </w:rPr>
              <w:t>　</w:t>
            </w:r>
          </w:p>
        </w:tc>
        <w:tc>
          <w:tcPr>
            <w:tcW w:w="3261" w:type="dxa"/>
            <w:tcBorders>
              <w:top w:val="nil"/>
              <w:left w:val="nil"/>
              <w:bottom w:val="single" w:color="auto" w:sz="4" w:space="0"/>
              <w:right w:val="single" w:color="auto" w:sz="4" w:space="0"/>
            </w:tcBorders>
            <w:vAlign w:val="center"/>
          </w:tcPr>
          <w:p w14:paraId="487B978C">
            <w:pPr>
              <w:spacing w:after="120"/>
              <w:ind w:firstLine="482"/>
              <w:jc w:val="center"/>
              <w:rPr>
                <w:b/>
                <w:bCs/>
                <w:szCs w:val="21"/>
              </w:rPr>
            </w:pPr>
            <w:r>
              <w:rPr>
                <w:rFonts w:hint="eastAsia"/>
                <w:b/>
                <w:bCs/>
                <w:szCs w:val="21"/>
              </w:rPr>
              <w:t>　</w:t>
            </w:r>
          </w:p>
        </w:tc>
        <w:tc>
          <w:tcPr>
            <w:tcW w:w="992" w:type="dxa"/>
            <w:tcBorders>
              <w:top w:val="nil"/>
              <w:left w:val="nil"/>
              <w:bottom w:val="single" w:color="auto" w:sz="4" w:space="0"/>
              <w:right w:val="single" w:color="auto" w:sz="4" w:space="0"/>
            </w:tcBorders>
            <w:vAlign w:val="center"/>
          </w:tcPr>
          <w:p w14:paraId="139B4C09">
            <w:pPr>
              <w:spacing w:after="120"/>
              <w:jc w:val="center"/>
              <w:rPr>
                <w:szCs w:val="21"/>
              </w:rPr>
            </w:pPr>
            <w:r>
              <w:rPr>
                <w:rFonts w:hint="eastAsia"/>
                <w:szCs w:val="21"/>
              </w:rPr>
              <w:t>　</w:t>
            </w:r>
          </w:p>
        </w:tc>
      </w:tr>
      <w:tr w14:paraId="5BEAB964">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46E8800D">
            <w:pPr>
              <w:spacing w:after="120"/>
              <w:ind w:firstLine="0" w:firstLineChars="0"/>
              <w:rPr>
                <w:szCs w:val="21"/>
              </w:rPr>
            </w:pPr>
            <w:r>
              <w:rPr>
                <w:szCs w:val="21"/>
              </w:rPr>
              <w:t>1</w:t>
            </w:r>
          </w:p>
        </w:tc>
        <w:tc>
          <w:tcPr>
            <w:tcW w:w="1393" w:type="dxa"/>
            <w:tcBorders>
              <w:top w:val="nil"/>
              <w:left w:val="nil"/>
              <w:bottom w:val="single" w:color="auto" w:sz="4" w:space="0"/>
              <w:right w:val="nil"/>
            </w:tcBorders>
            <w:vAlign w:val="center"/>
          </w:tcPr>
          <w:p w14:paraId="6E644500">
            <w:pPr>
              <w:spacing w:after="120"/>
              <w:ind w:firstLine="0" w:firstLineChars="0"/>
              <w:rPr>
                <w:szCs w:val="21"/>
              </w:rPr>
            </w:pPr>
            <w:r>
              <w:rPr>
                <w:rFonts w:hint="eastAsia"/>
                <w:szCs w:val="21"/>
              </w:rPr>
              <w:t>项目负责人</w:t>
            </w:r>
          </w:p>
        </w:tc>
        <w:tc>
          <w:tcPr>
            <w:tcW w:w="709" w:type="dxa"/>
            <w:tcBorders>
              <w:top w:val="nil"/>
              <w:left w:val="single" w:color="auto" w:sz="4" w:space="0"/>
              <w:bottom w:val="single" w:color="auto" w:sz="4" w:space="0"/>
              <w:right w:val="single" w:color="auto" w:sz="4" w:space="0"/>
            </w:tcBorders>
            <w:vAlign w:val="center"/>
          </w:tcPr>
          <w:p w14:paraId="7524A8EB">
            <w:pPr>
              <w:spacing w:after="120"/>
              <w:ind w:firstLine="0" w:firstLineChars="0"/>
              <w:rPr>
                <w:szCs w:val="21"/>
              </w:rPr>
            </w:pPr>
            <w:r>
              <w:rPr>
                <w:szCs w:val="21"/>
              </w:rPr>
              <w:t>5</w:t>
            </w:r>
          </w:p>
        </w:tc>
        <w:tc>
          <w:tcPr>
            <w:tcW w:w="2551" w:type="dxa"/>
            <w:tcBorders>
              <w:top w:val="nil"/>
              <w:left w:val="nil"/>
              <w:bottom w:val="single" w:color="auto" w:sz="4" w:space="0"/>
              <w:right w:val="single" w:color="auto" w:sz="4" w:space="0"/>
            </w:tcBorders>
            <w:vAlign w:val="center"/>
          </w:tcPr>
          <w:p w14:paraId="60804282">
            <w:pPr>
              <w:spacing w:after="120"/>
              <w:ind w:firstLine="0" w:firstLineChars="0"/>
              <w:jc w:val="left"/>
              <w:rPr>
                <w:szCs w:val="21"/>
              </w:rPr>
            </w:pPr>
            <w:r>
              <w:rPr>
                <w:rFonts w:hint="eastAsia"/>
                <w:szCs w:val="21"/>
              </w:rPr>
              <w:t>是否按合同到位</w:t>
            </w:r>
          </w:p>
        </w:tc>
        <w:tc>
          <w:tcPr>
            <w:tcW w:w="3261" w:type="dxa"/>
            <w:tcBorders>
              <w:top w:val="nil"/>
              <w:left w:val="nil"/>
              <w:bottom w:val="single" w:color="auto" w:sz="4" w:space="0"/>
              <w:right w:val="single" w:color="auto" w:sz="4" w:space="0"/>
            </w:tcBorders>
            <w:vAlign w:val="center"/>
          </w:tcPr>
          <w:p w14:paraId="38161127">
            <w:pPr>
              <w:spacing w:after="120"/>
              <w:ind w:firstLine="0" w:firstLineChars="0"/>
              <w:jc w:val="left"/>
              <w:rPr>
                <w:szCs w:val="21"/>
              </w:rPr>
            </w:pPr>
            <w:r>
              <w:rPr>
                <w:rFonts w:hint="eastAsia"/>
                <w:szCs w:val="21"/>
              </w:rPr>
              <w:t>未按合同到位且未经甲方同意，每自行更换一次，扣</w:t>
            </w:r>
            <w:r>
              <w:rPr>
                <w:szCs w:val="21"/>
              </w:rPr>
              <w:t>2</w:t>
            </w:r>
            <w:r>
              <w:rPr>
                <w:rFonts w:hint="eastAsia"/>
                <w:szCs w:val="21"/>
              </w:rPr>
              <w:t>分；</w:t>
            </w:r>
          </w:p>
          <w:p w14:paraId="60F5360E">
            <w:pPr>
              <w:spacing w:after="120"/>
              <w:ind w:firstLine="0" w:firstLineChars="0"/>
              <w:jc w:val="left"/>
              <w:rPr>
                <w:szCs w:val="21"/>
              </w:rPr>
            </w:pPr>
            <w:r>
              <w:rPr>
                <w:rFonts w:hint="eastAsia"/>
                <w:szCs w:val="21"/>
              </w:rPr>
              <w:t>缺席甲方要求参加的重要会议，每次扣</w:t>
            </w:r>
            <w:r>
              <w:rPr>
                <w:szCs w:val="21"/>
              </w:rPr>
              <w:t>1分。</w:t>
            </w:r>
          </w:p>
        </w:tc>
        <w:tc>
          <w:tcPr>
            <w:tcW w:w="992" w:type="dxa"/>
            <w:tcBorders>
              <w:top w:val="nil"/>
              <w:left w:val="nil"/>
              <w:bottom w:val="single" w:color="auto" w:sz="4" w:space="0"/>
              <w:right w:val="single" w:color="auto" w:sz="4" w:space="0"/>
            </w:tcBorders>
            <w:vAlign w:val="center"/>
          </w:tcPr>
          <w:p w14:paraId="55DC25C8">
            <w:pPr>
              <w:spacing w:after="120"/>
              <w:jc w:val="center"/>
              <w:rPr>
                <w:szCs w:val="21"/>
              </w:rPr>
            </w:pPr>
            <w:r>
              <w:rPr>
                <w:rFonts w:hint="eastAsia"/>
                <w:szCs w:val="21"/>
              </w:rPr>
              <w:t>　</w:t>
            </w:r>
          </w:p>
        </w:tc>
      </w:tr>
      <w:tr w14:paraId="40FE81E3">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61FC18AD">
            <w:pPr>
              <w:spacing w:after="120"/>
              <w:ind w:firstLine="0" w:firstLineChars="0"/>
              <w:rPr>
                <w:szCs w:val="21"/>
              </w:rPr>
            </w:pPr>
            <w:r>
              <w:rPr>
                <w:szCs w:val="21"/>
              </w:rPr>
              <w:t>2</w:t>
            </w:r>
          </w:p>
        </w:tc>
        <w:tc>
          <w:tcPr>
            <w:tcW w:w="1393" w:type="dxa"/>
            <w:tcBorders>
              <w:top w:val="single" w:color="auto" w:sz="4" w:space="0"/>
              <w:left w:val="nil"/>
              <w:bottom w:val="nil"/>
              <w:right w:val="nil"/>
            </w:tcBorders>
            <w:vAlign w:val="center"/>
          </w:tcPr>
          <w:p w14:paraId="48E121B1">
            <w:pPr>
              <w:spacing w:after="120"/>
              <w:ind w:firstLine="0" w:firstLineChars="0"/>
              <w:jc w:val="left"/>
              <w:rPr>
                <w:szCs w:val="21"/>
              </w:rPr>
            </w:pPr>
            <w:r>
              <w:rPr>
                <w:rFonts w:hint="eastAsia"/>
                <w:szCs w:val="21"/>
              </w:rPr>
              <w:t>各专业负责人</w:t>
            </w:r>
          </w:p>
        </w:tc>
        <w:tc>
          <w:tcPr>
            <w:tcW w:w="709" w:type="dxa"/>
            <w:tcBorders>
              <w:top w:val="nil"/>
              <w:left w:val="single" w:color="auto" w:sz="4" w:space="0"/>
              <w:bottom w:val="single" w:color="auto" w:sz="4" w:space="0"/>
              <w:right w:val="single" w:color="auto" w:sz="4" w:space="0"/>
            </w:tcBorders>
            <w:vAlign w:val="center"/>
          </w:tcPr>
          <w:p w14:paraId="5ECCB055">
            <w:pPr>
              <w:spacing w:after="120"/>
              <w:ind w:firstLine="0" w:firstLineChars="0"/>
              <w:rPr>
                <w:szCs w:val="21"/>
              </w:rPr>
            </w:pPr>
            <w:r>
              <w:rPr>
                <w:szCs w:val="21"/>
              </w:rPr>
              <w:t>5</w:t>
            </w:r>
          </w:p>
        </w:tc>
        <w:tc>
          <w:tcPr>
            <w:tcW w:w="2551" w:type="dxa"/>
            <w:tcBorders>
              <w:top w:val="nil"/>
              <w:left w:val="nil"/>
              <w:bottom w:val="single" w:color="auto" w:sz="4" w:space="0"/>
              <w:right w:val="single" w:color="auto" w:sz="4" w:space="0"/>
            </w:tcBorders>
            <w:vAlign w:val="center"/>
          </w:tcPr>
          <w:p w14:paraId="779DABE8">
            <w:pPr>
              <w:spacing w:after="120"/>
              <w:ind w:firstLine="0" w:firstLineChars="0"/>
              <w:jc w:val="left"/>
              <w:rPr>
                <w:szCs w:val="21"/>
              </w:rPr>
            </w:pPr>
            <w:r>
              <w:rPr>
                <w:rFonts w:hint="eastAsia"/>
                <w:szCs w:val="21"/>
              </w:rPr>
              <w:t>人员是否稳定无更换</w:t>
            </w:r>
          </w:p>
        </w:tc>
        <w:tc>
          <w:tcPr>
            <w:tcW w:w="3261" w:type="dxa"/>
            <w:tcBorders>
              <w:top w:val="nil"/>
              <w:left w:val="nil"/>
              <w:bottom w:val="single" w:color="auto" w:sz="4" w:space="0"/>
              <w:right w:val="single" w:color="auto" w:sz="4" w:space="0"/>
            </w:tcBorders>
            <w:vAlign w:val="center"/>
          </w:tcPr>
          <w:p w14:paraId="0C934896">
            <w:pPr>
              <w:spacing w:after="120"/>
              <w:ind w:firstLine="0" w:firstLineChars="0"/>
              <w:jc w:val="left"/>
              <w:rPr>
                <w:szCs w:val="21"/>
              </w:rPr>
            </w:pPr>
            <w:r>
              <w:rPr>
                <w:rFonts w:hint="eastAsia"/>
                <w:szCs w:val="21"/>
              </w:rPr>
              <w:t>未按合同到位且未经甲方同意，每自行更换一次，扣</w:t>
            </w:r>
            <w:r>
              <w:rPr>
                <w:szCs w:val="21"/>
              </w:rPr>
              <w:t>2</w:t>
            </w:r>
            <w:r>
              <w:rPr>
                <w:rFonts w:hint="eastAsia"/>
                <w:szCs w:val="21"/>
              </w:rPr>
              <w:t>分；</w:t>
            </w:r>
          </w:p>
          <w:p w14:paraId="75B7EF3A">
            <w:pPr>
              <w:spacing w:after="120"/>
              <w:ind w:firstLine="0" w:firstLineChars="0"/>
              <w:jc w:val="left"/>
              <w:rPr>
                <w:szCs w:val="21"/>
              </w:rPr>
            </w:pPr>
            <w:r>
              <w:rPr>
                <w:rFonts w:hint="eastAsia"/>
                <w:szCs w:val="21"/>
              </w:rPr>
              <w:t>缺席甲方要求参加的有关会议，每次扣</w:t>
            </w:r>
            <w:r>
              <w:rPr>
                <w:szCs w:val="21"/>
              </w:rPr>
              <w:t>1分。</w:t>
            </w:r>
          </w:p>
        </w:tc>
        <w:tc>
          <w:tcPr>
            <w:tcW w:w="992" w:type="dxa"/>
            <w:tcBorders>
              <w:top w:val="nil"/>
              <w:left w:val="nil"/>
              <w:bottom w:val="single" w:color="auto" w:sz="4" w:space="0"/>
              <w:right w:val="single" w:color="auto" w:sz="4" w:space="0"/>
            </w:tcBorders>
            <w:vAlign w:val="center"/>
          </w:tcPr>
          <w:p w14:paraId="4941FD72">
            <w:pPr>
              <w:spacing w:after="120"/>
              <w:jc w:val="center"/>
              <w:rPr>
                <w:szCs w:val="21"/>
              </w:rPr>
            </w:pPr>
          </w:p>
        </w:tc>
      </w:tr>
      <w:tr w14:paraId="33E23098">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46587128">
            <w:pPr>
              <w:spacing w:after="120"/>
              <w:ind w:firstLine="0" w:firstLineChars="0"/>
              <w:rPr>
                <w:szCs w:val="21"/>
              </w:rPr>
            </w:pPr>
            <w:r>
              <w:rPr>
                <w:rFonts w:hint="eastAsia"/>
                <w:szCs w:val="21"/>
              </w:rPr>
              <w:t>二</w:t>
            </w:r>
          </w:p>
        </w:tc>
        <w:tc>
          <w:tcPr>
            <w:tcW w:w="1393" w:type="dxa"/>
            <w:tcBorders>
              <w:top w:val="single" w:color="auto" w:sz="4" w:space="0"/>
              <w:left w:val="nil"/>
              <w:bottom w:val="single" w:color="auto" w:sz="4" w:space="0"/>
              <w:right w:val="single" w:color="auto" w:sz="4" w:space="0"/>
            </w:tcBorders>
            <w:vAlign w:val="center"/>
          </w:tcPr>
          <w:p w14:paraId="6EB2C451">
            <w:pPr>
              <w:spacing w:after="120"/>
              <w:ind w:firstLine="0" w:firstLineChars="0"/>
              <w:jc w:val="left"/>
              <w:rPr>
                <w:szCs w:val="21"/>
              </w:rPr>
            </w:pPr>
            <w:r>
              <w:rPr>
                <w:rFonts w:hint="eastAsia"/>
                <w:szCs w:val="21"/>
              </w:rPr>
              <w:t>能力水平及履约表现</w:t>
            </w:r>
          </w:p>
        </w:tc>
        <w:tc>
          <w:tcPr>
            <w:tcW w:w="709" w:type="dxa"/>
            <w:tcBorders>
              <w:top w:val="nil"/>
              <w:left w:val="nil"/>
              <w:bottom w:val="single" w:color="auto" w:sz="4" w:space="0"/>
              <w:right w:val="single" w:color="auto" w:sz="4" w:space="0"/>
            </w:tcBorders>
            <w:vAlign w:val="center"/>
          </w:tcPr>
          <w:p w14:paraId="0909491E">
            <w:pPr>
              <w:spacing w:after="120"/>
              <w:ind w:firstLine="0" w:firstLineChars="0"/>
              <w:rPr>
                <w:szCs w:val="21"/>
              </w:rPr>
            </w:pPr>
            <w:r>
              <w:rPr>
                <w:szCs w:val="21"/>
              </w:rPr>
              <w:t>10</w:t>
            </w:r>
          </w:p>
        </w:tc>
        <w:tc>
          <w:tcPr>
            <w:tcW w:w="2551" w:type="dxa"/>
            <w:tcBorders>
              <w:top w:val="nil"/>
              <w:left w:val="nil"/>
              <w:bottom w:val="single" w:color="auto" w:sz="4" w:space="0"/>
              <w:right w:val="single" w:color="auto" w:sz="4" w:space="0"/>
            </w:tcBorders>
            <w:vAlign w:val="center"/>
          </w:tcPr>
          <w:p w14:paraId="162A0F2D">
            <w:pPr>
              <w:spacing w:after="120"/>
              <w:jc w:val="left"/>
              <w:rPr>
                <w:szCs w:val="21"/>
              </w:rPr>
            </w:pPr>
            <w:r>
              <w:rPr>
                <w:rFonts w:hint="eastAsia"/>
                <w:szCs w:val="21"/>
              </w:rPr>
              <w:t>　</w:t>
            </w:r>
          </w:p>
        </w:tc>
        <w:tc>
          <w:tcPr>
            <w:tcW w:w="3261" w:type="dxa"/>
            <w:tcBorders>
              <w:top w:val="nil"/>
              <w:left w:val="nil"/>
              <w:bottom w:val="single" w:color="auto" w:sz="4" w:space="0"/>
              <w:right w:val="single" w:color="auto" w:sz="4" w:space="0"/>
            </w:tcBorders>
            <w:vAlign w:val="center"/>
          </w:tcPr>
          <w:p w14:paraId="3F08C961">
            <w:pPr>
              <w:spacing w:after="120"/>
              <w:jc w:val="left"/>
              <w:rPr>
                <w:szCs w:val="21"/>
              </w:rPr>
            </w:pPr>
          </w:p>
        </w:tc>
        <w:tc>
          <w:tcPr>
            <w:tcW w:w="992" w:type="dxa"/>
            <w:tcBorders>
              <w:top w:val="nil"/>
              <w:left w:val="nil"/>
              <w:bottom w:val="single" w:color="auto" w:sz="4" w:space="0"/>
              <w:right w:val="single" w:color="auto" w:sz="4" w:space="0"/>
            </w:tcBorders>
            <w:vAlign w:val="center"/>
          </w:tcPr>
          <w:p w14:paraId="6555C30B">
            <w:pPr>
              <w:spacing w:after="120"/>
              <w:jc w:val="center"/>
              <w:rPr>
                <w:szCs w:val="21"/>
              </w:rPr>
            </w:pPr>
            <w:r>
              <w:rPr>
                <w:rFonts w:hint="eastAsia"/>
                <w:szCs w:val="21"/>
              </w:rPr>
              <w:t>　</w:t>
            </w:r>
          </w:p>
        </w:tc>
      </w:tr>
      <w:tr w14:paraId="17241259">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47E1D33C">
            <w:pPr>
              <w:spacing w:after="120"/>
              <w:ind w:firstLine="0" w:firstLineChars="0"/>
              <w:rPr>
                <w:szCs w:val="21"/>
              </w:rPr>
            </w:pPr>
            <w:r>
              <w:rPr>
                <w:szCs w:val="21"/>
              </w:rPr>
              <w:t>1</w:t>
            </w:r>
          </w:p>
        </w:tc>
        <w:tc>
          <w:tcPr>
            <w:tcW w:w="1393" w:type="dxa"/>
            <w:tcBorders>
              <w:top w:val="nil"/>
              <w:left w:val="nil"/>
              <w:bottom w:val="single" w:color="auto" w:sz="4" w:space="0"/>
              <w:right w:val="single" w:color="auto" w:sz="4" w:space="0"/>
            </w:tcBorders>
            <w:vAlign w:val="center"/>
          </w:tcPr>
          <w:p w14:paraId="4B42DFF8">
            <w:pPr>
              <w:spacing w:after="120"/>
              <w:ind w:firstLine="0" w:firstLineChars="0"/>
              <w:jc w:val="left"/>
              <w:rPr>
                <w:szCs w:val="21"/>
              </w:rPr>
            </w:pPr>
            <w:r>
              <w:rPr>
                <w:rFonts w:hint="eastAsia"/>
                <w:szCs w:val="21"/>
              </w:rPr>
              <w:t>项目负责人</w:t>
            </w:r>
          </w:p>
        </w:tc>
        <w:tc>
          <w:tcPr>
            <w:tcW w:w="709" w:type="dxa"/>
            <w:tcBorders>
              <w:top w:val="nil"/>
              <w:left w:val="nil"/>
              <w:bottom w:val="single" w:color="auto" w:sz="4" w:space="0"/>
              <w:right w:val="single" w:color="auto" w:sz="4" w:space="0"/>
            </w:tcBorders>
            <w:vAlign w:val="center"/>
          </w:tcPr>
          <w:p w14:paraId="1B74EF88">
            <w:pPr>
              <w:spacing w:after="120"/>
              <w:ind w:firstLine="0" w:firstLineChars="0"/>
              <w:rPr>
                <w:szCs w:val="21"/>
              </w:rPr>
            </w:pPr>
            <w:r>
              <w:rPr>
                <w:szCs w:val="21"/>
              </w:rPr>
              <w:t>5</w:t>
            </w:r>
          </w:p>
        </w:tc>
        <w:tc>
          <w:tcPr>
            <w:tcW w:w="2551" w:type="dxa"/>
            <w:tcBorders>
              <w:top w:val="nil"/>
              <w:left w:val="nil"/>
              <w:bottom w:val="single" w:color="auto" w:sz="4" w:space="0"/>
              <w:right w:val="single" w:color="auto" w:sz="4" w:space="0"/>
            </w:tcBorders>
            <w:vAlign w:val="center"/>
          </w:tcPr>
          <w:p w14:paraId="5D7F98CD">
            <w:pPr>
              <w:spacing w:after="120"/>
              <w:ind w:firstLine="0" w:firstLineChars="0"/>
              <w:jc w:val="left"/>
              <w:rPr>
                <w:szCs w:val="21"/>
              </w:rPr>
            </w:pPr>
            <w:r>
              <w:rPr>
                <w:rFonts w:hint="eastAsia"/>
                <w:szCs w:val="21"/>
              </w:rPr>
              <w:t>是否具有较强的协调组织能力；是否及时发现问题和处理问题；是否能与甲方、使用单位及业务主管部门等相关单位充分沟通</w:t>
            </w:r>
          </w:p>
        </w:tc>
        <w:tc>
          <w:tcPr>
            <w:tcW w:w="3261" w:type="dxa"/>
            <w:tcBorders>
              <w:top w:val="nil"/>
              <w:left w:val="nil"/>
              <w:bottom w:val="single" w:color="auto" w:sz="4" w:space="0"/>
              <w:right w:val="single" w:color="auto" w:sz="4" w:space="0"/>
            </w:tcBorders>
            <w:vAlign w:val="center"/>
          </w:tcPr>
          <w:p w14:paraId="1C64F83E">
            <w:pPr>
              <w:spacing w:after="120"/>
              <w:ind w:firstLine="0" w:firstLineChars="0"/>
              <w:jc w:val="left"/>
              <w:rPr>
                <w:szCs w:val="21"/>
              </w:rPr>
            </w:pPr>
            <w:r>
              <w:rPr>
                <w:szCs w:val="21"/>
              </w:rPr>
              <w:t>1</w:t>
            </w:r>
            <w:r>
              <w:rPr>
                <w:rFonts w:hint="eastAsia"/>
                <w:szCs w:val="21"/>
              </w:rPr>
              <w:t>、责任心不强、工作协调不到位；</w:t>
            </w:r>
          </w:p>
          <w:p w14:paraId="0495D3D5">
            <w:pPr>
              <w:spacing w:after="120"/>
              <w:ind w:firstLine="0" w:firstLineChars="0"/>
              <w:jc w:val="left"/>
              <w:rPr>
                <w:szCs w:val="21"/>
              </w:rPr>
            </w:pPr>
            <w:r>
              <w:rPr>
                <w:szCs w:val="21"/>
              </w:rPr>
              <w:t>2</w:t>
            </w:r>
            <w:r>
              <w:rPr>
                <w:rFonts w:hint="eastAsia"/>
                <w:szCs w:val="21"/>
              </w:rPr>
              <w:t>、发现问题后未及时处理；</w:t>
            </w:r>
          </w:p>
          <w:p w14:paraId="16068682">
            <w:pPr>
              <w:spacing w:after="120"/>
              <w:ind w:firstLine="0" w:firstLineChars="0"/>
              <w:jc w:val="left"/>
              <w:rPr>
                <w:szCs w:val="21"/>
              </w:rPr>
            </w:pPr>
            <w:r>
              <w:rPr>
                <w:szCs w:val="21"/>
              </w:rPr>
              <w:t>3</w:t>
            </w:r>
            <w:r>
              <w:rPr>
                <w:rFonts w:hint="eastAsia"/>
                <w:szCs w:val="21"/>
              </w:rPr>
              <w:t>、未与相关参建单位或管理部门及时沟通；</w:t>
            </w:r>
          </w:p>
          <w:p w14:paraId="4F4DC375">
            <w:pPr>
              <w:spacing w:after="120"/>
              <w:ind w:firstLine="0" w:firstLineChars="0"/>
              <w:jc w:val="left"/>
              <w:rPr>
                <w:szCs w:val="21"/>
              </w:rPr>
            </w:pPr>
            <w:r>
              <w:rPr>
                <w:szCs w:val="21"/>
              </w:rPr>
              <w:t>4</w:t>
            </w:r>
            <w:r>
              <w:rPr>
                <w:rFonts w:hint="eastAsia"/>
                <w:szCs w:val="21"/>
              </w:rPr>
              <w:t>、未落实甲方的相关要求或会议纪要等文件精神。</w:t>
            </w:r>
          </w:p>
          <w:p w14:paraId="77F542E7">
            <w:pPr>
              <w:spacing w:after="120"/>
              <w:ind w:firstLine="0" w:firstLineChars="0"/>
              <w:jc w:val="left"/>
              <w:rPr>
                <w:szCs w:val="21"/>
              </w:rPr>
            </w:pPr>
            <w:r>
              <w:rPr>
                <w:rFonts w:hint="eastAsia"/>
                <w:szCs w:val="21"/>
              </w:rPr>
              <w:t>以上各项每发生一次扣</w:t>
            </w:r>
            <w:r>
              <w:rPr>
                <w:szCs w:val="21"/>
              </w:rPr>
              <w:t>2</w:t>
            </w:r>
            <w:r>
              <w:rPr>
                <w:rFonts w:hint="eastAsia"/>
                <w:szCs w:val="21"/>
              </w:rPr>
              <w:t>分。</w:t>
            </w:r>
          </w:p>
        </w:tc>
        <w:tc>
          <w:tcPr>
            <w:tcW w:w="992" w:type="dxa"/>
            <w:tcBorders>
              <w:top w:val="nil"/>
              <w:left w:val="nil"/>
              <w:bottom w:val="single" w:color="auto" w:sz="4" w:space="0"/>
              <w:right w:val="single" w:color="auto" w:sz="4" w:space="0"/>
            </w:tcBorders>
            <w:vAlign w:val="center"/>
          </w:tcPr>
          <w:p w14:paraId="68AE1F05">
            <w:pPr>
              <w:spacing w:after="120"/>
              <w:jc w:val="center"/>
              <w:rPr>
                <w:szCs w:val="21"/>
              </w:rPr>
            </w:pPr>
            <w:r>
              <w:rPr>
                <w:rFonts w:hint="eastAsia"/>
                <w:szCs w:val="21"/>
              </w:rPr>
              <w:t>　</w:t>
            </w:r>
          </w:p>
        </w:tc>
      </w:tr>
      <w:tr w14:paraId="16110705">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30187EC9">
            <w:pPr>
              <w:spacing w:after="120"/>
              <w:ind w:firstLine="0" w:firstLineChars="0"/>
              <w:rPr>
                <w:szCs w:val="21"/>
              </w:rPr>
            </w:pPr>
            <w:r>
              <w:rPr>
                <w:szCs w:val="21"/>
              </w:rPr>
              <w:t>2</w:t>
            </w:r>
          </w:p>
        </w:tc>
        <w:tc>
          <w:tcPr>
            <w:tcW w:w="1393" w:type="dxa"/>
            <w:tcBorders>
              <w:top w:val="nil"/>
              <w:left w:val="nil"/>
              <w:bottom w:val="single" w:color="auto" w:sz="4" w:space="0"/>
              <w:right w:val="single" w:color="auto" w:sz="4" w:space="0"/>
            </w:tcBorders>
            <w:vAlign w:val="center"/>
          </w:tcPr>
          <w:p w14:paraId="15CD6C6A">
            <w:pPr>
              <w:spacing w:after="120"/>
              <w:ind w:firstLine="0" w:firstLineChars="0"/>
              <w:jc w:val="left"/>
              <w:rPr>
                <w:szCs w:val="21"/>
              </w:rPr>
            </w:pPr>
            <w:r>
              <w:rPr>
                <w:rFonts w:hint="eastAsia"/>
                <w:szCs w:val="21"/>
              </w:rPr>
              <w:t>各专业负责人</w:t>
            </w:r>
          </w:p>
        </w:tc>
        <w:tc>
          <w:tcPr>
            <w:tcW w:w="709" w:type="dxa"/>
            <w:tcBorders>
              <w:top w:val="nil"/>
              <w:left w:val="nil"/>
              <w:bottom w:val="single" w:color="auto" w:sz="4" w:space="0"/>
              <w:right w:val="single" w:color="auto" w:sz="4" w:space="0"/>
            </w:tcBorders>
            <w:vAlign w:val="center"/>
          </w:tcPr>
          <w:p w14:paraId="097058F2">
            <w:pPr>
              <w:spacing w:after="120"/>
              <w:ind w:firstLine="0" w:firstLineChars="0"/>
              <w:rPr>
                <w:szCs w:val="21"/>
              </w:rPr>
            </w:pPr>
            <w:r>
              <w:rPr>
                <w:szCs w:val="21"/>
              </w:rPr>
              <w:t>5</w:t>
            </w:r>
          </w:p>
        </w:tc>
        <w:tc>
          <w:tcPr>
            <w:tcW w:w="2551" w:type="dxa"/>
            <w:tcBorders>
              <w:top w:val="nil"/>
              <w:left w:val="nil"/>
              <w:bottom w:val="single" w:color="auto" w:sz="4" w:space="0"/>
              <w:right w:val="single" w:color="auto" w:sz="4" w:space="0"/>
            </w:tcBorders>
            <w:vAlign w:val="center"/>
          </w:tcPr>
          <w:p w14:paraId="1A0F7F2B">
            <w:pPr>
              <w:spacing w:after="120"/>
              <w:ind w:firstLine="0" w:firstLineChars="0"/>
              <w:jc w:val="left"/>
              <w:rPr>
                <w:szCs w:val="21"/>
              </w:rPr>
            </w:pPr>
            <w:r>
              <w:rPr>
                <w:rFonts w:hint="eastAsia"/>
                <w:szCs w:val="21"/>
              </w:rPr>
              <w:t>是否有责任心；是否有较高的专业水平；与甲方、使用单位的沟通是否顺畅</w:t>
            </w:r>
          </w:p>
        </w:tc>
        <w:tc>
          <w:tcPr>
            <w:tcW w:w="3261" w:type="dxa"/>
            <w:tcBorders>
              <w:top w:val="nil"/>
              <w:left w:val="nil"/>
              <w:bottom w:val="single" w:color="auto" w:sz="4" w:space="0"/>
              <w:right w:val="single" w:color="auto" w:sz="4" w:space="0"/>
            </w:tcBorders>
            <w:vAlign w:val="center"/>
          </w:tcPr>
          <w:p w14:paraId="0B83E563">
            <w:pPr>
              <w:spacing w:after="120"/>
              <w:ind w:firstLine="0" w:firstLineChars="0"/>
              <w:jc w:val="left"/>
              <w:rPr>
                <w:szCs w:val="21"/>
              </w:rPr>
            </w:pPr>
            <w:r>
              <w:rPr>
                <w:szCs w:val="21"/>
              </w:rPr>
              <w:t>1</w:t>
            </w:r>
            <w:r>
              <w:rPr>
                <w:rFonts w:hint="eastAsia"/>
                <w:szCs w:val="21"/>
              </w:rPr>
              <w:t>、责任心不强；</w:t>
            </w:r>
          </w:p>
          <w:p w14:paraId="7CB11DC8">
            <w:pPr>
              <w:spacing w:after="120"/>
              <w:ind w:firstLine="0" w:firstLineChars="0"/>
              <w:jc w:val="left"/>
              <w:rPr>
                <w:szCs w:val="21"/>
              </w:rPr>
            </w:pPr>
            <w:r>
              <w:rPr>
                <w:szCs w:val="21"/>
              </w:rPr>
              <w:t>2</w:t>
            </w:r>
            <w:r>
              <w:rPr>
                <w:rFonts w:hint="eastAsia"/>
                <w:szCs w:val="21"/>
              </w:rPr>
              <w:t>、专业水平不高；</w:t>
            </w:r>
          </w:p>
          <w:p w14:paraId="23FCD141">
            <w:pPr>
              <w:spacing w:after="120"/>
              <w:ind w:firstLine="0" w:firstLineChars="0"/>
              <w:jc w:val="left"/>
              <w:rPr>
                <w:szCs w:val="21"/>
              </w:rPr>
            </w:pPr>
            <w:r>
              <w:rPr>
                <w:szCs w:val="21"/>
              </w:rPr>
              <w:t>3</w:t>
            </w:r>
            <w:r>
              <w:rPr>
                <w:rFonts w:hint="eastAsia"/>
                <w:szCs w:val="21"/>
              </w:rPr>
              <w:t>、与甲方、使用单位的沟通不到位；</w:t>
            </w:r>
          </w:p>
          <w:p w14:paraId="06061B54">
            <w:pPr>
              <w:spacing w:after="120"/>
              <w:ind w:firstLine="0" w:firstLineChars="0"/>
              <w:jc w:val="left"/>
              <w:rPr>
                <w:szCs w:val="21"/>
              </w:rPr>
            </w:pPr>
            <w:r>
              <w:rPr>
                <w:rFonts w:hint="eastAsia"/>
                <w:szCs w:val="21"/>
              </w:rPr>
              <w:t>以上各项每发生一次扣</w:t>
            </w:r>
            <w:r>
              <w:rPr>
                <w:szCs w:val="21"/>
              </w:rPr>
              <w:t>1</w:t>
            </w:r>
            <w:r>
              <w:rPr>
                <w:rFonts w:hint="eastAsia"/>
                <w:szCs w:val="21"/>
              </w:rPr>
              <w:t>分。</w:t>
            </w:r>
          </w:p>
        </w:tc>
        <w:tc>
          <w:tcPr>
            <w:tcW w:w="992" w:type="dxa"/>
            <w:tcBorders>
              <w:top w:val="nil"/>
              <w:left w:val="nil"/>
              <w:bottom w:val="single" w:color="auto" w:sz="4" w:space="0"/>
              <w:right w:val="single" w:color="auto" w:sz="4" w:space="0"/>
            </w:tcBorders>
            <w:vAlign w:val="center"/>
          </w:tcPr>
          <w:p w14:paraId="50479B25">
            <w:pPr>
              <w:spacing w:after="120"/>
              <w:jc w:val="center"/>
              <w:rPr>
                <w:szCs w:val="21"/>
              </w:rPr>
            </w:pPr>
            <w:r>
              <w:rPr>
                <w:rFonts w:hint="eastAsia"/>
                <w:szCs w:val="21"/>
              </w:rPr>
              <w:t>　</w:t>
            </w:r>
          </w:p>
        </w:tc>
      </w:tr>
      <w:tr w14:paraId="1F81546A">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30E9899B">
            <w:pPr>
              <w:spacing w:after="120"/>
              <w:ind w:firstLine="0" w:firstLineChars="0"/>
              <w:rPr>
                <w:rFonts w:cs="宋体"/>
                <w:szCs w:val="21"/>
              </w:rPr>
            </w:pPr>
            <w:r>
              <w:rPr>
                <w:rFonts w:hint="eastAsia" w:cs="宋体"/>
                <w:szCs w:val="21"/>
              </w:rPr>
              <w:t>三</w:t>
            </w:r>
          </w:p>
        </w:tc>
        <w:tc>
          <w:tcPr>
            <w:tcW w:w="1393" w:type="dxa"/>
            <w:tcBorders>
              <w:top w:val="nil"/>
              <w:left w:val="nil"/>
              <w:bottom w:val="single" w:color="auto" w:sz="4" w:space="0"/>
              <w:right w:val="single" w:color="auto" w:sz="4" w:space="0"/>
            </w:tcBorders>
            <w:vAlign w:val="center"/>
          </w:tcPr>
          <w:p w14:paraId="21D2B7BC">
            <w:pPr>
              <w:spacing w:after="120"/>
              <w:ind w:firstLine="0" w:firstLineChars="0"/>
              <w:rPr>
                <w:rFonts w:cs="宋体"/>
                <w:szCs w:val="21"/>
              </w:rPr>
            </w:pPr>
            <w:r>
              <w:rPr>
                <w:rFonts w:hint="eastAsia" w:cs="宋体"/>
                <w:szCs w:val="21"/>
              </w:rPr>
              <w:t>设计质量</w:t>
            </w:r>
          </w:p>
        </w:tc>
        <w:tc>
          <w:tcPr>
            <w:tcW w:w="709" w:type="dxa"/>
            <w:tcBorders>
              <w:top w:val="nil"/>
              <w:left w:val="nil"/>
              <w:bottom w:val="single" w:color="auto" w:sz="4" w:space="0"/>
              <w:right w:val="single" w:color="auto" w:sz="4" w:space="0"/>
            </w:tcBorders>
            <w:vAlign w:val="center"/>
          </w:tcPr>
          <w:p w14:paraId="4C6DC23D">
            <w:pPr>
              <w:spacing w:after="120"/>
              <w:ind w:firstLine="0" w:firstLineChars="0"/>
              <w:rPr>
                <w:rFonts w:ascii="仿宋_GB2312" w:eastAsia="仿宋_GB2312" w:cs="宋体"/>
                <w:szCs w:val="21"/>
              </w:rPr>
            </w:pPr>
            <w:r>
              <w:rPr>
                <w:rFonts w:ascii="仿宋_GB2312" w:eastAsia="仿宋_GB2312" w:cs="宋体"/>
                <w:szCs w:val="21"/>
              </w:rPr>
              <w:t>50</w:t>
            </w:r>
          </w:p>
        </w:tc>
        <w:tc>
          <w:tcPr>
            <w:tcW w:w="2551" w:type="dxa"/>
            <w:tcBorders>
              <w:top w:val="nil"/>
              <w:left w:val="nil"/>
              <w:bottom w:val="single" w:color="auto" w:sz="4" w:space="0"/>
              <w:right w:val="single" w:color="auto" w:sz="4" w:space="0"/>
            </w:tcBorders>
            <w:vAlign w:val="center"/>
          </w:tcPr>
          <w:p w14:paraId="0BB81765">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59CF3A98">
            <w:pPr>
              <w:spacing w:after="120"/>
              <w:jc w:val="left"/>
              <w:rPr>
                <w:rFonts w:cs="宋体"/>
                <w:szCs w:val="21"/>
              </w:rPr>
            </w:pPr>
            <w:r>
              <w:rPr>
                <w:rFonts w:hint="eastAsia" w:cs="宋体"/>
                <w:szCs w:val="21"/>
              </w:rPr>
              <w:t>　</w:t>
            </w:r>
          </w:p>
        </w:tc>
        <w:tc>
          <w:tcPr>
            <w:tcW w:w="992" w:type="dxa"/>
            <w:tcBorders>
              <w:top w:val="nil"/>
              <w:left w:val="nil"/>
              <w:bottom w:val="single" w:color="auto" w:sz="4" w:space="0"/>
              <w:right w:val="single" w:color="auto" w:sz="4" w:space="0"/>
            </w:tcBorders>
            <w:vAlign w:val="center"/>
          </w:tcPr>
          <w:p w14:paraId="2F472C85">
            <w:pPr>
              <w:spacing w:after="120"/>
              <w:jc w:val="left"/>
              <w:rPr>
                <w:rFonts w:cs="宋体"/>
                <w:szCs w:val="21"/>
              </w:rPr>
            </w:pPr>
            <w:r>
              <w:rPr>
                <w:rFonts w:hint="eastAsia" w:cs="宋体"/>
                <w:szCs w:val="21"/>
              </w:rPr>
              <w:t>　</w:t>
            </w:r>
          </w:p>
        </w:tc>
      </w:tr>
      <w:tr w14:paraId="2AFCF361">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45F2109D">
            <w:pPr>
              <w:spacing w:after="120"/>
              <w:ind w:firstLine="0" w:firstLineChars="0"/>
              <w:rPr>
                <w:rFonts w:cs="宋体"/>
                <w:szCs w:val="21"/>
              </w:rPr>
            </w:pPr>
            <w:r>
              <w:rPr>
                <w:rFonts w:cs="宋体"/>
                <w:szCs w:val="21"/>
              </w:rPr>
              <w:t>1</w:t>
            </w:r>
          </w:p>
        </w:tc>
        <w:tc>
          <w:tcPr>
            <w:tcW w:w="1393" w:type="dxa"/>
            <w:tcBorders>
              <w:top w:val="nil"/>
              <w:left w:val="nil"/>
              <w:bottom w:val="single" w:color="auto" w:sz="4" w:space="0"/>
              <w:right w:val="single" w:color="auto" w:sz="4" w:space="0"/>
            </w:tcBorders>
            <w:vAlign w:val="center"/>
          </w:tcPr>
          <w:p w14:paraId="634A5AD2">
            <w:pPr>
              <w:spacing w:after="120"/>
              <w:ind w:firstLine="0" w:firstLineChars="0"/>
              <w:rPr>
                <w:rFonts w:cs="宋体"/>
                <w:szCs w:val="21"/>
              </w:rPr>
            </w:pPr>
            <w:r>
              <w:rPr>
                <w:rFonts w:hint="eastAsia" w:cs="宋体"/>
                <w:szCs w:val="21"/>
              </w:rPr>
              <w:t>设计错误</w:t>
            </w:r>
          </w:p>
        </w:tc>
        <w:tc>
          <w:tcPr>
            <w:tcW w:w="709" w:type="dxa"/>
            <w:tcBorders>
              <w:top w:val="nil"/>
              <w:left w:val="nil"/>
              <w:bottom w:val="single" w:color="auto" w:sz="4" w:space="0"/>
              <w:right w:val="single" w:color="auto" w:sz="4" w:space="0"/>
            </w:tcBorders>
            <w:vAlign w:val="center"/>
          </w:tcPr>
          <w:p w14:paraId="0BBC32BF">
            <w:pPr>
              <w:spacing w:after="120"/>
              <w:ind w:firstLine="0" w:firstLineChars="0"/>
              <w:rPr>
                <w:rFonts w:ascii="仿宋_GB2312" w:eastAsia="仿宋_GB2312" w:cs="宋体"/>
                <w:szCs w:val="21"/>
              </w:rPr>
            </w:pPr>
            <w:r>
              <w:rPr>
                <w:rFonts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528BBC18">
            <w:pPr>
              <w:spacing w:after="120"/>
              <w:ind w:firstLine="0" w:firstLineChars="0"/>
              <w:jc w:val="left"/>
              <w:rPr>
                <w:rFonts w:cs="宋体"/>
                <w:szCs w:val="21"/>
              </w:rPr>
            </w:pPr>
            <w:r>
              <w:rPr>
                <w:rFonts w:hint="eastAsia" w:cs="宋体"/>
                <w:szCs w:val="21"/>
              </w:rPr>
              <w:t>施工图审查过程中是否出现Ⅰ类错误、Ⅱ类错误、Ⅲ类错误、Ⅳ类错误（分类详见附件六）</w:t>
            </w:r>
          </w:p>
        </w:tc>
        <w:tc>
          <w:tcPr>
            <w:tcW w:w="3261" w:type="dxa"/>
            <w:tcBorders>
              <w:top w:val="nil"/>
              <w:left w:val="nil"/>
              <w:bottom w:val="single" w:color="auto" w:sz="4" w:space="0"/>
              <w:right w:val="single" w:color="auto" w:sz="4" w:space="0"/>
            </w:tcBorders>
            <w:vAlign w:val="center"/>
          </w:tcPr>
          <w:p w14:paraId="3CE487BD">
            <w:pPr>
              <w:spacing w:after="120"/>
              <w:ind w:firstLine="0" w:firstLineChars="0"/>
              <w:jc w:val="left"/>
              <w:rPr>
                <w:rFonts w:cs="宋体"/>
                <w:szCs w:val="21"/>
              </w:rPr>
            </w:pPr>
            <w:r>
              <w:rPr>
                <w:rFonts w:hint="eastAsia" w:cs="宋体"/>
                <w:szCs w:val="21"/>
              </w:rPr>
              <w:t>每出现Ⅰ类问题的一项一次扣</w:t>
            </w:r>
            <w:r>
              <w:rPr>
                <w:rFonts w:cs="宋体"/>
                <w:szCs w:val="21"/>
              </w:rPr>
              <w:t>4分；</w:t>
            </w:r>
          </w:p>
          <w:p w14:paraId="42EBCE01">
            <w:pPr>
              <w:spacing w:after="120"/>
              <w:ind w:firstLine="0" w:firstLineChars="0"/>
              <w:jc w:val="left"/>
              <w:rPr>
                <w:rFonts w:cs="宋体"/>
                <w:szCs w:val="21"/>
              </w:rPr>
            </w:pPr>
            <w:r>
              <w:rPr>
                <w:rFonts w:hint="eastAsia" w:cs="宋体"/>
                <w:szCs w:val="21"/>
              </w:rPr>
              <w:t>每出现Ⅱ类问题的一项一次扣</w:t>
            </w:r>
            <w:r>
              <w:rPr>
                <w:rFonts w:cs="宋体"/>
                <w:szCs w:val="21"/>
              </w:rPr>
              <w:t>3分；</w:t>
            </w:r>
          </w:p>
          <w:p w14:paraId="04443FEE">
            <w:pPr>
              <w:spacing w:after="120"/>
              <w:ind w:firstLine="0" w:firstLineChars="0"/>
              <w:jc w:val="left"/>
              <w:rPr>
                <w:rFonts w:cs="宋体"/>
                <w:szCs w:val="21"/>
              </w:rPr>
            </w:pPr>
            <w:r>
              <w:rPr>
                <w:rFonts w:hint="eastAsia" w:cs="宋体"/>
                <w:szCs w:val="21"/>
              </w:rPr>
              <w:t>每出现Ⅲ类问题的一项一次扣</w:t>
            </w:r>
            <w:r>
              <w:rPr>
                <w:rFonts w:cs="宋体"/>
                <w:szCs w:val="21"/>
              </w:rPr>
              <w:t>2分；</w:t>
            </w:r>
          </w:p>
          <w:p w14:paraId="3035FEE3">
            <w:pPr>
              <w:spacing w:after="120"/>
              <w:ind w:firstLine="0" w:firstLineChars="0"/>
              <w:jc w:val="left"/>
              <w:rPr>
                <w:rFonts w:cs="宋体"/>
                <w:szCs w:val="21"/>
              </w:rPr>
            </w:pPr>
            <w:r>
              <w:rPr>
                <w:rFonts w:hint="eastAsia" w:cs="宋体"/>
                <w:szCs w:val="21"/>
              </w:rPr>
              <w:t>每出现Ⅳ类问题的满五项一次扣</w:t>
            </w:r>
            <w:r>
              <w:rPr>
                <w:rFonts w:cs="宋体"/>
                <w:szCs w:val="21"/>
              </w:rPr>
              <w:t>1分</w:t>
            </w:r>
          </w:p>
        </w:tc>
        <w:tc>
          <w:tcPr>
            <w:tcW w:w="992" w:type="dxa"/>
            <w:tcBorders>
              <w:top w:val="nil"/>
              <w:left w:val="nil"/>
              <w:bottom w:val="single" w:color="auto" w:sz="4" w:space="0"/>
              <w:right w:val="single" w:color="auto" w:sz="4" w:space="0"/>
            </w:tcBorders>
            <w:vAlign w:val="center"/>
          </w:tcPr>
          <w:p w14:paraId="73986825">
            <w:pPr>
              <w:spacing w:after="120"/>
              <w:jc w:val="center"/>
              <w:rPr>
                <w:rFonts w:cs="宋体"/>
                <w:szCs w:val="21"/>
              </w:rPr>
            </w:pPr>
          </w:p>
        </w:tc>
      </w:tr>
      <w:tr w14:paraId="0EFEAB46">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10AAC448">
            <w:pPr>
              <w:spacing w:after="120"/>
              <w:ind w:firstLine="0" w:firstLineChars="0"/>
              <w:rPr>
                <w:rFonts w:cs="宋体"/>
                <w:szCs w:val="21"/>
              </w:rPr>
            </w:pPr>
            <w:r>
              <w:rPr>
                <w:rFonts w:cs="宋体"/>
                <w:szCs w:val="21"/>
              </w:rPr>
              <w:t>2</w:t>
            </w:r>
          </w:p>
        </w:tc>
        <w:tc>
          <w:tcPr>
            <w:tcW w:w="1393" w:type="dxa"/>
            <w:tcBorders>
              <w:top w:val="nil"/>
              <w:left w:val="nil"/>
              <w:bottom w:val="single" w:color="auto" w:sz="4" w:space="0"/>
              <w:right w:val="single" w:color="auto" w:sz="4" w:space="0"/>
            </w:tcBorders>
            <w:vAlign w:val="center"/>
          </w:tcPr>
          <w:p w14:paraId="5309B2E7">
            <w:pPr>
              <w:spacing w:after="120"/>
              <w:ind w:firstLine="0" w:firstLineChars="0"/>
              <w:rPr>
                <w:rFonts w:cs="宋体"/>
                <w:szCs w:val="21"/>
              </w:rPr>
            </w:pPr>
            <w:r>
              <w:rPr>
                <w:rFonts w:hint="eastAsia" w:cs="宋体"/>
                <w:szCs w:val="21"/>
              </w:rPr>
              <w:t>限额设计</w:t>
            </w:r>
          </w:p>
        </w:tc>
        <w:tc>
          <w:tcPr>
            <w:tcW w:w="709" w:type="dxa"/>
            <w:tcBorders>
              <w:top w:val="nil"/>
              <w:left w:val="nil"/>
              <w:bottom w:val="single" w:color="auto" w:sz="4" w:space="0"/>
              <w:right w:val="single" w:color="auto" w:sz="4" w:space="0"/>
            </w:tcBorders>
            <w:vAlign w:val="center"/>
          </w:tcPr>
          <w:p w14:paraId="5B995918">
            <w:pPr>
              <w:spacing w:after="120"/>
              <w:ind w:firstLine="0" w:firstLineChars="0"/>
              <w:rPr>
                <w:rFonts w:ascii="仿宋_GB2312" w:eastAsia="仿宋_GB2312" w:cs="宋体"/>
                <w:szCs w:val="21"/>
              </w:rPr>
            </w:pPr>
            <w:r>
              <w:rPr>
                <w:rFonts w:ascii="仿宋_GB2312" w:eastAsia="仿宋_GB2312" w:cs="宋体"/>
                <w:szCs w:val="21"/>
              </w:rPr>
              <w:t>30</w:t>
            </w:r>
          </w:p>
        </w:tc>
        <w:tc>
          <w:tcPr>
            <w:tcW w:w="2551" w:type="dxa"/>
            <w:tcBorders>
              <w:top w:val="nil"/>
              <w:left w:val="nil"/>
              <w:bottom w:val="single" w:color="auto" w:sz="4" w:space="0"/>
              <w:right w:val="single" w:color="auto" w:sz="4" w:space="0"/>
            </w:tcBorders>
            <w:vAlign w:val="center"/>
          </w:tcPr>
          <w:p w14:paraId="23844F82">
            <w:pPr>
              <w:spacing w:after="120"/>
              <w:ind w:firstLine="0" w:firstLineChars="0"/>
              <w:jc w:val="left"/>
              <w:rPr>
                <w:rFonts w:cs="宋体"/>
                <w:szCs w:val="21"/>
              </w:rPr>
            </w:pPr>
            <w:r>
              <w:rPr>
                <w:rFonts w:hint="eastAsia" w:cs="宋体"/>
                <w:szCs w:val="21"/>
              </w:rPr>
              <w:t>是否按合同要求进行限额设计</w:t>
            </w:r>
          </w:p>
        </w:tc>
        <w:tc>
          <w:tcPr>
            <w:tcW w:w="3261" w:type="dxa"/>
            <w:tcBorders>
              <w:top w:val="nil"/>
              <w:left w:val="nil"/>
              <w:bottom w:val="single" w:color="auto" w:sz="4" w:space="0"/>
              <w:right w:val="single" w:color="auto" w:sz="4" w:space="0"/>
            </w:tcBorders>
            <w:vAlign w:val="center"/>
          </w:tcPr>
          <w:p w14:paraId="28ADC2FA">
            <w:pPr>
              <w:spacing w:after="120"/>
              <w:ind w:firstLine="0" w:firstLineChars="0"/>
              <w:jc w:val="left"/>
              <w:rPr>
                <w:rFonts w:cs="宋体"/>
                <w:szCs w:val="21"/>
              </w:rPr>
            </w:pPr>
            <w:r>
              <w:rPr>
                <w:rFonts w:hint="eastAsia" w:cs="宋体"/>
                <w:szCs w:val="21"/>
              </w:rPr>
              <w:t>编制的施工图预算由于设计原因</w:t>
            </w:r>
          </w:p>
          <w:p w14:paraId="67DBEC05">
            <w:pPr>
              <w:spacing w:after="120"/>
              <w:ind w:firstLine="0" w:firstLineChars="0"/>
              <w:jc w:val="left"/>
              <w:rPr>
                <w:rFonts w:cs="宋体"/>
                <w:szCs w:val="21"/>
              </w:rPr>
            </w:pPr>
            <w:r>
              <w:rPr>
                <w:rFonts w:hint="eastAsia" w:cs="宋体"/>
                <w:szCs w:val="21"/>
              </w:rPr>
              <w:t>造成建安工程费超出经发改部门批复的初步设计概算，每超出</w:t>
            </w:r>
            <w:r>
              <w:rPr>
                <w:rFonts w:cs="宋体"/>
                <w:szCs w:val="21"/>
              </w:rPr>
              <w:t>1%扣2分。</w:t>
            </w:r>
          </w:p>
        </w:tc>
        <w:tc>
          <w:tcPr>
            <w:tcW w:w="992" w:type="dxa"/>
            <w:tcBorders>
              <w:top w:val="nil"/>
              <w:left w:val="nil"/>
              <w:bottom w:val="single" w:color="auto" w:sz="4" w:space="0"/>
              <w:right w:val="single" w:color="auto" w:sz="4" w:space="0"/>
            </w:tcBorders>
            <w:vAlign w:val="center"/>
          </w:tcPr>
          <w:p w14:paraId="54227C33">
            <w:pPr>
              <w:spacing w:after="120"/>
              <w:jc w:val="center"/>
              <w:rPr>
                <w:rFonts w:cs="宋体"/>
                <w:szCs w:val="21"/>
              </w:rPr>
            </w:pPr>
          </w:p>
        </w:tc>
      </w:tr>
      <w:tr w14:paraId="32C6646C">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3DE6BD51">
            <w:pPr>
              <w:spacing w:after="120"/>
              <w:ind w:firstLine="0" w:firstLineChars="0"/>
              <w:rPr>
                <w:rFonts w:cs="宋体"/>
                <w:szCs w:val="21"/>
              </w:rPr>
            </w:pPr>
            <w:r>
              <w:rPr>
                <w:rFonts w:hint="eastAsia" w:cs="宋体"/>
                <w:szCs w:val="21"/>
              </w:rPr>
              <w:t>四</w:t>
            </w:r>
          </w:p>
        </w:tc>
        <w:tc>
          <w:tcPr>
            <w:tcW w:w="1393" w:type="dxa"/>
            <w:tcBorders>
              <w:top w:val="nil"/>
              <w:left w:val="nil"/>
              <w:bottom w:val="single" w:color="auto" w:sz="4" w:space="0"/>
              <w:right w:val="single" w:color="auto" w:sz="4" w:space="0"/>
            </w:tcBorders>
            <w:vAlign w:val="center"/>
          </w:tcPr>
          <w:p w14:paraId="107AE9F6">
            <w:pPr>
              <w:spacing w:after="120"/>
              <w:ind w:firstLine="0" w:firstLineChars="0"/>
              <w:rPr>
                <w:rFonts w:cs="宋体"/>
                <w:szCs w:val="21"/>
              </w:rPr>
            </w:pPr>
            <w:r>
              <w:rPr>
                <w:rFonts w:hint="eastAsia" w:cs="宋体"/>
                <w:szCs w:val="21"/>
              </w:rPr>
              <w:t>设计进度</w:t>
            </w:r>
          </w:p>
        </w:tc>
        <w:tc>
          <w:tcPr>
            <w:tcW w:w="709" w:type="dxa"/>
            <w:tcBorders>
              <w:top w:val="nil"/>
              <w:left w:val="nil"/>
              <w:bottom w:val="single" w:color="auto" w:sz="4" w:space="0"/>
              <w:right w:val="single" w:color="auto" w:sz="4" w:space="0"/>
            </w:tcBorders>
            <w:vAlign w:val="center"/>
          </w:tcPr>
          <w:p w14:paraId="240AC5FC">
            <w:pPr>
              <w:spacing w:after="120"/>
              <w:ind w:firstLine="0" w:firstLineChars="0"/>
              <w:rPr>
                <w:rFonts w:ascii="仿宋_GB2312" w:eastAsia="仿宋_GB2312" w:cs="宋体"/>
                <w:szCs w:val="21"/>
              </w:rPr>
            </w:pPr>
            <w:r>
              <w:rPr>
                <w:rFonts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7359A4E9">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38F1CCFC">
            <w:pPr>
              <w:spacing w:after="120"/>
              <w:jc w:val="left"/>
              <w:rPr>
                <w:rFonts w:cs="宋体"/>
                <w:szCs w:val="21"/>
              </w:rPr>
            </w:pPr>
            <w:r>
              <w:rPr>
                <w:rFonts w:hint="eastAsia" w:cs="宋体"/>
                <w:szCs w:val="21"/>
              </w:rPr>
              <w:t>　</w:t>
            </w:r>
          </w:p>
        </w:tc>
        <w:tc>
          <w:tcPr>
            <w:tcW w:w="992" w:type="dxa"/>
            <w:tcBorders>
              <w:top w:val="nil"/>
              <w:left w:val="nil"/>
              <w:bottom w:val="single" w:color="auto" w:sz="4" w:space="0"/>
              <w:right w:val="single" w:color="auto" w:sz="4" w:space="0"/>
            </w:tcBorders>
            <w:vAlign w:val="center"/>
          </w:tcPr>
          <w:p w14:paraId="5130A987">
            <w:pPr>
              <w:spacing w:after="120"/>
              <w:jc w:val="left"/>
              <w:rPr>
                <w:rFonts w:cs="宋体"/>
                <w:szCs w:val="21"/>
              </w:rPr>
            </w:pPr>
            <w:r>
              <w:rPr>
                <w:rFonts w:hint="eastAsia" w:cs="宋体"/>
                <w:szCs w:val="21"/>
              </w:rPr>
              <w:t>　</w:t>
            </w:r>
          </w:p>
        </w:tc>
      </w:tr>
      <w:tr w14:paraId="5D624A8A">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069A19C3">
            <w:pPr>
              <w:spacing w:after="120"/>
              <w:ind w:firstLine="0" w:firstLineChars="0"/>
              <w:rPr>
                <w:rFonts w:cs="宋体"/>
                <w:szCs w:val="21"/>
              </w:rPr>
            </w:pPr>
            <w:r>
              <w:rPr>
                <w:rFonts w:cs="宋体"/>
                <w:szCs w:val="21"/>
              </w:rPr>
              <w:t>1</w:t>
            </w:r>
          </w:p>
        </w:tc>
        <w:tc>
          <w:tcPr>
            <w:tcW w:w="1393" w:type="dxa"/>
            <w:tcBorders>
              <w:top w:val="nil"/>
              <w:left w:val="nil"/>
              <w:bottom w:val="single" w:color="auto" w:sz="4" w:space="0"/>
              <w:right w:val="single" w:color="auto" w:sz="4" w:space="0"/>
            </w:tcBorders>
            <w:vAlign w:val="center"/>
          </w:tcPr>
          <w:p w14:paraId="601E311B">
            <w:pPr>
              <w:spacing w:after="120"/>
              <w:ind w:firstLine="0" w:firstLineChars="0"/>
              <w:rPr>
                <w:rFonts w:cs="宋体"/>
                <w:szCs w:val="21"/>
              </w:rPr>
            </w:pPr>
            <w:r>
              <w:rPr>
                <w:rFonts w:hint="eastAsia" w:cs="宋体"/>
                <w:szCs w:val="21"/>
              </w:rPr>
              <w:t>设计进度</w:t>
            </w:r>
          </w:p>
        </w:tc>
        <w:tc>
          <w:tcPr>
            <w:tcW w:w="709" w:type="dxa"/>
            <w:tcBorders>
              <w:top w:val="nil"/>
              <w:left w:val="nil"/>
              <w:bottom w:val="single" w:color="auto" w:sz="4" w:space="0"/>
              <w:right w:val="single" w:color="auto" w:sz="4" w:space="0"/>
            </w:tcBorders>
            <w:vAlign w:val="center"/>
          </w:tcPr>
          <w:p w14:paraId="413C1A16">
            <w:pPr>
              <w:spacing w:after="120"/>
              <w:ind w:firstLine="0" w:firstLineChars="0"/>
              <w:rPr>
                <w:rFonts w:ascii="仿宋_GB2312" w:eastAsia="仿宋_GB2312" w:cs="宋体"/>
                <w:szCs w:val="21"/>
              </w:rPr>
            </w:pPr>
            <w:r>
              <w:rPr>
                <w:rFonts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2902E9AC">
            <w:pPr>
              <w:spacing w:after="120"/>
              <w:ind w:firstLine="0" w:firstLineChars="0"/>
              <w:jc w:val="left"/>
              <w:rPr>
                <w:rFonts w:cs="宋体"/>
                <w:szCs w:val="21"/>
              </w:rPr>
            </w:pPr>
            <w:r>
              <w:rPr>
                <w:rFonts w:hint="eastAsia" w:cs="宋体"/>
                <w:szCs w:val="21"/>
              </w:rPr>
              <w:t>是否按照合同、会议纪要、通知、函件等对进度的要求完成各项工作；能否按期完成甲方交办的其它相关工作</w:t>
            </w:r>
          </w:p>
        </w:tc>
        <w:tc>
          <w:tcPr>
            <w:tcW w:w="3261" w:type="dxa"/>
            <w:tcBorders>
              <w:top w:val="nil"/>
              <w:left w:val="nil"/>
              <w:bottom w:val="single" w:color="auto" w:sz="4" w:space="0"/>
              <w:right w:val="single" w:color="auto" w:sz="4" w:space="0"/>
            </w:tcBorders>
            <w:vAlign w:val="center"/>
          </w:tcPr>
          <w:p w14:paraId="60532491">
            <w:pPr>
              <w:spacing w:after="120"/>
              <w:ind w:firstLine="0" w:firstLineChars="0"/>
              <w:jc w:val="left"/>
              <w:rPr>
                <w:rFonts w:cs="宋体"/>
                <w:szCs w:val="21"/>
              </w:rPr>
            </w:pPr>
            <w:r>
              <w:rPr>
                <w:rFonts w:hint="eastAsia" w:cs="宋体"/>
                <w:szCs w:val="21"/>
              </w:rPr>
              <w:t>因乙方原因，每延误一天扣</w:t>
            </w:r>
            <w:r>
              <w:rPr>
                <w:rFonts w:cs="宋体"/>
                <w:szCs w:val="21"/>
              </w:rPr>
              <w:t>1分。</w:t>
            </w:r>
          </w:p>
        </w:tc>
        <w:tc>
          <w:tcPr>
            <w:tcW w:w="992" w:type="dxa"/>
            <w:tcBorders>
              <w:top w:val="nil"/>
              <w:left w:val="nil"/>
              <w:bottom w:val="single" w:color="auto" w:sz="4" w:space="0"/>
              <w:right w:val="single" w:color="auto" w:sz="4" w:space="0"/>
            </w:tcBorders>
            <w:vAlign w:val="center"/>
          </w:tcPr>
          <w:p w14:paraId="01C6D9E7">
            <w:pPr>
              <w:spacing w:after="120"/>
              <w:jc w:val="left"/>
              <w:rPr>
                <w:rFonts w:cs="宋体"/>
                <w:szCs w:val="21"/>
              </w:rPr>
            </w:pPr>
            <w:r>
              <w:rPr>
                <w:rFonts w:hint="eastAsia" w:cs="宋体"/>
                <w:szCs w:val="21"/>
              </w:rPr>
              <w:t>　</w:t>
            </w:r>
          </w:p>
        </w:tc>
      </w:tr>
      <w:tr w14:paraId="56995283">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68336090">
            <w:pPr>
              <w:spacing w:after="120"/>
              <w:ind w:firstLine="0" w:firstLineChars="0"/>
              <w:rPr>
                <w:rFonts w:cs="宋体"/>
                <w:szCs w:val="21"/>
              </w:rPr>
            </w:pPr>
            <w:r>
              <w:rPr>
                <w:rFonts w:hint="eastAsia" w:cs="宋体"/>
                <w:szCs w:val="21"/>
              </w:rPr>
              <w:t>五</w:t>
            </w:r>
          </w:p>
        </w:tc>
        <w:tc>
          <w:tcPr>
            <w:tcW w:w="1393" w:type="dxa"/>
            <w:tcBorders>
              <w:top w:val="nil"/>
              <w:left w:val="nil"/>
              <w:bottom w:val="single" w:color="auto" w:sz="4" w:space="0"/>
              <w:right w:val="single" w:color="auto" w:sz="4" w:space="0"/>
            </w:tcBorders>
            <w:vAlign w:val="center"/>
          </w:tcPr>
          <w:p w14:paraId="3BF3A001">
            <w:pPr>
              <w:spacing w:after="120"/>
              <w:ind w:firstLine="0" w:firstLineChars="0"/>
              <w:rPr>
                <w:rFonts w:cs="宋体"/>
                <w:szCs w:val="21"/>
              </w:rPr>
            </w:pPr>
            <w:r>
              <w:rPr>
                <w:rFonts w:hint="eastAsia" w:cs="宋体"/>
                <w:szCs w:val="21"/>
              </w:rPr>
              <w:t>设计配合</w:t>
            </w:r>
          </w:p>
        </w:tc>
        <w:tc>
          <w:tcPr>
            <w:tcW w:w="709" w:type="dxa"/>
            <w:tcBorders>
              <w:top w:val="nil"/>
              <w:left w:val="nil"/>
              <w:bottom w:val="single" w:color="auto" w:sz="4" w:space="0"/>
              <w:right w:val="single" w:color="auto" w:sz="4" w:space="0"/>
            </w:tcBorders>
            <w:vAlign w:val="center"/>
          </w:tcPr>
          <w:p w14:paraId="3ECD3878">
            <w:pPr>
              <w:spacing w:after="120"/>
              <w:ind w:firstLine="0" w:firstLineChars="0"/>
              <w:rPr>
                <w:rFonts w:ascii="仿宋_GB2312" w:eastAsia="仿宋_GB2312" w:cs="宋体"/>
                <w:szCs w:val="21"/>
              </w:rPr>
            </w:pPr>
            <w:r>
              <w:rPr>
                <w:rFonts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44FA7E4B">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1E127A64">
            <w:pPr>
              <w:spacing w:after="120"/>
              <w:jc w:val="left"/>
              <w:rPr>
                <w:rFonts w:cs="宋体"/>
                <w:szCs w:val="21"/>
              </w:rPr>
            </w:pPr>
            <w:r>
              <w:rPr>
                <w:rFonts w:hint="eastAsia" w:cs="宋体"/>
                <w:szCs w:val="21"/>
              </w:rPr>
              <w:t>　</w:t>
            </w:r>
          </w:p>
        </w:tc>
        <w:tc>
          <w:tcPr>
            <w:tcW w:w="992" w:type="dxa"/>
            <w:tcBorders>
              <w:top w:val="nil"/>
              <w:left w:val="nil"/>
              <w:bottom w:val="single" w:color="auto" w:sz="4" w:space="0"/>
              <w:right w:val="single" w:color="auto" w:sz="4" w:space="0"/>
            </w:tcBorders>
            <w:vAlign w:val="center"/>
          </w:tcPr>
          <w:p w14:paraId="12DD8876">
            <w:pPr>
              <w:spacing w:after="120"/>
              <w:jc w:val="left"/>
              <w:rPr>
                <w:rFonts w:cs="宋体"/>
                <w:szCs w:val="21"/>
              </w:rPr>
            </w:pPr>
            <w:r>
              <w:rPr>
                <w:rFonts w:hint="eastAsia" w:cs="宋体"/>
                <w:szCs w:val="21"/>
              </w:rPr>
              <w:t>　</w:t>
            </w:r>
          </w:p>
        </w:tc>
      </w:tr>
      <w:tr w14:paraId="0FA74588">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44ECDC39">
            <w:pPr>
              <w:spacing w:after="120"/>
              <w:ind w:firstLine="0" w:firstLineChars="0"/>
              <w:rPr>
                <w:rFonts w:cs="宋体"/>
                <w:szCs w:val="21"/>
              </w:rPr>
            </w:pPr>
            <w:r>
              <w:rPr>
                <w:rFonts w:cs="宋体"/>
                <w:szCs w:val="21"/>
              </w:rPr>
              <w:t>1</w:t>
            </w:r>
          </w:p>
        </w:tc>
        <w:tc>
          <w:tcPr>
            <w:tcW w:w="1393" w:type="dxa"/>
            <w:tcBorders>
              <w:top w:val="nil"/>
              <w:left w:val="nil"/>
              <w:bottom w:val="single" w:color="auto" w:sz="4" w:space="0"/>
              <w:right w:val="single" w:color="auto" w:sz="4" w:space="0"/>
            </w:tcBorders>
            <w:vAlign w:val="center"/>
          </w:tcPr>
          <w:p w14:paraId="2CABADBB">
            <w:pPr>
              <w:spacing w:after="120"/>
              <w:ind w:firstLine="0" w:firstLineChars="0"/>
              <w:rPr>
                <w:rFonts w:cs="宋体"/>
                <w:szCs w:val="21"/>
              </w:rPr>
            </w:pPr>
            <w:r>
              <w:rPr>
                <w:rFonts w:hint="eastAsia" w:cs="宋体"/>
                <w:szCs w:val="21"/>
              </w:rPr>
              <w:t>设计配合</w:t>
            </w:r>
          </w:p>
        </w:tc>
        <w:tc>
          <w:tcPr>
            <w:tcW w:w="709" w:type="dxa"/>
            <w:tcBorders>
              <w:top w:val="nil"/>
              <w:left w:val="nil"/>
              <w:bottom w:val="single" w:color="auto" w:sz="4" w:space="0"/>
              <w:right w:val="single" w:color="auto" w:sz="4" w:space="0"/>
            </w:tcBorders>
            <w:vAlign w:val="center"/>
          </w:tcPr>
          <w:p w14:paraId="243AE210">
            <w:pPr>
              <w:spacing w:after="120"/>
              <w:ind w:firstLine="0" w:firstLineChars="0"/>
              <w:rPr>
                <w:rFonts w:ascii="仿宋_GB2312" w:eastAsia="仿宋_GB2312" w:cs="宋体"/>
                <w:szCs w:val="21"/>
              </w:rPr>
            </w:pPr>
            <w:r>
              <w:rPr>
                <w:rFonts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04297E3F">
            <w:pPr>
              <w:spacing w:after="120"/>
              <w:ind w:firstLine="0" w:firstLineChars="0"/>
              <w:jc w:val="left"/>
              <w:rPr>
                <w:rFonts w:cs="宋体"/>
                <w:szCs w:val="21"/>
              </w:rPr>
            </w:pPr>
            <w:r>
              <w:rPr>
                <w:rFonts w:hint="eastAsia" w:cs="宋体"/>
                <w:szCs w:val="21"/>
              </w:rPr>
              <w:t>能否按合同及甲方要求及时协调配合甲方、专项设计单位及其它相关部门的工作；是否具有较强的沟通协调能力</w:t>
            </w:r>
          </w:p>
        </w:tc>
        <w:tc>
          <w:tcPr>
            <w:tcW w:w="3261" w:type="dxa"/>
            <w:tcBorders>
              <w:top w:val="nil"/>
              <w:left w:val="nil"/>
              <w:bottom w:val="single" w:color="auto" w:sz="4" w:space="0"/>
              <w:right w:val="single" w:color="auto" w:sz="4" w:space="0"/>
            </w:tcBorders>
            <w:vAlign w:val="center"/>
          </w:tcPr>
          <w:p w14:paraId="1BAAB1A3">
            <w:pPr>
              <w:spacing w:after="120"/>
              <w:ind w:firstLine="0" w:firstLineChars="0"/>
              <w:jc w:val="left"/>
              <w:rPr>
                <w:rFonts w:cs="宋体"/>
                <w:szCs w:val="21"/>
              </w:rPr>
            </w:pPr>
            <w:r>
              <w:rPr>
                <w:rFonts w:hint="eastAsia" w:cs="宋体"/>
                <w:szCs w:val="21"/>
              </w:rPr>
              <w:t>好：得</w:t>
            </w:r>
            <w:r>
              <w:rPr>
                <w:rFonts w:cs="宋体"/>
                <w:szCs w:val="21"/>
              </w:rPr>
              <w:t>10分</w:t>
            </w:r>
          </w:p>
          <w:p w14:paraId="16500D1A">
            <w:pPr>
              <w:spacing w:after="120"/>
              <w:ind w:firstLine="0" w:firstLineChars="0"/>
              <w:jc w:val="left"/>
              <w:rPr>
                <w:rFonts w:cs="宋体"/>
                <w:szCs w:val="21"/>
              </w:rPr>
            </w:pPr>
            <w:r>
              <w:rPr>
                <w:rFonts w:hint="eastAsia" w:cs="宋体"/>
                <w:szCs w:val="21"/>
              </w:rPr>
              <w:t>较好：得</w:t>
            </w:r>
            <w:r>
              <w:rPr>
                <w:rFonts w:cs="宋体"/>
                <w:szCs w:val="21"/>
              </w:rPr>
              <w:t>8分</w:t>
            </w:r>
          </w:p>
          <w:p w14:paraId="32B1CCF3">
            <w:pPr>
              <w:spacing w:after="120"/>
              <w:ind w:firstLine="0" w:firstLineChars="0"/>
              <w:jc w:val="left"/>
              <w:rPr>
                <w:rFonts w:cs="宋体"/>
                <w:szCs w:val="21"/>
              </w:rPr>
            </w:pPr>
            <w:r>
              <w:rPr>
                <w:rFonts w:hint="eastAsia" w:cs="宋体"/>
                <w:szCs w:val="21"/>
              </w:rPr>
              <w:t>一般：得</w:t>
            </w:r>
            <w:r>
              <w:rPr>
                <w:rFonts w:cs="宋体"/>
                <w:szCs w:val="21"/>
              </w:rPr>
              <w:t>6分</w:t>
            </w:r>
          </w:p>
          <w:p w14:paraId="0A8D38A2">
            <w:pPr>
              <w:spacing w:after="120"/>
              <w:ind w:firstLine="0" w:firstLineChars="0"/>
              <w:jc w:val="left"/>
              <w:rPr>
                <w:rFonts w:cs="宋体"/>
                <w:szCs w:val="21"/>
              </w:rPr>
            </w:pPr>
            <w:r>
              <w:rPr>
                <w:rFonts w:hint="eastAsia" w:cs="宋体"/>
                <w:szCs w:val="21"/>
              </w:rPr>
              <w:t>较差：得</w:t>
            </w:r>
            <w:r>
              <w:rPr>
                <w:rFonts w:cs="宋体"/>
                <w:szCs w:val="21"/>
              </w:rPr>
              <w:t>4分</w:t>
            </w:r>
          </w:p>
          <w:p w14:paraId="77A783E2">
            <w:pPr>
              <w:spacing w:after="120"/>
              <w:ind w:firstLine="0" w:firstLineChars="0"/>
              <w:jc w:val="left"/>
              <w:rPr>
                <w:rFonts w:cs="宋体"/>
                <w:szCs w:val="21"/>
              </w:rPr>
            </w:pPr>
            <w:r>
              <w:rPr>
                <w:rFonts w:hint="eastAsia" w:cs="宋体"/>
                <w:szCs w:val="21"/>
              </w:rPr>
              <w:t>差：得</w:t>
            </w:r>
            <w:r>
              <w:rPr>
                <w:rFonts w:cs="宋体"/>
                <w:szCs w:val="21"/>
              </w:rPr>
              <w:t>2分</w:t>
            </w:r>
          </w:p>
        </w:tc>
        <w:tc>
          <w:tcPr>
            <w:tcW w:w="992" w:type="dxa"/>
            <w:tcBorders>
              <w:top w:val="nil"/>
              <w:left w:val="nil"/>
              <w:bottom w:val="single" w:color="auto" w:sz="4" w:space="0"/>
              <w:right w:val="single" w:color="auto" w:sz="4" w:space="0"/>
            </w:tcBorders>
            <w:vAlign w:val="center"/>
          </w:tcPr>
          <w:p w14:paraId="270D3594">
            <w:pPr>
              <w:spacing w:after="120"/>
              <w:jc w:val="left"/>
              <w:rPr>
                <w:rFonts w:cs="宋体"/>
                <w:szCs w:val="21"/>
              </w:rPr>
            </w:pPr>
            <w:r>
              <w:rPr>
                <w:rFonts w:hint="eastAsia" w:cs="宋体"/>
                <w:szCs w:val="21"/>
              </w:rPr>
              <w:t>　</w:t>
            </w:r>
          </w:p>
        </w:tc>
      </w:tr>
      <w:tr w14:paraId="45C2C3BD">
        <w:tblPrEx>
          <w:tblCellMar>
            <w:top w:w="0" w:type="dxa"/>
            <w:left w:w="108" w:type="dxa"/>
            <w:bottom w:w="0" w:type="dxa"/>
            <w:right w:w="108" w:type="dxa"/>
          </w:tblCellMar>
        </w:tblPrEx>
        <w:trPr>
          <w:jc w:val="center"/>
        </w:trPr>
        <w:tc>
          <w:tcPr>
            <w:tcW w:w="460" w:type="dxa"/>
            <w:tcBorders>
              <w:top w:val="nil"/>
              <w:left w:val="single" w:color="auto" w:sz="4" w:space="0"/>
              <w:bottom w:val="single" w:color="auto" w:sz="4" w:space="0"/>
              <w:right w:val="single" w:color="auto" w:sz="4" w:space="0"/>
            </w:tcBorders>
            <w:vAlign w:val="center"/>
          </w:tcPr>
          <w:p w14:paraId="25BABFEB">
            <w:pPr>
              <w:spacing w:after="120"/>
              <w:jc w:val="center"/>
              <w:rPr>
                <w:szCs w:val="21"/>
              </w:rPr>
            </w:pPr>
            <w:r>
              <w:rPr>
                <w:rFonts w:hint="eastAsia"/>
                <w:szCs w:val="21"/>
              </w:rPr>
              <w:t>　</w:t>
            </w:r>
          </w:p>
        </w:tc>
        <w:tc>
          <w:tcPr>
            <w:tcW w:w="1393" w:type="dxa"/>
            <w:tcBorders>
              <w:top w:val="nil"/>
              <w:left w:val="nil"/>
              <w:bottom w:val="single" w:color="auto" w:sz="4" w:space="0"/>
              <w:right w:val="single" w:color="auto" w:sz="4" w:space="0"/>
            </w:tcBorders>
            <w:vAlign w:val="center"/>
          </w:tcPr>
          <w:p w14:paraId="2445D17E">
            <w:pPr>
              <w:spacing w:after="120"/>
              <w:jc w:val="center"/>
              <w:rPr>
                <w:szCs w:val="21"/>
              </w:rPr>
            </w:pPr>
            <w:r>
              <w:rPr>
                <w:rFonts w:hint="eastAsia"/>
                <w:szCs w:val="21"/>
              </w:rPr>
              <w:t>合计</w:t>
            </w:r>
          </w:p>
        </w:tc>
        <w:tc>
          <w:tcPr>
            <w:tcW w:w="709" w:type="dxa"/>
            <w:tcBorders>
              <w:top w:val="nil"/>
              <w:left w:val="nil"/>
              <w:bottom w:val="single" w:color="auto" w:sz="4" w:space="0"/>
              <w:right w:val="single" w:color="auto" w:sz="4" w:space="0"/>
            </w:tcBorders>
            <w:vAlign w:val="center"/>
          </w:tcPr>
          <w:p w14:paraId="39777FA6">
            <w:pPr>
              <w:spacing w:after="120"/>
              <w:ind w:firstLine="0" w:firstLineChars="0"/>
              <w:rPr>
                <w:szCs w:val="21"/>
              </w:rPr>
            </w:pPr>
            <w:r>
              <w:rPr>
                <w:szCs w:val="21"/>
              </w:rPr>
              <w:t>100</w:t>
            </w:r>
          </w:p>
        </w:tc>
        <w:tc>
          <w:tcPr>
            <w:tcW w:w="2551" w:type="dxa"/>
            <w:tcBorders>
              <w:top w:val="nil"/>
              <w:left w:val="nil"/>
              <w:bottom w:val="single" w:color="auto" w:sz="4" w:space="0"/>
              <w:right w:val="single" w:color="auto" w:sz="4" w:space="0"/>
            </w:tcBorders>
            <w:vAlign w:val="center"/>
          </w:tcPr>
          <w:p w14:paraId="32BF3E0C">
            <w:pPr>
              <w:spacing w:after="120"/>
              <w:jc w:val="center"/>
              <w:rPr>
                <w:szCs w:val="21"/>
              </w:rPr>
            </w:pPr>
            <w:r>
              <w:rPr>
                <w:rFonts w:hint="eastAsia"/>
                <w:szCs w:val="21"/>
              </w:rPr>
              <w:t>　</w:t>
            </w:r>
          </w:p>
        </w:tc>
        <w:tc>
          <w:tcPr>
            <w:tcW w:w="3261" w:type="dxa"/>
            <w:tcBorders>
              <w:top w:val="nil"/>
              <w:left w:val="nil"/>
              <w:bottom w:val="single" w:color="auto" w:sz="4" w:space="0"/>
              <w:right w:val="single" w:color="auto" w:sz="4" w:space="0"/>
            </w:tcBorders>
            <w:vAlign w:val="center"/>
          </w:tcPr>
          <w:p w14:paraId="17E26DDB">
            <w:pPr>
              <w:spacing w:after="120"/>
              <w:jc w:val="center"/>
              <w:rPr>
                <w:szCs w:val="21"/>
              </w:rPr>
            </w:pPr>
            <w:r>
              <w:rPr>
                <w:rFonts w:hint="eastAsia"/>
                <w:szCs w:val="21"/>
              </w:rPr>
              <w:t>　</w:t>
            </w:r>
          </w:p>
        </w:tc>
        <w:tc>
          <w:tcPr>
            <w:tcW w:w="992" w:type="dxa"/>
            <w:tcBorders>
              <w:top w:val="nil"/>
              <w:left w:val="nil"/>
              <w:bottom w:val="single" w:color="auto" w:sz="4" w:space="0"/>
              <w:right w:val="single" w:color="auto" w:sz="4" w:space="0"/>
            </w:tcBorders>
            <w:vAlign w:val="center"/>
          </w:tcPr>
          <w:p w14:paraId="63F0A8C9">
            <w:pPr>
              <w:spacing w:after="120"/>
              <w:jc w:val="center"/>
              <w:rPr>
                <w:szCs w:val="21"/>
              </w:rPr>
            </w:pPr>
            <w:r>
              <w:rPr>
                <w:rFonts w:hint="eastAsia"/>
                <w:szCs w:val="21"/>
              </w:rPr>
              <w:t>　</w:t>
            </w:r>
          </w:p>
        </w:tc>
      </w:tr>
    </w:tbl>
    <w:p w14:paraId="096D3E21">
      <w:pPr>
        <w:spacing w:after="120"/>
        <w:rPr>
          <w:rFonts w:cs="宋体"/>
          <w:szCs w:val="21"/>
        </w:rPr>
      </w:pPr>
      <w:r>
        <w:rPr>
          <w:rFonts w:hint="eastAsia" w:cs="宋体"/>
          <w:szCs w:val="21"/>
        </w:rPr>
        <w:t>一、注：</w:t>
      </w:r>
    </w:p>
    <w:p w14:paraId="6BAC5E8B">
      <w:pPr>
        <w:spacing w:after="120"/>
        <w:rPr>
          <w:rFonts w:cs="宋体"/>
          <w:szCs w:val="21"/>
        </w:rPr>
      </w:pPr>
      <w:r>
        <w:rPr>
          <w:rFonts w:cs="宋体"/>
          <w:szCs w:val="21"/>
        </w:rPr>
        <w:t>1、每一评分项扣分，至该项对应分值扣完为止。</w:t>
      </w:r>
    </w:p>
    <w:p w14:paraId="5E78C307">
      <w:pPr>
        <w:spacing w:after="120"/>
        <w:rPr>
          <w:rFonts w:cs="宋体"/>
          <w:szCs w:val="21"/>
        </w:rPr>
      </w:pPr>
      <w:r>
        <w:rPr>
          <w:rFonts w:cs="宋体"/>
          <w:szCs w:val="21"/>
        </w:rPr>
        <w:t>2、应在岗实际未在岗累计达到3天的，或经问询明显不了解项目具体情况累计达到3次的，或未按甲方要求出席会议累计达到3次的，可认定自行更换</w:t>
      </w:r>
    </w:p>
    <w:p w14:paraId="7B15450E">
      <w:pPr>
        <w:spacing w:after="120"/>
        <w:rPr>
          <w:rFonts w:cs="宋体"/>
          <w:szCs w:val="21"/>
        </w:rPr>
      </w:pPr>
    </w:p>
    <w:p w14:paraId="1F0F1ACF">
      <w:pPr>
        <w:spacing w:after="120"/>
        <w:rPr>
          <w:rFonts w:cs="宋体"/>
          <w:szCs w:val="21"/>
        </w:rPr>
      </w:pPr>
      <w:r>
        <w:rPr>
          <w:rFonts w:hint="eastAsia" w:cs="宋体"/>
          <w:szCs w:val="21"/>
        </w:rPr>
        <w:t>二、扣分情况说明：</w:t>
      </w:r>
    </w:p>
    <w:p w14:paraId="0D52EE3F">
      <w:pPr>
        <w:spacing w:after="120"/>
        <w:rPr>
          <w:rFonts w:cs="宋体"/>
          <w:szCs w:val="21"/>
        </w:rPr>
      </w:pPr>
      <w:r>
        <w:rPr>
          <w:rFonts w:cs="宋体"/>
          <w:szCs w:val="21"/>
        </w:rPr>
        <w:t>1、</w:t>
      </w:r>
    </w:p>
    <w:p w14:paraId="4B01C809">
      <w:pPr>
        <w:spacing w:after="120"/>
        <w:rPr>
          <w:rFonts w:cs="宋体"/>
          <w:szCs w:val="21"/>
        </w:rPr>
      </w:pPr>
      <w:r>
        <w:rPr>
          <w:rFonts w:cs="宋体"/>
          <w:szCs w:val="21"/>
        </w:rPr>
        <w:t>2、</w:t>
      </w:r>
    </w:p>
    <w:p w14:paraId="228B61B3">
      <w:pPr>
        <w:spacing w:after="120"/>
        <w:rPr>
          <w:rFonts w:cs="宋体"/>
          <w:szCs w:val="21"/>
        </w:rPr>
      </w:pPr>
      <w:r>
        <w:rPr>
          <w:rFonts w:cs="宋体"/>
          <w:szCs w:val="21"/>
        </w:rPr>
        <w:t>3、</w:t>
      </w:r>
    </w:p>
    <w:p w14:paraId="17856900">
      <w:pPr>
        <w:spacing w:after="120"/>
        <w:rPr>
          <w:rFonts w:cs="宋体"/>
          <w:szCs w:val="21"/>
        </w:rPr>
      </w:pPr>
      <w:r>
        <w:rPr>
          <w:rFonts w:hint="eastAsia" w:cs="宋体"/>
          <w:szCs w:val="21"/>
        </w:rPr>
        <w:t>…</w:t>
      </w:r>
    </w:p>
    <w:p w14:paraId="3477420C">
      <w:pPr>
        <w:spacing w:after="120"/>
        <w:rPr>
          <w:rFonts w:cs="宋体"/>
          <w:szCs w:val="21"/>
        </w:rPr>
      </w:pPr>
    </w:p>
    <w:p w14:paraId="5060D957">
      <w:pPr>
        <w:spacing w:after="120"/>
        <w:rPr>
          <w:rFonts w:cs="宋体"/>
          <w:szCs w:val="21"/>
          <w:u w:val="single"/>
        </w:rPr>
      </w:pPr>
      <w:r>
        <w:rPr>
          <w:rFonts w:hint="eastAsia" w:cs="宋体"/>
          <w:szCs w:val="21"/>
        </w:rPr>
        <w:t>项目负责人：×××签名：</w:t>
      </w:r>
    </w:p>
    <w:p w14:paraId="7354A515">
      <w:pPr>
        <w:spacing w:after="120"/>
        <w:rPr>
          <w:rFonts w:cs="宋体"/>
          <w:szCs w:val="21"/>
        </w:rPr>
      </w:pPr>
    </w:p>
    <w:p w14:paraId="17723A32">
      <w:pPr>
        <w:spacing w:after="120"/>
        <w:rPr>
          <w:rFonts w:cs="宋体"/>
          <w:szCs w:val="21"/>
          <w:u w:val="single"/>
        </w:rPr>
      </w:pPr>
      <w:r>
        <w:rPr>
          <w:rFonts w:hint="eastAsia" w:cs="宋体"/>
          <w:szCs w:val="21"/>
        </w:rPr>
        <w:t>部门负责人：×××签名：</w:t>
      </w:r>
    </w:p>
    <w:p w14:paraId="4C58DD1D">
      <w:pPr>
        <w:spacing w:after="120"/>
        <w:rPr>
          <w:rFonts w:cs="宋体"/>
          <w:szCs w:val="21"/>
        </w:rPr>
      </w:pPr>
    </w:p>
    <w:p w14:paraId="36B81291">
      <w:pPr>
        <w:spacing w:after="120"/>
        <w:rPr>
          <w:rFonts w:cs="宋体"/>
          <w:szCs w:val="21"/>
        </w:rPr>
      </w:pPr>
      <w:r>
        <w:rPr>
          <w:rFonts w:hint="eastAsia" w:cs="宋体"/>
          <w:szCs w:val="21"/>
        </w:rPr>
        <w:t>日期：年月日</w:t>
      </w:r>
    </w:p>
    <w:p w14:paraId="277C8B16">
      <w:pPr>
        <w:spacing w:after="120"/>
        <w:rPr>
          <w:rFonts w:cs="宋体"/>
          <w:szCs w:val="21"/>
        </w:rPr>
      </w:pPr>
    </w:p>
    <w:p w14:paraId="7355B5C0">
      <w:pPr>
        <w:spacing w:after="120" w:line="560" w:lineRule="exact"/>
        <w:ind w:firstLine="482"/>
        <w:rPr>
          <w:rFonts w:ascii="仿宋_GB2312" w:eastAsia="仿宋_GB2312"/>
          <w:sz w:val="32"/>
          <w:szCs w:val="32"/>
        </w:rPr>
      </w:pPr>
      <w:r>
        <w:rPr>
          <w:b/>
          <w:szCs w:val="21"/>
        </w:rPr>
        <w:br w:type="page"/>
      </w:r>
      <w:r>
        <w:rPr>
          <w:rFonts w:hint="eastAsia" w:ascii="仿宋_GB2312" w:eastAsia="仿宋_GB2312"/>
          <w:sz w:val="32"/>
          <w:szCs w:val="32"/>
        </w:rPr>
        <w:t>附件四</w:t>
      </w:r>
    </w:p>
    <w:tbl>
      <w:tblPr>
        <w:tblStyle w:val="55"/>
        <w:tblW w:w="9376" w:type="dxa"/>
        <w:jc w:val="center"/>
        <w:tblLayout w:type="fixed"/>
        <w:tblCellMar>
          <w:top w:w="0" w:type="dxa"/>
          <w:left w:w="108" w:type="dxa"/>
          <w:bottom w:w="0" w:type="dxa"/>
          <w:right w:w="108" w:type="dxa"/>
        </w:tblCellMar>
      </w:tblPr>
      <w:tblGrid>
        <w:gridCol w:w="700"/>
        <w:gridCol w:w="1073"/>
        <w:gridCol w:w="799"/>
        <w:gridCol w:w="2551"/>
        <w:gridCol w:w="3261"/>
        <w:gridCol w:w="992"/>
      </w:tblGrid>
      <w:tr w14:paraId="46567955">
        <w:tblPrEx>
          <w:tblCellMar>
            <w:top w:w="0" w:type="dxa"/>
            <w:left w:w="108" w:type="dxa"/>
            <w:bottom w:w="0" w:type="dxa"/>
            <w:right w:w="108" w:type="dxa"/>
          </w:tblCellMar>
        </w:tblPrEx>
        <w:trPr>
          <w:trHeight w:val="570" w:hRule="atLeast"/>
          <w:jc w:val="center"/>
        </w:trPr>
        <w:tc>
          <w:tcPr>
            <w:tcW w:w="9376" w:type="dxa"/>
            <w:gridSpan w:val="6"/>
            <w:tcBorders>
              <w:top w:val="nil"/>
              <w:left w:val="nil"/>
              <w:bottom w:val="nil"/>
              <w:right w:val="nil"/>
            </w:tcBorders>
            <w:vAlign w:val="center"/>
          </w:tcPr>
          <w:p w14:paraId="3E30F123">
            <w:pPr>
              <w:spacing w:after="120"/>
              <w:ind w:firstLine="560"/>
              <w:jc w:val="center"/>
              <w:rPr>
                <w:rFonts w:ascii="仿宋_GB2312" w:eastAsia="仿宋_GB2312"/>
                <w:sz w:val="28"/>
                <w:szCs w:val="28"/>
              </w:rPr>
            </w:pPr>
            <w:r>
              <w:rPr>
                <w:rFonts w:hint="eastAsia" w:ascii="仿宋_GB2312" w:eastAsia="仿宋_GB2312"/>
                <w:sz w:val="28"/>
                <w:szCs w:val="28"/>
              </w:rPr>
              <w:t>施工阶段设计合同履约评价表</w:t>
            </w:r>
          </w:p>
          <w:p w14:paraId="5AFD64FC">
            <w:pPr>
              <w:spacing w:after="120"/>
              <w:jc w:val="right"/>
              <w:rPr>
                <w:rFonts w:ascii="仿宋_GB2312" w:eastAsia="仿宋_GB2312"/>
                <w:sz w:val="28"/>
                <w:szCs w:val="28"/>
              </w:rPr>
            </w:pPr>
            <w:r>
              <w:rPr>
                <w:rFonts w:ascii="仿宋_GB2312" w:eastAsia="仿宋_GB2312"/>
              </w:rPr>
              <w:t xml:space="preserve">20   </w:t>
            </w:r>
            <w:r>
              <w:rPr>
                <w:rFonts w:hint="eastAsia" w:ascii="仿宋_GB2312" w:eastAsia="仿宋_GB2312"/>
              </w:rPr>
              <w:t>年第季度</w:t>
            </w:r>
          </w:p>
        </w:tc>
      </w:tr>
      <w:tr w14:paraId="31E83356">
        <w:tblPrEx>
          <w:tblCellMar>
            <w:top w:w="0" w:type="dxa"/>
            <w:left w:w="108" w:type="dxa"/>
            <w:bottom w:w="0" w:type="dxa"/>
            <w:right w:w="108" w:type="dxa"/>
          </w:tblCellMar>
        </w:tblPrEx>
        <w:trPr>
          <w:jc w:val="center"/>
        </w:trPr>
        <w:tc>
          <w:tcPr>
            <w:tcW w:w="700" w:type="dxa"/>
            <w:tcBorders>
              <w:top w:val="single" w:color="auto" w:sz="4" w:space="0"/>
              <w:left w:val="single" w:color="auto" w:sz="4" w:space="0"/>
              <w:bottom w:val="single" w:color="auto" w:sz="4" w:space="0"/>
              <w:right w:val="single" w:color="auto" w:sz="4" w:space="0"/>
            </w:tcBorders>
            <w:vAlign w:val="center"/>
          </w:tcPr>
          <w:p w14:paraId="673813B3">
            <w:pPr>
              <w:spacing w:after="120"/>
              <w:ind w:firstLine="0" w:firstLineChars="0"/>
              <w:rPr>
                <w:rFonts w:cs="宋体"/>
                <w:b/>
                <w:bCs/>
                <w:szCs w:val="21"/>
              </w:rPr>
            </w:pPr>
            <w:r>
              <w:rPr>
                <w:rFonts w:hint="eastAsia" w:cs="宋体"/>
                <w:b/>
                <w:bCs/>
                <w:szCs w:val="21"/>
              </w:rPr>
              <w:t>序号</w:t>
            </w:r>
          </w:p>
        </w:tc>
        <w:tc>
          <w:tcPr>
            <w:tcW w:w="1073" w:type="dxa"/>
            <w:tcBorders>
              <w:top w:val="single" w:color="auto" w:sz="4" w:space="0"/>
              <w:left w:val="nil"/>
              <w:bottom w:val="single" w:color="auto" w:sz="4" w:space="0"/>
              <w:right w:val="single" w:color="auto" w:sz="4" w:space="0"/>
            </w:tcBorders>
            <w:vAlign w:val="center"/>
          </w:tcPr>
          <w:p w14:paraId="04F54D0C">
            <w:pPr>
              <w:spacing w:after="120"/>
              <w:ind w:firstLine="0" w:firstLineChars="0"/>
              <w:rPr>
                <w:rFonts w:cs="宋体"/>
                <w:b/>
                <w:bCs/>
                <w:szCs w:val="21"/>
              </w:rPr>
            </w:pPr>
            <w:r>
              <w:rPr>
                <w:rFonts w:hint="eastAsia" w:cs="宋体"/>
                <w:b/>
                <w:bCs/>
                <w:szCs w:val="21"/>
              </w:rPr>
              <w:t>内容</w:t>
            </w:r>
          </w:p>
        </w:tc>
        <w:tc>
          <w:tcPr>
            <w:tcW w:w="799" w:type="dxa"/>
            <w:tcBorders>
              <w:top w:val="single" w:color="auto" w:sz="4" w:space="0"/>
              <w:left w:val="nil"/>
              <w:bottom w:val="single" w:color="auto" w:sz="4" w:space="0"/>
              <w:right w:val="single" w:color="auto" w:sz="4" w:space="0"/>
            </w:tcBorders>
            <w:vAlign w:val="center"/>
          </w:tcPr>
          <w:p w14:paraId="439C9980">
            <w:pPr>
              <w:spacing w:after="120"/>
              <w:ind w:firstLine="0" w:firstLineChars="0"/>
              <w:rPr>
                <w:rFonts w:cs="宋体"/>
                <w:b/>
                <w:bCs/>
                <w:szCs w:val="21"/>
              </w:rPr>
            </w:pPr>
            <w:r>
              <w:rPr>
                <w:rFonts w:hint="eastAsia" w:cs="宋体"/>
                <w:b/>
                <w:bCs/>
                <w:szCs w:val="21"/>
              </w:rPr>
              <w:t>单项</w:t>
            </w:r>
          </w:p>
          <w:p w14:paraId="13B118F8">
            <w:pPr>
              <w:spacing w:after="120"/>
              <w:ind w:firstLine="0" w:firstLineChars="0"/>
              <w:rPr>
                <w:rFonts w:cs="宋体"/>
                <w:b/>
                <w:bCs/>
                <w:szCs w:val="21"/>
              </w:rPr>
            </w:pPr>
            <w:r>
              <w:rPr>
                <w:rFonts w:hint="eastAsia" w:cs="宋体"/>
                <w:b/>
                <w:bCs/>
                <w:szCs w:val="21"/>
              </w:rPr>
              <w:t>分值</w:t>
            </w:r>
          </w:p>
        </w:tc>
        <w:tc>
          <w:tcPr>
            <w:tcW w:w="2551" w:type="dxa"/>
            <w:tcBorders>
              <w:top w:val="single" w:color="auto" w:sz="4" w:space="0"/>
              <w:left w:val="nil"/>
              <w:bottom w:val="single" w:color="auto" w:sz="4" w:space="0"/>
              <w:right w:val="single" w:color="auto" w:sz="4" w:space="0"/>
            </w:tcBorders>
            <w:vAlign w:val="center"/>
          </w:tcPr>
          <w:p w14:paraId="2C841AD3">
            <w:pPr>
              <w:spacing w:after="120"/>
              <w:ind w:firstLine="482"/>
              <w:jc w:val="center"/>
              <w:rPr>
                <w:rFonts w:cs="宋体"/>
                <w:b/>
                <w:bCs/>
                <w:szCs w:val="21"/>
              </w:rPr>
            </w:pPr>
            <w:r>
              <w:rPr>
                <w:rFonts w:hint="eastAsia" w:cs="宋体"/>
                <w:b/>
                <w:bCs/>
                <w:szCs w:val="21"/>
              </w:rPr>
              <w:t>评价指标</w:t>
            </w:r>
          </w:p>
        </w:tc>
        <w:tc>
          <w:tcPr>
            <w:tcW w:w="3261" w:type="dxa"/>
            <w:tcBorders>
              <w:top w:val="single" w:color="auto" w:sz="4" w:space="0"/>
              <w:left w:val="nil"/>
              <w:bottom w:val="single" w:color="auto" w:sz="4" w:space="0"/>
              <w:right w:val="single" w:color="auto" w:sz="4" w:space="0"/>
            </w:tcBorders>
            <w:vAlign w:val="center"/>
          </w:tcPr>
          <w:p w14:paraId="382ED200">
            <w:pPr>
              <w:spacing w:after="120"/>
              <w:ind w:firstLine="482"/>
              <w:jc w:val="center"/>
              <w:rPr>
                <w:rFonts w:cs="宋体"/>
                <w:b/>
                <w:bCs/>
                <w:szCs w:val="21"/>
              </w:rPr>
            </w:pPr>
            <w:r>
              <w:rPr>
                <w:rFonts w:hint="eastAsia" w:cs="宋体"/>
                <w:b/>
                <w:bCs/>
                <w:szCs w:val="21"/>
              </w:rPr>
              <w:t>评分标准</w:t>
            </w:r>
          </w:p>
        </w:tc>
        <w:tc>
          <w:tcPr>
            <w:tcW w:w="992" w:type="dxa"/>
            <w:tcBorders>
              <w:top w:val="single" w:color="auto" w:sz="4" w:space="0"/>
              <w:left w:val="nil"/>
              <w:bottom w:val="single" w:color="auto" w:sz="4" w:space="0"/>
              <w:right w:val="single" w:color="auto" w:sz="4" w:space="0"/>
            </w:tcBorders>
            <w:vAlign w:val="center"/>
          </w:tcPr>
          <w:p w14:paraId="1498A911">
            <w:pPr>
              <w:spacing w:after="120"/>
              <w:ind w:firstLine="0" w:firstLineChars="0"/>
              <w:rPr>
                <w:rFonts w:cs="宋体"/>
                <w:szCs w:val="21"/>
              </w:rPr>
            </w:pPr>
            <w:r>
              <w:rPr>
                <w:rFonts w:hint="eastAsia" w:cs="宋体"/>
                <w:szCs w:val="21"/>
              </w:rPr>
              <w:t>得分</w:t>
            </w:r>
          </w:p>
        </w:tc>
      </w:tr>
      <w:tr w14:paraId="6DA14183">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1A296F19">
            <w:pPr>
              <w:spacing w:after="120"/>
              <w:ind w:firstLine="0" w:firstLineChars="0"/>
              <w:rPr>
                <w:rFonts w:cs="宋体"/>
                <w:szCs w:val="21"/>
              </w:rPr>
            </w:pPr>
            <w:r>
              <w:rPr>
                <w:rFonts w:hint="eastAsia" w:cs="宋体"/>
                <w:szCs w:val="21"/>
              </w:rPr>
              <w:t>一</w:t>
            </w:r>
          </w:p>
        </w:tc>
        <w:tc>
          <w:tcPr>
            <w:tcW w:w="1073" w:type="dxa"/>
            <w:tcBorders>
              <w:top w:val="nil"/>
              <w:left w:val="nil"/>
              <w:bottom w:val="single" w:color="auto" w:sz="4" w:space="0"/>
              <w:right w:val="single" w:color="auto" w:sz="4" w:space="0"/>
            </w:tcBorders>
            <w:vAlign w:val="center"/>
          </w:tcPr>
          <w:p w14:paraId="2635178C">
            <w:pPr>
              <w:spacing w:after="120"/>
              <w:ind w:firstLine="0" w:firstLineChars="0"/>
              <w:jc w:val="left"/>
              <w:rPr>
                <w:szCs w:val="21"/>
              </w:rPr>
            </w:pPr>
            <w:r>
              <w:rPr>
                <w:rFonts w:hint="eastAsia"/>
                <w:szCs w:val="21"/>
              </w:rPr>
              <w:t>能力水平及履约表现</w:t>
            </w:r>
          </w:p>
        </w:tc>
        <w:tc>
          <w:tcPr>
            <w:tcW w:w="799" w:type="dxa"/>
            <w:tcBorders>
              <w:top w:val="nil"/>
              <w:left w:val="nil"/>
              <w:bottom w:val="single" w:color="auto" w:sz="4" w:space="0"/>
              <w:right w:val="single" w:color="auto" w:sz="4" w:space="0"/>
            </w:tcBorders>
            <w:vAlign w:val="center"/>
          </w:tcPr>
          <w:p w14:paraId="47D4E6FF">
            <w:pPr>
              <w:spacing w:after="120"/>
              <w:ind w:firstLine="0" w:firstLineChars="0"/>
              <w:rPr>
                <w:szCs w:val="21"/>
              </w:rPr>
            </w:pPr>
            <w:r>
              <w:rPr>
                <w:szCs w:val="21"/>
              </w:rPr>
              <w:t>20</w:t>
            </w:r>
          </w:p>
        </w:tc>
        <w:tc>
          <w:tcPr>
            <w:tcW w:w="2551" w:type="dxa"/>
            <w:tcBorders>
              <w:top w:val="nil"/>
              <w:left w:val="nil"/>
              <w:bottom w:val="single" w:color="auto" w:sz="4" w:space="0"/>
              <w:right w:val="single" w:color="auto" w:sz="4" w:space="0"/>
            </w:tcBorders>
            <w:vAlign w:val="center"/>
          </w:tcPr>
          <w:p w14:paraId="4E772317">
            <w:pPr>
              <w:spacing w:after="120"/>
              <w:jc w:val="left"/>
              <w:rPr>
                <w:szCs w:val="21"/>
              </w:rPr>
            </w:pPr>
            <w:r>
              <w:rPr>
                <w:rFonts w:hint="eastAsia"/>
                <w:szCs w:val="21"/>
              </w:rPr>
              <w:t>　</w:t>
            </w:r>
          </w:p>
        </w:tc>
        <w:tc>
          <w:tcPr>
            <w:tcW w:w="3261" w:type="dxa"/>
            <w:tcBorders>
              <w:top w:val="nil"/>
              <w:left w:val="nil"/>
              <w:bottom w:val="single" w:color="auto" w:sz="4" w:space="0"/>
              <w:right w:val="single" w:color="auto" w:sz="4" w:space="0"/>
            </w:tcBorders>
            <w:vAlign w:val="center"/>
          </w:tcPr>
          <w:p w14:paraId="4AD3D0B5">
            <w:pPr>
              <w:spacing w:after="120"/>
              <w:jc w:val="left"/>
              <w:rPr>
                <w:szCs w:val="21"/>
              </w:rPr>
            </w:pPr>
          </w:p>
        </w:tc>
        <w:tc>
          <w:tcPr>
            <w:tcW w:w="992" w:type="dxa"/>
            <w:tcBorders>
              <w:top w:val="nil"/>
              <w:left w:val="nil"/>
              <w:bottom w:val="single" w:color="auto" w:sz="4" w:space="0"/>
              <w:right w:val="single" w:color="auto" w:sz="4" w:space="0"/>
            </w:tcBorders>
            <w:vAlign w:val="center"/>
          </w:tcPr>
          <w:p w14:paraId="1B14D803">
            <w:pPr>
              <w:spacing w:after="120"/>
              <w:jc w:val="center"/>
              <w:rPr>
                <w:szCs w:val="21"/>
              </w:rPr>
            </w:pPr>
            <w:r>
              <w:rPr>
                <w:rFonts w:hint="eastAsia"/>
                <w:szCs w:val="21"/>
              </w:rPr>
              <w:t>　</w:t>
            </w:r>
          </w:p>
        </w:tc>
      </w:tr>
      <w:tr w14:paraId="1C6D00DB">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53F1BE9D">
            <w:pPr>
              <w:spacing w:after="120"/>
              <w:ind w:firstLine="0" w:firstLineChars="0"/>
              <w:rPr>
                <w:rFonts w:cs="宋体"/>
                <w:szCs w:val="21"/>
              </w:rPr>
            </w:pPr>
            <w:r>
              <w:rPr>
                <w:rFonts w:cs="宋体"/>
                <w:szCs w:val="21"/>
              </w:rPr>
              <w:t>1</w:t>
            </w:r>
          </w:p>
        </w:tc>
        <w:tc>
          <w:tcPr>
            <w:tcW w:w="1073" w:type="dxa"/>
            <w:tcBorders>
              <w:top w:val="nil"/>
              <w:left w:val="nil"/>
              <w:bottom w:val="single" w:color="auto" w:sz="4" w:space="0"/>
              <w:right w:val="single" w:color="auto" w:sz="4" w:space="0"/>
            </w:tcBorders>
            <w:vAlign w:val="center"/>
          </w:tcPr>
          <w:p w14:paraId="1414EE65">
            <w:pPr>
              <w:spacing w:after="120"/>
              <w:ind w:firstLine="0" w:firstLineChars="0"/>
              <w:rPr>
                <w:rFonts w:cs="宋体"/>
                <w:szCs w:val="21"/>
              </w:rPr>
            </w:pPr>
            <w:r>
              <w:rPr>
                <w:rFonts w:hint="eastAsia" w:cs="宋体"/>
                <w:szCs w:val="21"/>
              </w:rPr>
              <w:t>现场配合人员</w:t>
            </w:r>
          </w:p>
        </w:tc>
        <w:tc>
          <w:tcPr>
            <w:tcW w:w="799" w:type="dxa"/>
            <w:tcBorders>
              <w:top w:val="nil"/>
              <w:left w:val="nil"/>
              <w:bottom w:val="single" w:color="auto" w:sz="4" w:space="0"/>
              <w:right w:val="single" w:color="auto" w:sz="4" w:space="0"/>
            </w:tcBorders>
            <w:vAlign w:val="center"/>
          </w:tcPr>
          <w:p w14:paraId="0D897DBA">
            <w:pPr>
              <w:spacing w:after="120"/>
              <w:ind w:firstLine="0" w:firstLineChars="0"/>
              <w:rPr>
                <w:rFonts w:ascii="仿宋_GB2312" w:eastAsia="仿宋_GB2312" w:cs="宋体"/>
                <w:szCs w:val="21"/>
              </w:rPr>
            </w:pPr>
            <w:r>
              <w:rPr>
                <w:rFonts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58EBD66F">
            <w:pPr>
              <w:spacing w:after="120"/>
              <w:ind w:firstLine="0" w:firstLineChars="0"/>
              <w:jc w:val="left"/>
              <w:rPr>
                <w:rFonts w:cs="宋体"/>
                <w:szCs w:val="21"/>
              </w:rPr>
            </w:pPr>
            <w:r>
              <w:rPr>
                <w:rFonts w:hint="eastAsia" w:cs="宋体"/>
                <w:szCs w:val="21"/>
              </w:rPr>
              <w:t>能否按合同及甲方要求及时协调配合甲方、专项设计单位及其它相关部门的工作；是否具有较强的沟通协调能力；能否在验收环节积极协助甲方完成相关工作；设计配合是否及时；能否按要求参加项目例会</w:t>
            </w:r>
          </w:p>
        </w:tc>
        <w:tc>
          <w:tcPr>
            <w:tcW w:w="3261" w:type="dxa"/>
            <w:tcBorders>
              <w:top w:val="nil"/>
              <w:left w:val="nil"/>
              <w:bottom w:val="single" w:color="auto" w:sz="4" w:space="0"/>
              <w:right w:val="single" w:color="auto" w:sz="4" w:space="0"/>
            </w:tcBorders>
            <w:vAlign w:val="center"/>
          </w:tcPr>
          <w:p w14:paraId="1A6B30CE">
            <w:pPr>
              <w:spacing w:after="120"/>
              <w:jc w:val="left"/>
              <w:rPr>
                <w:rFonts w:cs="宋体"/>
                <w:szCs w:val="21"/>
              </w:rPr>
            </w:pPr>
            <w:r>
              <w:rPr>
                <w:rFonts w:hint="eastAsia" w:cs="宋体"/>
                <w:szCs w:val="21"/>
              </w:rPr>
              <w:t>好：得</w:t>
            </w:r>
            <w:r>
              <w:rPr>
                <w:rFonts w:cs="宋体"/>
                <w:szCs w:val="21"/>
              </w:rPr>
              <w:t>10分</w:t>
            </w:r>
          </w:p>
          <w:p w14:paraId="6A30F5F5">
            <w:pPr>
              <w:spacing w:after="120"/>
              <w:jc w:val="left"/>
              <w:rPr>
                <w:rFonts w:cs="宋体"/>
                <w:szCs w:val="21"/>
              </w:rPr>
            </w:pPr>
            <w:r>
              <w:rPr>
                <w:rFonts w:hint="eastAsia" w:cs="宋体"/>
                <w:szCs w:val="21"/>
              </w:rPr>
              <w:t>较好：得</w:t>
            </w:r>
            <w:r>
              <w:rPr>
                <w:rFonts w:cs="宋体"/>
                <w:szCs w:val="21"/>
              </w:rPr>
              <w:t>8分</w:t>
            </w:r>
          </w:p>
          <w:p w14:paraId="15F8DFC9">
            <w:pPr>
              <w:spacing w:after="120"/>
              <w:jc w:val="left"/>
              <w:rPr>
                <w:rFonts w:cs="宋体"/>
                <w:szCs w:val="21"/>
              </w:rPr>
            </w:pPr>
            <w:r>
              <w:rPr>
                <w:rFonts w:hint="eastAsia" w:cs="宋体"/>
                <w:szCs w:val="21"/>
              </w:rPr>
              <w:t>一般：得</w:t>
            </w:r>
            <w:r>
              <w:rPr>
                <w:rFonts w:cs="宋体"/>
                <w:szCs w:val="21"/>
              </w:rPr>
              <w:t>6分</w:t>
            </w:r>
          </w:p>
          <w:p w14:paraId="1F270540">
            <w:pPr>
              <w:spacing w:after="120"/>
              <w:jc w:val="left"/>
              <w:rPr>
                <w:rFonts w:cs="宋体"/>
                <w:szCs w:val="21"/>
              </w:rPr>
            </w:pPr>
            <w:r>
              <w:rPr>
                <w:rFonts w:hint="eastAsia" w:cs="宋体"/>
                <w:szCs w:val="21"/>
              </w:rPr>
              <w:t>较差：得</w:t>
            </w:r>
            <w:r>
              <w:rPr>
                <w:rFonts w:cs="宋体"/>
                <w:szCs w:val="21"/>
              </w:rPr>
              <w:t>4分</w:t>
            </w:r>
          </w:p>
          <w:p w14:paraId="6D341CF2">
            <w:pPr>
              <w:spacing w:after="120"/>
              <w:jc w:val="left"/>
              <w:rPr>
                <w:rFonts w:cs="宋体"/>
                <w:szCs w:val="21"/>
              </w:rPr>
            </w:pPr>
            <w:r>
              <w:rPr>
                <w:rFonts w:hint="eastAsia" w:cs="宋体"/>
                <w:szCs w:val="21"/>
              </w:rPr>
              <w:t>差：得</w:t>
            </w:r>
            <w:r>
              <w:rPr>
                <w:rFonts w:cs="宋体"/>
                <w:szCs w:val="21"/>
              </w:rPr>
              <w:t>2分</w:t>
            </w:r>
          </w:p>
        </w:tc>
        <w:tc>
          <w:tcPr>
            <w:tcW w:w="992" w:type="dxa"/>
            <w:tcBorders>
              <w:top w:val="nil"/>
              <w:left w:val="nil"/>
              <w:bottom w:val="single" w:color="auto" w:sz="4" w:space="0"/>
              <w:right w:val="single" w:color="auto" w:sz="4" w:space="0"/>
            </w:tcBorders>
            <w:vAlign w:val="center"/>
          </w:tcPr>
          <w:p w14:paraId="77A383A1">
            <w:pPr>
              <w:spacing w:after="120"/>
              <w:jc w:val="center"/>
              <w:rPr>
                <w:rFonts w:cs="宋体"/>
                <w:szCs w:val="21"/>
              </w:rPr>
            </w:pPr>
            <w:r>
              <w:rPr>
                <w:rFonts w:hint="eastAsia" w:cs="宋体"/>
                <w:szCs w:val="21"/>
              </w:rPr>
              <w:t>　</w:t>
            </w:r>
          </w:p>
        </w:tc>
      </w:tr>
      <w:tr w14:paraId="7C12578F">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7B59A58D">
            <w:pPr>
              <w:spacing w:after="120"/>
              <w:ind w:firstLine="0" w:firstLineChars="0"/>
              <w:rPr>
                <w:rFonts w:cs="宋体"/>
                <w:szCs w:val="21"/>
              </w:rPr>
            </w:pPr>
            <w:r>
              <w:rPr>
                <w:rFonts w:cs="宋体"/>
                <w:szCs w:val="21"/>
              </w:rPr>
              <w:t>2</w:t>
            </w:r>
          </w:p>
        </w:tc>
        <w:tc>
          <w:tcPr>
            <w:tcW w:w="1073" w:type="dxa"/>
            <w:tcBorders>
              <w:top w:val="nil"/>
              <w:left w:val="nil"/>
              <w:bottom w:val="single" w:color="auto" w:sz="4" w:space="0"/>
              <w:right w:val="single" w:color="auto" w:sz="4" w:space="0"/>
            </w:tcBorders>
            <w:vAlign w:val="center"/>
          </w:tcPr>
          <w:p w14:paraId="0E9C3F76">
            <w:pPr>
              <w:spacing w:after="120"/>
              <w:ind w:firstLine="0" w:firstLineChars="0"/>
              <w:rPr>
                <w:rFonts w:cs="宋体"/>
                <w:szCs w:val="21"/>
              </w:rPr>
            </w:pPr>
            <w:r>
              <w:rPr>
                <w:rFonts w:hint="eastAsia" w:cs="宋体"/>
                <w:szCs w:val="21"/>
              </w:rPr>
              <w:t>设计技术交底</w:t>
            </w:r>
          </w:p>
        </w:tc>
        <w:tc>
          <w:tcPr>
            <w:tcW w:w="799" w:type="dxa"/>
            <w:tcBorders>
              <w:top w:val="single" w:color="auto" w:sz="4" w:space="0"/>
              <w:left w:val="nil"/>
              <w:bottom w:val="nil"/>
              <w:right w:val="single" w:color="auto" w:sz="4" w:space="0"/>
            </w:tcBorders>
            <w:vAlign w:val="center"/>
          </w:tcPr>
          <w:p w14:paraId="2CC56616">
            <w:pPr>
              <w:spacing w:after="120"/>
              <w:ind w:firstLine="0" w:firstLineChars="0"/>
              <w:rPr>
                <w:rFonts w:ascii="仿宋_GB2312" w:eastAsia="仿宋_GB2312" w:cs="宋体"/>
                <w:szCs w:val="21"/>
              </w:rPr>
            </w:pPr>
            <w:r>
              <w:rPr>
                <w:rFonts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35F4DAB4">
            <w:pPr>
              <w:spacing w:after="120"/>
              <w:ind w:firstLine="0" w:firstLineChars="0"/>
              <w:jc w:val="left"/>
              <w:rPr>
                <w:rFonts w:cs="宋体"/>
                <w:szCs w:val="21"/>
              </w:rPr>
            </w:pPr>
            <w:r>
              <w:rPr>
                <w:rFonts w:hint="eastAsia" w:cs="宋体"/>
                <w:szCs w:val="21"/>
              </w:rPr>
              <w:t>是否满足现场施工要求</w:t>
            </w:r>
          </w:p>
        </w:tc>
        <w:tc>
          <w:tcPr>
            <w:tcW w:w="3261" w:type="dxa"/>
            <w:tcBorders>
              <w:top w:val="nil"/>
              <w:left w:val="nil"/>
              <w:bottom w:val="single" w:color="auto" w:sz="4" w:space="0"/>
              <w:right w:val="single" w:color="auto" w:sz="4" w:space="0"/>
            </w:tcBorders>
            <w:vAlign w:val="center"/>
          </w:tcPr>
          <w:p w14:paraId="458C8A3A">
            <w:pPr>
              <w:spacing w:after="120"/>
              <w:jc w:val="left"/>
              <w:rPr>
                <w:rFonts w:cs="宋体"/>
                <w:szCs w:val="21"/>
              </w:rPr>
            </w:pPr>
            <w:r>
              <w:rPr>
                <w:rFonts w:hint="eastAsia" w:cs="宋体"/>
                <w:szCs w:val="21"/>
              </w:rPr>
              <w:t>好：得</w:t>
            </w:r>
            <w:r>
              <w:rPr>
                <w:rFonts w:cs="宋体"/>
                <w:szCs w:val="21"/>
              </w:rPr>
              <w:t>10分</w:t>
            </w:r>
          </w:p>
          <w:p w14:paraId="33D2C732">
            <w:pPr>
              <w:spacing w:after="120"/>
              <w:jc w:val="left"/>
              <w:rPr>
                <w:rFonts w:cs="宋体"/>
                <w:szCs w:val="21"/>
              </w:rPr>
            </w:pPr>
            <w:r>
              <w:rPr>
                <w:rFonts w:hint="eastAsia" w:cs="宋体"/>
                <w:szCs w:val="21"/>
              </w:rPr>
              <w:t>较好：得</w:t>
            </w:r>
            <w:r>
              <w:rPr>
                <w:rFonts w:cs="宋体"/>
                <w:szCs w:val="21"/>
              </w:rPr>
              <w:t>8分</w:t>
            </w:r>
          </w:p>
          <w:p w14:paraId="68E4B26C">
            <w:pPr>
              <w:spacing w:after="120"/>
              <w:jc w:val="left"/>
              <w:rPr>
                <w:rFonts w:cs="宋体"/>
                <w:szCs w:val="21"/>
              </w:rPr>
            </w:pPr>
            <w:r>
              <w:rPr>
                <w:rFonts w:hint="eastAsia" w:cs="宋体"/>
                <w:szCs w:val="21"/>
              </w:rPr>
              <w:t>一般：得</w:t>
            </w:r>
            <w:r>
              <w:rPr>
                <w:rFonts w:cs="宋体"/>
                <w:szCs w:val="21"/>
              </w:rPr>
              <w:t>6分</w:t>
            </w:r>
          </w:p>
          <w:p w14:paraId="4BC7F847">
            <w:pPr>
              <w:spacing w:after="120"/>
              <w:jc w:val="left"/>
              <w:rPr>
                <w:rFonts w:cs="宋体"/>
                <w:szCs w:val="21"/>
              </w:rPr>
            </w:pPr>
            <w:r>
              <w:rPr>
                <w:rFonts w:hint="eastAsia" w:cs="宋体"/>
                <w:szCs w:val="21"/>
              </w:rPr>
              <w:t>较差：得</w:t>
            </w:r>
            <w:r>
              <w:rPr>
                <w:rFonts w:cs="宋体"/>
                <w:szCs w:val="21"/>
              </w:rPr>
              <w:t>4分</w:t>
            </w:r>
          </w:p>
          <w:p w14:paraId="7556125A">
            <w:pPr>
              <w:spacing w:after="120"/>
              <w:jc w:val="left"/>
              <w:rPr>
                <w:rFonts w:cs="宋体"/>
                <w:szCs w:val="21"/>
              </w:rPr>
            </w:pPr>
            <w:r>
              <w:rPr>
                <w:rFonts w:hint="eastAsia" w:cs="宋体"/>
                <w:szCs w:val="21"/>
              </w:rPr>
              <w:t>差：得</w:t>
            </w:r>
            <w:r>
              <w:rPr>
                <w:rFonts w:cs="宋体"/>
                <w:szCs w:val="21"/>
              </w:rPr>
              <w:t>2分</w:t>
            </w:r>
          </w:p>
        </w:tc>
        <w:tc>
          <w:tcPr>
            <w:tcW w:w="992" w:type="dxa"/>
            <w:tcBorders>
              <w:top w:val="nil"/>
              <w:left w:val="nil"/>
              <w:bottom w:val="single" w:color="auto" w:sz="4" w:space="0"/>
              <w:right w:val="single" w:color="auto" w:sz="4" w:space="0"/>
            </w:tcBorders>
            <w:vAlign w:val="center"/>
          </w:tcPr>
          <w:p w14:paraId="3FAE65F7">
            <w:pPr>
              <w:spacing w:after="120"/>
              <w:jc w:val="center"/>
              <w:rPr>
                <w:rFonts w:cs="宋体"/>
                <w:szCs w:val="21"/>
              </w:rPr>
            </w:pPr>
          </w:p>
        </w:tc>
      </w:tr>
      <w:tr w14:paraId="4D996E96">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47FE3641">
            <w:pPr>
              <w:spacing w:after="120"/>
              <w:ind w:firstLine="0" w:firstLineChars="0"/>
              <w:rPr>
                <w:rFonts w:cs="宋体"/>
                <w:szCs w:val="21"/>
              </w:rPr>
            </w:pPr>
            <w:r>
              <w:rPr>
                <w:rFonts w:hint="eastAsia" w:cs="宋体"/>
                <w:szCs w:val="21"/>
              </w:rPr>
              <w:t>二</w:t>
            </w:r>
          </w:p>
        </w:tc>
        <w:tc>
          <w:tcPr>
            <w:tcW w:w="1073" w:type="dxa"/>
            <w:tcBorders>
              <w:top w:val="nil"/>
              <w:left w:val="nil"/>
              <w:bottom w:val="single" w:color="auto" w:sz="4" w:space="0"/>
              <w:right w:val="single" w:color="auto" w:sz="4" w:space="0"/>
            </w:tcBorders>
            <w:vAlign w:val="center"/>
          </w:tcPr>
          <w:p w14:paraId="55776A2A">
            <w:pPr>
              <w:spacing w:after="120"/>
              <w:ind w:firstLine="0" w:firstLineChars="0"/>
              <w:rPr>
                <w:rFonts w:cs="宋体"/>
                <w:szCs w:val="21"/>
              </w:rPr>
            </w:pPr>
            <w:r>
              <w:rPr>
                <w:rFonts w:hint="eastAsia" w:cs="宋体"/>
                <w:szCs w:val="21"/>
              </w:rPr>
              <w:t>设计图纸质量</w:t>
            </w:r>
          </w:p>
        </w:tc>
        <w:tc>
          <w:tcPr>
            <w:tcW w:w="799" w:type="dxa"/>
            <w:tcBorders>
              <w:top w:val="single" w:color="auto" w:sz="4" w:space="0"/>
              <w:left w:val="nil"/>
              <w:bottom w:val="single" w:color="auto" w:sz="4" w:space="0"/>
              <w:right w:val="single" w:color="auto" w:sz="4" w:space="0"/>
            </w:tcBorders>
            <w:vAlign w:val="center"/>
          </w:tcPr>
          <w:p w14:paraId="58208137">
            <w:pPr>
              <w:spacing w:after="120"/>
              <w:ind w:firstLine="0" w:firstLineChars="0"/>
              <w:rPr>
                <w:rFonts w:ascii="仿宋_GB2312" w:eastAsia="仿宋_GB2312" w:cs="宋体"/>
                <w:szCs w:val="21"/>
              </w:rPr>
            </w:pPr>
            <w:r>
              <w:rPr>
                <w:rFonts w:ascii="仿宋_GB2312" w:eastAsia="仿宋_GB2312" w:cs="宋体"/>
                <w:szCs w:val="21"/>
              </w:rPr>
              <w:t>30</w:t>
            </w:r>
          </w:p>
        </w:tc>
        <w:tc>
          <w:tcPr>
            <w:tcW w:w="2551" w:type="dxa"/>
            <w:tcBorders>
              <w:top w:val="nil"/>
              <w:left w:val="nil"/>
              <w:bottom w:val="single" w:color="auto" w:sz="4" w:space="0"/>
              <w:right w:val="single" w:color="auto" w:sz="4" w:space="0"/>
            </w:tcBorders>
            <w:vAlign w:val="center"/>
          </w:tcPr>
          <w:p w14:paraId="5CCE2F2F">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1203B46F">
            <w:pPr>
              <w:spacing w:after="120"/>
              <w:jc w:val="left"/>
              <w:rPr>
                <w:rFonts w:cs="宋体"/>
                <w:szCs w:val="21"/>
              </w:rPr>
            </w:pPr>
          </w:p>
        </w:tc>
        <w:tc>
          <w:tcPr>
            <w:tcW w:w="992" w:type="dxa"/>
            <w:tcBorders>
              <w:top w:val="nil"/>
              <w:left w:val="nil"/>
              <w:bottom w:val="single" w:color="auto" w:sz="4" w:space="0"/>
              <w:right w:val="single" w:color="auto" w:sz="4" w:space="0"/>
            </w:tcBorders>
            <w:vAlign w:val="center"/>
          </w:tcPr>
          <w:p w14:paraId="1B2A5987">
            <w:pPr>
              <w:spacing w:after="120"/>
              <w:jc w:val="left"/>
              <w:rPr>
                <w:rFonts w:cs="宋体"/>
                <w:szCs w:val="21"/>
              </w:rPr>
            </w:pPr>
            <w:r>
              <w:rPr>
                <w:rFonts w:hint="eastAsia" w:cs="宋体"/>
                <w:szCs w:val="21"/>
              </w:rPr>
              <w:t>　</w:t>
            </w:r>
          </w:p>
        </w:tc>
      </w:tr>
      <w:tr w14:paraId="6F3B69FB">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5336DC6C">
            <w:pPr>
              <w:spacing w:after="120"/>
              <w:ind w:firstLine="0" w:firstLineChars="0"/>
              <w:rPr>
                <w:rFonts w:cs="宋体"/>
                <w:szCs w:val="21"/>
              </w:rPr>
            </w:pPr>
            <w:r>
              <w:rPr>
                <w:rFonts w:cs="宋体"/>
                <w:szCs w:val="21"/>
              </w:rPr>
              <w:t>1</w:t>
            </w:r>
          </w:p>
        </w:tc>
        <w:tc>
          <w:tcPr>
            <w:tcW w:w="1073" w:type="dxa"/>
            <w:tcBorders>
              <w:top w:val="nil"/>
              <w:left w:val="nil"/>
              <w:bottom w:val="single" w:color="auto" w:sz="4" w:space="0"/>
              <w:right w:val="single" w:color="auto" w:sz="4" w:space="0"/>
            </w:tcBorders>
            <w:vAlign w:val="center"/>
          </w:tcPr>
          <w:p w14:paraId="738E3C41">
            <w:pPr>
              <w:spacing w:after="120"/>
              <w:ind w:firstLine="0" w:firstLineChars="0"/>
              <w:rPr>
                <w:rFonts w:cs="宋体"/>
                <w:szCs w:val="21"/>
              </w:rPr>
            </w:pPr>
            <w:r>
              <w:rPr>
                <w:rFonts w:hint="eastAsia" w:cs="宋体"/>
                <w:szCs w:val="21"/>
              </w:rPr>
              <w:t>错漏碰缺</w:t>
            </w:r>
          </w:p>
        </w:tc>
        <w:tc>
          <w:tcPr>
            <w:tcW w:w="799" w:type="dxa"/>
            <w:tcBorders>
              <w:top w:val="nil"/>
              <w:left w:val="nil"/>
              <w:bottom w:val="single" w:color="auto" w:sz="4" w:space="0"/>
              <w:right w:val="single" w:color="auto" w:sz="4" w:space="0"/>
            </w:tcBorders>
            <w:vAlign w:val="center"/>
          </w:tcPr>
          <w:p w14:paraId="2CA6B343">
            <w:pPr>
              <w:spacing w:after="120"/>
              <w:ind w:firstLine="0" w:firstLineChars="0"/>
              <w:rPr>
                <w:rFonts w:ascii="仿宋_GB2312" w:eastAsia="仿宋_GB2312" w:cs="宋体"/>
                <w:szCs w:val="21"/>
              </w:rPr>
            </w:pPr>
            <w:r>
              <w:rPr>
                <w:rFonts w:ascii="仿宋_GB2312" w:eastAsia="仿宋_GB2312" w:cs="宋体"/>
                <w:szCs w:val="21"/>
              </w:rPr>
              <w:t>20</w:t>
            </w:r>
          </w:p>
        </w:tc>
        <w:tc>
          <w:tcPr>
            <w:tcW w:w="2551" w:type="dxa"/>
            <w:tcBorders>
              <w:top w:val="nil"/>
              <w:left w:val="nil"/>
              <w:bottom w:val="single" w:color="auto" w:sz="4" w:space="0"/>
              <w:right w:val="single" w:color="auto" w:sz="4" w:space="0"/>
            </w:tcBorders>
            <w:vAlign w:val="center"/>
          </w:tcPr>
          <w:p w14:paraId="3920F403">
            <w:pPr>
              <w:spacing w:after="120"/>
              <w:ind w:firstLine="0" w:firstLineChars="0"/>
              <w:jc w:val="left"/>
              <w:rPr>
                <w:rFonts w:cs="宋体"/>
                <w:szCs w:val="21"/>
              </w:rPr>
            </w:pPr>
            <w:r>
              <w:rPr>
                <w:rFonts w:hint="eastAsia" w:cs="宋体"/>
                <w:szCs w:val="21"/>
              </w:rPr>
              <w:t>施工过程中发现设计图纸上存在的错漏碰缺对造价及工期的影响</w:t>
            </w:r>
          </w:p>
        </w:tc>
        <w:tc>
          <w:tcPr>
            <w:tcW w:w="3261" w:type="dxa"/>
            <w:tcBorders>
              <w:top w:val="nil"/>
              <w:left w:val="nil"/>
              <w:bottom w:val="single" w:color="auto" w:sz="4" w:space="0"/>
              <w:right w:val="single" w:color="auto" w:sz="4" w:space="0"/>
            </w:tcBorders>
            <w:vAlign w:val="center"/>
          </w:tcPr>
          <w:p w14:paraId="6722D3A4">
            <w:pPr>
              <w:spacing w:after="120"/>
              <w:jc w:val="left"/>
              <w:rPr>
                <w:rFonts w:cs="宋体"/>
                <w:szCs w:val="21"/>
              </w:rPr>
            </w:pPr>
            <w:r>
              <w:rPr>
                <w:rFonts w:hint="eastAsia" w:cs="宋体"/>
                <w:szCs w:val="21"/>
              </w:rPr>
              <w:t>设计图纸上存在的错漏碰缺，产生以下影响：</w:t>
            </w:r>
          </w:p>
          <w:p w14:paraId="167CE7BF">
            <w:pPr>
              <w:spacing w:after="120"/>
              <w:jc w:val="left"/>
              <w:rPr>
                <w:rFonts w:cs="宋体"/>
                <w:szCs w:val="21"/>
              </w:rPr>
            </w:pPr>
            <w:r>
              <w:rPr>
                <w:rFonts w:cs="宋体"/>
                <w:szCs w:val="21"/>
              </w:rPr>
              <w:t>1、工程造价增加10</w:t>
            </w:r>
            <w:r>
              <w:rPr>
                <w:rFonts w:hint="eastAsia" w:cs="宋体"/>
                <w:szCs w:val="21"/>
              </w:rPr>
              <w:t>万元（含）以上，或影响总工期</w:t>
            </w:r>
            <w:r>
              <w:rPr>
                <w:rFonts w:cs="宋体"/>
                <w:szCs w:val="21"/>
              </w:rPr>
              <w:t>10</w:t>
            </w:r>
            <w:r>
              <w:rPr>
                <w:rFonts w:hint="eastAsia" w:cs="宋体"/>
                <w:szCs w:val="21"/>
              </w:rPr>
              <w:t>天（含）以上的，扣</w:t>
            </w:r>
            <w:r>
              <w:rPr>
                <w:rFonts w:cs="宋体"/>
                <w:szCs w:val="21"/>
              </w:rPr>
              <w:t>10分；</w:t>
            </w:r>
          </w:p>
          <w:p w14:paraId="3EB9626C">
            <w:pPr>
              <w:spacing w:after="120"/>
              <w:jc w:val="left"/>
              <w:rPr>
                <w:rFonts w:cs="宋体"/>
                <w:szCs w:val="21"/>
              </w:rPr>
            </w:pPr>
            <w:r>
              <w:rPr>
                <w:rFonts w:cs="宋体"/>
                <w:szCs w:val="21"/>
              </w:rPr>
              <w:t>2、工程造价增加5</w:t>
            </w:r>
            <w:r>
              <w:rPr>
                <w:rFonts w:hint="eastAsia" w:cs="宋体"/>
                <w:szCs w:val="21"/>
              </w:rPr>
              <w:t>万元（含）</w:t>
            </w:r>
            <w:r>
              <w:rPr>
                <w:rFonts w:cs="宋体"/>
                <w:szCs w:val="21"/>
              </w:rPr>
              <w:t>-10</w:t>
            </w:r>
            <w:r>
              <w:rPr>
                <w:rFonts w:hint="eastAsia" w:cs="宋体"/>
                <w:szCs w:val="21"/>
              </w:rPr>
              <w:t>万元的，或影响总工期</w:t>
            </w:r>
            <w:r>
              <w:rPr>
                <w:rFonts w:cs="宋体"/>
                <w:szCs w:val="21"/>
              </w:rPr>
              <w:t>5天（含）-10</w:t>
            </w:r>
            <w:r>
              <w:rPr>
                <w:rFonts w:hint="eastAsia" w:cs="宋体"/>
                <w:szCs w:val="21"/>
              </w:rPr>
              <w:t>天的，扣</w:t>
            </w:r>
            <w:r>
              <w:rPr>
                <w:rFonts w:cs="宋体"/>
                <w:szCs w:val="21"/>
              </w:rPr>
              <w:t>5分；</w:t>
            </w:r>
          </w:p>
          <w:p w14:paraId="0D2FC65C">
            <w:pPr>
              <w:spacing w:after="120"/>
              <w:jc w:val="left"/>
              <w:rPr>
                <w:rFonts w:cs="宋体"/>
                <w:szCs w:val="21"/>
              </w:rPr>
            </w:pPr>
            <w:r>
              <w:rPr>
                <w:rFonts w:cs="宋体"/>
                <w:szCs w:val="21"/>
              </w:rPr>
              <w:t>3、工程造价增加5</w:t>
            </w:r>
            <w:r>
              <w:rPr>
                <w:rFonts w:hint="eastAsia" w:cs="宋体"/>
                <w:szCs w:val="21"/>
              </w:rPr>
              <w:t>万元以下的，或影响总工期</w:t>
            </w:r>
            <w:r>
              <w:rPr>
                <w:rFonts w:cs="宋体"/>
                <w:szCs w:val="21"/>
              </w:rPr>
              <w:t>5天以内的，扣2分。</w:t>
            </w:r>
          </w:p>
        </w:tc>
        <w:tc>
          <w:tcPr>
            <w:tcW w:w="992" w:type="dxa"/>
            <w:tcBorders>
              <w:top w:val="nil"/>
              <w:left w:val="nil"/>
              <w:bottom w:val="single" w:color="auto" w:sz="4" w:space="0"/>
              <w:right w:val="single" w:color="auto" w:sz="4" w:space="0"/>
            </w:tcBorders>
            <w:vAlign w:val="center"/>
          </w:tcPr>
          <w:p w14:paraId="196DCC2F">
            <w:pPr>
              <w:spacing w:after="120"/>
              <w:jc w:val="left"/>
              <w:rPr>
                <w:rFonts w:cs="宋体"/>
                <w:szCs w:val="21"/>
              </w:rPr>
            </w:pPr>
            <w:r>
              <w:rPr>
                <w:rFonts w:hint="eastAsia" w:cs="宋体"/>
                <w:szCs w:val="21"/>
              </w:rPr>
              <w:t>　</w:t>
            </w:r>
          </w:p>
        </w:tc>
      </w:tr>
      <w:tr w14:paraId="1A82E082">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19E7B062">
            <w:pPr>
              <w:spacing w:after="120"/>
              <w:ind w:firstLine="0" w:firstLineChars="0"/>
              <w:rPr>
                <w:rFonts w:cs="宋体"/>
                <w:szCs w:val="21"/>
              </w:rPr>
            </w:pPr>
            <w:r>
              <w:rPr>
                <w:rFonts w:cs="宋体"/>
                <w:szCs w:val="21"/>
              </w:rPr>
              <w:t>2</w:t>
            </w:r>
          </w:p>
        </w:tc>
        <w:tc>
          <w:tcPr>
            <w:tcW w:w="1073" w:type="dxa"/>
            <w:tcBorders>
              <w:top w:val="nil"/>
              <w:left w:val="nil"/>
              <w:bottom w:val="single" w:color="auto" w:sz="4" w:space="0"/>
              <w:right w:val="single" w:color="auto" w:sz="4" w:space="0"/>
            </w:tcBorders>
            <w:vAlign w:val="center"/>
          </w:tcPr>
          <w:p w14:paraId="3E7734EF">
            <w:pPr>
              <w:spacing w:after="120"/>
              <w:ind w:firstLine="0" w:firstLineChars="0"/>
              <w:rPr>
                <w:rFonts w:cs="宋体"/>
                <w:szCs w:val="21"/>
              </w:rPr>
            </w:pPr>
            <w:r>
              <w:rPr>
                <w:rFonts w:hint="eastAsia" w:cs="宋体"/>
                <w:szCs w:val="21"/>
              </w:rPr>
              <w:t>编制竣工图</w:t>
            </w:r>
          </w:p>
        </w:tc>
        <w:tc>
          <w:tcPr>
            <w:tcW w:w="799" w:type="dxa"/>
            <w:tcBorders>
              <w:top w:val="nil"/>
              <w:left w:val="nil"/>
              <w:bottom w:val="single" w:color="auto" w:sz="4" w:space="0"/>
              <w:right w:val="single" w:color="auto" w:sz="4" w:space="0"/>
            </w:tcBorders>
            <w:vAlign w:val="center"/>
          </w:tcPr>
          <w:p w14:paraId="4B56C9FA">
            <w:pPr>
              <w:spacing w:after="120"/>
              <w:ind w:firstLine="0" w:firstLineChars="0"/>
              <w:rPr>
                <w:rFonts w:ascii="仿宋_GB2312" w:eastAsia="仿宋_GB2312" w:cs="宋体"/>
                <w:szCs w:val="21"/>
              </w:rPr>
            </w:pPr>
            <w:r>
              <w:rPr>
                <w:rFonts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15FA19C4">
            <w:pPr>
              <w:spacing w:after="120"/>
              <w:ind w:firstLine="0" w:firstLineChars="0"/>
              <w:jc w:val="left"/>
              <w:rPr>
                <w:rFonts w:cs="宋体"/>
                <w:szCs w:val="21"/>
              </w:rPr>
            </w:pPr>
            <w:r>
              <w:rPr>
                <w:rFonts w:hint="eastAsia" w:cs="宋体"/>
                <w:szCs w:val="21"/>
              </w:rPr>
              <w:t>竣工图是否准确反映实际情况</w:t>
            </w:r>
          </w:p>
        </w:tc>
        <w:tc>
          <w:tcPr>
            <w:tcW w:w="3261" w:type="dxa"/>
            <w:tcBorders>
              <w:top w:val="nil"/>
              <w:left w:val="nil"/>
              <w:bottom w:val="single" w:color="auto" w:sz="4" w:space="0"/>
              <w:right w:val="single" w:color="auto" w:sz="4" w:space="0"/>
            </w:tcBorders>
            <w:vAlign w:val="center"/>
          </w:tcPr>
          <w:p w14:paraId="1744C436">
            <w:pPr>
              <w:spacing w:after="120"/>
              <w:ind w:firstLine="0" w:firstLineChars="0"/>
              <w:jc w:val="left"/>
              <w:rPr>
                <w:rFonts w:cs="宋体"/>
                <w:szCs w:val="21"/>
              </w:rPr>
            </w:pPr>
            <w:r>
              <w:rPr>
                <w:rFonts w:hint="eastAsia" w:cs="宋体"/>
                <w:szCs w:val="21"/>
              </w:rPr>
              <w:t>竣工图不符合实际情况的，每处扣</w:t>
            </w:r>
            <w:r>
              <w:rPr>
                <w:rFonts w:cs="宋体"/>
                <w:szCs w:val="21"/>
              </w:rPr>
              <w:t>2分。</w:t>
            </w:r>
          </w:p>
        </w:tc>
        <w:tc>
          <w:tcPr>
            <w:tcW w:w="992" w:type="dxa"/>
            <w:tcBorders>
              <w:top w:val="nil"/>
              <w:left w:val="nil"/>
              <w:bottom w:val="single" w:color="auto" w:sz="4" w:space="0"/>
              <w:right w:val="single" w:color="auto" w:sz="4" w:space="0"/>
            </w:tcBorders>
            <w:vAlign w:val="center"/>
          </w:tcPr>
          <w:p w14:paraId="45B7796D">
            <w:pPr>
              <w:spacing w:after="120"/>
              <w:jc w:val="left"/>
              <w:rPr>
                <w:rFonts w:cs="宋体"/>
                <w:szCs w:val="21"/>
              </w:rPr>
            </w:pPr>
          </w:p>
        </w:tc>
      </w:tr>
      <w:tr w14:paraId="1C4C36F3">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72E92918">
            <w:pPr>
              <w:spacing w:after="120"/>
              <w:ind w:firstLine="0" w:firstLineChars="0"/>
              <w:rPr>
                <w:rFonts w:cs="宋体"/>
                <w:szCs w:val="21"/>
              </w:rPr>
            </w:pPr>
            <w:r>
              <w:rPr>
                <w:rFonts w:hint="eastAsia" w:cs="宋体"/>
                <w:szCs w:val="21"/>
              </w:rPr>
              <w:t>三</w:t>
            </w:r>
          </w:p>
        </w:tc>
        <w:tc>
          <w:tcPr>
            <w:tcW w:w="1073" w:type="dxa"/>
            <w:tcBorders>
              <w:top w:val="nil"/>
              <w:left w:val="nil"/>
              <w:bottom w:val="single" w:color="auto" w:sz="4" w:space="0"/>
              <w:right w:val="single" w:color="auto" w:sz="4" w:space="0"/>
            </w:tcBorders>
            <w:vAlign w:val="center"/>
          </w:tcPr>
          <w:p w14:paraId="03DE7980">
            <w:pPr>
              <w:spacing w:after="120"/>
              <w:ind w:firstLine="0" w:firstLineChars="0"/>
              <w:rPr>
                <w:rFonts w:cs="宋体"/>
                <w:szCs w:val="21"/>
              </w:rPr>
            </w:pPr>
            <w:r>
              <w:rPr>
                <w:rFonts w:hint="eastAsia" w:cs="宋体"/>
                <w:szCs w:val="21"/>
              </w:rPr>
              <w:t>工程变更</w:t>
            </w:r>
          </w:p>
        </w:tc>
        <w:tc>
          <w:tcPr>
            <w:tcW w:w="799" w:type="dxa"/>
            <w:tcBorders>
              <w:top w:val="nil"/>
              <w:left w:val="nil"/>
              <w:bottom w:val="single" w:color="auto" w:sz="4" w:space="0"/>
              <w:right w:val="single" w:color="auto" w:sz="4" w:space="0"/>
            </w:tcBorders>
            <w:vAlign w:val="center"/>
          </w:tcPr>
          <w:p w14:paraId="2CBEC939">
            <w:pPr>
              <w:spacing w:after="120"/>
              <w:ind w:firstLine="0" w:firstLineChars="0"/>
              <w:rPr>
                <w:rFonts w:ascii="仿宋_GB2312" w:eastAsia="仿宋_GB2312" w:cs="宋体"/>
                <w:szCs w:val="21"/>
              </w:rPr>
            </w:pPr>
            <w:r>
              <w:rPr>
                <w:rFonts w:ascii="仿宋_GB2312" w:eastAsia="仿宋_GB2312" w:cs="宋体"/>
                <w:szCs w:val="21"/>
              </w:rPr>
              <w:t>50</w:t>
            </w:r>
          </w:p>
        </w:tc>
        <w:tc>
          <w:tcPr>
            <w:tcW w:w="2551" w:type="dxa"/>
            <w:tcBorders>
              <w:top w:val="nil"/>
              <w:left w:val="nil"/>
              <w:bottom w:val="single" w:color="auto" w:sz="4" w:space="0"/>
              <w:right w:val="single" w:color="auto" w:sz="4" w:space="0"/>
            </w:tcBorders>
            <w:vAlign w:val="center"/>
          </w:tcPr>
          <w:p w14:paraId="40D76060">
            <w:pPr>
              <w:spacing w:after="120"/>
              <w:ind w:firstLine="482"/>
              <w:jc w:val="left"/>
              <w:rPr>
                <w:rFonts w:cs="宋体"/>
                <w:b/>
                <w:szCs w:val="21"/>
              </w:rPr>
            </w:pPr>
          </w:p>
        </w:tc>
        <w:tc>
          <w:tcPr>
            <w:tcW w:w="3261" w:type="dxa"/>
            <w:tcBorders>
              <w:top w:val="nil"/>
              <w:left w:val="nil"/>
              <w:bottom w:val="single" w:color="auto" w:sz="4" w:space="0"/>
              <w:right w:val="single" w:color="auto" w:sz="4" w:space="0"/>
            </w:tcBorders>
            <w:vAlign w:val="center"/>
          </w:tcPr>
          <w:p w14:paraId="785A2846">
            <w:pPr>
              <w:spacing w:after="120"/>
              <w:ind w:firstLine="482"/>
              <w:jc w:val="left"/>
              <w:rPr>
                <w:rFonts w:cs="宋体"/>
                <w:b/>
                <w:szCs w:val="21"/>
              </w:rPr>
            </w:pPr>
          </w:p>
        </w:tc>
        <w:tc>
          <w:tcPr>
            <w:tcW w:w="992" w:type="dxa"/>
            <w:tcBorders>
              <w:top w:val="nil"/>
              <w:left w:val="nil"/>
              <w:bottom w:val="single" w:color="auto" w:sz="4" w:space="0"/>
              <w:right w:val="single" w:color="auto" w:sz="4" w:space="0"/>
            </w:tcBorders>
            <w:vAlign w:val="center"/>
          </w:tcPr>
          <w:p w14:paraId="710EFDCA">
            <w:pPr>
              <w:spacing w:after="120"/>
              <w:ind w:firstLine="482"/>
              <w:jc w:val="left"/>
              <w:rPr>
                <w:rFonts w:cs="宋体"/>
                <w:b/>
                <w:szCs w:val="21"/>
              </w:rPr>
            </w:pPr>
          </w:p>
        </w:tc>
      </w:tr>
      <w:tr w14:paraId="350AC2CF">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5BDC9F91">
            <w:pPr>
              <w:spacing w:after="120"/>
              <w:ind w:firstLine="0" w:firstLineChars="0"/>
              <w:rPr>
                <w:rFonts w:cs="宋体"/>
                <w:szCs w:val="21"/>
              </w:rPr>
            </w:pPr>
            <w:r>
              <w:rPr>
                <w:rFonts w:cs="宋体"/>
                <w:szCs w:val="21"/>
              </w:rPr>
              <w:t>1</w:t>
            </w:r>
          </w:p>
        </w:tc>
        <w:tc>
          <w:tcPr>
            <w:tcW w:w="1073" w:type="dxa"/>
            <w:tcBorders>
              <w:top w:val="nil"/>
              <w:left w:val="nil"/>
              <w:bottom w:val="single" w:color="auto" w:sz="4" w:space="0"/>
              <w:right w:val="single" w:color="auto" w:sz="4" w:space="0"/>
            </w:tcBorders>
            <w:vAlign w:val="center"/>
          </w:tcPr>
          <w:p w14:paraId="14B63D79">
            <w:pPr>
              <w:spacing w:after="120"/>
              <w:ind w:firstLine="0" w:firstLineChars="0"/>
              <w:rPr>
                <w:rFonts w:cs="宋体"/>
                <w:szCs w:val="21"/>
              </w:rPr>
            </w:pPr>
            <w:r>
              <w:rPr>
                <w:rFonts w:hint="eastAsia" w:cs="宋体"/>
                <w:szCs w:val="21"/>
              </w:rPr>
              <w:t>工程变更</w:t>
            </w:r>
          </w:p>
        </w:tc>
        <w:tc>
          <w:tcPr>
            <w:tcW w:w="799" w:type="dxa"/>
            <w:tcBorders>
              <w:top w:val="nil"/>
              <w:left w:val="nil"/>
              <w:bottom w:val="single" w:color="auto" w:sz="4" w:space="0"/>
              <w:right w:val="single" w:color="auto" w:sz="4" w:space="0"/>
            </w:tcBorders>
            <w:vAlign w:val="center"/>
          </w:tcPr>
          <w:p w14:paraId="56242519">
            <w:pPr>
              <w:spacing w:after="120"/>
              <w:ind w:firstLine="0" w:firstLineChars="0"/>
              <w:rPr>
                <w:rFonts w:ascii="仿宋_GB2312" w:eastAsia="仿宋_GB2312" w:cs="宋体"/>
                <w:szCs w:val="21"/>
              </w:rPr>
            </w:pPr>
            <w:r>
              <w:rPr>
                <w:rFonts w:ascii="仿宋_GB2312" w:eastAsia="仿宋_GB2312" w:cs="宋体"/>
                <w:szCs w:val="21"/>
              </w:rPr>
              <w:t>40</w:t>
            </w:r>
          </w:p>
        </w:tc>
        <w:tc>
          <w:tcPr>
            <w:tcW w:w="2551" w:type="dxa"/>
            <w:tcBorders>
              <w:top w:val="nil"/>
              <w:left w:val="nil"/>
              <w:bottom w:val="single" w:color="auto" w:sz="4" w:space="0"/>
              <w:right w:val="single" w:color="auto" w:sz="4" w:space="0"/>
            </w:tcBorders>
            <w:vAlign w:val="center"/>
          </w:tcPr>
          <w:p w14:paraId="27DCAEF8">
            <w:pPr>
              <w:spacing w:after="120"/>
              <w:ind w:firstLine="0" w:firstLineChars="0"/>
              <w:jc w:val="left"/>
              <w:rPr>
                <w:rFonts w:cs="宋体"/>
                <w:szCs w:val="21"/>
              </w:rPr>
            </w:pPr>
            <w:r>
              <w:rPr>
                <w:rFonts w:hint="eastAsia" w:cs="宋体"/>
                <w:szCs w:val="21"/>
              </w:rPr>
              <w:t>是否由乙方设计原因造成设计变更，设计变更是否引起工程费用增加，是否影响工程总工期</w:t>
            </w:r>
          </w:p>
        </w:tc>
        <w:tc>
          <w:tcPr>
            <w:tcW w:w="3261" w:type="dxa"/>
            <w:tcBorders>
              <w:top w:val="nil"/>
              <w:left w:val="nil"/>
              <w:bottom w:val="single" w:color="auto" w:sz="4" w:space="0"/>
              <w:right w:val="single" w:color="auto" w:sz="4" w:space="0"/>
            </w:tcBorders>
            <w:vAlign w:val="center"/>
          </w:tcPr>
          <w:p w14:paraId="6D3FFC76">
            <w:pPr>
              <w:spacing w:after="120"/>
              <w:ind w:firstLine="0" w:firstLineChars="0"/>
              <w:jc w:val="left"/>
              <w:rPr>
                <w:rFonts w:cs="宋体"/>
                <w:szCs w:val="21"/>
              </w:rPr>
            </w:pPr>
            <w:r>
              <w:rPr>
                <w:rFonts w:hint="eastAsia" w:cs="宋体"/>
                <w:szCs w:val="21"/>
              </w:rPr>
              <w:t>由乙方原因造成的设计变更，产生以下影响：</w:t>
            </w:r>
          </w:p>
          <w:p w14:paraId="1FD61661">
            <w:pPr>
              <w:spacing w:after="120"/>
              <w:ind w:firstLine="0" w:firstLineChars="0"/>
              <w:jc w:val="left"/>
              <w:rPr>
                <w:rFonts w:cs="宋体"/>
                <w:szCs w:val="21"/>
              </w:rPr>
            </w:pPr>
            <w:r>
              <w:rPr>
                <w:rFonts w:hint="eastAsia" w:cs="宋体"/>
                <w:szCs w:val="21"/>
              </w:rPr>
              <w:t>设计变更超过施工合同价</w:t>
            </w:r>
            <w:r>
              <w:rPr>
                <w:rFonts w:cs="宋体"/>
                <w:szCs w:val="21"/>
              </w:rPr>
              <w:t>10%的，扣40分；</w:t>
            </w:r>
          </w:p>
          <w:p w14:paraId="3D900EBC">
            <w:pPr>
              <w:spacing w:after="120"/>
              <w:ind w:firstLine="0" w:firstLineChars="0"/>
              <w:jc w:val="left"/>
              <w:rPr>
                <w:rFonts w:cs="宋体"/>
                <w:szCs w:val="21"/>
              </w:rPr>
            </w:pPr>
            <w:r>
              <w:rPr>
                <w:rFonts w:hint="eastAsia" w:cs="宋体"/>
                <w:szCs w:val="21"/>
              </w:rPr>
              <w:t>设计变更超过施工合同价</w:t>
            </w:r>
            <w:r>
              <w:rPr>
                <w:rFonts w:cs="宋体"/>
                <w:szCs w:val="21"/>
              </w:rPr>
              <w:t>5%的，扣20分；</w:t>
            </w:r>
          </w:p>
          <w:p w14:paraId="76EA939E">
            <w:pPr>
              <w:spacing w:after="120"/>
              <w:ind w:firstLine="0" w:firstLineChars="0"/>
              <w:jc w:val="left"/>
              <w:rPr>
                <w:rFonts w:cs="宋体"/>
                <w:szCs w:val="21"/>
              </w:rPr>
            </w:pPr>
            <w:r>
              <w:rPr>
                <w:rFonts w:hint="eastAsia" w:cs="宋体"/>
                <w:szCs w:val="21"/>
              </w:rPr>
              <w:t>需调整工程总概算来处理其费用变化，或影响总工期</w:t>
            </w:r>
            <w:r>
              <w:rPr>
                <w:rFonts w:cs="宋体"/>
                <w:szCs w:val="21"/>
              </w:rPr>
              <w:t>30天以上（含30天），每次扣20分；</w:t>
            </w:r>
          </w:p>
          <w:p w14:paraId="616E2321">
            <w:pPr>
              <w:spacing w:after="120"/>
              <w:ind w:firstLine="0" w:firstLineChars="0"/>
              <w:jc w:val="left"/>
              <w:rPr>
                <w:rFonts w:cs="宋体"/>
                <w:szCs w:val="21"/>
              </w:rPr>
            </w:pPr>
            <w:r>
              <w:rPr>
                <w:rFonts w:hint="eastAsia" w:cs="宋体"/>
                <w:szCs w:val="21"/>
              </w:rPr>
              <w:t>一次工程变更估算金额增加在</w:t>
            </w:r>
            <w:r>
              <w:rPr>
                <w:rFonts w:cs="宋体"/>
                <w:szCs w:val="21"/>
              </w:rPr>
              <w:t>50万元（含）以上，或影响总工期10-30天（含10天）的工程变更，扣10分；</w:t>
            </w:r>
          </w:p>
          <w:p w14:paraId="56B1F6F0">
            <w:pPr>
              <w:spacing w:after="120"/>
              <w:ind w:firstLine="0" w:firstLineChars="0"/>
              <w:jc w:val="left"/>
              <w:rPr>
                <w:rFonts w:cs="宋体"/>
                <w:szCs w:val="21"/>
              </w:rPr>
            </w:pPr>
            <w:r>
              <w:rPr>
                <w:rFonts w:hint="eastAsia" w:cs="宋体"/>
                <w:szCs w:val="21"/>
              </w:rPr>
              <w:t>一次工程变更估算金额增加在</w:t>
            </w:r>
            <w:r>
              <w:rPr>
                <w:rFonts w:cs="宋体"/>
                <w:szCs w:val="21"/>
              </w:rPr>
              <w:t>5-50万元（含5万元）的工程变更，或影响总工期10天以内的工程变更，扣5分；</w:t>
            </w:r>
          </w:p>
          <w:p w14:paraId="6EC97FB6">
            <w:pPr>
              <w:spacing w:after="120"/>
              <w:ind w:firstLine="0" w:firstLineChars="0"/>
              <w:jc w:val="left"/>
              <w:rPr>
                <w:rFonts w:cs="宋体"/>
                <w:szCs w:val="21"/>
              </w:rPr>
            </w:pPr>
            <w:r>
              <w:rPr>
                <w:rFonts w:hint="eastAsia" w:cs="宋体"/>
                <w:szCs w:val="21"/>
              </w:rPr>
              <w:t>一次工程变更估算金额增加在</w:t>
            </w:r>
            <w:r>
              <w:rPr>
                <w:rFonts w:cs="宋体"/>
                <w:szCs w:val="21"/>
              </w:rPr>
              <w:t>5万元以下的工程变更，扣3分。</w:t>
            </w:r>
          </w:p>
        </w:tc>
        <w:tc>
          <w:tcPr>
            <w:tcW w:w="992" w:type="dxa"/>
            <w:tcBorders>
              <w:top w:val="nil"/>
              <w:left w:val="nil"/>
              <w:bottom w:val="single" w:color="auto" w:sz="4" w:space="0"/>
              <w:right w:val="single" w:color="auto" w:sz="4" w:space="0"/>
            </w:tcBorders>
            <w:vAlign w:val="center"/>
          </w:tcPr>
          <w:p w14:paraId="1C813A8C">
            <w:pPr>
              <w:spacing w:after="120"/>
              <w:jc w:val="left"/>
              <w:rPr>
                <w:rFonts w:cs="宋体"/>
                <w:szCs w:val="21"/>
              </w:rPr>
            </w:pPr>
          </w:p>
        </w:tc>
      </w:tr>
      <w:tr w14:paraId="0AD761D6">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36E9EC4F">
            <w:pPr>
              <w:spacing w:after="120"/>
              <w:ind w:firstLine="0" w:firstLineChars="0"/>
              <w:rPr>
                <w:rFonts w:cs="宋体"/>
                <w:szCs w:val="21"/>
              </w:rPr>
            </w:pPr>
            <w:r>
              <w:rPr>
                <w:rFonts w:cs="宋体"/>
                <w:szCs w:val="21"/>
              </w:rPr>
              <w:t>2</w:t>
            </w:r>
          </w:p>
        </w:tc>
        <w:tc>
          <w:tcPr>
            <w:tcW w:w="1073" w:type="dxa"/>
            <w:tcBorders>
              <w:top w:val="nil"/>
              <w:left w:val="nil"/>
              <w:bottom w:val="single" w:color="auto" w:sz="4" w:space="0"/>
              <w:right w:val="single" w:color="auto" w:sz="4" w:space="0"/>
            </w:tcBorders>
            <w:vAlign w:val="center"/>
          </w:tcPr>
          <w:p w14:paraId="7463ECD9">
            <w:pPr>
              <w:spacing w:after="120"/>
              <w:ind w:firstLine="0" w:firstLineChars="0"/>
              <w:rPr>
                <w:rFonts w:cs="宋体"/>
                <w:szCs w:val="21"/>
              </w:rPr>
            </w:pPr>
            <w:r>
              <w:rPr>
                <w:rFonts w:hint="eastAsia" w:cs="宋体"/>
                <w:szCs w:val="21"/>
              </w:rPr>
              <w:t>工程变更设计进度</w:t>
            </w:r>
          </w:p>
        </w:tc>
        <w:tc>
          <w:tcPr>
            <w:tcW w:w="799" w:type="dxa"/>
            <w:tcBorders>
              <w:top w:val="nil"/>
              <w:left w:val="nil"/>
              <w:bottom w:val="single" w:color="auto" w:sz="4" w:space="0"/>
              <w:right w:val="single" w:color="auto" w:sz="4" w:space="0"/>
            </w:tcBorders>
            <w:vAlign w:val="center"/>
          </w:tcPr>
          <w:p w14:paraId="523E2537">
            <w:pPr>
              <w:spacing w:after="120"/>
              <w:ind w:firstLine="0" w:firstLineChars="0"/>
              <w:rPr>
                <w:rFonts w:ascii="仿宋_GB2312" w:eastAsia="仿宋_GB2312" w:cs="宋体"/>
                <w:szCs w:val="21"/>
              </w:rPr>
            </w:pPr>
            <w:r>
              <w:rPr>
                <w:rFonts w:ascii="仿宋_GB2312" w:eastAsia="仿宋_GB2312" w:cs="宋体"/>
                <w:szCs w:val="21"/>
              </w:rPr>
              <w:t>10</w:t>
            </w:r>
          </w:p>
        </w:tc>
        <w:tc>
          <w:tcPr>
            <w:tcW w:w="2551" w:type="dxa"/>
            <w:tcBorders>
              <w:top w:val="nil"/>
              <w:left w:val="nil"/>
              <w:bottom w:val="single" w:color="auto" w:sz="4" w:space="0"/>
              <w:right w:val="single" w:color="auto" w:sz="4" w:space="0"/>
            </w:tcBorders>
            <w:vAlign w:val="center"/>
          </w:tcPr>
          <w:p w14:paraId="35ACD501">
            <w:pPr>
              <w:spacing w:after="120"/>
              <w:ind w:firstLine="0" w:firstLineChars="0"/>
              <w:jc w:val="left"/>
              <w:rPr>
                <w:rFonts w:cs="宋体"/>
                <w:szCs w:val="21"/>
              </w:rPr>
            </w:pPr>
            <w:r>
              <w:rPr>
                <w:rFonts w:hint="eastAsia" w:cs="宋体"/>
                <w:szCs w:val="21"/>
              </w:rPr>
              <w:t>是否及时按甲方要求完成设计变更</w:t>
            </w:r>
          </w:p>
        </w:tc>
        <w:tc>
          <w:tcPr>
            <w:tcW w:w="3261" w:type="dxa"/>
            <w:tcBorders>
              <w:top w:val="nil"/>
              <w:left w:val="nil"/>
              <w:bottom w:val="single" w:color="auto" w:sz="4" w:space="0"/>
              <w:right w:val="single" w:color="auto" w:sz="4" w:space="0"/>
            </w:tcBorders>
            <w:vAlign w:val="center"/>
          </w:tcPr>
          <w:p w14:paraId="2FCACBAA">
            <w:pPr>
              <w:spacing w:after="120"/>
              <w:jc w:val="left"/>
              <w:rPr>
                <w:rFonts w:cs="宋体"/>
                <w:szCs w:val="21"/>
              </w:rPr>
            </w:pPr>
            <w:r>
              <w:rPr>
                <w:rFonts w:hint="eastAsia" w:cs="宋体"/>
                <w:szCs w:val="21"/>
              </w:rPr>
              <w:t>好：得</w:t>
            </w:r>
            <w:r>
              <w:rPr>
                <w:rFonts w:cs="宋体"/>
                <w:szCs w:val="21"/>
              </w:rPr>
              <w:t>10分</w:t>
            </w:r>
          </w:p>
          <w:p w14:paraId="42A52F92">
            <w:pPr>
              <w:spacing w:after="120"/>
              <w:jc w:val="left"/>
              <w:rPr>
                <w:rFonts w:cs="宋体"/>
                <w:szCs w:val="21"/>
              </w:rPr>
            </w:pPr>
            <w:r>
              <w:rPr>
                <w:rFonts w:hint="eastAsia" w:cs="宋体"/>
                <w:szCs w:val="21"/>
              </w:rPr>
              <w:t>较好：得</w:t>
            </w:r>
            <w:r>
              <w:rPr>
                <w:rFonts w:cs="宋体"/>
                <w:szCs w:val="21"/>
              </w:rPr>
              <w:t>8分</w:t>
            </w:r>
          </w:p>
          <w:p w14:paraId="3DDABBE2">
            <w:pPr>
              <w:spacing w:after="120"/>
              <w:jc w:val="left"/>
              <w:rPr>
                <w:rFonts w:cs="宋体"/>
                <w:szCs w:val="21"/>
              </w:rPr>
            </w:pPr>
            <w:r>
              <w:rPr>
                <w:rFonts w:hint="eastAsia" w:cs="宋体"/>
                <w:szCs w:val="21"/>
              </w:rPr>
              <w:t>一般：得</w:t>
            </w:r>
            <w:r>
              <w:rPr>
                <w:rFonts w:cs="宋体"/>
                <w:szCs w:val="21"/>
              </w:rPr>
              <w:t>6分</w:t>
            </w:r>
          </w:p>
          <w:p w14:paraId="73F6C1C9">
            <w:pPr>
              <w:spacing w:after="120"/>
              <w:jc w:val="left"/>
              <w:rPr>
                <w:rFonts w:cs="宋体"/>
                <w:szCs w:val="21"/>
              </w:rPr>
            </w:pPr>
            <w:r>
              <w:rPr>
                <w:rFonts w:hint="eastAsia" w:cs="宋体"/>
                <w:szCs w:val="21"/>
              </w:rPr>
              <w:t>较差：得</w:t>
            </w:r>
            <w:r>
              <w:rPr>
                <w:rFonts w:cs="宋体"/>
                <w:szCs w:val="21"/>
              </w:rPr>
              <w:t>4分</w:t>
            </w:r>
          </w:p>
          <w:p w14:paraId="2B5D6AC0">
            <w:pPr>
              <w:spacing w:after="120"/>
              <w:jc w:val="left"/>
              <w:rPr>
                <w:rFonts w:cs="宋体"/>
                <w:szCs w:val="21"/>
              </w:rPr>
            </w:pPr>
            <w:r>
              <w:rPr>
                <w:rFonts w:hint="eastAsia" w:cs="宋体"/>
                <w:szCs w:val="21"/>
              </w:rPr>
              <w:t>差：得</w:t>
            </w:r>
            <w:r>
              <w:rPr>
                <w:rFonts w:cs="宋体"/>
                <w:szCs w:val="21"/>
              </w:rPr>
              <w:t>2分</w:t>
            </w:r>
          </w:p>
        </w:tc>
        <w:tc>
          <w:tcPr>
            <w:tcW w:w="992" w:type="dxa"/>
            <w:tcBorders>
              <w:top w:val="nil"/>
              <w:left w:val="nil"/>
              <w:bottom w:val="single" w:color="auto" w:sz="4" w:space="0"/>
              <w:right w:val="single" w:color="auto" w:sz="4" w:space="0"/>
            </w:tcBorders>
            <w:vAlign w:val="center"/>
          </w:tcPr>
          <w:p w14:paraId="53260904">
            <w:pPr>
              <w:spacing w:after="120"/>
              <w:jc w:val="left"/>
              <w:rPr>
                <w:rFonts w:cs="宋体"/>
                <w:szCs w:val="21"/>
              </w:rPr>
            </w:pPr>
          </w:p>
        </w:tc>
      </w:tr>
      <w:tr w14:paraId="6EC260CD">
        <w:tblPrEx>
          <w:tblCellMar>
            <w:top w:w="0" w:type="dxa"/>
            <w:left w:w="108" w:type="dxa"/>
            <w:bottom w:w="0" w:type="dxa"/>
            <w:right w:w="108" w:type="dxa"/>
          </w:tblCellMar>
        </w:tblPrEx>
        <w:trPr>
          <w:jc w:val="center"/>
        </w:trPr>
        <w:tc>
          <w:tcPr>
            <w:tcW w:w="700" w:type="dxa"/>
            <w:tcBorders>
              <w:top w:val="nil"/>
              <w:left w:val="single" w:color="auto" w:sz="4" w:space="0"/>
              <w:bottom w:val="single" w:color="auto" w:sz="4" w:space="0"/>
              <w:right w:val="single" w:color="auto" w:sz="4" w:space="0"/>
            </w:tcBorders>
            <w:vAlign w:val="center"/>
          </w:tcPr>
          <w:p w14:paraId="0405F89F">
            <w:pPr>
              <w:spacing w:after="120"/>
              <w:jc w:val="center"/>
              <w:rPr>
                <w:szCs w:val="21"/>
              </w:rPr>
            </w:pPr>
            <w:r>
              <w:rPr>
                <w:rFonts w:hint="eastAsia"/>
                <w:szCs w:val="21"/>
              </w:rPr>
              <w:t>　</w:t>
            </w:r>
          </w:p>
        </w:tc>
        <w:tc>
          <w:tcPr>
            <w:tcW w:w="1073" w:type="dxa"/>
            <w:tcBorders>
              <w:top w:val="nil"/>
              <w:left w:val="nil"/>
              <w:bottom w:val="single" w:color="auto" w:sz="4" w:space="0"/>
              <w:right w:val="single" w:color="auto" w:sz="4" w:space="0"/>
            </w:tcBorders>
            <w:vAlign w:val="center"/>
          </w:tcPr>
          <w:p w14:paraId="0F5E5983">
            <w:pPr>
              <w:spacing w:after="120"/>
              <w:ind w:firstLine="0" w:firstLineChars="0"/>
              <w:rPr>
                <w:szCs w:val="21"/>
              </w:rPr>
            </w:pPr>
            <w:r>
              <w:rPr>
                <w:rFonts w:hint="eastAsia"/>
                <w:szCs w:val="21"/>
              </w:rPr>
              <w:t>合计</w:t>
            </w:r>
          </w:p>
        </w:tc>
        <w:tc>
          <w:tcPr>
            <w:tcW w:w="799" w:type="dxa"/>
            <w:tcBorders>
              <w:top w:val="nil"/>
              <w:left w:val="nil"/>
              <w:bottom w:val="single" w:color="auto" w:sz="4" w:space="0"/>
              <w:right w:val="single" w:color="auto" w:sz="4" w:space="0"/>
            </w:tcBorders>
            <w:vAlign w:val="center"/>
          </w:tcPr>
          <w:p w14:paraId="4F36E395">
            <w:pPr>
              <w:spacing w:after="120"/>
              <w:ind w:firstLine="0" w:firstLineChars="0"/>
              <w:rPr>
                <w:szCs w:val="21"/>
              </w:rPr>
            </w:pPr>
            <w:r>
              <w:rPr>
                <w:szCs w:val="21"/>
              </w:rPr>
              <w:t>100</w:t>
            </w:r>
          </w:p>
        </w:tc>
        <w:tc>
          <w:tcPr>
            <w:tcW w:w="2551" w:type="dxa"/>
            <w:tcBorders>
              <w:top w:val="nil"/>
              <w:left w:val="nil"/>
              <w:bottom w:val="single" w:color="auto" w:sz="4" w:space="0"/>
              <w:right w:val="single" w:color="auto" w:sz="4" w:space="0"/>
            </w:tcBorders>
            <w:vAlign w:val="center"/>
          </w:tcPr>
          <w:p w14:paraId="4BC7BC2F">
            <w:pPr>
              <w:spacing w:after="120"/>
              <w:ind w:firstLine="482"/>
              <w:rPr>
                <w:b/>
                <w:szCs w:val="21"/>
              </w:rPr>
            </w:pPr>
          </w:p>
        </w:tc>
        <w:tc>
          <w:tcPr>
            <w:tcW w:w="3261" w:type="dxa"/>
            <w:tcBorders>
              <w:top w:val="nil"/>
              <w:left w:val="nil"/>
              <w:bottom w:val="single" w:color="auto" w:sz="4" w:space="0"/>
              <w:right w:val="single" w:color="auto" w:sz="4" w:space="0"/>
            </w:tcBorders>
            <w:vAlign w:val="center"/>
          </w:tcPr>
          <w:p w14:paraId="5441CAC6">
            <w:pPr>
              <w:spacing w:after="120"/>
              <w:ind w:firstLine="482"/>
              <w:rPr>
                <w:b/>
                <w:szCs w:val="21"/>
              </w:rPr>
            </w:pPr>
          </w:p>
        </w:tc>
        <w:tc>
          <w:tcPr>
            <w:tcW w:w="992" w:type="dxa"/>
            <w:tcBorders>
              <w:top w:val="nil"/>
              <w:left w:val="nil"/>
              <w:bottom w:val="single" w:color="auto" w:sz="4" w:space="0"/>
              <w:right w:val="single" w:color="auto" w:sz="4" w:space="0"/>
            </w:tcBorders>
            <w:vAlign w:val="center"/>
          </w:tcPr>
          <w:p w14:paraId="5E7D2B9C">
            <w:pPr>
              <w:spacing w:after="120"/>
              <w:ind w:firstLine="482"/>
              <w:rPr>
                <w:b/>
                <w:szCs w:val="21"/>
              </w:rPr>
            </w:pPr>
          </w:p>
        </w:tc>
      </w:tr>
    </w:tbl>
    <w:p w14:paraId="79ED26DC">
      <w:pPr>
        <w:spacing w:after="120"/>
        <w:rPr>
          <w:rFonts w:cs="宋体"/>
          <w:szCs w:val="21"/>
        </w:rPr>
      </w:pPr>
      <w:r>
        <w:rPr>
          <w:rFonts w:hint="eastAsia" w:cs="宋体"/>
          <w:szCs w:val="21"/>
        </w:rPr>
        <w:t>一、注：</w:t>
      </w:r>
    </w:p>
    <w:p w14:paraId="6131CB35">
      <w:pPr>
        <w:spacing w:after="120"/>
        <w:rPr>
          <w:rFonts w:cs="宋体"/>
          <w:szCs w:val="21"/>
        </w:rPr>
      </w:pPr>
      <w:r>
        <w:rPr>
          <w:rFonts w:cs="宋体"/>
          <w:szCs w:val="21"/>
        </w:rPr>
        <w:t>1、每一评分项扣分，至该项对应分值扣完为止。</w:t>
      </w:r>
    </w:p>
    <w:p w14:paraId="31053BFE">
      <w:pPr>
        <w:spacing w:after="120"/>
        <w:rPr>
          <w:rFonts w:cs="宋体"/>
          <w:szCs w:val="21"/>
        </w:rPr>
      </w:pPr>
      <w:r>
        <w:rPr>
          <w:rFonts w:cs="宋体"/>
          <w:szCs w:val="21"/>
        </w:rPr>
        <w:t>2、应在岗实际未在岗累计达到3天的，或经问询明显不了解项目具体情况累计达到3次的，或未按甲方要求出席会议累计达到3次的，可认定自行更换</w:t>
      </w:r>
    </w:p>
    <w:p w14:paraId="4A6866B5">
      <w:pPr>
        <w:spacing w:after="120"/>
        <w:rPr>
          <w:rFonts w:cs="宋体"/>
          <w:szCs w:val="21"/>
        </w:rPr>
      </w:pPr>
    </w:p>
    <w:p w14:paraId="41761B6F">
      <w:pPr>
        <w:spacing w:after="120"/>
        <w:rPr>
          <w:rFonts w:cs="宋体"/>
          <w:szCs w:val="21"/>
        </w:rPr>
      </w:pPr>
      <w:r>
        <w:rPr>
          <w:rFonts w:hint="eastAsia" w:cs="宋体"/>
          <w:szCs w:val="21"/>
        </w:rPr>
        <w:t>二、扣分情况说明：</w:t>
      </w:r>
    </w:p>
    <w:p w14:paraId="7DDB7F6D">
      <w:pPr>
        <w:spacing w:after="120"/>
        <w:rPr>
          <w:rFonts w:cs="宋体"/>
          <w:szCs w:val="21"/>
        </w:rPr>
      </w:pPr>
      <w:r>
        <w:rPr>
          <w:rFonts w:cs="宋体"/>
          <w:szCs w:val="21"/>
        </w:rPr>
        <w:t>1、</w:t>
      </w:r>
    </w:p>
    <w:p w14:paraId="65F72F44">
      <w:pPr>
        <w:spacing w:after="120"/>
        <w:rPr>
          <w:rFonts w:cs="宋体"/>
          <w:szCs w:val="21"/>
        </w:rPr>
      </w:pPr>
      <w:r>
        <w:rPr>
          <w:rFonts w:cs="宋体"/>
          <w:szCs w:val="21"/>
        </w:rPr>
        <w:t>2、</w:t>
      </w:r>
    </w:p>
    <w:p w14:paraId="58AD85F1">
      <w:pPr>
        <w:spacing w:after="120"/>
        <w:rPr>
          <w:rFonts w:cs="宋体"/>
          <w:szCs w:val="21"/>
        </w:rPr>
      </w:pPr>
      <w:r>
        <w:rPr>
          <w:rFonts w:cs="宋体"/>
          <w:szCs w:val="21"/>
        </w:rPr>
        <w:t>3、</w:t>
      </w:r>
    </w:p>
    <w:p w14:paraId="0894A508">
      <w:pPr>
        <w:spacing w:after="120"/>
        <w:rPr>
          <w:rFonts w:cs="宋体"/>
          <w:szCs w:val="21"/>
        </w:rPr>
      </w:pPr>
      <w:r>
        <w:rPr>
          <w:rFonts w:hint="eastAsia" w:cs="宋体"/>
          <w:szCs w:val="21"/>
        </w:rPr>
        <w:t>…</w:t>
      </w:r>
    </w:p>
    <w:p w14:paraId="536537E2">
      <w:pPr>
        <w:spacing w:after="120"/>
        <w:rPr>
          <w:rFonts w:cs="宋体"/>
          <w:szCs w:val="21"/>
        </w:rPr>
      </w:pPr>
    </w:p>
    <w:p w14:paraId="510C1EA7">
      <w:pPr>
        <w:spacing w:after="120"/>
        <w:rPr>
          <w:rFonts w:cs="宋体"/>
          <w:szCs w:val="21"/>
          <w:u w:val="single"/>
        </w:rPr>
      </w:pPr>
      <w:r>
        <w:rPr>
          <w:rFonts w:hint="eastAsia" w:cs="宋体"/>
          <w:szCs w:val="21"/>
        </w:rPr>
        <w:t>项目负责人：×××签名：</w:t>
      </w:r>
    </w:p>
    <w:p w14:paraId="17013C84">
      <w:pPr>
        <w:spacing w:after="120"/>
        <w:rPr>
          <w:rFonts w:cs="宋体"/>
          <w:szCs w:val="21"/>
        </w:rPr>
      </w:pPr>
    </w:p>
    <w:p w14:paraId="287C29A7">
      <w:pPr>
        <w:spacing w:after="120"/>
        <w:rPr>
          <w:rFonts w:cs="宋体"/>
          <w:szCs w:val="21"/>
          <w:u w:val="single"/>
        </w:rPr>
      </w:pPr>
      <w:r>
        <w:rPr>
          <w:rFonts w:hint="eastAsia" w:cs="宋体"/>
          <w:szCs w:val="21"/>
        </w:rPr>
        <w:t>部门负责人：×××签名：</w:t>
      </w:r>
    </w:p>
    <w:p w14:paraId="54FEB229">
      <w:pPr>
        <w:spacing w:after="120"/>
        <w:rPr>
          <w:rFonts w:cs="宋体"/>
          <w:szCs w:val="21"/>
        </w:rPr>
      </w:pPr>
    </w:p>
    <w:p w14:paraId="23949C77">
      <w:pPr>
        <w:spacing w:after="120"/>
        <w:rPr>
          <w:rFonts w:cs="宋体"/>
          <w:szCs w:val="21"/>
        </w:rPr>
      </w:pPr>
      <w:r>
        <w:rPr>
          <w:rFonts w:hint="eastAsia" w:cs="宋体"/>
          <w:szCs w:val="21"/>
        </w:rPr>
        <w:t>日期：年月日</w:t>
      </w:r>
    </w:p>
    <w:p w14:paraId="3C5E4F75">
      <w:pPr>
        <w:spacing w:after="120"/>
        <w:rPr>
          <w:rFonts w:cs="宋体"/>
          <w:szCs w:val="21"/>
        </w:rPr>
      </w:pPr>
    </w:p>
    <w:p w14:paraId="510DEB6E">
      <w:pPr>
        <w:spacing w:after="120" w:line="560" w:lineRule="exact"/>
        <w:ind w:firstLine="482"/>
        <w:rPr>
          <w:rFonts w:ascii="仿宋_GB2312" w:eastAsia="仿宋_GB2312"/>
          <w:sz w:val="32"/>
          <w:szCs w:val="32"/>
        </w:rPr>
      </w:pPr>
      <w:r>
        <w:rPr>
          <w:b/>
          <w:szCs w:val="21"/>
        </w:rPr>
        <w:br w:type="page"/>
      </w:r>
      <w:r>
        <w:rPr>
          <w:rFonts w:hint="eastAsia" w:ascii="仿宋_GB2312" w:eastAsia="仿宋_GB2312"/>
          <w:sz w:val="32"/>
          <w:szCs w:val="32"/>
        </w:rPr>
        <w:t>附件五</w:t>
      </w:r>
    </w:p>
    <w:tbl>
      <w:tblPr>
        <w:tblStyle w:val="55"/>
        <w:tblW w:w="9376" w:type="dxa"/>
        <w:jc w:val="center"/>
        <w:tblLayout w:type="fixed"/>
        <w:tblCellMar>
          <w:top w:w="0" w:type="dxa"/>
          <w:left w:w="108" w:type="dxa"/>
          <w:bottom w:w="0" w:type="dxa"/>
          <w:right w:w="108" w:type="dxa"/>
        </w:tblCellMar>
      </w:tblPr>
      <w:tblGrid>
        <w:gridCol w:w="565"/>
        <w:gridCol w:w="1208"/>
        <w:gridCol w:w="799"/>
        <w:gridCol w:w="2551"/>
        <w:gridCol w:w="3261"/>
        <w:gridCol w:w="992"/>
      </w:tblGrid>
      <w:tr w14:paraId="1ED330AD">
        <w:tblPrEx>
          <w:tblCellMar>
            <w:top w:w="0" w:type="dxa"/>
            <w:left w:w="108" w:type="dxa"/>
            <w:bottom w:w="0" w:type="dxa"/>
            <w:right w:w="108" w:type="dxa"/>
          </w:tblCellMar>
        </w:tblPrEx>
        <w:trPr>
          <w:trHeight w:val="570" w:hRule="atLeast"/>
          <w:jc w:val="center"/>
        </w:trPr>
        <w:tc>
          <w:tcPr>
            <w:tcW w:w="9376" w:type="dxa"/>
            <w:gridSpan w:val="6"/>
            <w:tcBorders>
              <w:top w:val="nil"/>
              <w:left w:val="nil"/>
              <w:bottom w:val="nil"/>
              <w:right w:val="nil"/>
            </w:tcBorders>
            <w:vAlign w:val="center"/>
          </w:tcPr>
          <w:p w14:paraId="797BEE3E">
            <w:pPr>
              <w:spacing w:after="120"/>
              <w:ind w:firstLine="560"/>
              <w:jc w:val="center"/>
              <w:rPr>
                <w:rFonts w:ascii="仿宋_GB2312" w:eastAsia="仿宋_GB2312"/>
                <w:sz w:val="28"/>
                <w:szCs w:val="28"/>
              </w:rPr>
            </w:pPr>
            <w:r>
              <w:rPr>
                <w:rFonts w:hint="eastAsia" w:ascii="仿宋_GB2312" w:eastAsia="仿宋_GB2312"/>
                <w:sz w:val="28"/>
                <w:szCs w:val="28"/>
              </w:rPr>
              <w:t>缺陷责任期阶段设计合同履约评价表</w:t>
            </w:r>
          </w:p>
          <w:p w14:paraId="66AF03E6">
            <w:pPr>
              <w:spacing w:after="120"/>
              <w:jc w:val="right"/>
              <w:rPr>
                <w:rFonts w:ascii="仿宋_GB2312" w:eastAsia="仿宋_GB2312"/>
              </w:rPr>
            </w:pPr>
            <w:r>
              <w:rPr>
                <w:rFonts w:ascii="仿宋_GB2312" w:eastAsia="仿宋_GB2312"/>
              </w:rPr>
              <w:t xml:space="preserve">20   </w:t>
            </w:r>
            <w:r>
              <w:rPr>
                <w:rFonts w:hint="eastAsia" w:ascii="仿宋_GB2312" w:eastAsia="仿宋_GB2312"/>
              </w:rPr>
              <w:t>年度</w:t>
            </w:r>
          </w:p>
        </w:tc>
      </w:tr>
      <w:tr w14:paraId="5884C3A1">
        <w:tblPrEx>
          <w:tblCellMar>
            <w:top w:w="0" w:type="dxa"/>
            <w:left w:w="108" w:type="dxa"/>
            <w:bottom w:w="0" w:type="dxa"/>
            <w:right w:w="108" w:type="dxa"/>
          </w:tblCellMar>
        </w:tblPrEx>
        <w:trPr>
          <w:trHeight w:val="750" w:hRule="atLeast"/>
          <w:jc w:val="center"/>
        </w:trPr>
        <w:tc>
          <w:tcPr>
            <w:tcW w:w="565" w:type="dxa"/>
            <w:tcBorders>
              <w:top w:val="single" w:color="auto" w:sz="4" w:space="0"/>
              <w:left w:val="single" w:color="auto" w:sz="4" w:space="0"/>
              <w:bottom w:val="single" w:color="auto" w:sz="4" w:space="0"/>
              <w:right w:val="single" w:color="auto" w:sz="4" w:space="0"/>
            </w:tcBorders>
            <w:vAlign w:val="center"/>
          </w:tcPr>
          <w:p w14:paraId="6B3DEE53">
            <w:pPr>
              <w:spacing w:after="120"/>
              <w:ind w:firstLine="0" w:firstLineChars="0"/>
              <w:rPr>
                <w:rFonts w:cs="宋体"/>
                <w:b/>
                <w:bCs/>
                <w:szCs w:val="21"/>
              </w:rPr>
            </w:pPr>
            <w:r>
              <w:rPr>
                <w:rFonts w:hint="eastAsia" w:cs="宋体"/>
                <w:b/>
                <w:bCs/>
                <w:szCs w:val="21"/>
              </w:rPr>
              <w:t>序号</w:t>
            </w:r>
          </w:p>
        </w:tc>
        <w:tc>
          <w:tcPr>
            <w:tcW w:w="1208" w:type="dxa"/>
            <w:tcBorders>
              <w:top w:val="single" w:color="auto" w:sz="4" w:space="0"/>
              <w:left w:val="nil"/>
              <w:bottom w:val="single" w:color="auto" w:sz="4" w:space="0"/>
              <w:right w:val="single" w:color="auto" w:sz="4" w:space="0"/>
            </w:tcBorders>
            <w:vAlign w:val="center"/>
          </w:tcPr>
          <w:p w14:paraId="485CA767">
            <w:pPr>
              <w:spacing w:after="120"/>
              <w:ind w:firstLine="0" w:firstLineChars="0"/>
              <w:rPr>
                <w:rFonts w:cs="宋体"/>
                <w:b/>
                <w:bCs/>
                <w:szCs w:val="21"/>
              </w:rPr>
            </w:pPr>
            <w:r>
              <w:rPr>
                <w:rFonts w:hint="eastAsia" w:cs="宋体"/>
                <w:b/>
                <w:bCs/>
                <w:szCs w:val="21"/>
              </w:rPr>
              <w:t>内容</w:t>
            </w:r>
          </w:p>
        </w:tc>
        <w:tc>
          <w:tcPr>
            <w:tcW w:w="799" w:type="dxa"/>
            <w:tcBorders>
              <w:top w:val="single" w:color="auto" w:sz="4" w:space="0"/>
              <w:left w:val="nil"/>
              <w:bottom w:val="single" w:color="auto" w:sz="4" w:space="0"/>
              <w:right w:val="single" w:color="auto" w:sz="4" w:space="0"/>
            </w:tcBorders>
            <w:vAlign w:val="center"/>
          </w:tcPr>
          <w:p w14:paraId="1606997C">
            <w:pPr>
              <w:spacing w:after="120"/>
              <w:ind w:firstLine="0" w:firstLineChars="0"/>
              <w:rPr>
                <w:rFonts w:cs="宋体"/>
                <w:b/>
                <w:bCs/>
                <w:szCs w:val="21"/>
              </w:rPr>
            </w:pPr>
            <w:r>
              <w:rPr>
                <w:rFonts w:hint="eastAsia" w:cs="宋体"/>
                <w:b/>
                <w:bCs/>
                <w:szCs w:val="21"/>
              </w:rPr>
              <w:t>单项分值</w:t>
            </w:r>
          </w:p>
        </w:tc>
        <w:tc>
          <w:tcPr>
            <w:tcW w:w="2551" w:type="dxa"/>
            <w:tcBorders>
              <w:top w:val="single" w:color="auto" w:sz="4" w:space="0"/>
              <w:left w:val="nil"/>
              <w:bottom w:val="single" w:color="auto" w:sz="4" w:space="0"/>
              <w:right w:val="single" w:color="auto" w:sz="4" w:space="0"/>
            </w:tcBorders>
            <w:vAlign w:val="center"/>
          </w:tcPr>
          <w:p w14:paraId="59E74C7E">
            <w:pPr>
              <w:spacing w:after="120"/>
              <w:ind w:firstLine="482"/>
              <w:jc w:val="center"/>
              <w:rPr>
                <w:rFonts w:cs="宋体"/>
                <w:b/>
                <w:bCs/>
                <w:szCs w:val="21"/>
              </w:rPr>
            </w:pPr>
            <w:r>
              <w:rPr>
                <w:rFonts w:hint="eastAsia" w:cs="宋体"/>
                <w:b/>
                <w:bCs/>
                <w:szCs w:val="21"/>
              </w:rPr>
              <w:t>评价指标</w:t>
            </w:r>
          </w:p>
        </w:tc>
        <w:tc>
          <w:tcPr>
            <w:tcW w:w="3261" w:type="dxa"/>
            <w:tcBorders>
              <w:top w:val="single" w:color="auto" w:sz="4" w:space="0"/>
              <w:left w:val="nil"/>
              <w:bottom w:val="single" w:color="auto" w:sz="4" w:space="0"/>
              <w:right w:val="single" w:color="auto" w:sz="4" w:space="0"/>
            </w:tcBorders>
            <w:vAlign w:val="center"/>
          </w:tcPr>
          <w:p w14:paraId="155DF401">
            <w:pPr>
              <w:spacing w:after="120"/>
              <w:ind w:firstLine="482"/>
              <w:jc w:val="center"/>
              <w:rPr>
                <w:rFonts w:cs="宋体"/>
                <w:b/>
                <w:bCs/>
                <w:szCs w:val="21"/>
              </w:rPr>
            </w:pPr>
            <w:r>
              <w:rPr>
                <w:rFonts w:hint="eastAsia" w:cs="宋体"/>
                <w:b/>
                <w:bCs/>
                <w:szCs w:val="21"/>
              </w:rPr>
              <w:t>评分标准</w:t>
            </w:r>
          </w:p>
        </w:tc>
        <w:tc>
          <w:tcPr>
            <w:tcW w:w="992" w:type="dxa"/>
            <w:tcBorders>
              <w:top w:val="single" w:color="auto" w:sz="4" w:space="0"/>
              <w:left w:val="nil"/>
              <w:bottom w:val="single" w:color="auto" w:sz="4" w:space="0"/>
              <w:right w:val="single" w:color="auto" w:sz="4" w:space="0"/>
            </w:tcBorders>
            <w:vAlign w:val="center"/>
          </w:tcPr>
          <w:p w14:paraId="739C7B98">
            <w:pPr>
              <w:spacing w:after="120"/>
              <w:ind w:firstLine="0" w:firstLineChars="0"/>
              <w:rPr>
                <w:rFonts w:cs="宋体"/>
                <w:szCs w:val="21"/>
              </w:rPr>
            </w:pPr>
            <w:r>
              <w:rPr>
                <w:rFonts w:hint="eastAsia" w:cs="宋体"/>
                <w:szCs w:val="21"/>
              </w:rPr>
              <w:t>得分</w:t>
            </w:r>
          </w:p>
        </w:tc>
      </w:tr>
      <w:tr w14:paraId="736F5B83">
        <w:tblPrEx>
          <w:tblCellMar>
            <w:top w:w="0" w:type="dxa"/>
            <w:left w:w="108" w:type="dxa"/>
            <w:bottom w:w="0" w:type="dxa"/>
            <w:right w:w="108" w:type="dxa"/>
          </w:tblCellMar>
        </w:tblPrEx>
        <w:trPr>
          <w:trHeight w:val="870" w:hRule="atLeast"/>
          <w:jc w:val="center"/>
        </w:trPr>
        <w:tc>
          <w:tcPr>
            <w:tcW w:w="565" w:type="dxa"/>
            <w:tcBorders>
              <w:top w:val="nil"/>
              <w:left w:val="single" w:color="auto" w:sz="4" w:space="0"/>
              <w:bottom w:val="single" w:color="auto" w:sz="4" w:space="0"/>
              <w:right w:val="single" w:color="auto" w:sz="4" w:space="0"/>
            </w:tcBorders>
            <w:vAlign w:val="center"/>
          </w:tcPr>
          <w:p w14:paraId="23E22767">
            <w:pPr>
              <w:spacing w:after="120"/>
              <w:ind w:firstLine="0" w:firstLineChars="0"/>
              <w:rPr>
                <w:rFonts w:cs="宋体"/>
                <w:szCs w:val="21"/>
              </w:rPr>
            </w:pPr>
            <w:r>
              <w:rPr>
                <w:rFonts w:hint="eastAsia" w:cs="宋体"/>
                <w:szCs w:val="21"/>
              </w:rPr>
              <w:t>一</w:t>
            </w:r>
          </w:p>
        </w:tc>
        <w:tc>
          <w:tcPr>
            <w:tcW w:w="1208" w:type="dxa"/>
            <w:tcBorders>
              <w:top w:val="nil"/>
              <w:left w:val="nil"/>
              <w:bottom w:val="single" w:color="auto" w:sz="4" w:space="0"/>
              <w:right w:val="single" w:color="auto" w:sz="4" w:space="0"/>
            </w:tcBorders>
            <w:vAlign w:val="center"/>
          </w:tcPr>
          <w:p w14:paraId="0FDD7D0A">
            <w:pPr>
              <w:spacing w:after="120"/>
              <w:ind w:firstLine="0" w:firstLineChars="0"/>
              <w:jc w:val="left"/>
              <w:rPr>
                <w:szCs w:val="21"/>
              </w:rPr>
            </w:pPr>
            <w:r>
              <w:rPr>
                <w:rFonts w:hint="eastAsia"/>
                <w:szCs w:val="21"/>
              </w:rPr>
              <w:t>能力水平及履约表现</w:t>
            </w:r>
          </w:p>
        </w:tc>
        <w:tc>
          <w:tcPr>
            <w:tcW w:w="799" w:type="dxa"/>
            <w:tcBorders>
              <w:top w:val="nil"/>
              <w:left w:val="nil"/>
              <w:bottom w:val="single" w:color="auto" w:sz="4" w:space="0"/>
              <w:right w:val="single" w:color="auto" w:sz="4" w:space="0"/>
            </w:tcBorders>
            <w:vAlign w:val="center"/>
          </w:tcPr>
          <w:p w14:paraId="7C0BC4BC">
            <w:pPr>
              <w:spacing w:after="120"/>
              <w:ind w:firstLine="0" w:firstLineChars="0"/>
              <w:rPr>
                <w:szCs w:val="21"/>
              </w:rPr>
            </w:pPr>
            <w:r>
              <w:rPr>
                <w:szCs w:val="21"/>
              </w:rPr>
              <w:t>30</w:t>
            </w:r>
          </w:p>
        </w:tc>
        <w:tc>
          <w:tcPr>
            <w:tcW w:w="2551" w:type="dxa"/>
            <w:tcBorders>
              <w:top w:val="nil"/>
              <w:left w:val="nil"/>
              <w:bottom w:val="single" w:color="auto" w:sz="4" w:space="0"/>
              <w:right w:val="single" w:color="auto" w:sz="4" w:space="0"/>
            </w:tcBorders>
            <w:vAlign w:val="center"/>
          </w:tcPr>
          <w:p w14:paraId="50083030">
            <w:pPr>
              <w:spacing w:after="120"/>
              <w:jc w:val="left"/>
              <w:rPr>
                <w:szCs w:val="21"/>
              </w:rPr>
            </w:pPr>
            <w:r>
              <w:rPr>
                <w:rFonts w:hint="eastAsia"/>
                <w:szCs w:val="21"/>
              </w:rPr>
              <w:t>　</w:t>
            </w:r>
          </w:p>
        </w:tc>
        <w:tc>
          <w:tcPr>
            <w:tcW w:w="3261" w:type="dxa"/>
            <w:tcBorders>
              <w:top w:val="nil"/>
              <w:left w:val="nil"/>
              <w:bottom w:val="single" w:color="auto" w:sz="4" w:space="0"/>
              <w:right w:val="single" w:color="auto" w:sz="4" w:space="0"/>
            </w:tcBorders>
            <w:vAlign w:val="center"/>
          </w:tcPr>
          <w:p w14:paraId="08E70B7D">
            <w:pPr>
              <w:spacing w:after="120"/>
              <w:jc w:val="left"/>
              <w:rPr>
                <w:szCs w:val="21"/>
              </w:rPr>
            </w:pPr>
          </w:p>
        </w:tc>
        <w:tc>
          <w:tcPr>
            <w:tcW w:w="992" w:type="dxa"/>
            <w:tcBorders>
              <w:top w:val="nil"/>
              <w:left w:val="nil"/>
              <w:bottom w:val="single" w:color="auto" w:sz="4" w:space="0"/>
              <w:right w:val="single" w:color="auto" w:sz="4" w:space="0"/>
            </w:tcBorders>
            <w:vAlign w:val="center"/>
          </w:tcPr>
          <w:p w14:paraId="5311EC62">
            <w:pPr>
              <w:spacing w:after="120"/>
              <w:jc w:val="center"/>
              <w:rPr>
                <w:szCs w:val="21"/>
              </w:rPr>
            </w:pPr>
            <w:r>
              <w:rPr>
                <w:rFonts w:hint="eastAsia"/>
                <w:szCs w:val="21"/>
              </w:rPr>
              <w:t>　</w:t>
            </w:r>
          </w:p>
        </w:tc>
      </w:tr>
      <w:tr w14:paraId="508B9A44">
        <w:tblPrEx>
          <w:tblCellMar>
            <w:top w:w="0" w:type="dxa"/>
            <w:left w:w="108" w:type="dxa"/>
            <w:bottom w:w="0" w:type="dxa"/>
            <w:right w:w="108" w:type="dxa"/>
          </w:tblCellMar>
        </w:tblPrEx>
        <w:trPr>
          <w:trHeight w:val="1890" w:hRule="atLeast"/>
          <w:jc w:val="center"/>
        </w:trPr>
        <w:tc>
          <w:tcPr>
            <w:tcW w:w="565" w:type="dxa"/>
            <w:tcBorders>
              <w:top w:val="nil"/>
              <w:left w:val="single" w:color="auto" w:sz="4" w:space="0"/>
              <w:bottom w:val="single" w:color="auto" w:sz="4" w:space="0"/>
              <w:right w:val="single" w:color="auto" w:sz="4" w:space="0"/>
            </w:tcBorders>
            <w:vAlign w:val="center"/>
          </w:tcPr>
          <w:p w14:paraId="2F4DFC72">
            <w:pPr>
              <w:spacing w:after="120"/>
              <w:ind w:firstLine="0" w:firstLineChars="0"/>
              <w:rPr>
                <w:rFonts w:cs="宋体"/>
                <w:szCs w:val="21"/>
              </w:rPr>
            </w:pPr>
            <w:r>
              <w:rPr>
                <w:rFonts w:cs="宋体"/>
                <w:szCs w:val="21"/>
              </w:rPr>
              <w:t>1</w:t>
            </w:r>
          </w:p>
        </w:tc>
        <w:tc>
          <w:tcPr>
            <w:tcW w:w="1208" w:type="dxa"/>
            <w:tcBorders>
              <w:top w:val="nil"/>
              <w:left w:val="nil"/>
              <w:bottom w:val="single" w:color="auto" w:sz="4" w:space="0"/>
              <w:right w:val="single" w:color="auto" w:sz="4" w:space="0"/>
            </w:tcBorders>
            <w:vAlign w:val="center"/>
          </w:tcPr>
          <w:p w14:paraId="258A6515">
            <w:pPr>
              <w:spacing w:after="120"/>
              <w:ind w:firstLine="0" w:firstLineChars="0"/>
              <w:rPr>
                <w:rFonts w:cs="宋体"/>
                <w:szCs w:val="21"/>
              </w:rPr>
            </w:pPr>
            <w:r>
              <w:rPr>
                <w:rFonts w:hint="eastAsia" w:cs="宋体"/>
                <w:szCs w:val="21"/>
              </w:rPr>
              <w:t>现场配合人员</w:t>
            </w:r>
          </w:p>
        </w:tc>
        <w:tc>
          <w:tcPr>
            <w:tcW w:w="799" w:type="dxa"/>
            <w:tcBorders>
              <w:top w:val="nil"/>
              <w:left w:val="nil"/>
              <w:bottom w:val="single" w:color="auto" w:sz="4" w:space="0"/>
              <w:right w:val="single" w:color="auto" w:sz="4" w:space="0"/>
            </w:tcBorders>
            <w:vAlign w:val="center"/>
          </w:tcPr>
          <w:p w14:paraId="2CDBC00A">
            <w:pPr>
              <w:spacing w:after="120"/>
              <w:ind w:firstLine="0" w:firstLineChars="0"/>
              <w:rPr>
                <w:rFonts w:ascii="仿宋_GB2312" w:eastAsia="仿宋_GB2312" w:cs="宋体"/>
                <w:szCs w:val="21"/>
              </w:rPr>
            </w:pPr>
            <w:r>
              <w:rPr>
                <w:rFonts w:ascii="仿宋_GB2312" w:eastAsia="仿宋_GB2312" w:cs="宋体"/>
                <w:szCs w:val="21"/>
              </w:rPr>
              <w:t>30</w:t>
            </w:r>
          </w:p>
        </w:tc>
        <w:tc>
          <w:tcPr>
            <w:tcW w:w="2551" w:type="dxa"/>
            <w:tcBorders>
              <w:top w:val="nil"/>
              <w:left w:val="nil"/>
              <w:bottom w:val="single" w:color="auto" w:sz="4" w:space="0"/>
              <w:right w:val="single" w:color="auto" w:sz="4" w:space="0"/>
            </w:tcBorders>
            <w:vAlign w:val="center"/>
          </w:tcPr>
          <w:p w14:paraId="491B24F4">
            <w:pPr>
              <w:spacing w:after="120"/>
              <w:ind w:firstLine="0" w:firstLineChars="0"/>
              <w:jc w:val="left"/>
              <w:rPr>
                <w:rFonts w:cs="宋体"/>
                <w:szCs w:val="21"/>
              </w:rPr>
            </w:pPr>
            <w:r>
              <w:rPr>
                <w:rFonts w:hint="eastAsia" w:cs="宋体"/>
                <w:szCs w:val="21"/>
              </w:rPr>
              <w:t>能否按合同及甲方要求及时协调配合甲方、专项设计单位及其它相关部门的工作；是否具有较强的沟通协调能力；能否在该阶段积极协助甲方完成相关工作；设计配合是否及时；能否按要求参加有关会议</w:t>
            </w:r>
          </w:p>
        </w:tc>
        <w:tc>
          <w:tcPr>
            <w:tcW w:w="3261" w:type="dxa"/>
            <w:tcBorders>
              <w:top w:val="nil"/>
              <w:left w:val="nil"/>
              <w:bottom w:val="single" w:color="auto" w:sz="4" w:space="0"/>
              <w:right w:val="single" w:color="auto" w:sz="4" w:space="0"/>
            </w:tcBorders>
            <w:vAlign w:val="center"/>
          </w:tcPr>
          <w:p w14:paraId="52686979">
            <w:pPr>
              <w:spacing w:after="120"/>
              <w:jc w:val="left"/>
              <w:rPr>
                <w:rFonts w:cs="宋体"/>
                <w:szCs w:val="21"/>
              </w:rPr>
            </w:pPr>
            <w:r>
              <w:rPr>
                <w:rFonts w:hint="eastAsia" w:cs="宋体"/>
                <w:szCs w:val="21"/>
              </w:rPr>
              <w:t>好：得</w:t>
            </w:r>
            <w:r>
              <w:rPr>
                <w:rFonts w:cs="宋体"/>
                <w:szCs w:val="21"/>
              </w:rPr>
              <w:t>30分</w:t>
            </w:r>
          </w:p>
          <w:p w14:paraId="3F8FC8E0">
            <w:pPr>
              <w:spacing w:after="120"/>
              <w:jc w:val="left"/>
              <w:rPr>
                <w:rFonts w:cs="宋体"/>
                <w:szCs w:val="21"/>
              </w:rPr>
            </w:pPr>
            <w:r>
              <w:rPr>
                <w:rFonts w:hint="eastAsia" w:cs="宋体"/>
                <w:szCs w:val="21"/>
              </w:rPr>
              <w:t>较好：得</w:t>
            </w:r>
            <w:r>
              <w:rPr>
                <w:rFonts w:cs="宋体"/>
                <w:szCs w:val="21"/>
              </w:rPr>
              <w:t>20分</w:t>
            </w:r>
          </w:p>
          <w:p w14:paraId="2A4FBF34">
            <w:pPr>
              <w:spacing w:after="120"/>
              <w:jc w:val="left"/>
              <w:rPr>
                <w:rFonts w:cs="宋体"/>
                <w:szCs w:val="21"/>
              </w:rPr>
            </w:pPr>
            <w:r>
              <w:rPr>
                <w:rFonts w:hint="eastAsia" w:cs="宋体"/>
                <w:szCs w:val="21"/>
              </w:rPr>
              <w:t>一般：得</w:t>
            </w:r>
            <w:r>
              <w:rPr>
                <w:rFonts w:cs="宋体"/>
                <w:szCs w:val="21"/>
              </w:rPr>
              <w:t>10分</w:t>
            </w:r>
          </w:p>
          <w:p w14:paraId="618EA39B">
            <w:pPr>
              <w:spacing w:after="120"/>
              <w:jc w:val="left"/>
              <w:rPr>
                <w:rFonts w:cs="宋体"/>
                <w:szCs w:val="21"/>
              </w:rPr>
            </w:pPr>
            <w:r>
              <w:rPr>
                <w:rFonts w:hint="eastAsia" w:cs="宋体"/>
                <w:szCs w:val="21"/>
              </w:rPr>
              <w:t>较差：得</w:t>
            </w:r>
            <w:r>
              <w:rPr>
                <w:rFonts w:cs="宋体"/>
                <w:szCs w:val="21"/>
              </w:rPr>
              <w:t>5分</w:t>
            </w:r>
          </w:p>
          <w:p w14:paraId="38E88897">
            <w:pPr>
              <w:spacing w:after="120"/>
              <w:jc w:val="left"/>
              <w:rPr>
                <w:rFonts w:cs="宋体"/>
                <w:szCs w:val="21"/>
              </w:rPr>
            </w:pPr>
            <w:r>
              <w:rPr>
                <w:rFonts w:hint="eastAsia" w:cs="宋体"/>
                <w:szCs w:val="21"/>
              </w:rPr>
              <w:t>差：得</w:t>
            </w:r>
            <w:r>
              <w:rPr>
                <w:rFonts w:cs="宋体"/>
                <w:szCs w:val="21"/>
              </w:rPr>
              <w:t>2分</w:t>
            </w:r>
          </w:p>
        </w:tc>
        <w:tc>
          <w:tcPr>
            <w:tcW w:w="992" w:type="dxa"/>
            <w:tcBorders>
              <w:top w:val="nil"/>
              <w:left w:val="nil"/>
              <w:bottom w:val="single" w:color="auto" w:sz="4" w:space="0"/>
              <w:right w:val="single" w:color="auto" w:sz="4" w:space="0"/>
            </w:tcBorders>
            <w:vAlign w:val="center"/>
          </w:tcPr>
          <w:p w14:paraId="532942F8">
            <w:pPr>
              <w:spacing w:after="120"/>
              <w:jc w:val="center"/>
              <w:rPr>
                <w:rFonts w:cs="宋体"/>
                <w:szCs w:val="21"/>
              </w:rPr>
            </w:pPr>
            <w:r>
              <w:rPr>
                <w:rFonts w:hint="eastAsia" w:cs="宋体"/>
                <w:szCs w:val="21"/>
              </w:rPr>
              <w:t>　</w:t>
            </w:r>
          </w:p>
        </w:tc>
      </w:tr>
      <w:tr w14:paraId="4638E622">
        <w:tblPrEx>
          <w:tblCellMar>
            <w:top w:w="0" w:type="dxa"/>
            <w:left w:w="108" w:type="dxa"/>
            <w:bottom w:w="0" w:type="dxa"/>
            <w:right w:w="108" w:type="dxa"/>
          </w:tblCellMar>
        </w:tblPrEx>
        <w:trPr>
          <w:trHeight w:val="720" w:hRule="atLeast"/>
          <w:jc w:val="center"/>
        </w:trPr>
        <w:tc>
          <w:tcPr>
            <w:tcW w:w="565" w:type="dxa"/>
            <w:tcBorders>
              <w:top w:val="nil"/>
              <w:left w:val="single" w:color="auto" w:sz="4" w:space="0"/>
              <w:bottom w:val="single" w:color="auto" w:sz="4" w:space="0"/>
              <w:right w:val="single" w:color="auto" w:sz="4" w:space="0"/>
            </w:tcBorders>
            <w:vAlign w:val="center"/>
          </w:tcPr>
          <w:p w14:paraId="7DD98816">
            <w:pPr>
              <w:spacing w:after="120"/>
              <w:ind w:firstLine="0" w:firstLineChars="0"/>
              <w:rPr>
                <w:rFonts w:cs="宋体"/>
                <w:szCs w:val="21"/>
              </w:rPr>
            </w:pPr>
            <w:r>
              <w:rPr>
                <w:rFonts w:hint="eastAsia" w:cs="宋体"/>
                <w:szCs w:val="21"/>
              </w:rPr>
              <w:t>二</w:t>
            </w:r>
          </w:p>
        </w:tc>
        <w:tc>
          <w:tcPr>
            <w:tcW w:w="1208" w:type="dxa"/>
            <w:tcBorders>
              <w:top w:val="nil"/>
              <w:left w:val="nil"/>
              <w:bottom w:val="single" w:color="auto" w:sz="4" w:space="0"/>
              <w:right w:val="single" w:color="auto" w:sz="4" w:space="0"/>
            </w:tcBorders>
            <w:vAlign w:val="center"/>
          </w:tcPr>
          <w:p w14:paraId="35E3E55F">
            <w:pPr>
              <w:spacing w:after="120"/>
              <w:ind w:firstLine="0" w:firstLineChars="0"/>
              <w:rPr>
                <w:rFonts w:cs="宋体"/>
                <w:szCs w:val="21"/>
              </w:rPr>
            </w:pPr>
            <w:r>
              <w:rPr>
                <w:rFonts w:hint="eastAsia" w:cs="宋体"/>
                <w:szCs w:val="21"/>
              </w:rPr>
              <w:t>设计质量</w:t>
            </w:r>
          </w:p>
        </w:tc>
        <w:tc>
          <w:tcPr>
            <w:tcW w:w="799" w:type="dxa"/>
            <w:tcBorders>
              <w:top w:val="single" w:color="auto" w:sz="4" w:space="0"/>
              <w:left w:val="nil"/>
              <w:bottom w:val="single" w:color="auto" w:sz="4" w:space="0"/>
              <w:right w:val="single" w:color="auto" w:sz="4" w:space="0"/>
            </w:tcBorders>
            <w:vAlign w:val="center"/>
          </w:tcPr>
          <w:p w14:paraId="7DA6EBB9">
            <w:pPr>
              <w:spacing w:after="120"/>
              <w:ind w:firstLine="0" w:firstLineChars="0"/>
              <w:rPr>
                <w:rFonts w:ascii="仿宋_GB2312" w:eastAsia="仿宋_GB2312" w:cs="宋体"/>
                <w:szCs w:val="21"/>
              </w:rPr>
            </w:pPr>
            <w:r>
              <w:rPr>
                <w:rFonts w:ascii="仿宋_GB2312" w:eastAsia="仿宋_GB2312" w:cs="宋体"/>
                <w:szCs w:val="21"/>
              </w:rPr>
              <w:t>70</w:t>
            </w:r>
          </w:p>
        </w:tc>
        <w:tc>
          <w:tcPr>
            <w:tcW w:w="2551" w:type="dxa"/>
            <w:tcBorders>
              <w:top w:val="nil"/>
              <w:left w:val="nil"/>
              <w:bottom w:val="single" w:color="auto" w:sz="4" w:space="0"/>
              <w:right w:val="single" w:color="auto" w:sz="4" w:space="0"/>
            </w:tcBorders>
            <w:vAlign w:val="center"/>
          </w:tcPr>
          <w:p w14:paraId="3DC35345">
            <w:pPr>
              <w:spacing w:after="120"/>
              <w:jc w:val="left"/>
              <w:rPr>
                <w:rFonts w:cs="宋体"/>
                <w:szCs w:val="21"/>
              </w:rPr>
            </w:pPr>
            <w:r>
              <w:rPr>
                <w:rFonts w:hint="eastAsia" w:cs="宋体"/>
                <w:szCs w:val="21"/>
              </w:rPr>
              <w:t>　</w:t>
            </w:r>
          </w:p>
        </w:tc>
        <w:tc>
          <w:tcPr>
            <w:tcW w:w="3261" w:type="dxa"/>
            <w:tcBorders>
              <w:top w:val="nil"/>
              <w:left w:val="nil"/>
              <w:bottom w:val="single" w:color="auto" w:sz="4" w:space="0"/>
              <w:right w:val="single" w:color="auto" w:sz="4" w:space="0"/>
            </w:tcBorders>
            <w:vAlign w:val="center"/>
          </w:tcPr>
          <w:p w14:paraId="052B21CD">
            <w:pPr>
              <w:spacing w:after="120"/>
              <w:jc w:val="left"/>
              <w:rPr>
                <w:rFonts w:cs="宋体"/>
                <w:szCs w:val="21"/>
              </w:rPr>
            </w:pPr>
          </w:p>
        </w:tc>
        <w:tc>
          <w:tcPr>
            <w:tcW w:w="992" w:type="dxa"/>
            <w:tcBorders>
              <w:top w:val="nil"/>
              <w:left w:val="nil"/>
              <w:bottom w:val="single" w:color="auto" w:sz="4" w:space="0"/>
              <w:right w:val="single" w:color="auto" w:sz="4" w:space="0"/>
            </w:tcBorders>
            <w:vAlign w:val="center"/>
          </w:tcPr>
          <w:p w14:paraId="59BA8E63">
            <w:pPr>
              <w:spacing w:after="120"/>
              <w:jc w:val="left"/>
              <w:rPr>
                <w:rFonts w:cs="宋体"/>
                <w:szCs w:val="21"/>
              </w:rPr>
            </w:pPr>
            <w:r>
              <w:rPr>
                <w:rFonts w:hint="eastAsia" w:cs="宋体"/>
                <w:szCs w:val="21"/>
              </w:rPr>
              <w:t>　</w:t>
            </w:r>
          </w:p>
        </w:tc>
      </w:tr>
      <w:tr w14:paraId="576C36E2">
        <w:tblPrEx>
          <w:tblCellMar>
            <w:top w:w="0" w:type="dxa"/>
            <w:left w:w="108" w:type="dxa"/>
            <w:bottom w:w="0" w:type="dxa"/>
            <w:right w:w="108" w:type="dxa"/>
          </w:tblCellMar>
        </w:tblPrEx>
        <w:trPr>
          <w:trHeight w:val="2430" w:hRule="atLeast"/>
          <w:jc w:val="center"/>
        </w:trPr>
        <w:tc>
          <w:tcPr>
            <w:tcW w:w="565" w:type="dxa"/>
            <w:tcBorders>
              <w:top w:val="nil"/>
              <w:left w:val="single" w:color="auto" w:sz="4" w:space="0"/>
              <w:bottom w:val="single" w:color="auto" w:sz="4" w:space="0"/>
              <w:right w:val="single" w:color="auto" w:sz="4" w:space="0"/>
            </w:tcBorders>
            <w:vAlign w:val="center"/>
          </w:tcPr>
          <w:p w14:paraId="6B9B7F9C">
            <w:pPr>
              <w:spacing w:after="120"/>
              <w:ind w:firstLine="0" w:firstLineChars="0"/>
              <w:rPr>
                <w:rFonts w:cs="宋体"/>
                <w:szCs w:val="21"/>
              </w:rPr>
            </w:pPr>
            <w:r>
              <w:rPr>
                <w:rFonts w:cs="宋体"/>
                <w:szCs w:val="21"/>
              </w:rPr>
              <w:t>1</w:t>
            </w:r>
          </w:p>
        </w:tc>
        <w:tc>
          <w:tcPr>
            <w:tcW w:w="1208" w:type="dxa"/>
            <w:tcBorders>
              <w:top w:val="nil"/>
              <w:left w:val="nil"/>
              <w:bottom w:val="single" w:color="auto" w:sz="4" w:space="0"/>
              <w:right w:val="single" w:color="auto" w:sz="4" w:space="0"/>
            </w:tcBorders>
            <w:vAlign w:val="center"/>
          </w:tcPr>
          <w:p w14:paraId="7E00A84E">
            <w:pPr>
              <w:spacing w:after="120"/>
              <w:ind w:firstLine="0" w:firstLineChars="0"/>
              <w:rPr>
                <w:rFonts w:cs="宋体"/>
                <w:szCs w:val="21"/>
              </w:rPr>
            </w:pPr>
            <w:r>
              <w:rPr>
                <w:rFonts w:hint="eastAsia" w:cs="宋体"/>
                <w:szCs w:val="21"/>
              </w:rPr>
              <w:t>设计缺陷</w:t>
            </w:r>
          </w:p>
        </w:tc>
        <w:tc>
          <w:tcPr>
            <w:tcW w:w="799" w:type="dxa"/>
            <w:tcBorders>
              <w:top w:val="nil"/>
              <w:left w:val="nil"/>
              <w:bottom w:val="single" w:color="auto" w:sz="4" w:space="0"/>
              <w:right w:val="single" w:color="auto" w:sz="4" w:space="0"/>
            </w:tcBorders>
            <w:vAlign w:val="center"/>
          </w:tcPr>
          <w:p w14:paraId="425EB225">
            <w:pPr>
              <w:spacing w:after="120"/>
              <w:ind w:firstLine="0" w:firstLineChars="0"/>
              <w:rPr>
                <w:rFonts w:ascii="仿宋_GB2312" w:eastAsia="仿宋_GB2312" w:cs="宋体"/>
                <w:szCs w:val="21"/>
              </w:rPr>
            </w:pPr>
            <w:r>
              <w:rPr>
                <w:rFonts w:ascii="仿宋_GB2312" w:eastAsia="仿宋_GB2312" w:cs="宋体"/>
                <w:szCs w:val="21"/>
              </w:rPr>
              <w:t>40</w:t>
            </w:r>
          </w:p>
        </w:tc>
        <w:tc>
          <w:tcPr>
            <w:tcW w:w="2551" w:type="dxa"/>
            <w:tcBorders>
              <w:top w:val="nil"/>
              <w:left w:val="nil"/>
              <w:bottom w:val="single" w:color="auto" w:sz="4" w:space="0"/>
              <w:right w:val="single" w:color="auto" w:sz="4" w:space="0"/>
            </w:tcBorders>
            <w:vAlign w:val="center"/>
          </w:tcPr>
          <w:p w14:paraId="2C8C5DDC">
            <w:pPr>
              <w:spacing w:after="120"/>
              <w:ind w:firstLine="0" w:firstLineChars="0"/>
              <w:jc w:val="left"/>
              <w:rPr>
                <w:rFonts w:cs="宋体"/>
                <w:szCs w:val="21"/>
              </w:rPr>
            </w:pPr>
            <w:r>
              <w:rPr>
                <w:rFonts w:hint="eastAsia" w:cs="宋体"/>
                <w:szCs w:val="21"/>
              </w:rPr>
              <w:t>使用过程中发现由于设计原因造成使用功能缺陷、使用上的不便等情形</w:t>
            </w:r>
          </w:p>
        </w:tc>
        <w:tc>
          <w:tcPr>
            <w:tcW w:w="3261" w:type="dxa"/>
            <w:tcBorders>
              <w:top w:val="nil"/>
              <w:left w:val="nil"/>
              <w:bottom w:val="single" w:color="auto" w:sz="4" w:space="0"/>
              <w:right w:val="single" w:color="auto" w:sz="4" w:space="0"/>
            </w:tcBorders>
            <w:vAlign w:val="center"/>
          </w:tcPr>
          <w:p w14:paraId="50B9C968">
            <w:pPr>
              <w:spacing w:after="120"/>
              <w:ind w:firstLine="0" w:firstLineChars="0"/>
              <w:jc w:val="left"/>
              <w:rPr>
                <w:rFonts w:cs="宋体"/>
                <w:szCs w:val="21"/>
              </w:rPr>
            </w:pPr>
            <w:r>
              <w:rPr>
                <w:rFonts w:hint="eastAsia" w:cs="宋体"/>
                <w:szCs w:val="21"/>
              </w:rPr>
              <w:t>使用过程中由于设计原因，产生以下影响：</w:t>
            </w:r>
          </w:p>
          <w:p w14:paraId="19D3477E">
            <w:pPr>
              <w:spacing w:after="120"/>
              <w:ind w:firstLine="0" w:firstLineChars="0"/>
              <w:jc w:val="left"/>
              <w:rPr>
                <w:rFonts w:cs="宋体"/>
                <w:szCs w:val="21"/>
              </w:rPr>
            </w:pPr>
            <w:r>
              <w:rPr>
                <w:rFonts w:cs="宋体"/>
                <w:szCs w:val="21"/>
              </w:rPr>
              <w:t>1、修补费用10</w:t>
            </w:r>
            <w:r>
              <w:rPr>
                <w:rFonts w:hint="eastAsia" w:cs="宋体"/>
                <w:szCs w:val="21"/>
              </w:rPr>
              <w:t>万元（含）以上，扣</w:t>
            </w:r>
            <w:r>
              <w:rPr>
                <w:rFonts w:cs="宋体"/>
                <w:szCs w:val="21"/>
              </w:rPr>
              <w:t>10分；</w:t>
            </w:r>
          </w:p>
          <w:p w14:paraId="17F7D198">
            <w:pPr>
              <w:spacing w:after="120"/>
              <w:ind w:firstLine="0" w:firstLineChars="0"/>
              <w:jc w:val="left"/>
              <w:rPr>
                <w:rFonts w:cs="宋体"/>
                <w:szCs w:val="21"/>
              </w:rPr>
            </w:pPr>
            <w:r>
              <w:rPr>
                <w:rFonts w:cs="宋体"/>
                <w:szCs w:val="21"/>
              </w:rPr>
              <w:t>2、修补费用5</w:t>
            </w:r>
            <w:r>
              <w:rPr>
                <w:rFonts w:hint="eastAsia" w:cs="宋体"/>
                <w:szCs w:val="21"/>
              </w:rPr>
              <w:t>万元（含）</w:t>
            </w:r>
            <w:r>
              <w:rPr>
                <w:rFonts w:cs="宋体"/>
                <w:szCs w:val="21"/>
              </w:rPr>
              <w:t>-10</w:t>
            </w:r>
            <w:r>
              <w:rPr>
                <w:rFonts w:hint="eastAsia" w:cs="宋体"/>
                <w:szCs w:val="21"/>
              </w:rPr>
              <w:t>万元的扣</w:t>
            </w:r>
            <w:r>
              <w:rPr>
                <w:rFonts w:cs="宋体"/>
                <w:szCs w:val="21"/>
              </w:rPr>
              <w:t>6分；</w:t>
            </w:r>
          </w:p>
          <w:p w14:paraId="7CECA308">
            <w:pPr>
              <w:spacing w:after="120"/>
              <w:ind w:firstLine="0" w:firstLineChars="0"/>
              <w:jc w:val="left"/>
              <w:rPr>
                <w:rFonts w:cs="宋体"/>
                <w:szCs w:val="21"/>
              </w:rPr>
            </w:pPr>
            <w:r>
              <w:rPr>
                <w:rFonts w:cs="宋体"/>
                <w:szCs w:val="21"/>
              </w:rPr>
              <w:t>3、修补费用5</w:t>
            </w:r>
            <w:r>
              <w:rPr>
                <w:rFonts w:hint="eastAsia" w:cs="宋体"/>
                <w:szCs w:val="21"/>
              </w:rPr>
              <w:t>万元以下的，扣</w:t>
            </w:r>
            <w:r>
              <w:rPr>
                <w:rFonts w:cs="宋体"/>
                <w:szCs w:val="21"/>
              </w:rPr>
              <w:t>4分；</w:t>
            </w:r>
          </w:p>
          <w:p w14:paraId="60188F49">
            <w:pPr>
              <w:spacing w:after="120"/>
              <w:ind w:firstLine="0" w:firstLineChars="0"/>
              <w:jc w:val="left"/>
              <w:rPr>
                <w:rFonts w:cs="宋体"/>
                <w:szCs w:val="21"/>
              </w:rPr>
            </w:pPr>
            <w:r>
              <w:rPr>
                <w:rFonts w:cs="宋体"/>
                <w:szCs w:val="21"/>
              </w:rPr>
              <w:t>4、使用上不便造成使用单位接到投诉的，每次扣2分。</w:t>
            </w:r>
          </w:p>
        </w:tc>
        <w:tc>
          <w:tcPr>
            <w:tcW w:w="992" w:type="dxa"/>
            <w:tcBorders>
              <w:top w:val="nil"/>
              <w:left w:val="nil"/>
              <w:bottom w:val="single" w:color="auto" w:sz="4" w:space="0"/>
              <w:right w:val="single" w:color="auto" w:sz="4" w:space="0"/>
            </w:tcBorders>
            <w:vAlign w:val="center"/>
          </w:tcPr>
          <w:p w14:paraId="4F557BC3">
            <w:pPr>
              <w:spacing w:after="120"/>
              <w:jc w:val="left"/>
              <w:rPr>
                <w:rFonts w:cs="宋体"/>
                <w:szCs w:val="21"/>
              </w:rPr>
            </w:pPr>
            <w:r>
              <w:rPr>
                <w:rFonts w:hint="eastAsia" w:cs="宋体"/>
                <w:szCs w:val="21"/>
              </w:rPr>
              <w:t>　</w:t>
            </w:r>
          </w:p>
        </w:tc>
      </w:tr>
      <w:tr w14:paraId="5716ED4B">
        <w:tblPrEx>
          <w:tblCellMar>
            <w:top w:w="0" w:type="dxa"/>
            <w:left w:w="108" w:type="dxa"/>
            <w:bottom w:w="0" w:type="dxa"/>
            <w:right w:w="108" w:type="dxa"/>
          </w:tblCellMar>
        </w:tblPrEx>
        <w:trPr>
          <w:trHeight w:val="540" w:hRule="atLeast"/>
          <w:jc w:val="center"/>
        </w:trPr>
        <w:tc>
          <w:tcPr>
            <w:tcW w:w="565" w:type="dxa"/>
            <w:tcBorders>
              <w:top w:val="nil"/>
              <w:left w:val="single" w:color="auto" w:sz="4" w:space="0"/>
              <w:bottom w:val="single" w:color="auto" w:sz="4" w:space="0"/>
              <w:right w:val="single" w:color="auto" w:sz="4" w:space="0"/>
            </w:tcBorders>
            <w:vAlign w:val="center"/>
          </w:tcPr>
          <w:p w14:paraId="2AFAB3B6">
            <w:pPr>
              <w:spacing w:after="120"/>
              <w:ind w:firstLine="0" w:firstLineChars="0"/>
              <w:rPr>
                <w:rFonts w:cs="宋体"/>
                <w:szCs w:val="21"/>
              </w:rPr>
            </w:pPr>
            <w:r>
              <w:rPr>
                <w:rFonts w:cs="宋体"/>
                <w:szCs w:val="21"/>
              </w:rPr>
              <w:t>2</w:t>
            </w:r>
          </w:p>
        </w:tc>
        <w:tc>
          <w:tcPr>
            <w:tcW w:w="1208" w:type="dxa"/>
            <w:tcBorders>
              <w:top w:val="nil"/>
              <w:left w:val="nil"/>
              <w:bottom w:val="single" w:color="auto" w:sz="4" w:space="0"/>
              <w:right w:val="single" w:color="auto" w:sz="4" w:space="0"/>
            </w:tcBorders>
            <w:vAlign w:val="center"/>
          </w:tcPr>
          <w:p w14:paraId="759DA632">
            <w:pPr>
              <w:spacing w:after="120"/>
              <w:ind w:firstLine="0" w:firstLineChars="0"/>
              <w:rPr>
                <w:rFonts w:cs="宋体"/>
                <w:szCs w:val="21"/>
              </w:rPr>
            </w:pPr>
            <w:r>
              <w:rPr>
                <w:rFonts w:hint="eastAsia" w:cs="宋体"/>
                <w:szCs w:val="21"/>
              </w:rPr>
              <w:t>设计缺陷处理进度</w:t>
            </w:r>
          </w:p>
        </w:tc>
        <w:tc>
          <w:tcPr>
            <w:tcW w:w="799" w:type="dxa"/>
            <w:tcBorders>
              <w:top w:val="nil"/>
              <w:left w:val="nil"/>
              <w:bottom w:val="single" w:color="auto" w:sz="4" w:space="0"/>
              <w:right w:val="single" w:color="auto" w:sz="4" w:space="0"/>
            </w:tcBorders>
            <w:vAlign w:val="center"/>
          </w:tcPr>
          <w:p w14:paraId="5B23BE26">
            <w:pPr>
              <w:spacing w:after="120"/>
              <w:ind w:firstLine="0" w:firstLineChars="0"/>
              <w:rPr>
                <w:rFonts w:ascii="仿宋_GB2312" w:eastAsia="仿宋_GB2312" w:cs="宋体"/>
                <w:szCs w:val="21"/>
              </w:rPr>
            </w:pPr>
            <w:r>
              <w:rPr>
                <w:rFonts w:ascii="仿宋_GB2312" w:eastAsia="仿宋_GB2312" w:cs="宋体"/>
                <w:szCs w:val="21"/>
              </w:rPr>
              <w:t>30</w:t>
            </w:r>
          </w:p>
        </w:tc>
        <w:tc>
          <w:tcPr>
            <w:tcW w:w="2551" w:type="dxa"/>
            <w:tcBorders>
              <w:top w:val="nil"/>
              <w:left w:val="nil"/>
              <w:bottom w:val="single" w:color="auto" w:sz="4" w:space="0"/>
              <w:right w:val="single" w:color="auto" w:sz="4" w:space="0"/>
            </w:tcBorders>
            <w:vAlign w:val="center"/>
          </w:tcPr>
          <w:p w14:paraId="58FB666A">
            <w:pPr>
              <w:spacing w:after="120"/>
              <w:ind w:firstLine="0" w:firstLineChars="0"/>
              <w:jc w:val="left"/>
              <w:rPr>
                <w:rFonts w:cs="宋体"/>
                <w:szCs w:val="21"/>
              </w:rPr>
            </w:pPr>
            <w:r>
              <w:rPr>
                <w:rFonts w:hint="eastAsia" w:cs="宋体"/>
                <w:szCs w:val="21"/>
              </w:rPr>
              <w:t>是否及时按甲方要求完成设计工作</w:t>
            </w:r>
          </w:p>
        </w:tc>
        <w:tc>
          <w:tcPr>
            <w:tcW w:w="3261" w:type="dxa"/>
            <w:tcBorders>
              <w:top w:val="nil"/>
              <w:left w:val="nil"/>
              <w:bottom w:val="single" w:color="auto" w:sz="4" w:space="0"/>
              <w:right w:val="single" w:color="auto" w:sz="4" w:space="0"/>
            </w:tcBorders>
            <w:vAlign w:val="center"/>
          </w:tcPr>
          <w:p w14:paraId="23B5E581">
            <w:pPr>
              <w:spacing w:after="120"/>
              <w:jc w:val="left"/>
              <w:rPr>
                <w:rFonts w:cs="宋体"/>
                <w:szCs w:val="21"/>
              </w:rPr>
            </w:pPr>
            <w:r>
              <w:rPr>
                <w:rFonts w:hint="eastAsia" w:cs="宋体"/>
                <w:szCs w:val="21"/>
              </w:rPr>
              <w:t>好：得</w:t>
            </w:r>
            <w:r>
              <w:rPr>
                <w:rFonts w:cs="宋体"/>
                <w:szCs w:val="21"/>
              </w:rPr>
              <w:t>30分</w:t>
            </w:r>
          </w:p>
          <w:p w14:paraId="0D1B56AF">
            <w:pPr>
              <w:spacing w:after="120"/>
              <w:jc w:val="left"/>
              <w:rPr>
                <w:rFonts w:cs="宋体"/>
                <w:szCs w:val="21"/>
              </w:rPr>
            </w:pPr>
            <w:r>
              <w:rPr>
                <w:rFonts w:hint="eastAsia" w:cs="宋体"/>
                <w:szCs w:val="21"/>
              </w:rPr>
              <w:t>较好：得</w:t>
            </w:r>
            <w:r>
              <w:rPr>
                <w:rFonts w:cs="宋体"/>
                <w:szCs w:val="21"/>
              </w:rPr>
              <w:t>20分</w:t>
            </w:r>
          </w:p>
          <w:p w14:paraId="656BA412">
            <w:pPr>
              <w:spacing w:after="120"/>
              <w:jc w:val="left"/>
              <w:rPr>
                <w:rFonts w:cs="宋体"/>
                <w:szCs w:val="21"/>
              </w:rPr>
            </w:pPr>
            <w:r>
              <w:rPr>
                <w:rFonts w:hint="eastAsia" w:cs="宋体"/>
                <w:szCs w:val="21"/>
              </w:rPr>
              <w:t>一般：得</w:t>
            </w:r>
            <w:r>
              <w:rPr>
                <w:rFonts w:cs="宋体"/>
                <w:szCs w:val="21"/>
              </w:rPr>
              <w:t>10分</w:t>
            </w:r>
          </w:p>
          <w:p w14:paraId="1713DF62">
            <w:pPr>
              <w:spacing w:after="120"/>
              <w:jc w:val="left"/>
              <w:rPr>
                <w:rFonts w:cs="宋体"/>
                <w:szCs w:val="21"/>
              </w:rPr>
            </w:pPr>
            <w:r>
              <w:rPr>
                <w:rFonts w:hint="eastAsia" w:cs="宋体"/>
                <w:szCs w:val="21"/>
              </w:rPr>
              <w:t>较差：得</w:t>
            </w:r>
            <w:r>
              <w:rPr>
                <w:rFonts w:cs="宋体"/>
                <w:szCs w:val="21"/>
              </w:rPr>
              <w:t>5分</w:t>
            </w:r>
          </w:p>
          <w:p w14:paraId="7F3C423C">
            <w:pPr>
              <w:spacing w:after="120"/>
              <w:jc w:val="left"/>
              <w:rPr>
                <w:rFonts w:cs="宋体"/>
                <w:szCs w:val="21"/>
              </w:rPr>
            </w:pPr>
            <w:r>
              <w:rPr>
                <w:rFonts w:hint="eastAsia" w:cs="宋体"/>
                <w:szCs w:val="21"/>
              </w:rPr>
              <w:t>差：得</w:t>
            </w:r>
            <w:r>
              <w:rPr>
                <w:rFonts w:cs="宋体"/>
                <w:szCs w:val="21"/>
              </w:rPr>
              <w:t>2分</w:t>
            </w:r>
          </w:p>
        </w:tc>
        <w:tc>
          <w:tcPr>
            <w:tcW w:w="992" w:type="dxa"/>
            <w:tcBorders>
              <w:top w:val="nil"/>
              <w:left w:val="nil"/>
              <w:bottom w:val="single" w:color="auto" w:sz="4" w:space="0"/>
              <w:right w:val="single" w:color="auto" w:sz="4" w:space="0"/>
            </w:tcBorders>
            <w:vAlign w:val="center"/>
          </w:tcPr>
          <w:p w14:paraId="3722A41E">
            <w:pPr>
              <w:spacing w:after="120"/>
              <w:jc w:val="left"/>
              <w:rPr>
                <w:rFonts w:cs="宋体"/>
                <w:szCs w:val="21"/>
              </w:rPr>
            </w:pPr>
            <w:r>
              <w:rPr>
                <w:rFonts w:hint="eastAsia" w:cs="宋体"/>
                <w:szCs w:val="21"/>
              </w:rPr>
              <w:t>　</w:t>
            </w:r>
          </w:p>
        </w:tc>
      </w:tr>
      <w:tr w14:paraId="68965B98">
        <w:tblPrEx>
          <w:tblCellMar>
            <w:top w:w="0" w:type="dxa"/>
            <w:left w:w="108" w:type="dxa"/>
            <w:bottom w:w="0" w:type="dxa"/>
            <w:right w:w="108" w:type="dxa"/>
          </w:tblCellMar>
        </w:tblPrEx>
        <w:trPr>
          <w:trHeight w:val="499" w:hRule="atLeast"/>
          <w:jc w:val="center"/>
        </w:trPr>
        <w:tc>
          <w:tcPr>
            <w:tcW w:w="565" w:type="dxa"/>
            <w:tcBorders>
              <w:top w:val="nil"/>
              <w:left w:val="single" w:color="auto" w:sz="4" w:space="0"/>
              <w:bottom w:val="single" w:color="auto" w:sz="4" w:space="0"/>
              <w:right w:val="single" w:color="auto" w:sz="4" w:space="0"/>
            </w:tcBorders>
            <w:vAlign w:val="center"/>
          </w:tcPr>
          <w:p w14:paraId="74EE792A">
            <w:pPr>
              <w:spacing w:after="120"/>
              <w:jc w:val="center"/>
              <w:rPr>
                <w:szCs w:val="21"/>
              </w:rPr>
            </w:pPr>
            <w:r>
              <w:rPr>
                <w:rFonts w:hint="eastAsia"/>
                <w:szCs w:val="21"/>
              </w:rPr>
              <w:t>　</w:t>
            </w:r>
          </w:p>
        </w:tc>
        <w:tc>
          <w:tcPr>
            <w:tcW w:w="1208" w:type="dxa"/>
            <w:tcBorders>
              <w:top w:val="nil"/>
              <w:left w:val="nil"/>
              <w:bottom w:val="single" w:color="auto" w:sz="4" w:space="0"/>
              <w:right w:val="single" w:color="auto" w:sz="4" w:space="0"/>
            </w:tcBorders>
            <w:vAlign w:val="center"/>
          </w:tcPr>
          <w:p w14:paraId="092304D4">
            <w:pPr>
              <w:spacing w:after="120"/>
              <w:rPr>
                <w:szCs w:val="21"/>
              </w:rPr>
            </w:pPr>
            <w:r>
              <w:rPr>
                <w:rFonts w:hint="eastAsia"/>
                <w:szCs w:val="21"/>
              </w:rPr>
              <w:t>合计</w:t>
            </w:r>
          </w:p>
        </w:tc>
        <w:tc>
          <w:tcPr>
            <w:tcW w:w="799" w:type="dxa"/>
            <w:tcBorders>
              <w:top w:val="nil"/>
              <w:left w:val="nil"/>
              <w:bottom w:val="single" w:color="auto" w:sz="4" w:space="0"/>
              <w:right w:val="single" w:color="auto" w:sz="4" w:space="0"/>
            </w:tcBorders>
            <w:vAlign w:val="center"/>
          </w:tcPr>
          <w:p w14:paraId="2B9AD9A0">
            <w:pPr>
              <w:spacing w:after="120"/>
              <w:ind w:firstLine="0" w:firstLineChars="0"/>
              <w:rPr>
                <w:szCs w:val="21"/>
              </w:rPr>
            </w:pPr>
            <w:r>
              <w:rPr>
                <w:szCs w:val="21"/>
              </w:rPr>
              <w:t>100</w:t>
            </w:r>
          </w:p>
        </w:tc>
        <w:tc>
          <w:tcPr>
            <w:tcW w:w="2551" w:type="dxa"/>
            <w:tcBorders>
              <w:top w:val="nil"/>
              <w:left w:val="nil"/>
              <w:bottom w:val="single" w:color="auto" w:sz="4" w:space="0"/>
              <w:right w:val="single" w:color="auto" w:sz="4" w:space="0"/>
            </w:tcBorders>
            <w:vAlign w:val="center"/>
          </w:tcPr>
          <w:p w14:paraId="73BCA456">
            <w:pPr>
              <w:spacing w:after="120"/>
              <w:jc w:val="center"/>
              <w:rPr>
                <w:szCs w:val="21"/>
              </w:rPr>
            </w:pPr>
            <w:r>
              <w:rPr>
                <w:rFonts w:hint="eastAsia"/>
                <w:szCs w:val="21"/>
              </w:rPr>
              <w:t>　</w:t>
            </w:r>
          </w:p>
        </w:tc>
        <w:tc>
          <w:tcPr>
            <w:tcW w:w="3261" w:type="dxa"/>
            <w:tcBorders>
              <w:top w:val="nil"/>
              <w:left w:val="nil"/>
              <w:bottom w:val="single" w:color="auto" w:sz="4" w:space="0"/>
              <w:right w:val="single" w:color="auto" w:sz="4" w:space="0"/>
            </w:tcBorders>
            <w:vAlign w:val="center"/>
          </w:tcPr>
          <w:p w14:paraId="79414C11">
            <w:pPr>
              <w:spacing w:after="120"/>
              <w:jc w:val="center"/>
              <w:rPr>
                <w:szCs w:val="21"/>
              </w:rPr>
            </w:pPr>
            <w:r>
              <w:rPr>
                <w:rFonts w:hint="eastAsia"/>
                <w:szCs w:val="21"/>
              </w:rPr>
              <w:t>　</w:t>
            </w:r>
          </w:p>
        </w:tc>
        <w:tc>
          <w:tcPr>
            <w:tcW w:w="992" w:type="dxa"/>
            <w:tcBorders>
              <w:top w:val="nil"/>
              <w:left w:val="nil"/>
              <w:bottom w:val="single" w:color="auto" w:sz="4" w:space="0"/>
              <w:right w:val="single" w:color="auto" w:sz="4" w:space="0"/>
            </w:tcBorders>
            <w:vAlign w:val="center"/>
          </w:tcPr>
          <w:p w14:paraId="44F392B8">
            <w:pPr>
              <w:spacing w:after="120"/>
              <w:jc w:val="center"/>
              <w:rPr>
                <w:szCs w:val="21"/>
              </w:rPr>
            </w:pPr>
            <w:r>
              <w:rPr>
                <w:rFonts w:hint="eastAsia"/>
                <w:szCs w:val="21"/>
              </w:rPr>
              <w:t>　</w:t>
            </w:r>
          </w:p>
        </w:tc>
      </w:tr>
    </w:tbl>
    <w:p w14:paraId="2B95FA3A">
      <w:pPr>
        <w:spacing w:after="120"/>
        <w:rPr>
          <w:rFonts w:cs="宋体"/>
          <w:szCs w:val="21"/>
        </w:rPr>
      </w:pPr>
      <w:r>
        <w:rPr>
          <w:rFonts w:hint="eastAsia" w:cs="宋体"/>
          <w:szCs w:val="21"/>
        </w:rPr>
        <w:t>一、注：</w:t>
      </w:r>
    </w:p>
    <w:p w14:paraId="49CDACB9">
      <w:pPr>
        <w:spacing w:after="120"/>
        <w:rPr>
          <w:rFonts w:cs="宋体"/>
          <w:szCs w:val="21"/>
        </w:rPr>
      </w:pPr>
      <w:r>
        <w:rPr>
          <w:rFonts w:cs="宋体"/>
          <w:szCs w:val="21"/>
        </w:rPr>
        <w:t>1、每一评分项扣分，至该项对应分值扣完为止。</w:t>
      </w:r>
    </w:p>
    <w:p w14:paraId="77BC0802">
      <w:pPr>
        <w:spacing w:after="120"/>
        <w:rPr>
          <w:rFonts w:cs="宋体"/>
          <w:szCs w:val="21"/>
        </w:rPr>
      </w:pPr>
      <w:r>
        <w:rPr>
          <w:rFonts w:cs="宋体"/>
          <w:szCs w:val="21"/>
        </w:rPr>
        <w:t>2、应在岗实际未在岗累计达到3天的，或经问询明显不了解项目具体情况累计达到3次的，或未按甲方要求出席会议累计达到3次的，可认定自行更换</w:t>
      </w:r>
    </w:p>
    <w:p w14:paraId="6BF17481">
      <w:pPr>
        <w:spacing w:after="120"/>
        <w:rPr>
          <w:rFonts w:cs="宋体"/>
          <w:szCs w:val="21"/>
        </w:rPr>
      </w:pPr>
    </w:p>
    <w:p w14:paraId="5518D17C">
      <w:pPr>
        <w:spacing w:after="120"/>
        <w:rPr>
          <w:rFonts w:cs="宋体"/>
          <w:szCs w:val="21"/>
        </w:rPr>
      </w:pPr>
      <w:r>
        <w:rPr>
          <w:rFonts w:hint="eastAsia" w:cs="宋体"/>
          <w:szCs w:val="21"/>
        </w:rPr>
        <w:t>二、扣分情况说明：</w:t>
      </w:r>
    </w:p>
    <w:p w14:paraId="1026A648">
      <w:pPr>
        <w:spacing w:after="120"/>
        <w:rPr>
          <w:rFonts w:cs="宋体"/>
          <w:szCs w:val="21"/>
        </w:rPr>
      </w:pPr>
      <w:r>
        <w:rPr>
          <w:rFonts w:cs="宋体"/>
          <w:szCs w:val="21"/>
        </w:rPr>
        <w:t>1、</w:t>
      </w:r>
    </w:p>
    <w:p w14:paraId="4B827220">
      <w:pPr>
        <w:spacing w:after="120"/>
        <w:rPr>
          <w:rFonts w:cs="宋体"/>
          <w:szCs w:val="21"/>
        </w:rPr>
      </w:pPr>
      <w:r>
        <w:rPr>
          <w:rFonts w:cs="宋体"/>
          <w:szCs w:val="21"/>
        </w:rPr>
        <w:t>2、</w:t>
      </w:r>
    </w:p>
    <w:p w14:paraId="000C62ED">
      <w:pPr>
        <w:spacing w:after="120"/>
        <w:rPr>
          <w:rFonts w:cs="宋体"/>
          <w:szCs w:val="21"/>
        </w:rPr>
      </w:pPr>
      <w:r>
        <w:rPr>
          <w:rFonts w:cs="宋体"/>
          <w:szCs w:val="21"/>
        </w:rPr>
        <w:t>3、</w:t>
      </w:r>
    </w:p>
    <w:p w14:paraId="22A20E62">
      <w:pPr>
        <w:spacing w:after="120"/>
        <w:rPr>
          <w:rFonts w:cs="宋体"/>
          <w:szCs w:val="21"/>
          <w:u w:val="single"/>
        </w:rPr>
      </w:pPr>
      <w:r>
        <w:rPr>
          <w:rFonts w:hint="eastAsia" w:cs="宋体"/>
          <w:szCs w:val="21"/>
        </w:rPr>
        <w:t>项目负责人：×××签名：</w:t>
      </w:r>
    </w:p>
    <w:p w14:paraId="1CBFA63E">
      <w:pPr>
        <w:spacing w:after="120"/>
        <w:rPr>
          <w:rFonts w:cs="宋体"/>
          <w:szCs w:val="21"/>
        </w:rPr>
      </w:pPr>
    </w:p>
    <w:p w14:paraId="58E6B03F">
      <w:pPr>
        <w:spacing w:after="120"/>
        <w:rPr>
          <w:rFonts w:cs="宋体"/>
          <w:szCs w:val="21"/>
          <w:u w:val="single"/>
        </w:rPr>
      </w:pPr>
      <w:r>
        <w:rPr>
          <w:rFonts w:hint="eastAsia" w:cs="宋体"/>
          <w:szCs w:val="21"/>
        </w:rPr>
        <w:t>部门负责人：×××签名：</w:t>
      </w:r>
    </w:p>
    <w:p w14:paraId="335B954C">
      <w:pPr>
        <w:spacing w:after="120"/>
        <w:rPr>
          <w:rFonts w:cs="宋体"/>
          <w:szCs w:val="21"/>
        </w:rPr>
      </w:pPr>
    </w:p>
    <w:p w14:paraId="653144C8">
      <w:pPr>
        <w:spacing w:after="120" w:line="240" w:lineRule="auto"/>
        <w:rPr>
          <w:rFonts w:ascii="仿宋_GB2312" w:eastAsia="仿宋_GB2312"/>
          <w:sz w:val="32"/>
          <w:szCs w:val="32"/>
        </w:rPr>
      </w:pPr>
      <w:r>
        <w:rPr>
          <w:rFonts w:hint="eastAsia" w:cs="宋体"/>
          <w:szCs w:val="21"/>
        </w:rPr>
        <w:t>日期：年月日</w:t>
      </w:r>
      <w:r>
        <w:rPr>
          <w:b/>
          <w:szCs w:val="21"/>
        </w:rPr>
        <w:br w:type="page"/>
      </w:r>
      <w:r>
        <w:rPr>
          <w:rFonts w:hint="eastAsia" w:ascii="仿宋_GB2312" w:eastAsia="仿宋_GB2312"/>
          <w:sz w:val="32"/>
          <w:szCs w:val="32"/>
        </w:rPr>
        <w:t>附件六</w:t>
      </w:r>
    </w:p>
    <w:p w14:paraId="151D45B1">
      <w:pPr>
        <w:spacing w:after="120"/>
        <w:ind w:firstLine="560"/>
        <w:jc w:val="center"/>
        <w:rPr>
          <w:rFonts w:ascii="仿宋_GB2312" w:eastAsia="仿宋_GB2312"/>
          <w:sz w:val="28"/>
          <w:szCs w:val="28"/>
        </w:rPr>
      </w:pPr>
      <w:r>
        <w:rPr>
          <w:rFonts w:hint="eastAsia" w:ascii="仿宋_GB2312" w:eastAsia="仿宋_GB2312"/>
          <w:sz w:val="28"/>
          <w:szCs w:val="28"/>
        </w:rPr>
        <w:t>设计错误分类</w:t>
      </w:r>
    </w:p>
    <w:p w14:paraId="2CA35570">
      <w:pPr>
        <w:spacing w:after="120"/>
        <w:ind w:firstLine="482"/>
        <w:rPr>
          <w:b/>
          <w:szCs w:val="21"/>
        </w:rPr>
      </w:pPr>
    </w:p>
    <w:p w14:paraId="6D071C9F">
      <w:pPr>
        <w:spacing w:after="120"/>
        <w:ind w:firstLine="602" w:firstLineChars="250"/>
        <w:rPr>
          <w:b/>
          <w:szCs w:val="21"/>
        </w:rPr>
      </w:pPr>
      <w:r>
        <w:rPr>
          <w:rFonts w:hint="eastAsia"/>
          <w:b/>
          <w:szCs w:val="21"/>
        </w:rPr>
        <w:t>Ⅰ类错误：</w:t>
      </w:r>
    </w:p>
    <w:p w14:paraId="19531B58">
      <w:pPr>
        <w:spacing w:after="120"/>
        <w:ind w:firstLine="600" w:firstLineChars="250"/>
        <w:rPr>
          <w:szCs w:val="21"/>
        </w:rPr>
      </w:pPr>
      <w:r>
        <w:rPr>
          <w:rFonts w:hint="eastAsia"/>
          <w:szCs w:val="21"/>
        </w:rPr>
        <w:t>指设计文件中存在原则性或方案性的错误，并将导致工程决策错误，或造成不能正常使用、返工，或造成重大经济损失，或造成安全事故，如：1、违反国家有关法律、法规及政策，或选用无效的标准规范；2、不符合合同要求的用途或目的或规定的规模；3、不满足城市规划对项目控制性指标的规定和要求；4、违反国家现行技术规范、规定、标准的强制性条文；5、设计方案不正确；6、主要部位设计错误并影响安全性能或使用功能，或结构施工图设计没有计算书；7、出现因设计责任引起的一类变更；8、造价文件严重失实。</w:t>
      </w:r>
    </w:p>
    <w:p w14:paraId="6F73564D">
      <w:pPr>
        <w:spacing w:after="120"/>
        <w:ind w:firstLine="600" w:firstLineChars="250"/>
        <w:rPr>
          <w:szCs w:val="21"/>
        </w:rPr>
      </w:pPr>
      <w:r>
        <w:rPr>
          <w:rFonts w:hint="eastAsia"/>
          <w:szCs w:val="21"/>
        </w:rPr>
        <w:t>具体按照专业又可分为：</w:t>
      </w:r>
    </w:p>
    <w:p w14:paraId="412A647B">
      <w:pPr>
        <w:spacing w:after="120"/>
        <w:ind w:firstLine="600" w:firstLineChars="250"/>
        <w:rPr>
          <w:szCs w:val="21"/>
        </w:rPr>
      </w:pPr>
      <w:r>
        <w:rPr>
          <w:rFonts w:hint="eastAsia"/>
          <w:szCs w:val="21"/>
        </w:rPr>
        <w:t>严重违反规范、标准、规定，有可能造成严重影响安全和使用的错误，如：</w:t>
      </w:r>
    </w:p>
    <w:p w14:paraId="5CA1263B">
      <w:pPr>
        <w:spacing w:after="120"/>
        <w:ind w:firstLine="600" w:firstLineChars="250"/>
        <w:rPr>
          <w:szCs w:val="21"/>
        </w:rPr>
      </w:pPr>
      <w:r>
        <w:rPr>
          <w:rFonts w:hint="eastAsia"/>
          <w:szCs w:val="21"/>
        </w:rPr>
        <w:t>建筑专业：规范中消防间距不够，而又未采取措施；规划中日照间距不够；防火分区面积超规定，电梯/楼梯厅不符合防火要求等。</w:t>
      </w:r>
    </w:p>
    <w:p w14:paraId="383B7045">
      <w:pPr>
        <w:spacing w:after="120"/>
        <w:ind w:firstLine="600" w:firstLineChars="250"/>
        <w:rPr>
          <w:szCs w:val="21"/>
        </w:rPr>
      </w:pPr>
      <w:r>
        <w:rPr>
          <w:rFonts w:hint="eastAsia"/>
          <w:szCs w:val="21"/>
        </w:rPr>
        <w:t>结构专业：结构(含基础、基坑支护)选型错误；计算原则错误；未考虑抗震设计；出现超限而未采取任何措施等。</w:t>
      </w:r>
    </w:p>
    <w:p w14:paraId="4D4A482A">
      <w:pPr>
        <w:spacing w:after="120"/>
        <w:ind w:firstLine="600" w:firstLineChars="250"/>
        <w:rPr>
          <w:szCs w:val="21"/>
        </w:rPr>
      </w:pPr>
      <w:r>
        <w:rPr>
          <w:rFonts w:hint="eastAsia"/>
          <w:szCs w:val="21"/>
        </w:rPr>
        <w:t>给排水专业：规范要求的消防设施未设计；消防水量、水压达不到规范要求；生活给水水量、水压达不到规范要求等。</w:t>
      </w:r>
    </w:p>
    <w:p w14:paraId="4B9CFE5E">
      <w:pPr>
        <w:spacing w:after="120"/>
        <w:ind w:firstLine="600" w:firstLineChars="250"/>
        <w:rPr>
          <w:szCs w:val="21"/>
        </w:rPr>
      </w:pPr>
      <w:r>
        <w:rPr>
          <w:rFonts w:hint="eastAsia"/>
          <w:szCs w:val="21"/>
        </w:rPr>
        <w:t>暖通专业：规范要求的防火排烟设施未设计，排烟风量达不到规范要求，又未采取必要的措施等。</w:t>
      </w:r>
    </w:p>
    <w:p w14:paraId="4F29D570">
      <w:pPr>
        <w:spacing w:after="120"/>
        <w:ind w:firstLine="600" w:firstLineChars="250"/>
        <w:rPr>
          <w:szCs w:val="21"/>
        </w:rPr>
      </w:pPr>
      <w:r>
        <w:rPr>
          <w:rFonts w:hint="eastAsia"/>
          <w:szCs w:val="21"/>
        </w:rPr>
        <w:t>电气专业：变配电、电话、电视、消防、广播音响等系统及各种机房平、剖面设备布置等严重违反规范、标准、规定；配电方案有严重缺陷等。</w:t>
      </w:r>
    </w:p>
    <w:p w14:paraId="5903DFE0">
      <w:pPr>
        <w:spacing w:after="120"/>
        <w:ind w:firstLine="600" w:firstLineChars="250"/>
        <w:rPr>
          <w:szCs w:val="21"/>
        </w:rPr>
      </w:pPr>
      <w:r>
        <w:rPr>
          <w:rFonts w:hint="eastAsia"/>
          <w:szCs w:val="21"/>
        </w:rPr>
        <w:t>造价专业：提交给甲方的造价文件，经核查后，偏差大于±30%的。</w:t>
      </w:r>
    </w:p>
    <w:p w14:paraId="783C8163">
      <w:pPr>
        <w:spacing w:after="120"/>
        <w:ind w:firstLine="600" w:firstLineChars="250"/>
        <w:rPr>
          <w:szCs w:val="21"/>
        </w:rPr>
      </w:pPr>
    </w:p>
    <w:p w14:paraId="76DCBEC2">
      <w:pPr>
        <w:spacing w:after="120"/>
        <w:ind w:firstLine="602" w:firstLineChars="250"/>
        <w:rPr>
          <w:b/>
          <w:szCs w:val="21"/>
        </w:rPr>
      </w:pPr>
      <w:r>
        <w:rPr>
          <w:rFonts w:hint="eastAsia"/>
          <w:b/>
          <w:szCs w:val="21"/>
        </w:rPr>
        <w:t>Ⅱ类错误</w:t>
      </w:r>
    </w:p>
    <w:p w14:paraId="540C1E9A">
      <w:pPr>
        <w:spacing w:after="120"/>
        <w:ind w:firstLine="600" w:firstLineChars="250"/>
        <w:rPr>
          <w:szCs w:val="21"/>
        </w:rPr>
      </w:pPr>
      <w:r>
        <w:rPr>
          <w:rFonts w:hint="eastAsia"/>
          <w:szCs w:val="21"/>
        </w:rPr>
        <w:t>指设计文件中存在错误，有可能造成施工困难、使用困难或较大经济损失,如：1、违反国家现行技术规范、规定、标准的重要条文；2、设计漏项；3、选用淘汰的设备; 4、出现因设计责任引起的二类变更；5、造价文件失实较严重。</w:t>
      </w:r>
    </w:p>
    <w:p w14:paraId="5251B01D">
      <w:pPr>
        <w:spacing w:after="120"/>
        <w:ind w:firstLine="600" w:firstLineChars="250"/>
        <w:rPr>
          <w:szCs w:val="21"/>
        </w:rPr>
      </w:pPr>
      <w:r>
        <w:rPr>
          <w:rFonts w:hint="eastAsia"/>
          <w:szCs w:val="21"/>
        </w:rPr>
        <w:t>具体按照专业又可分为：</w:t>
      </w:r>
    </w:p>
    <w:p w14:paraId="122DC5CE">
      <w:pPr>
        <w:spacing w:after="120"/>
        <w:ind w:firstLine="600" w:firstLineChars="250"/>
        <w:rPr>
          <w:szCs w:val="21"/>
        </w:rPr>
      </w:pPr>
      <w:r>
        <w:rPr>
          <w:rFonts w:hint="eastAsia"/>
          <w:szCs w:val="21"/>
        </w:rPr>
        <w:t>A、设计存在错误，有可能造成施工困难、使用困难或较大经济损失，如：</w:t>
      </w:r>
    </w:p>
    <w:p w14:paraId="48D4F491">
      <w:pPr>
        <w:spacing w:after="120"/>
        <w:ind w:firstLine="600" w:firstLineChars="250"/>
        <w:rPr>
          <w:szCs w:val="21"/>
        </w:rPr>
      </w:pPr>
      <w:r>
        <w:rPr>
          <w:rFonts w:hint="eastAsia"/>
          <w:szCs w:val="21"/>
        </w:rPr>
        <w:t>建筑专业：总平面竖向设计错误；轴线错误或对不上，楼梯碰头；视线计算错误等。</w:t>
      </w:r>
    </w:p>
    <w:p w14:paraId="2F62A222">
      <w:pPr>
        <w:spacing w:after="120"/>
        <w:ind w:firstLine="600" w:firstLineChars="250"/>
        <w:rPr>
          <w:szCs w:val="21"/>
        </w:rPr>
      </w:pPr>
      <w:r>
        <w:rPr>
          <w:rFonts w:hint="eastAsia"/>
          <w:szCs w:val="21"/>
        </w:rPr>
        <w:t>结构专业：计算书未经校对；结构构件安全储备不足；结构与建筑节点不一致等。</w:t>
      </w:r>
    </w:p>
    <w:p w14:paraId="11055351">
      <w:pPr>
        <w:spacing w:after="120"/>
        <w:ind w:firstLine="600" w:firstLineChars="250"/>
        <w:rPr>
          <w:szCs w:val="21"/>
        </w:rPr>
      </w:pPr>
      <w:r>
        <w:rPr>
          <w:rFonts w:hint="eastAsia"/>
          <w:szCs w:val="21"/>
        </w:rPr>
        <w:t>给排水专业：由于设计的水塔或水箱高度不够，造成水压不足，出水量不能满足使用要求；高层建筑消防减压、止回等设计不当等。</w:t>
      </w:r>
    </w:p>
    <w:p w14:paraId="4E3BFF55">
      <w:pPr>
        <w:spacing w:after="120"/>
        <w:ind w:firstLine="600" w:firstLineChars="250"/>
        <w:rPr>
          <w:szCs w:val="21"/>
        </w:rPr>
      </w:pPr>
      <w:r>
        <w:rPr>
          <w:rFonts w:hint="eastAsia"/>
          <w:szCs w:val="21"/>
        </w:rPr>
        <w:t>暖通专业：冷、热负荷计算有重大错误或系统选择不当；膨胀水箱高度低于采暖系统等。</w:t>
      </w:r>
    </w:p>
    <w:p w14:paraId="30EACBFB">
      <w:pPr>
        <w:spacing w:after="120"/>
        <w:ind w:firstLine="600" w:firstLineChars="250"/>
        <w:rPr>
          <w:szCs w:val="21"/>
        </w:rPr>
      </w:pPr>
      <w:r>
        <w:rPr>
          <w:rFonts w:hint="eastAsia"/>
          <w:szCs w:val="21"/>
        </w:rPr>
        <w:t>电气专业：选用国家已公布的机电淘汰产品；供配电系统的控制保护，自动控制和自动调节原理图，各站弱电设备之间线路连接图等设计不周或有严重错误；低压配电柜开关与所保护电缆选型不匹配，电缆母线容量不匹配等。</w:t>
      </w:r>
    </w:p>
    <w:p w14:paraId="2287C5C7">
      <w:pPr>
        <w:spacing w:after="120"/>
        <w:ind w:firstLine="600" w:firstLineChars="250"/>
        <w:rPr>
          <w:szCs w:val="21"/>
        </w:rPr>
      </w:pPr>
      <w:r>
        <w:rPr>
          <w:rFonts w:hint="eastAsia"/>
          <w:szCs w:val="21"/>
        </w:rPr>
        <w:t>造价专业：提交给甲方的造价文件，经核查后，偏差大于±20%的。</w:t>
      </w:r>
    </w:p>
    <w:p w14:paraId="4458FEDB">
      <w:pPr>
        <w:spacing w:after="120"/>
        <w:ind w:firstLine="600" w:firstLineChars="250"/>
        <w:rPr>
          <w:szCs w:val="21"/>
        </w:rPr>
      </w:pPr>
      <w:r>
        <w:rPr>
          <w:rFonts w:hint="eastAsia"/>
          <w:szCs w:val="21"/>
        </w:rPr>
        <w:t>B、严重影响报建：如计容积率面积（包含各个分部）超过允许的误差范围；平立剖面对不上；民防单元面积超过规范。</w:t>
      </w:r>
    </w:p>
    <w:p w14:paraId="49E26FCD">
      <w:pPr>
        <w:spacing w:after="120"/>
        <w:ind w:firstLine="600" w:firstLineChars="250"/>
        <w:rPr>
          <w:szCs w:val="21"/>
        </w:rPr>
      </w:pPr>
    </w:p>
    <w:p w14:paraId="09AD4CD9">
      <w:pPr>
        <w:spacing w:after="120"/>
        <w:ind w:firstLine="602" w:firstLineChars="250"/>
        <w:rPr>
          <w:b/>
          <w:szCs w:val="21"/>
        </w:rPr>
      </w:pPr>
      <w:r>
        <w:rPr>
          <w:rFonts w:hint="eastAsia"/>
          <w:b/>
          <w:szCs w:val="21"/>
        </w:rPr>
        <w:t>Ⅲ类错误</w:t>
      </w:r>
    </w:p>
    <w:p w14:paraId="536E23EC">
      <w:pPr>
        <w:spacing w:after="120"/>
        <w:ind w:firstLine="600" w:firstLineChars="250"/>
        <w:rPr>
          <w:szCs w:val="21"/>
        </w:rPr>
      </w:pPr>
      <w:r>
        <w:rPr>
          <w:rFonts w:hint="eastAsia"/>
          <w:szCs w:val="21"/>
        </w:rPr>
        <w:t>设计中局部细节存在不合理或缺点，但对工程决策和质量无重大影响，如：1、违反国家现行技术规范、规定、标准的一般条文；2、设计的流程、系统、平面布置不够合理；3、设备、构造、材料等选用不当；4、重要的数据、计量单位、尺寸出错；5、不符合国家对工程设计文件内容深度及格式的规定要求;6、出现因设计责任引起的三类变更；6、造价文件失实。</w:t>
      </w:r>
    </w:p>
    <w:p w14:paraId="16673087">
      <w:pPr>
        <w:spacing w:after="120"/>
        <w:ind w:firstLine="600" w:firstLineChars="250"/>
        <w:rPr>
          <w:szCs w:val="21"/>
        </w:rPr>
      </w:pPr>
      <w:r>
        <w:rPr>
          <w:rFonts w:hint="eastAsia"/>
          <w:szCs w:val="21"/>
        </w:rPr>
        <w:t>具体按照专业又可分为：</w:t>
      </w:r>
    </w:p>
    <w:p w14:paraId="3CE578CF">
      <w:pPr>
        <w:spacing w:after="120"/>
        <w:ind w:firstLine="600" w:firstLineChars="250"/>
        <w:rPr>
          <w:szCs w:val="21"/>
        </w:rPr>
      </w:pPr>
      <w:r>
        <w:rPr>
          <w:rFonts w:hint="eastAsia"/>
          <w:szCs w:val="21"/>
        </w:rPr>
        <w:t>A、局部违反规范、标准、规定，但容易修正、且返工量不大，如：</w:t>
      </w:r>
    </w:p>
    <w:p w14:paraId="63BD319D">
      <w:pPr>
        <w:spacing w:after="120"/>
        <w:ind w:firstLine="600" w:firstLineChars="250"/>
        <w:rPr>
          <w:szCs w:val="21"/>
        </w:rPr>
      </w:pPr>
      <w:r>
        <w:rPr>
          <w:rFonts w:hint="eastAsia"/>
          <w:szCs w:val="21"/>
        </w:rPr>
        <w:t>建筑专业：栏杆的高度及强度不符合要求；消防电梯不合防火要求，疏散门宽度不够、管道井不合防火规范等。</w:t>
      </w:r>
    </w:p>
    <w:p w14:paraId="7BD8145A">
      <w:pPr>
        <w:spacing w:after="120"/>
        <w:ind w:firstLine="600" w:firstLineChars="250"/>
        <w:rPr>
          <w:szCs w:val="21"/>
        </w:rPr>
      </w:pPr>
      <w:r>
        <w:rPr>
          <w:rFonts w:hint="eastAsia"/>
          <w:szCs w:val="21"/>
        </w:rPr>
        <w:t>结构专业：按简支计算的梁、支座与梁柱整体连接构造用负筋不够；悬挑构件配筋错误等。</w:t>
      </w:r>
    </w:p>
    <w:p w14:paraId="3F5292A0">
      <w:pPr>
        <w:spacing w:after="120"/>
        <w:ind w:firstLine="600" w:firstLineChars="250"/>
        <w:rPr>
          <w:szCs w:val="21"/>
        </w:rPr>
      </w:pPr>
      <w:r>
        <w:rPr>
          <w:rFonts w:hint="eastAsia"/>
          <w:szCs w:val="21"/>
        </w:rPr>
        <w:t>给排水专业：生活饮用水管理与非饮用水道连接，未采取防回流污染措施等。</w:t>
      </w:r>
    </w:p>
    <w:p w14:paraId="4C99F7E5">
      <w:pPr>
        <w:spacing w:after="120"/>
        <w:ind w:firstLine="600" w:firstLineChars="250"/>
        <w:rPr>
          <w:szCs w:val="21"/>
        </w:rPr>
      </w:pPr>
      <w:r>
        <w:rPr>
          <w:rFonts w:hint="eastAsia"/>
          <w:szCs w:val="21"/>
        </w:rPr>
        <w:t>暖通专业：管道井不符合防火规定；穿越防火墙未装防火阀；风管材料及保温材料不符合防火要求等。</w:t>
      </w:r>
    </w:p>
    <w:p w14:paraId="18D55903">
      <w:pPr>
        <w:spacing w:after="120"/>
        <w:ind w:firstLine="600" w:firstLineChars="250"/>
        <w:rPr>
          <w:szCs w:val="21"/>
        </w:rPr>
      </w:pPr>
      <w:r>
        <w:rPr>
          <w:rFonts w:hint="eastAsia"/>
          <w:szCs w:val="21"/>
        </w:rPr>
        <w:t>电气专业：低压配电级数超过三级；照明系统中单向回路灯和插座数量超过25个；烟、温感探测器位置；自动喷淋、排烟防火等系统连锁方式局部违反规范、标准、规定；双电源未考虑末端切换等。</w:t>
      </w:r>
    </w:p>
    <w:p w14:paraId="3BE65C67">
      <w:pPr>
        <w:spacing w:after="120"/>
        <w:ind w:firstLine="600" w:firstLineChars="250"/>
        <w:rPr>
          <w:szCs w:val="21"/>
        </w:rPr>
      </w:pPr>
      <w:r>
        <w:rPr>
          <w:rFonts w:hint="eastAsia"/>
          <w:szCs w:val="21"/>
        </w:rPr>
        <w:t>造价专业：提交给甲方的造价文件，经核查后，偏差大于±10%的。</w:t>
      </w:r>
    </w:p>
    <w:p w14:paraId="25BF39F4">
      <w:pPr>
        <w:spacing w:after="120"/>
        <w:ind w:firstLine="600" w:firstLineChars="250"/>
        <w:rPr>
          <w:szCs w:val="21"/>
        </w:rPr>
      </w:pPr>
      <w:r>
        <w:rPr>
          <w:rFonts w:hint="eastAsia"/>
          <w:szCs w:val="21"/>
        </w:rPr>
        <w:t>B、设计不周、构造或用料不当，有可能造成影响局部使用效果，或重要部位尺寸错误，有可能造成严重后果，如：</w:t>
      </w:r>
    </w:p>
    <w:p w14:paraId="6B89F164">
      <w:pPr>
        <w:spacing w:after="120"/>
        <w:ind w:firstLine="600" w:firstLineChars="250"/>
        <w:rPr>
          <w:szCs w:val="21"/>
        </w:rPr>
      </w:pPr>
      <w:r>
        <w:rPr>
          <w:rFonts w:hint="eastAsia"/>
          <w:szCs w:val="21"/>
        </w:rPr>
        <w:t>建筑专业：结构承重部分在建筑图中未完全反映或错误；声光热防水防潮等的技术处理欠妥等。</w:t>
      </w:r>
    </w:p>
    <w:p w14:paraId="0178ECB7">
      <w:pPr>
        <w:spacing w:after="120"/>
        <w:ind w:firstLine="600" w:firstLineChars="250"/>
        <w:rPr>
          <w:szCs w:val="21"/>
        </w:rPr>
      </w:pPr>
      <w:r>
        <w:rPr>
          <w:rFonts w:hint="eastAsia"/>
          <w:szCs w:val="21"/>
        </w:rPr>
        <w:t>结构专业:各种门/窗洞高度不符合建筑设计要求，严重影响使用要求；存在明显的未设计部分，影响现场进度；结构标高与建筑面层要求不符；阳台、雨蓬的倾覆安全不够，钢筋混凝土构件配筋与计算书不符；应设置构造钢筋的部位不设或少设。</w:t>
      </w:r>
    </w:p>
    <w:p w14:paraId="14BF1290">
      <w:pPr>
        <w:spacing w:after="120"/>
        <w:ind w:firstLine="600" w:firstLineChars="250"/>
        <w:rPr>
          <w:szCs w:val="21"/>
        </w:rPr>
      </w:pPr>
      <w:r>
        <w:rPr>
          <w:rFonts w:hint="eastAsia"/>
          <w:szCs w:val="21"/>
        </w:rPr>
        <w:t>给排水专业:选用了已淘汰的耗能大的设备。热交换间未考虑检修条件等。</w:t>
      </w:r>
    </w:p>
    <w:p w14:paraId="0CFD8E76">
      <w:pPr>
        <w:spacing w:after="120"/>
        <w:ind w:firstLine="600" w:firstLineChars="250"/>
        <w:rPr>
          <w:szCs w:val="21"/>
        </w:rPr>
      </w:pPr>
      <w:r>
        <w:rPr>
          <w:rFonts w:hint="eastAsia"/>
          <w:szCs w:val="21"/>
        </w:rPr>
        <w:t>暖通专业:选用了已淘汰的产品；机房布置未考虑检修条件；地下室的机房未考虑设备进出孔；风机的消声、减震处理不当等。</w:t>
      </w:r>
    </w:p>
    <w:p w14:paraId="7504D01D">
      <w:pPr>
        <w:spacing w:after="120"/>
        <w:ind w:firstLine="600" w:firstLineChars="250"/>
        <w:rPr>
          <w:szCs w:val="21"/>
        </w:rPr>
      </w:pPr>
      <w:r>
        <w:rPr>
          <w:rFonts w:hint="eastAsia"/>
          <w:szCs w:val="21"/>
        </w:rPr>
        <w:t>电气专业:强、弱电各种线路布局，设备选型不当，安装图和非标准图制作尺寸以及安装不符等。</w:t>
      </w:r>
    </w:p>
    <w:p w14:paraId="5C2EA1FF">
      <w:pPr>
        <w:spacing w:after="120"/>
        <w:ind w:firstLine="600" w:firstLineChars="250"/>
        <w:rPr>
          <w:szCs w:val="21"/>
        </w:rPr>
      </w:pPr>
      <w:r>
        <w:rPr>
          <w:rFonts w:hint="eastAsia"/>
          <w:szCs w:val="21"/>
        </w:rPr>
        <w:t>C、工种配合严重错误或局部遗漏有可能造成影响使用，或造成施工返工，如梁上预埋孔洞严重影响结构安全。</w:t>
      </w:r>
    </w:p>
    <w:p w14:paraId="3EAB6EB6">
      <w:pPr>
        <w:spacing w:after="120"/>
        <w:ind w:firstLine="600" w:firstLineChars="250"/>
        <w:rPr>
          <w:szCs w:val="21"/>
        </w:rPr>
      </w:pPr>
      <w:r>
        <w:rPr>
          <w:rFonts w:hint="eastAsia"/>
          <w:szCs w:val="21"/>
        </w:rPr>
        <w:t>D、结构专业计算、构造层层加码，造成严重浪费者。如设计荷载取用过大，实际配筋又大于计算要求很多等。</w:t>
      </w:r>
    </w:p>
    <w:p w14:paraId="6CB998A0">
      <w:pPr>
        <w:spacing w:after="120"/>
        <w:ind w:firstLine="600" w:firstLineChars="250"/>
        <w:rPr>
          <w:szCs w:val="21"/>
        </w:rPr>
      </w:pPr>
      <w:r>
        <w:rPr>
          <w:rFonts w:hint="eastAsia"/>
          <w:szCs w:val="21"/>
        </w:rPr>
        <w:t>E、影响报建工作的进行；各配套设施建筑或功能区未详细标明或建筑标识不清，影响面积查丈及验收。</w:t>
      </w:r>
    </w:p>
    <w:p w14:paraId="3F9F6EF8">
      <w:pPr>
        <w:spacing w:after="120"/>
        <w:ind w:firstLine="600" w:firstLineChars="250"/>
        <w:rPr>
          <w:szCs w:val="21"/>
        </w:rPr>
      </w:pPr>
    </w:p>
    <w:p w14:paraId="461F4223">
      <w:pPr>
        <w:spacing w:after="120"/>
        <w:ind w:firstLine="602" w:firstLineChars="250"/>
        <w:rPr>
          <w:b/>
          <w:szCs w:val="21"/>
        </w:rPr>
      </w:pPr>
      <w:r>
        <w:rPr>
          <w:rFonts w:hint="eastAsia"/>
          <w:b/>
          <w:szCs w:val="21"/>
        </w:rPr>
        <w:t>Ⅳ类错误</w:t>
      </w:r>
    </w:p>
    <w:p w14:paraId="3927298B">
      <w:pPr>
        <w:spacing w:after="120"/>
        <w:ind w:firstLine="600" w:firstLineChars="250"/>
        <w:rPr>
          <w:szCs w:val="21"/>
        </w:rPr>
      </w:pPr>
      <w:r>
        <w:rPr>
          <w:rFonts w:hint="eastAsia"/>
          <w:szCs w:val="21"/>
        </w:rPr>
        <w:t>指设计文件编制上的差错，如1、说明表达错误；2、不重要的数据、计量单位、尺寸出错；3、不重要的尺寸线、剖面线、引出线等漏划；4、出现因设计责任引起的四类变更；5、造价文件失实较轻。</w:t>
      </w:r>
    </w:p>
    <w:p w14:paraId="7C09AD1F">
      <w:pPr>
        <w:spacing w:after="120"/>
        <w:ind w:firstLine="600" w:firstLineChars="250"/>
        <w:rPr>
          <w:szCs w:val="21"/>
        </w:rPr>
      </w:pPr>
      <w:r>
        <w:rPr>
          <w:rFonts w:hint="eastAsia"/>
          <w:szCs w:val="21"/>
        </w:rPr>
        <w:t>按照专业具体分为：</w:t>
      </w:r>
    </w:p>
    <w:p w14:paraId="012E957C">
      <w:pPr>
        <w:spacing w:after="120"/>
        <w:ind w:firstLine="600" w:firstLineChars="250"/>
        <w:rPr>
          <w:szCs w:val="21"/>
        </w:rPr>
      </w:pPr>
      <w:r>
        <w:rPr>
          <w:rFonts w:hint="eastAsia"/>
          <w:szCs w:val="21"/>
        </w:rPr>
        <w:t>A、容易修正、且不造成使用或安全缺陷，但会给建设单位、施工单位带来麻烦，如：</w:t>
      </w:r>
    </w:p>
    <w:p w14:paraId="4ABBBD06">
      <w:pPr>
        <w:spacing w:after="120"/>
        <w:ind w:firstLine="600" w:firstLineChars="250"/>
        <w:rPr>
          <w:szCs w:val="21"/>
        </w:rPr>
      </w:pPr>
      <w:r>
        <w:rPr>
          <w:rFonts w:hint="eastAsia"/>
          <w:szCs w:val="21"/>
        </w:rPr>
        <w:t>建筑、结构、水、暖、电各专业；图纸目录不全、表达不够清楚、平立剖面图不一致、一般性尺寸错误或不全、图例或符号不合规定、平面图与系统图不一致等。又如：设计文件、计算书及存档材料的完整性不够；设计说明、图纸目录不全、图例符号表达不合规定；系统图与平面图的一致性的错、漏、碰、缺等。</w:t>
      </w:r>
    </w:p>
    <w:p w14:paraId="6C740635">
      <w:pPr>
        <w:spacing w:after="120"/>
        <w:ind w:firstLine="600" w:firstLineChars="250"/>
        <w:rPr>
          <w:szCs w:val="21"/>
        </w:rPr>
      </w:pPr>
      <w:r>
        <w:rPr>
          <w:rFonts w:hint="eastAsia"/>
          <w:szCs w:val="21"/>
        </w:rPr>
        <w:t>造价专业：提交给甲方的造价文件，经核查后，偏差大于±5%的。</w:t>
      </w:r>
    </w:p>
    <w:p w14:paraId="2D64B9B4">
      <w:pPr>
        <w:spacing w:after="120"/>
        <w:ind w:firstLine="600" w:firstLineChars="250"/>
        <w:rPr>
          <w:szCs w:val="21"/>
        </w:rPr>
      </w:pPr>
      <w:r>
        <w:rPr>
          <w:rFonts w:hint="eastAsia"/>
          <w:szCs w:val="21"/>
        </w:rPr>
        <w:t>B、工种配合中的一般性错误，容易修正，且不致造成影响使用效果或安全。</w:t>
      </w:r>
    </w:p>
    <w:p w14:paraId="15B3EE79">
      <w:pPr>
        <w:spacing w:after="120" w:line="560" w:lineRule="exact"/>
        <w:rPr>
          <w:rFonts w:eastAsiaTheme="minorEastAsia"/>
          <w:szCs w:val="24"/>
        </w:rPr>
      </w:pPr>
    </w:p>
    <w:p w14:paraId="72B9B667">
      <w:pPr>
        <w:spacing w:after="120"/>
      </w:pPr>
    </w:p>
    <w:p w14:paraId="61D017B3">
      <w:pPr>
        <w:spacing w:after="120"/>
      </w:pPr>
    </w:p>
    <w:sectPr>
      <w:footerReference r:id="rId16" w:type="default"/>
      <w:pgSz w:w="11911" w:h="16838"/>
      <w:pgMar w:top="1400" w:right="1162" w:bottom="1020" w:left="1083" w:header="0" w:footer="975" w:gutter="0"/>
      <w:cols w:space="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1A8E0EB-F1F9-4A14-A584-D8C65E9CDEC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576C1F06-A2EB-4E84-B49B-B3DCF020B29D}"/>
  </w:font>
  <w:font w:name="Arial">
    <w:panose1 w:val="020B0604020202020204"/>
    <w:charset w:val="00"/>
    <w:family w:val="swiss"/>
    <w:pitch w:val="default"/>
    <w:sig w:usb0="E0002AFF" w:usb1="C0007843" w:usb2="00000009" w:usb3="00000000" w:csb0="400001FF" w:csb1="FFFF0000"/>
    <w:embedRegular r:id="rId3" w:fontKey="{9CD9EDDA-6A01-4565-ACCD-57C253596B98}"/>
  </w:font>
  <w:font w:name="Calibri Light">
    <w:panose1 w:val="020F0302020204030204"/>
    <w:charset w:val="00"/>
    <w:family w:val="swiss"/>
    <w:pitch w:val="default"/>
    <w:sig w:usb0="A00002EF" w:usb1="4000207B" w:usb2="00000000" w:usb3="00000000" w:csb0="2000019F" w:csb1="00000000"/>
  </w:font>
  <w:font w:name="CG Times">
    <w:panose1 w:val="02020603050405020304"/>
    <w:charset w:val="00"/>
    <w:family w:val="roman"/>
    <w:pitch w:val="default"/>
    <w:sig w:usb0="00000007" w:usb1="00000000" w:usb2="00000000" w:usb3="00000000" w:csb0="00000093" w:csb1="00000000"/>
  </w:font>
  <w:font w:name="Cambria">
    <w:panose1 w:val="02040503050406030204"/>
    <w:charset w:val="00"/>
    <w:family w:val="roman"/>
    <w:pitch w:val="default"/>
    <w:sig w:usb0="E00002FF" w:usb1="400004FF" w:usb2="00000000" w:usb3="00000000" w:csb0="2000019F" w:csb1="00000000"/>
  </w:font>
  <w:font w:name="MingLiU">
    <w:panose1 w:val="02020509000000000000"/>
    <w:charset w:val="88"/>
    <w:family w:val="modern"/>
    <w:pitch w:val="default"/>
    <w:sig w:usb0="A00002FF" w:usb1="28CFFCFA" w:usb2="00000016" w:usb3="00000000" w:csb0="00100001" w:csb1="00000000"/>
  </w:font>
  <w:font w:name="Courier New">
    <w:panose1 w:val="02070309020205020404"/>
    <w:charset w:val="00"/>
    <w:family w:val="modern"/>
    <w:pitch w:val="default"/>
    <w:sig w:usb0="E0002AFF" w:usb1="C0007843"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embedRegular r:id="rId4" w:fontKey="{CD50DC99-D2AA-4EA2-8B80-A62BE22746A8}"/>
  </w:font>
  <w:font w:name="仿宋">
    <w:panose1 w:val="02010609060101010101"/>
    <w:charset w:val="86"/>
    <w:family w:val="modern"/>
    <w:pitch w:val="default"/>
    <w:sig w:usb0="800002BF" w:usb1="38CF7CFA" w:usb2="00000016" w:usb3="00000000" w:csb0="00040001" w:csb1="00000000"/>
    <w:embedRegular r:id="rId5" w:fontKey="{D23C5DD8-C8A5-499F-B8B6-BD20AB59954B}"/>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embedRegular r:id="rId6" w:fontKey="{2FB54BB1-F446-4095-8B5B-BEF04C6D1F22}"/>
  </w:font>
  <w:font w:name="华文中宋">
    <w:panose1 w:val="02010600040101010101"/>
    <w:charset w:val="86"/>
    <w:family w:val="auto"/>
    <w:pitch w:val="default"/>
    <w:sig w:usb0="00000287" w:usb1="080F0000" w:usb2="00000000" w:usb3="00000000" w:csb0="0004009F" w:csb1="DFD70000"/>
    <w:embedRegular r:id="rId7" w:fontKey="{B0C18A38-DA26-4D57-A4AC-665D1C52814F}"/>
  </w:font>
  <w:font w:name="微软雅黑">
    <w:panose1 w:val="020B0503020204020204"/>
    <w:charset w:val="86"/>
    <w:family w:val="swiss"/>
    <w:pitch w:val="default"/>
    <w:sig w:usb0="80000287" w:usb1="280F3C52" w:usb2="00000016" w:usb3="00000000" w:csb0="0004001F" w:csb1="00000000"/>
    <w:embedRegular r:id="rId8" w:fontKey="{7FEBC449-4F58-4550-B1AC-3EE756B8E8EC}"/>
  </w:font>
  <w:font w:name="Wingdings 2">
    <w:panose1 w:val="05020102010507070707"/>
    <w:charset w:val="02"/>
    <w:family w:val="roman"/>
    <w:pitch w:val="default"/>
    <w:sig w:usb0="00000000" w:usb1="00000000" w:usb2="00000000" w:usb3="00000000" w:csb0="80000000" w:csb1="00000000"/>
    <w:embedRegular r:id="rId9" w:fontKey="{2D7D95BE-7DB1-42C2-AB74-A524FCDD9707}"/>
  </w:font>
  <w:font w:name="方正小标宋简体">
    <w:panose1 w:val="02010601030101010101"/>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embedRegular r:id="rId10" w:fontKey="{4879BEE0-E78B-49C5-BE04-AD652FFA72B3}"/>
  </w:font>
  <w:font w:name="彩虹粗仿宋">
    <w:altName w:val="微软雅黑"/>
    <w:panose1 w:val="00000000000000000000"/>
    <w:charset w:val="86"/>
    <w:family w:val="script"/>
    <w:pitch w:val="default"/>
    <w:sig w:usb0="00000000" w:usb1="00000000" w:usb2="00000000" w:usb3="00000000" w:csb0="00040000" w:csb1="00000000"/>
    <w:embedRegular r:id="rId11" w:fontKey="{D5EE0691-7314-45E6-9ED4-B6A09324BB45}"/>
  </w:font>
  <w:font w:name="CESI仿宋-GB2312">
    <w:altName w:val="微软雅黑"/>
    <w:panose1 w:val="00000000000000000000"/>
    <w:charset w:val="86"/>
    <w:family w:val="auto"/>
    <w:pitch w:val="default"/>
    <w:sig w:usb0="00000000" w:usb1="00000000" w:usb2="00000010" w:usb3="00000000" w:csb0="0004000F" w:csb1="00000000"/>
    <w:embedRegular r:id="rId12" w:fontKey="{0075ECDC-C113-442F-BCC6-3E57406B6204}"/>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D4D2B">
    <w:pPr>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D71BC">
    <w:pPr>
      <w:spacing w:after="120"/>
    </w:pPr>
    <w:r>
      <w:fldChar w:fldCharType="begin"/>
    </w:r>
    <w:r>
      <w:instrText xml:space="preserve"> PAGE   \* MERGEFORMAT </w:instrText>
    </w:r>
    <w:r>
      <w:fldChar w:fldCharType="separate"/>
    </w:r>
    <w:r>
      <w:rPr>
        <w:rFonts w:eastAsia="Times New Roman"/>
        <w:sz w:val="18"/>
      </w:rPr>
      <w:t>1</w:t>
    </w:r>
    <w:r>
      <w:rPr>
        <w:rFonts w:eastAsia="Times New Roman"/>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6D1C4">
    <w:pPr>
      <w:pStyle w:val="33"/>
      <w:spacing w:after="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361DF">
    <w:pPr>
      <w:spacing w:after="120"/>
    </w:pPr>
    <w:r>
      <w:pict>
        <v:shape id="_x0000_s3079" o:spid="_x0000_s3079" o:spt="202" type="#_x0000_t202" style="position:absolute;left:0pt;margin-top:0pt;height:144pt;width:71.45pt;mso-position-horizontal:left;mso-position-horizontal-relative:margin;z-index:251669504;mso-width-relative:page;mso-height-relative:page;" filled="f" stroked="f" coordsize="21600,21600" o:gfxdata="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teo1dQAAAAFAQAADwAAAAAAAAABACAAAAAiAAAAZHJzL2Rvd25yZXYueG1sUEsB&#10;AhQAFAAAAAgAh07iQNvSw/MyAgAAVgQAAA4AAAAAAAAAAQAgAAAAIwEAAGRycy9lMm9Eb2MueG1s&#10;UEsFBgAAAAAGAAYAWQEAAMcFAAAAAA==&#10;">
          <v:path/>
          <v:fill on="f" focussize="0,0"/>
          <v:stroke on="f" weight="0.5pt" joinstyle="miter"/>
          <v:imagedata o:title=""/>
          <o:lock v:ext="edit"/>
          <v:textbox inset="0mm,0mm,0mm,0mm" style="mso-fit-shape-to-text:t;">
            <w:txbxContent>
              <w:p w14:paraId="7E71248D">
                <w:pPr>
                  <w:spacing w:after="120"/>
                  <w:ind w:firstLine="720" w:firstLineChars="300"/>
                </w:pPr>
                <w:r>
                  <w:fldChar w:fldCharType="begin"/>
                </w:r>
                <w:r>
                  <w:instrText xml:space="preserve">PAGE   \* MERGEFORMAT</w:instrText>
                </w:r>
                <w:r>
                  <w:fldChar w:fldCharType="separate"/>
                </w:r>
                <w:r>
                  <w:rPr>
                    <w:lang w:val="zh-CN"/>
                  </w:rPr>
                  <w:t>3</w:t>
                </w:r>
                <w:r>
                  <w:rPr>
                    <w:lang w:val="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84DA4">
    <w:pPr>
      <w:spacing w:after="120"/>
    </w:pPr>
    <w:r>
      <w:pict>
        <v:shape id="_x0000_s2050" o:spid="_x0000_s2050" o:spt="202" type="#_x0000_t202" style="position:absolute;left:0pt;margin-top:0pt;height:144pt;width:144pt;mso-position-horizontal:left;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path/>
          <v:fill on="f" focussize="0,0"/>
          <v:stroke on="f" weight="0.5pt" joinstyle="miter"/>
          <v:imagedata o:title=""/>
          <o:lock v:ext="edit"/>
          <v:textbox inset="0mm,0mm,0mm,0mm" style="mso-fit-shape-to-text:t;">
            <w:txbxContent>
              <w:p w14:paraId="24378B0D">
                <w:pPr>
                  <w:spacing w:after="120"/>
                  <w:ind w:firstLine="720" w:firstLineChars="300"/>
                </w:pPr>
                <w:r>
                  <w:fldChar w:fldCharType="begin"/>
                </w:r>
                <w:r>
                  <w:instrText xml:space="preserve">PAGE   \* MERGEFORMAT</w:instrText>
                </w:r>
                <w:r>
                  <w:fldChar w:fldCharType="separate"/>
                </w:r>
                <w:r>
                  <w:rPr>
                    <w:lang w:val="zh-CN"/>
                  </w:rPr>
                  <w:t>1</w:t>
                </w:r>
                <w:r>
                  <w:rPr>
                    <w:lang w:val="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FE2DB">
    <w:pPr>
      <w:spacing w:after="120"/>
    </w:pPr>
    <w:r>
      <w:pict>
        <v:shape id="_x0000_s3078" o:spid="_x0000_s3078" o:spt="202" type="#_x0000_t202" style="position:absolute;left:0pt;margin-top:0pt;height:144pt;width:144pt;mso-position-horizontal:left;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path/>
          <v:fill on="f" focussize="0,0"/>
          <v:stroke on="f" weight="0.5pt" joinstyle="miter"/>
          <v:imagedata o:title=""/>
          <o:lock v:ext="edit"/>
          <v:textbox inset="0mm,0mm,0mm,0mm" style="mso-fit-shape-to-text:t;">
            <w:txbxContent>
              <w:p w14:paraId="77E788ED">
                <w:pPr>
                  <w:spacing w:after="120"/>
                  <w:ind w:firstLine="600" w:firstLineChars="250"/>
                </w:pPr>
                <w:r>
                  <w:fldChar w:fldCharType="begin"/>
                </w:r>
                <w:r>
                  <w:instrText xml:space="preserve">PAGE   \* MERGEFORMAT</w:instrText>
                </w:r>
                <w:r>
                  <w:fldChar w:fldCharType="separate"/>
                </w:r>
                <w:r>
                  <w:rPr>
                    <w:lang w:val="zh-CN"/>
                  </w:rPr>
                  <w:t>5</w:t>
                </w:r>
                <w:r>
                  <w:rPr>
                    <w:lang w:val="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D6690">
    <w:pPr>
      <w:spacing w:after="120"/>
      <w:rPr>
        <w:rFonts w:cs="宋体"/>
      </w:rPr>
    </w:pPr>
    <w:r>
      <w:pict>
        <v:shape id="_x0000_s3077" o:spid="_x0000_s3077" o:spt="202" type="#_x0000_t202" style="position:absolute;left:0pt;margin-top:0pt;height:144pt;width:59.45pt;mso-position-horizontal:left;mso-position-horizontal-relative:margin;z-index:251672576;mso-width-relative:page;mso-height-relative:page;" filled="f" stroked="f" coordsize="21600,21600" o:gfxdata="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Az5hw1AAAAAUBAAAPAAAAAAAAAAEAIAAAACIAAABkcnMvZG93bnJldi54bWxQ&#10;SwECFAAUAAAACACHTuJAlZPNRzQCAABYBAAADgAAAAAAAAABACAAAAAjAQAAZHJzL2Uyb0RvYy54&#10;bWxQSwUGAAAAAAYABgBZAQAAyQUAAAAA&#10;">
          <v:path/>
          <v:fill on="f" focussize="0,0"/>
          <v:stroke on="f" weight="0.5pt" joinstyle="miter"/>
          <v:imagedata o:title=""/>
          <o:lock v:ext="edit"/>
          <v:textbox inset="0mm,0mm,0mm,0mm" style="mso-fit-shape-to-text:t;">
            <w:txbxContent>
              <w:p w14:paraId="17533C74">
                <w:pPr>
                  <w:spacing w:after="120"/>
                  <w:ind w:firstLine="720" w:firstLineChars="300"/>
                </w:pPr>
                <w:r>
                  <w:rPr>
                    <w:rFonts w:hint="eastAsia" w:cs="宋体"/>
                  </w:rPr>
                  <w:fldChar w:fldCharType="begin"/>
                </w:r>
                <w:r>
                  <w:rPr>
                    <w:rFonts w:hint="eastAsia" w:cs="宋体"/>
                  </w:rPr>
                  <w:instrText xml:space="preserve"> PAGE   \* MERGEFORMAT </w:instrText>
                </w:r>
                <w:r>
                  <w:rPr>
                    <w:rFonts w:hint="eastAsia" w:cs="宋体"/>
                  </w:rPr>
                  <w:fldChar w:fldCharType="separate"/>
                </w:r>
                <w:r>
                  <w:rPr>
                    <w:rFonts w:cs="宋体"/>
                  </w:rPr>
                  <w:t>199</w:t>
                </w:r>
                <w:r>
                  <w:rPr>
                    <w:rFonts w:hint="eastAsia" w:cs="宋体"/>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A0547">
    <w:pPr>
      <w:widowControl w:val="0"/>
      <w:tabs>
        <w:tab w:val="center" w:pos="4393"/>
      </w:tabs>
      <w:spacing w:after="120"/>
      <w:ind w:firstLine="360"/>
      <w:jc w:val="center"/>
      <w:rPr>
        <w:rFonts w:asciiTheme="minorHAnsi" w:hAnsiTheme="minorHAnsi" w:eastAsiaTheme="minorEastAsia" w:cstheme="minorBidi"/>
        <w:kern w:val="2"/>
        <w:sz w:val="18"/>
        <w:szCs w:val="18"/>
      </w:rPr>
    </w:pPr>
    <w:r>
      <w:rPr>
        <w:sz w:val="18"/>
      </w:rPr>
      <w:pict>
        <v:shape id="_x0000_s3073" o:spid="_x0000_s3073" o:spt="202" type="#_x0000_t202" style="position:absolute;left:0pt;margin-top:0pt;height:144pt;width:144pt;mso-position-horizontal:left;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K5b8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WH2LAtb&#10;vbM8Qkd5vF0dA+RMKkdROiXQnXjA9KU+9ZsSx/vPc4p6/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grlvzICAABlBAAADgAAAAAAAAABACAAAAAfAQAAZHJzL2Uyb0RvYy54bWxQSwUG&#10;AAAAAAYABgBZAQAAwwUAAAAA&#10;">
          <v:path/>
          <v:fill on="f" focussize="0,0"/>
          <v:stroke on="f" weight="0.5pt" joinstyle="miter"/>
          <v:imagedata o:title=""/>
          <o:lock v:ext="edit"/>
          <v:textbox inset="0mm,0mm,0mm,0mm" style="mso-fit-shape-to-text:t;">
            <w:txbxContent>
              <w:sdt>
                <w:sdtPr>
                  <w:rPr>
                    <w:rFonts w:asciiTheme="minorHAnsi" w:hAnsiTheme="minorHAnsi" w:eastAsiaTheme="minorEastAsia" w:cstheme="minorBidi"/>
                    <w:kern w:val="2"/>
                    <w:sz w:val="18"/>
                    <w:szCs w:val="18"/>
                  </w:rPr>
                  <w:id w:val="1545022575"/>
                </w:sdtPr>
                <w:sdtEndPr>
                  <w:rPr>
                    <w:rFonts w:asciiTheme="minorHAnsi" w:hAnsiTheme="minorHAnsi" w:eastAsiaTheme="minorEastAsia" w:cstheme="minorBidi"/>
                    <w:kern w:val="2"/>
                    <w:sz w:val="18"/>
                    <w:szCs w:val="18"/>
                  </w:rPr>
                </w:sdtEndPr>
                <w:sdtContent>
                  <w:p w14:paraId="12155EEE">
                    <w:pPr>
                      <w:widowControl w:val="0"/>
                      <w:tabs>
                        <w:tab w:val="center" w:pos="4393"/>
                      </w:tabs>
                      <w:spacing w:after="120"/>
                      <w:ind w:firstLine="360"/>
                      <w:jc w:val="center"/>
                      <w:rPr>
                        <w:rFonts w:asciiTheme="minorHAnsi" w:hAnsiTheme="minorHAnsi" w:eastAsiaTheme="minorEastAsia" w:cstheme="minorBidi"/>
                        <w:kern w:val="2"/>
                        <w:sz w:val="18"/>
                        <w:szCs w:val="18"/>
                      </w:rPr>
                    </w:pPr>
                  </w:p>
                  <w:p w14:paraId="7CED8D7A">
                    <w:pPr>
                      <w:widowControl w:val="0"/>
                      <w:tabs>
                        <w:tab w:val="center" w:pos="4393"/>
                      </w:tabs>
                      <w:spacing w:after="120"/>
                      <w:ind w:firstLine="360"/>
                      <w:jc w:val="center"/>
                    </w:pPr>
                    <w:r>
                      <w:rPr>
                        <w:rFonts w:asciiTheme="minorHAnsi" w:hAnsiTheme="minorHAnsi" w:eastAsiaTheme="minorEastAsia" w:cstheme="minorBidi"/>
                        <w:kern w:val="2"/>
                        <w:sz w:val="18"/>
                        <w:szCs w:val="18"/>
                      </w:rPr>
                      <w:fldChar w:fldCharType="begin"/>
                    </w:r>
                    <w:r>
                      <w:rPr>
                        <w:rFonts w:asciiTheme="minorHAnsi" w:hAnsiTheme="minorHAnsi" w:eastAsiaTheme="minorEastAsia" w:cstheme="minorBidi"/>
                        <w:kern w:val="2"/>
                        <w:sz w:val="18"/>
                        <w:szCs w:val="18"/>
                      </w:rPr>
                      <w:instrText xml:space="preserve">PAGE   \* MERGEFORMAT</w:instrText>
                    </w:r>
                    <w:r>
                      <w:rPr>
                        <w:rFonts w:asciiTheme="minorHAnsi" w:hAnsiTheme="minorHAnsi" w:eastAsiaTheme="minorEastAsia" w:cstheme="minorBidi"/>
                        <w:kern w:val="2"/>
                        <w:sz w:val="18"/>
                        <w:szCs w:val="18"/>
                      </w:rPr>
                      <w:fldChar w:fldCharType="separate"/>
                    </w:r>
                    <w:r>
                      <w:rPr>
                        <w:rFonts w:asciiTheme="minorHAnsi" w:hAnsiTheme="minorHAnsi" w:eastAsiaTheme="minorEastAsia" w:cstheme="minorBidi"/>
                        <w:kern w:val="2"/>
                        <w:sz w:val="18"/>
                        <w:szCs w:val="18"/>
                        <w:lang w:val="zh-CN"/>
                      </w:rPr>
                      <w:t>449</w:t>
                    </w:r>
                    <w:r>
                      <w:rPr>
                        <w:rFonts w:asciiTheme="minorHAnsi" w:hAnsiTheme="minorHAnsi" w:eastAsiaTheme="minorEastAsia" w:cstheme="minorBidi"/>
                        <w:kern w:val="2"/>
                        <w:sz w:val="18"/>
                        <w:szCs w:val="18"/>
                      </w:rPr>
                      <w:fldChar w:fldCharType="end"/>
                    </w:r>
                  </w:p>
                </w:sdtContent>
              </w:sdt>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E3734">
    <w:pPr>
      <w:pStyle w:val="17"/>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C2EA0">
    <w:pPr>
      <w:pStyle w:val="17"/>
      <w:spacing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DD093">
    <w:pPr>
      <w:pStyle w:val="17"/>
      <w:spacing w:after="1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96DE1">
    <w:pPr>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617C16"/>
    <w:multiLevelType w:val="singleLevel"/>
    <w:tmpl w:val="90617C16"/>
    <w:lvl w:ilvl="0" w:tentative="0">
      <w:start w:val="6"/>
      <w:numFmt w:val="decimal"/>
      <w:suff w:val="nothing"/>
      <w:lvlText w:val="（%1）"/>
      <w:lvlJc w:val="left"/>
    </w:lvl>
  </w:abstractNum>
  <w:abstractNum w:abstractNumId="1">
    <w:nsid w:val="90D60348"/>
    <w:multiLevelType w:val="singleLevel"/>
    <w:tmpl w:val="90D60348"/>
    <w:lvl w:ilvl="0" w:tentative="0">
      <w:start w:val="1"/>
      <w:numFmt w:val="decimal"/>
      <w:suff w:val="nothing"/>
      <w:lvlText w:val="（%1）"/>
      <w:lvlJc w:val="left"/>
    </w:lvl>
  </w:abstractNum>
  <w:abstractNum w:abstractNumId="2">
    <w:nsid w:val="AEAECB8E"/>
    <w:multiLevelType w:val="multilevel"/>
    <w:tmpl w:val="AEAECB8E"/>
    <w:lvl w:ilvl="0" w:tentative="0">
      <w:start w:val="1"/>
      <w:numFmt w:val="decimal"/>
      <w:pStyle w:val="278"/>
      <w:lvlText w:val="4.2.%1"/>
      <w:lvlJc w:val="left"/>
      <w:pPr>
        <w:ind w:left="42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B6CA5807"/>
    <w:multiLevelType w:val="singleLevel"/>
    <w:tmpl w:val="B6CA5807"/>
    <w:lvl w:ilvl="0" w:tentative="0">
      <w:start w:val="1"/>
      <w:numFmt w:val="decimalEnclosedCircleChinese"/>
      <w:suff w:val="nothing"/>
      <w:lvlText w:val="%1　"/>
      <w:lvlJc w:val="left"/>
      <w:pPr>
        <w:ind w:left="0" w:firstLine="400"/>
      </w:pPr>
      <w:rPr>
        <w:rFonts w:hint="eastAsia" w:ascii="仿宋" w:hAnsi="仿宋" w:eastAsia="仿宋" w:cs="仿宋"/>
      </w:rPr>
    </w:lvl>
  </w:abstractNum>
  <w:abstractNum w:abstractNumId="4">
    <w:nsid w:val="B8008867"/>
    <w:multiLevelType w:val="singleLevel"/>
    <w:tmpl w:val="B8008867"/>
    <w:lvl w:ilvl="0" w:tentative="0">
      <w:start w:val="3"/>
      <w:numFmt w:val="decimal"/>
      <w:suff w:val="nothing"/>
      <w:lvlText w:val="（%1）"/>
      <w:lvlJc w:val="left"/>
    </w:lvl>
  </w:abstractNum>
  <w:abstractNum w:abstractNumId="5">
    <w:nsid w:val="CBC6FA2E"/>
    <w:multiLevelType w:val="multilevel"/>
    <w:tmpl w:val="CBC6FA2E"/>
    <w:lvl w:ilvl="0" w:tentative="0">
      <w:start w:val="1"/>
      <w:numFmt w:val="decimal"/>
      <w:suff w:val="nothing"/>
      <w:lvlText w:val="%1　"/>
      <w:lvlJc w:val="left"/>
      <w:pPr>
        <w:tabs>
          <w:tab w:val="left" w:pos="0"/>
        </w:tabs>
        <w:ind w:left="0" w:firstLine="0"/>
      </w:pPr>
      <w:rPr>
        <w:rFonts w:hint="default" w:ascii="黑体" w:hAnsi="Times New Roman" w:eastAsia="黑体"/>
        <w:b/>
        <w:i w:val="0"/>
        <w:sz w:val="28"/>
        <w:szCs w:val="21"/>
        <w:lang w:val="en-US"/>
      </w:rPr>
    </w:lvl>
    <w:lvl w:ilvl="1" w:tentative="0">
      <w:start w:val="1"/>
      <w:numFmt w:val="decimal"/>
      <w:suff w:val="nothing"/>
      <w:lvlText w:val="%1.%2　"/>
      <w:lvlJc w:val="left"/>
      <w:pPr>
        <w:tabs>
          <w:tab w:val="left" w:pos="0"/>
        </w:tabs>
        <w:ind w:left="105" w:firstLine="0"/>
      </w:pPr>
      <w:rPr>
        <w:rFonts w:hint="default" w:ascii="宋体" w:hAnsi="宋体" w:eastAsia="宋体" w:cs="宋体"/>
        <w:b/>
        <w:bCs w:val="0"/>
        <w:i w:val="0"/>
        <w:iCs w:val="0"/>
        <w:caps w:val="0"/>
        <w:strike w:val="0"/>
        <w:dstrike w:val="0"/>
        <w:vanish w:val="0"/>
        <w:spacing w:val="0"/>
        <w:kern w:val="0"/>
        <w:position w:val="0"/>
        <w:sz w:val="21"/>
        <w:szCs w:val="21"/>
        <w:u w:val="none"/>
        <w:vertAlign w:val="baseline"/>
      </w:rPr>
    </w:lvl>
    <w:lvl w:ilvl="2" w:tentative="0">
      <w:start w:val="1"/>
      <w:numFmt w:val="decimal"/>
      <w:lvlRestart w:val="1"/>
      <w:pStyle w:val="185"/>
      <w:suff w:val="nothing"/>
      <w:lvlText w:val="1.0.%3　"/>
      <w:lvlJc w:val="left"/>
      <w:pPr>
        <w:tabs>
          <w:tab w:val="left" w:pos="0"/>
        </w:tabs>
        <w:ind w:left="0" w:firstLine="0"/>
      </w:pPr>
      <w:rPr>
        <w:rFonts w:hint="default" w:ascii="Times New Roman" w:hAnsi="Times New Roman" w:eastAsia="宋体" w:cs="Times New Roman"/>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6">
    <w:nsid w:val="D341366E"/>
    <w:multiLevelType w:val="multilevel"/>
    <w:tmpl w:val="D341366E"/>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258"/>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pStyle w:val="212"/>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DB6A1880"/>
    <w:multiLevelType w:val="singleLevel"/>
    <w:tmpl w:val="DB6A1880"/>
    <w:lvl w:ilvl="0" w:tentative="0">
      <w:start w:val="1"/>
      <w:numFmt w:val="decimal"/>
      <w:suff w:val="nothing"/>
      <w:lvlText w:val="（%1）"/>
      <w:lvlJc w:val="left"/>
    </w:lvl>
  </w:abstractNum>
  <w:abstractNum w:abstractNumId="8">
    <w:nsid w:val="E54E871A"/>
    <w:multiLevelType w:val="singleLevel"/>
    <w:tmpl w:val="E54E871A"/>
    <w:lvl w:ilvl="0" w:tentative="0">
      <w:start w:val="1"/>
      <w:numFmt w:val="upperLetter"/>
      <w:suff w:val="nothing"/>
      <w:lvlText w:val="%1、"/>
      <w:lvlJc w:val="left"/>
    </w:lvl>
  </w:abstractNum>
  <w:abstractNum w:abstractNumId="9">
    <w:nsid w:val="F0A99418"/>
    <w:multiLevelType w:val="multilevel"/>
    <w:tmpl w:val="F0A99418"/>
    <w:lvl w:ilvl="0" w:tentative="0">
      <w:start w:val="1"/>
      <w:numFmt w:val="decimal"/>
      <w:pStyle w:val="183"/>
      <w:suff w:val="nothing"/>
      <w:lvlText w:val="%1　"/>
      <w:lvlJc w:val="left"/>
      <w:pPr>
        <w:tabs>
          <w:tab w:val="left" w:pos="0"/>
        </w:tabs>
        <w:ind w:left="0" w:firstLine="0"/>
      </w:pPr>
      <w:rPr>
        <w:rFonts w:hint="default" w:ascii="仿宋" w:hAnsi="仿宋" w:eastAsia="仿宋" w:cs="Times New Roman"/>
        <w:b/>
        <w:bCs/>
        <w:i w:val="0"/>
        <w:sz w:val="30"/>
        <w:szCs w:val="30"/>
        <w:lang w:val="en-US"/>
      </w:rPr>
    </w:lvl>
    <w:lvl w:ilvl="1" w:tentative="0">
      <w:start w:val="1"/>
      <w:numFmt w:val="decimal"/>
      <w:pStyle w:val="184"/>
      <w:suff w:val="nothing"/>
      <w:lvlText w:val="%1.%2　"/>
      <w:lvlJc w:val="left"/>
      <w:pPr>
        <w:tabs>
          <w:tab w:val="left" w:pos="0"/>
        </w:tabs>
        <w:ind w:left="105" w:firstLine="0"/>
      </w:pPr>
      <w:rPr>
        <w:rFonts w:hint="default" w:ascii="仿宋" w:hAnsi="仿宋" w:eastAsia="仿宋" w:cs="Times New Roman"/>
        <w:b w:val="0"/>
        <w:bCs/>
        <w:i w:val="0"/>
        <w:iCs w:val="0"/>
        <w:caps w:val="0"/>
        <w:strike w:val="0"/>
        <w:dstrike w:val="0"/>
        <w:vanish w:val="0"/>
        <w:spacing w:val="0"/>
        <w:kern w:val="0"/>
        <w:position w:val="0"/>
        <w:sz w:val="30"/>
        <w:szCs w:val="30"/>
        <w:u w:val="none"/>
        <w:vertAlign w:val="baseline"/>
      </w:rPr>
    </w:lvl>
    <w:lvl w:ilvl="2" w:tentative="0">
      <w:start w:val="1"/>
      <w:numFmt w:val="decimal"/>
      <w:suff w:val="nothing"/>
      <w:lvlText w:val="%1.%2.%3　"/>
      <w:lvlJc w:val="left"/>
      <w:pPr>
        <w:tabs>
          <w:tab w:val="left" w:pos="0"/>
        </w:tabs>
        <w:ind w:left="0" w:firstLine="0"/>
      </w:pPr>
      <w:rPr>
        <w:rFonts w:hint="default" w:ascii="Times New Roman" w:hAnsi="Times New Roman" w:eastAsia="宋体" w:cs="Times New Roman"/>
        <w:b/>
        <w:i w:val="0"/>
        <w:color w:val="auto"/>
        <w:sz w:val="21"/>
      </w:rPr>
    </w:lvl>
    <w:lvl w:ilvl="3" w:tentative="0">
      <w:start w:val="1"/>
      <w:numFmt w:val="decimal"/>
      <w:pStyle w:val="186"/>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F1AF2452"/>
    <w:multiLevelType w:val="singleLevel"/>
    <w:tmpl w:val="F1AF2452"/>
    <w:lvl w:ilvl="0" w:tentative="0">
      <w:start w:val="1"/>
      <w:numFmt w:val="chineseCounting"/>
      <w:suff w:val="space"/>
      <w:lvlText w:val="第%1部分"/>
      <w:lvlJc w:val="left"/>
      <w:rPr>
        <w:rFonts w:hint="eastAsia"/>
      </w:rPr>
    </w:lvl>
  </w:abstractNum>
  <w:abstractNum w:abstractNumId="11">
    <w:nsid w:val="FBEBFCAE"/>
    <w:multiLevelType w:val="multilevel"/>
    <w:tmpl w:val="FBEBFCAE"/>
    <w:lvl w:ilvl="0" w:tentative="0">
      <w:start w:val="1"/>
      <w:numFmt w:val="decimal"/>
      <w:pStyle w:val="188"/>
      <w:suff w:val="nothing"/>
      <w:lvlText w:val="%1　"/>
      <w:lvlJc w:val="left"/>
      <w:pPr>
        <w:tabs>
          <w:tab w:val="left" w:pos="0"/>
        </w:tabs>
        <w:ind w:left="0" w:firstLine="0"/>
      </w:pPr>
      <w:rPr>
        <w:rFonts w:hint="default" w:ascii="黑体" w:hAnsi="Times New Roman" w:eastAsia="黑体"/>
        <w:b/>
        <w:i w:val="0"/>
        <w:sz w:val="28"/>
        <w:szCs w:val="21"/>
        <w:lang w:val="en-US"/>
      </w:rPr>
    </w:lvl>
    <w:lvl w:ilvl="1" w:tentative="0">
      <w:start w:val="1"/>
      <w:numFmt w:val="decimal"/>
      <w:suff w:val="nothing"/>
      <w:lvlText w:val="%1.%2　"/>
      <w:lvlJc w:val="left"/>
      <w:pPr>
        <w:tabs>
          <w:tab w:val="left" w:pos="0"/>
        </w:tabs>
        <w:ind w:left="105" w:firstLine="0"/>
      </w:pPr>
      <w:rPr>
        <w:rFonts w:hint="default" w:ascii="宋体" w:hAnsi="宋体" w:eastAsia="宋体" w:cs="宋体"/>
        <w:b/>
        <w:bCs w:val="0"/>
        <w:i w:val="0"/>
        <w:iCs w:val="0"/>
        <w:caps w:val="0"/>
        <w:strike w:val="0"/>
        <w:dstrike w:val="0"/>
        <w:vanish w:val="0"/>
        <w:spacing w:val="0"/>
        <w:kern w:val="0"/>
        <w:position w:val="0"/>
        <w:sz w:val="21"/>
        <w:szCs w:val="21"/>
        <w:u w:val="none"/>
        <w:vertAlign w:val="baseline"/>
      </w:rPr>
    </w:lvl>
    <w:lvl w:ilvl="2" w:tentative="0">
      <w:start w:val="1"/>
      <w:numFmt w:val="decimal"/>
      <w:lvlRestart w:val="1"/>
      <w:pStyle w:val="182"/>
      <w:isLgl/>
      <w:lvlText w:val="3.1.%3　"/>
      <w:lvlJc w:val="left"/>
      <w:pPr>
        <w:tabs>
          <w:tab w:val="left" w:pos="420"/>
        </w:tabs>
        <w:ind w:left="0" w:firstLine="0"/>
      </w:pPr>
      <w:rPr>
        <w:rFonts w:hint="default" w:ascii="宋体" w:hAnsi="宋体" w:eastAsia="宋体" w:cs="宋体"/>
        <w:b/>
        <w:i w:val="0"/>
        <w:color w:val="auto"/>
        <w:sz w:val="21"/>
      </w:rPr>
    </w:lvl>
    <w:lvl w:ilvl="3" w:tentative="0">
      <w:start w:val="1"/>
      <w:numFmt w:val="decimal"/>
      <w:suff w:val="nothing"/>
      <w:lvlText w:val="%1.%2.%3.%4　"/>
      <w:lvlJc w:val="left"/>
      <w:pPr>
        <w:ind w:left="851"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2">
    <w:nsid w:val="01E967D5"/>
    <w:multiLevelType w:val="multilevel"/>
    <w:tmpl w:val="01E967D5"/>
    <w:lvl w:ilvl="0" w:tentative="0">
      <w:start w:val="1"/>
      <w:numFmt w:val="chineseCountingThousand"/>
      <w:pStyle w:val="131"/>
      <w:lvlText w:val="%1、"/>
      <w:lvlJc w:val="left"/>
      <w:pPr>
        <w:ind w:left="0" w:firstLine="40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93C6778"/>
    <w:multiLevelType w:val="multilevel"/>
    <w:tmpl w:val="093C6778"/>
    <w:lvl w:ilvl="0" w:tentative="0">
      <w:start w:val="1"/>
      <w:numFmt w:val="decimal"/>
      <w:pStyle w:val="301"/>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0D8C6054"/>
    <w:multiLevelType w:val="multilevel"/>
    <w:tmpl w:val="0D8C6054"/>
    <w:lvl w:ilvl="0" w:tentative="0">
      <w:start w:val="1"/>
      <w:numFmt w:val="decimal"/>
      <w:pStyle w:val="107"/>
      <w:lvlText w:val="%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1" w:tentative="0">
      <w:start w:val="1"/>
      <w:numFmt w:val="decimal"/>
      <w:lvlText w:val="%2)"/>
      <w:lvlJc w:val="left"/>
      <w:pPr>
        <w:ind w:left="1200" w:hanging="36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0DDE2B46"/>
    <w:multiLevelType w:val="multilevel"/>
    <w:tmpl w:val="0DDE2B46"/>
    <w:lvl w:ilvl="0" w:tentative="0">
      <w:start w:val="1"/>
      <w:numFmt w:val="lowerLetter"/>
      <w:pStyle w:val="334"/>
      <w:suff w:val="nothing"/>
      <w:lvlText w:val="%1   "/>
      <w:lvlJc w:val="left"/>
      <w:pPr>
        <w:ind w:left="1456"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16">
    <w:nsid w:val="19CF79DD"/>
    <w:multiLevelType w:val="multilevel"/>
    <w:tmpl w:val="19CF79DD"/>
    <w:lvl w:ilvl="0" w:tentative="0">
      <w:start w:val="1"/>
      <w:numFmt w:val="decimal"/>
      <w:pStyle w:val="187"/>
      <w:lvlText w:val="2.0.%1 "/>
      <w:lvlJc w:val="left"/>
      <w:pPr>
        <w:ind w:left="420" w:hanging="420"/>
      </w:pPr>
      <w:rPr>
        <w:rFonts w:hint="default" w:ascii="Times New Roman" w:hAnsi="Times New Roman" w:eastAsia="宋体"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AEF81F4"/>
    <w:multiLevelType w:val="singleLevel"/>
    <w:tmpl w:val="1AEF81F4"/>
    <w:lvl w:ilvl="0" w:tentative="0">
      <w:start w:val="1"/>
      <w:numFmt w:val="decimal"/>
      <w:pStyle w:val="282"/>
      <w:suff w:val="space"/>
      <w:lvlText w:val="%1"/>
      <w:lvlJc w:val="left"/>
      <w:pPr>
        <w:tabs>
          <w:tab w:val="left" w:pos="0"/>
        </w:tabs>
      </w:pPr>
      <w:rPr>
        <w:rFonts w:hint="default" w:ascii="宋体" w:hAnsi="宋体" w:eastAsia="宋体" w:cs="宋体"/>
      </w:rPr>
    </w:lvl>
  </w:abstractNum>
  <w:abstractNum w:abstractNumId="18">
    <w:nsid w:val="1B097054"/>
    <w:multiLevelType w:val="multilevel"/>
    <w:tmpl w:val="1B097054"/>
    <w:lvl w:ilvl="0" w:tentative="0">
      <w:start w:val="1"/>
      <w:numFmt w:val="japaneseCounting"/>
      <w:lvlText w:val="第%1条"/>
      <w:lvlJc w:val="left"/>
      <w:pPr>
        <w:tabs>
          <w:tab w:val="left" w:pos="1695"/>
        </w:tabs>
        <w:ind w:left="1695" w:hanging="1125"/>
      </w:pPr>
      <w:rPr>
        <w:rFonts w:hint="eastAsia"/>
      </w:rPr>
    </w:lvl>
    <w:lvl w:ilvl="1" w:tentative="0">
      <w:start w:val="1"/>
      <w:numFmt w:val="decimal"/>
      <w:lvlText w:val="%2、"/>
      <w:lvlJc w:val="left"/>
      <w:pPr>
        <w:tabs>
          <w:tab w:val="left" w:pos="1710"/>
        </w:tabs>
        <w:ind w:left="1710" w:hanging="720"/>
      </w:pPr>
      <w:rPr>
        <w:rFonts w:hint="eastAsia"/>
      </w:rPr>
    </w:lvl>
    <w:lvl w:ilvl="2" w:tentative="0">
      <w:start w:val="4"/>
      <w:numFmt w:val="japaneseCounting"/>
      <w:lvlText w:val="第%3章"/>
      <w:lvlJc w:val="left"/>
      <w:pPr>
        <w:tabs>
          <w:tab w:val="left" w:pos="2535"/>
        </w:tabs>
        <w:ind w:left="2535" w:hanging="1125"/>
      </w:pPr>
      <w:rPr>
        <w:rFonts w:hint="eastAsia"/>
      </w:rPr>
    </w:lvl>
    <w:lvl w:ilvl="3" w:tentative="0">
      <w:start w:val="1"/>
      <w:numFmt w:val="decimal"/>
      <w:lvlText w:val="%4."/>
      <w:lvlJc w:val="left"/>
      <w:pPr>
        <w:tabs>
          <w:tab w:val="left" w:pos="2250"/>
        </w:tabs>
        <w:ind w:left="2250" w:hanging="420"/>
      </w:pPr>
    </w:lvl>
    <w:lvl w:ilvl="4" w:tentative="0">
      <w:start w:val="1"/>
      <w:numFmt w:val="lowerLetter"/>
      <w:lvlText w:val="%5)"/>
      <w:lvlJc w:val="left"/>
      <w:pPr>
        <w:tabs>
          <w:tab w:val="left" w:pos="2670"/>
        </w:tabs>
        <w:ind w:left="2670" w:hanging="420"/>
      </w:pPr>
    </w:lvl>
    <w:lvl w:ilvl="5" w:tentative="0">
      <w:start w:val="1"/>
      <w:numFmt w:val="lowerRoman"/>
      <w:lvlText w:val="%6."/>
      <w:lvlJc w:val="right"/>
      <w:pPr>
        <w:tabs>
          <w:tab w:val="left" w:pos="3090"/>
        </w:tabs>
        <w:ind w:left="3090" w:hanging="420"/>
      </w:pPr>
    </w:lvl>
    <w:lvl w:ilvl="6" w:tentative="0">
      <w:start w:val="1"/>
      <w:numFmt w:val="decimal"/>
      <w:lvlText w:val="%7."/>
      <w:lvlJc w:val="left"/>
      <w:pPr>
        <w:tabs>
          <w:tab w:val="left" w:pos="3510"/>
        </w:tabs>
        <w:ind w:left="3510" w:hanging="420"/>
      </w:pPr>
    </w:lvl>
    <w:lvl w:ilvl="7" w:tentative="0">
      <w:start w:val="1"/>
      <w:numFmt w:val="lowerLetter"/>
      <w:lvlText w:val="%8)"/>
      <w:lvlJc w:val="left"/>
      <w:pPr>
        <w:tabs>
          <w:tab w:val="left" w:pos="3930"/>
        </w:tabs>
        <w:ind w:left="3930" w:hanging="420"/>
      </w:pPr>
    </w:lvl>
    <w:lvl w:ilvl="8" w:tentative="0">
      <w:start w:val="1"/>
      <w:numFmt w:val="lowerRoman"/>
      <w:lvlText w:val="%9."/>
      <w:lvlJc w:val="right"/>
      <w:pPr>
        <w:tabs>
          <w:tab w:val="left" w:pos="4350"/>
        </w:tabs>
        <w:ind w:left="4350" w:hanging="420"/>
      </w:pPr>
    </w:lvl>
  </w:abstractNum>
  <w:abstractNum w:abstractNumId="19">
    <w:nsid w:val="1DBF583A"/>
    <w:multiLevelType w:val="multilevel"/>
    <w:tmpl w:val="1DBF583A"/>
    <w:lvl w:ilvl="0" w:tentative="0">
      <w:start w:val="1"/>
      <w:numFmt w:val="decimal"/>
      <w:pStyle w:val="302"/>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20">
    <w:nsid w:val="22827D5B"/>
    <w:multiLevelType w:val="multilevel"/>
    <w:tmpl w:val="22827D5B"/>
    <w:lvl w:ilvl="0" w:tentative="0">
      <w:start w:val="1"/>
      <w:numFmt w:val="none"/>
      <w:pStyle w:val="310"/>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1">
    <w:nsid w:val="28D9536E"/>
    <w:multiLevelType w:val="multilevel"/>
    <w:tmpl w:val="28D9536E"/>
    <w:lvl w:ilvl="0" w:tentative="0">
      <w:start w:val="1"/>
      <w:numFmt w:val="upperLetter"/>
      <w:pStyle w:val="112"/>
      <w:lvlText w:val="(%1)"/>
      <w:lvlJc w:val="left"/>
      <w:pPr>
        <w:tabs>
          <w:tab w:val="left" w:pos="624"/>
        </w:tabs>
        <w:ind w:left="624" w:hanging="624"/>
      </w:pPr>
    </w:lvl>
    <w:lvl w:ilvl="1" w:tentative="0">
      <w:start w:val="1"/>
      <w:numFmt w:val="upperLetter"/>
      <w:pStyle w:val="115"/>
      <w:lvlText w:val="(%2)"/>
      <w:lvlJc w:val="left"/>
      <w:pPr>
        <w:tabs>
          <w:tab w:val="left" w:pos="1417"/>
        </w:tabs>
        <w:ind w:left="1417" w:hanging="793"/>
      </w:pPr>
    </w:lvl>
    <w:lvl w:ilvl="2" w:tentative="0">
      <w:start w:val="1"/>
      <w:numFmt w:val="upperLetter"/>
      <w:pStyle w:val="127"/>
      <w:lvlText w:val="(%3)"/>
      <w:lvlJc w:val="left"/>
      <w:pPr>
        <w:tabs>
          <w:tab w:val="left" w:pos="1928"/>
        </w:tabs>
        <w:ind w:left="1928" w:hanging="511"/>
      </w:pPr>
    </w:lvl>
    <w:lvl w:ilvl="3" w:tentative="0">
      <w:start w:val="1"/>
      <w:numFmt w:val="lowerLetter"/>
      <w:lvlText w:val="(%4)"/>
      <w:lvlJc w:val="left"/>
      <w:pPr>
        <w:tabs>
          <w:tab w:val="left" w:pos="1928"/>
        </w:tabs>
        <w:ind w:left="1928" w:hanging="511"/>
      </w:pPr>
    </w:lvl>
    <w:lvl w:ilvl="4" w:tentative="0">
      <w:start w:val="1"/>
      <w:numFmt w:val="lowerRoman"/>
      <w:lvlText w:val="(%5)"/>
      <w:lvlJc w:val="left"/>
      <w:pPr>
        <w:tabs>
          <w:tab w:val="left" w:pos="2438"/>
        </w:tabs>
        <w:ind w:left="2438" w:hanging="510"/>
      </w:pPr>
    </w:lvl>
    <w:lvl w:ilvl="5" w:tentative="0">
      <w:start w:val="1"/>
      <w:numFmt w:val="decimal"/>
      <w:lvlText w:val="(%6)"/>
      <w:lvlJc w:val="left"/>
      <w:pPr>
        <w:tabs>
          <w:tab w:val="left" w:pos="2948"/>
        </w:tabs>
        <w:ind w:left="2948" w:hanging="51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decimal"/>
      <w:lvlRestart w:val="0"/>
      <w:lvlText w:val="SCHEDULE %9"/>
      <w:lvlJc w:val="left"/>
      <w:pPr>
        <w:tabs>
          <w:tab w:val="left" w:pos="0"/>
        </w:tabs>
        <w:ind w:left="0" w:firstLine="0"/>
      </w:pPr>
    </w:lvl>
  </w:abstractNum>
  <w:abstractNum w:abstractNumId="22">
    <w:nsid w:val="301F5202"/>
    <w:multiLevelType w:val="multilevel"/>
    <w:tmpl w:val="301F5202"/>
    <w:lvl w:ilvl="0" w:tentative="0">
      <w:start w:val="1"/>
      <w:numFmt w:val="decimal"/>
      <w:lvlText w:val="第%1条"/>
      <w:lvlJc w:val="left"/>
      <w:pPr>
        <w:ind w:left="851" w:firstLine="0"/>
      </w:pPr>
    </w:lvl>
    <w:lvl w:ilvl="1" w:tentative="0">
      <w:start w:val="1"/>
      <w:numFmt w:val="decimal"/>
      <w:pStyle w:val="125"/>
      <w:lvlText w:val="%1.%2"/>
      <w:lvlJc w:val="left"/>
      <w:pPr>
        <w:ind w:left="991" w:hanging="567"/>
      </w:pPr>
    </w:lvl>
    <w:lvl w:ilvl="2" w:tentative="0">
      <w:start w:val="1"/>
      <w:numFmt w:val="decimal"/>
      <w:pStyle w:val="114"/>
      <w:lvlText w:val="%1.%2.%3"/>
      <w:lvlJc w:val="left"/>
      <w:pPr>
        <w:ind w:left="2835" w:hanging="567"/>
      </w:pPr>
    </w:lvl>
    <w:lvl w:ilvl="3" w:tentative="0">
      <w:start w:val="1"/>
      <w:numFmt w:val="decimal"/>
      <w:lvlText w:val="%1.%2.%3.%4"/>
      <w:lvlJc w:val="left"/>
      <w:pPr>
        <w:ind w:left="1983" w:hanging="708"/>
      </w:pPr>
    </w:lvl>
    <w:lvl w:ilvl="4" w:tentative="0">
      <w:start w:val="1"/>
      <w:numFmt w:val="decimal"/>
      <w:lvlText w:val="%1.%2.%3.%4.%5"/>
      <w:lvlJc w:val="left"/>
      <w:pPr>
        <w:ind w:left="2550" w:hanging="850"/>
      </w:pPr>
    </w:lvl>
    <w:lvl w:ilvl="5" w:tentative="0">
      <w:start w:val="1"/>
      <w:numFmt w:val="decimal"/>
      <w:lvlText w:val="%1.%2.%3.%4.%5.%6"/>
      <w:lvlJc w:val="left"/>
      <w:pPr>
        <w:ind w:left="3259" w:hanging="1134"/>
      </w:pPr>
    </w:lvl>
    <w:lvl w:ilvl="6" w:tentative="0">
      <w:start w:val="1"/>
      <w:numFmt w:val="decimal"/>
      <w:lvlText w:val="%1.%2.%3.%4.%5.%6.%7"/>
      <w:lvlJc w:val="left"/>
      <w:pPr>
        <w:ind w:left="3826" w:hanging="1276"/>
      </w:pPr>
    </w:lvl>
    <w:lvl w:ilvl="7" w:tentative="0">
      <w:start w:val="1"/>
      <w:numFmt w:val="decimal"/>
      <w:lvlText w:val="%1.%2.%3.%4.%5.%6.%7.%8"/>
      <w:lvlJc w:val="left"/>
      <w:pPr>
        <w:ind w:left="4393" w:hanging="1418"/>
      </w:pPr>
    </w:lvl>
    <w:lvl w:ilvl="8" w:tentative="0">
      <w:start w:val="1"/>
      <w:numFmt w:val="decimal"/>
      <w:lvlText w:val="%1.%2.%3.%4.%5.%6.%7.%8.%9"/>
      <w:lvlJc w:val="left"/>
      <w:pPr>
        <w:ind w:left="5101" w:hanging="1700"/>
      </w:pPr>
    </w:lvl>
  </w:abstractNum>
  <w:abstractNum w:abstractNumId="23">
    <w:nsid w:val="3AA800C6"/>
    <w:multiLevelType w:val="multilevel"/>
    <w:tmpl w:val="3AA800C6"/>
    <w:lvl w:ilvl="0" w:tentative="0">
      <w:start w:val="1"/>
      <w:numFmt w:val="decimal"/>
      <w:pStyle w:val="128"/>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仿宋_GB2312" w:eastAsia="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pStyle w:val="106"/>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24">
    <w:nsid w:val="3ED82F43"/>
    <w:multiLevelType w:val="multilevel"/>
    <w:tmpl w:val="3ED82F43"/>
    <w:lvl w:ilvl="0" w:tentative="0">
      <w:start w:val="1"/>
      <w:numFmt w:val="decimal"/>
      <w:pStyle w:val="361"/>
      <w:lvlText w:val="%1"/>
      <w:lvlJc w:val="left"/>
      <w:pPr>
        <w:ind w:left="0" w:firstLine="0"/>
      </w:pPr>
      <w:rPr>
        <w:rFonts w:hint="default" w:ascii="Times New Roman" w:hAnsi="Times New Roman" w:eastAsia="宋体" w:cs="Times New Roman"/>
        <w:b w:val="0"/>
        <w:i w:val="0"/>
        <w:position w:val="0"/>
        <w:sz w:val="28"/>
      </w:rPr>
    </w:lvl>
    <w:lvl w:ilvl="1" w:tentative="0">
      <w:start w:val="1"/>
      <w:numFmt w:val="decimal"/>
      <w:pStyle w:val="347"/>
      <w:lvlText w:val="%1.%2."/>
      <w:lvlJc w:val="center"/>
      <w:pPr>
        <w:ind w:left="0" w:firstLine="288"/>
      </w:pPr>
      <w:rPr>
        <w:rFonts w:hint="default" w:ascii="Times New Roman" w:hAnsi="Times New Roman" w:eastAsia="宋体" w:cs="Times New Roman"/>
        <w:b w:val="0"/>
        <w:bCs w:val="0"/>
        <w:i w:val="0"/>
        <w:iCs w:val="0"/>
        <w:caps w:val="0"/>
        <w:strike w:val="0"/>
        <w:dstrike w:val="0"/>
        <w:vanish w:val="0"/>
        <w:color w:val="000000"/>
        <w:spacing w:val="0"/>
        <w:position w:val="0"/>
        <w:sz w:val="21"/>
        <w:u w:val="none"/>
        <w:vertAlign w:val="baseline"/>
      </w:rPr>
    </w:lvl>
    <w:lvl w:ilvl="2" w:tentative="0">
      <w:start w:val="1"/>
      <w:numFmt w:val="decimal"/>
      <w:pStyle w:val="345"/>
      <w:lvlText w:val="%1.%2.%3."/>
      <w:lvlJc w:val="left"/>
      <w:pPr>
        <w:ind w:left="0" w:firstLine="0"/>
      </w:pPr>
      <w:rPr>
        <w:rFonts w:hint="default" w:ascii="Times New Roman" w:hAnsi="Times New Roman" w:eastAsia="宋体" w:cs="Times New Roman"/>
        <w:b/>
        <w:i w:val="0"/>
        <w:position w:val="0"/>
        <w:sz w:val="21"/>
      </w:rPr>
    </w:lvl>
    <w:lvl w:ilvl="3" w:tentative="0">
      <w:start w:val="1"/>
      <w:numFmt w:val="decimal"/>
      <w:lvlText w:val="%4"/>
      <w:lvlJc w:val="left"/>
      <w:pPr>
        <w:tabs>
          <w:tab w:val="left" w:pos="1418"/>
        </w:tabs>
        <w:ind w:left="397" w:firstLine="737"/>
      </w:pPr>
      <w:rPr>
        <w:rFonts w:hint="default" w:ascii="Times New Roman" w:hAnsi="Times New Roman" w:cs="Times New Roman"/>
        <w:b/>
        <w:i w:val="0"/>
        <w:position w:val="0"/>
        <w:sz w:val="21"/>
      </w:rPr>
    </w:lvl>
    <w:lvl w:ilvl="4" w:tentative="0">
      <w:start w:val="1"/>
      <w:numFmt w:val="decimal"/>
      <w:lvlText w:val="%3."/>
      <w:lvlJc w:val="left"/>
      <w:pPr>
        <w:tabs>
          <w:tab w:val="left" w:pos="-1"/>
        </w:tabs>
        <w:ind w:left="0" w:firstLine="0"/>
      </w:pPr>
      <w:rPr>
        <w:rFonts w:cs="Times New Roman"/>
        <w:position w:val="0"/>
      </w:rPr>
    </w:lvl>
    <w:lvl w:ilvl="5" w:tentative="0">
      <w:start w:val="1"/>
      <w:numFmt w:val="decimal"/>
      <w:lvlText w:val="%3."/>
      <w:lvlJc w:val="left"/>
      <w:pPr>
        <w:tabs>
          <w:tab w:val="left" w:pos="-1"/>
        </w:tabs>
        <w:ind w:left="0" w:firstLine="0"/>
      </w:pPr>
      <w:rPr>
        <w:rFonts w:cs="Times New Roman"/>
        <w:position w:val="0"/>
      </w:rPr>
    </w:lvl>
    <w:lvl w:ilvl="6" w:tentative="0">
      <w:start w:val="1"/>
      <w:numFmt w:val="decimal"/>
      <w:lvlText w:val="%3."/>
      <w:lvlJc w:val="left"/>
      <w:pPr>
        <w:tabs>
          <w:tab w:val="left" w:pos="-1"/>
        </w:tabs>
        <w:ind w:left="0" w:firstLine="0"/>
      </w:pPr>
      <w:rPr>
        <w:rFonts w:cs="Times New Roman"/>
        <w:position w:val="0"/>
      </w:rPr>
    </w:lvl>
    <w:lvl w:ilvl="7" w:tentative="0">
      <w:start w:val="1"/>
      <w:numFmt w:val="decimal"/>
      <w:lvlText w:val="%3."/>
      <w:lvlJc w:val="left"/>
      <w:pPr>
        <w:tabs>
          <w:tab w:val="left" w:pos="-1"/>
        </w:tabs>
        <w:ind w:left="0" w:firstLine="0"/>
      </w:pPr>
      <w:rPr>
        <w:rFonts w:cs="Times New Roman"/>
        <w:position w:val="0"/>
      </w:rPr>
    </w:lvl>
    <w:lvl w:ilvl="8" w:tentative="0">
      <w:start w:val="1"/>
      <w:numFmt w:val="decimal"/>
      <w:lvlText w:val="%3."/>
      <w:lvlJc w:val="left"/>
      <w:pPr>
        <w:tabs>
          <w:tab w:val="left" w:pos="-1"/>
        </w:tabs>
        <w:ind w:left="0" w:firstLine="0"/>
      </w:pPr>
      <w:rPr>
        <w:rFonts w:cs="Times New Roman"/>
        <w:position w:val="0"/>
      </w:rPr>
    </w:lvl>
  </w:abstractNum>
  <w:abstractNum w:abstractNumId="25">
    <w:nsid w:val="4B733A5F"/>
    <w:multiLevelType w:val="multilevel"/>
    <w:tmpl w:val="4B733A5F"/>
    <w:lvl w:ilvl="0" w:tentative="0">
      <w:start w:val="1"/>
      <w:numFmt w:val="decimal"/>
      <w:pStyle w:val="314"/>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6">
    <w:nsid w:val="57119561"/>
    <w:multiLevelType w:val="singleLevel"/>
    <w:tmpl w:val="57119561"/>
    <w:lvl w:ilvl="0" w:tentative="0">
      <w:start w:val="1"/>
      <w:numFmt w:val="chineseCounting"/>
      <w:suff w:val="space"/>
      <w:lvlText w:val="第%1条"/>
      <w:lvlJc w:val="left"/>
      <w:rPr>
        <w:b/>
      </w:rPr>
    </w:lvl>
  </w:abstractNum>
  <w:abstractNum w:abstractNumId="27">
    <w:nsid w:val="59E5EE79"/>
    <w:multiLevelType w:val="singleLevel"/>
    <w:tmpl w:val="59E5EE79"/>
    <w:lvl w:ilvl="0" w:tentative="0">
      <w:start w:val="2"/>
      <w:numFmt w:val="decimal"/>
      <w:suff w:val="nothing"/>
      <w:lvlText w:val="%1、"/>
      <w:lvlJc w:val="left"/>
    </w:lvl>
  </w:abstractNum>
  <w:abstractNum w:abstractNumId="28">
    <w:nsid w:val="59E5F0E2"/>
    <w:multiLevelType w:val="singleLevel"/>
    <w:tmpl w:val="59E5F0E2"/>
    <w:lvl w:ilvl="0" w:tentative="0">
      <w:start w:val="1"/>
      <w:numFmt w:val="decimal"/>
      <w:suff w:val="nothing"/>
      <w:lvlText w:val="%1、"/>
      <w:lvlJc w:val="left"/>
    </w:lvl>
  </w:abstractNum>
  <w:abstractNum w:abstractNumId="29">
    <w:nsid w:val="60AB375F"/>
    <w:multiLevelType w:val="singleLevel"/>
    <w:tmpl w:val="60AB375F"/>
    <w:lvl w:ilvl="0" w:tentative="0">
      <w:start w:val="1"/>
      <w:numFmt w:val="bullet"/>
      <w:lvlText w:val=""/>
      <w:lvlJc w:val="left"/>
      <w:pPr>
        <w:ind w:left="420" w:hanging="420"/>
      </w:pPr>
      <w:rPr>
        <w:rFonts w:hint="default" w:ascii="Wingdings" w:hAnsi="Wingdings"/>
      </w:rPr>
    </w:lvl>
  </w:abstractNum>
  <w:abstractNum w:abstractNumId="30">
    <w:nsid w:val="60CC4141"/>
    <w:multiLevelType w:val="singleLevel"/>
    <w:tmpl w:val="60CC4141"/>
    <w:lvl w:ilvl="0" w:tentative="0">
      <w:start w:val="1"/>
      <w:numFmt w:val="decimal"/>
      <w:suff w:val="nothing"/>
      <w:lvlText w:val="%1、"/>
      <w:lvlJc w:val="left"/>
    </w:lvl>
  </w:abstractNum>
  <w:abstractNum w:abstractNumId="31">
    <w:nsid w:val="61BD6C99"/>
    <w:multiLevelType w:val="multilevel"/>
    <w:tmpl w:val="61BD6C99"/>
    <w:lvl w:ilvl="0" w:tentative="0">
      <w:start w:val="1"/>
      <w:numFmt w:val="lowerRoman"/>
      <w:pStyle w:val="103"/>
      <w:lvlText w:val="(%1)"/>
      <w:lvlJc w:val="left"/>
      <w:pPr>
        <w:ind w:left="1560" w:hanging="7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2">
    <w:nsid w:val="62687BB6"/>
    <w:multiLevelType w:val="multilevel"/>
    <w:tmpl w:val="62687BB6"/>
    <w:lvl w:ilvl="0" w:tentative="0">
      <w:start w:val="1"/>
      <w:numFmt w:val="decimal"/>
      <w:pStyle w:val="110"/>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33">
    <w:nsid w:val="65F35645"/>
    <w:multiLevelType w:val="multilevel"/>
    <w:tmpl w:val="65F35645"/>
    <w:lvl w:ilvl="0" w:tentative="0">
      <w:start w:val="1"/>
      <w:numFmt w:val="decimal"/>
      <w:pStyle w:val="340"/>
      <w:suff w:val="space"/>
      <w:lvlText w:val="1.0.%1  "/>
      <w:lvlJc w:val="left"/>
      <w:pPr>
        <w:ind w:left="1271" w:hanging="420"/>
      </w:pPr>
      <w:rPr>
        <w:b/>
        <w:i w:val="0"/>
        <w:iCs w:val="0"/>
        <w:caps w:val="0"/>
        <w:smallCaps w:val="0"/>
        <w:strike w:val="0"/>
        <w:dstrike w:val="0"/>
        <w:vanish w:val="0"/>
        <w:spacing w:val="0"/>
        <w:position w:val="0"/>
        <w:u w:val="none"/>
        <w:vertAlign w:val="baseline"/>
      </w:rPr>
    </w:lvl>
    <w:lvl w:ilvl="1" w:tentative="0">
      <w:start w:val="1"/>
      <w:numFmt w:val="lowerLetter"/>
      <w:lvlText w:val="%2)"/>
      <w:lvlJc w:val="left"/>
      <w:pPr>
        <w:ind w:left="1691" w:hanging="420"/>
      </w:pPr>
    </w:lvl>
    <w:lvl w:ilvl="2" w:tentative="0">
      <w:start w:val="1"/>
      <w:numFmt w:val="lowerRoman"/>
      <w:lvlText w:val="%3."/>
      <w:lvlJc w:val="right"/>
      <w:pPr>
        <w:ind w:left="2111" w:hanging="420"/>
      </w:pPr>
    </w:lvl>
    <w:lvl w:ilvl="3" w:tentative="0">
      <w:start w:val="1"/>
      <w:numFmt w:val="decimal"/>
      <w:lvlText w:val="%4."/>
      <w:lvlJc w:val="left"/>
      <w:pPr>
        <w:ind w:left="2531" w:hanging="420"/>
      </w:pPr>
    </w:lvl>
    <w:lvl w:ilvl="4" w:tentative="0">
      <w:start w:val="1"/>
      <w:numFmt w:val="lowerLetter"/>
      <w:lvlText w:val="%5)"/>
      <w:lvlJc w:val="left"/>
      <w:pPr>
        <w:ind w:left="2951" w:hanging="420"/>
      </w:pPr>
    </w:lvl>
    <w:lvl w:ilvl="5" w:tentative="0">
      <w:start w:val="1"/>
      <w:numFmt w:val="lowerRoman"/>
      <w:lvlText w:val="%6."/>
      <w:lvlJc w:val="right"/>
      <w:pPr>
        <w:ind w:left="3371" w:hanging="420"/>
      </w:pPr>
    </w:lvl>
    <w:lvl w:ilvl="6" w:tentative="0">
      <w:start w:val="1"/>
      <w:numFmt w:val="decimal"/>
      <w:lvlText w:val="%7."/>
      <w:lvlJc w:val="left"/>
      <w:pPr>
        <w:ind w:left="3791" w:hanging="420"/>
      </w:pPr>
    </w:lvl>
    <w:lvl w:ilvl="7" w:tentative="0">
      <w:start w:val="1"/>
      <w:numFmt w:val="lowerLetter"/>
      <w:lvlText w:val="%8)"/>
      <w:lvlJc w:val="left"/>
      <w:pPr>
        <w:ind w:left="4211" w:hanging="420"/>
      </w:pPr>
    </w:lvl>
    <w:lvl w:ilvl="8" w:tentative="0">
      <w:start w:val="1"/>
      <w:numFmt w:val="lowerRoman"/>
      <w:lvlText w:val="%9."/>
      <w:lvlJc w:val="right"/>
      <w:pPr>
        <w:ind w:left="4631" w:hanging="420"/>
      </w:pPr>
    </w:lvl>
  </w:abstractNum>
  <w:abstractNum w:abstractNumId="34">
    <w:nsid w:val="68E911DF"/>
    <w:multiLevelType w:val="multilevel"/>
    <w:tmpl w:val="68E911DF"/>
    <w:lvl w:ilvl="0" w:tentative="0">
      <w:start w:val="7"/>
      <w:numFmt w:val="decimalEnclosedCircle"/>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5">
    <w:nsid w:val="6CEA2025"/>
    <w:multiLevelType w:val="multilevel"/>
    <w:tmpl w:val="6CEA2025"/>
    <w:lvl w:ilvl="0" w:tentative="0">
      <w:start w:val="1"/>
      <w:numFmt w:val="none"/>
      <w:pStyle w:val="256"/>
      <w:suff w:val="nothing"/>
      <w:lvlText w:val="%1"/>
      <w:lvlJc w:val="left"/>
      <w:pPr>
        <w:ind w:left="0" w:firstLine="0"/>
      </w:pPr>
      <w:rPr>
        <w:rFonts w:hint="default" w:ascii="Times New Roman" w:hAnsi="Times New Roman"/>
        <w:b/>
        <w:i w:val="0"/>
        <w:sz w:val="21"/>
      </w:rPr>
    </w:lvl>
    <w:lvl w:ilvl="1" w:tentative="0">
      <w:start w:val="1"/>
      <w:numFmt w:val="decimal"/>
      <w:pStyle w:val="329"/>
      <w:suff w:val="nothing"/>
      <w:lvlText w:val="%1%2　"/>
      <w:lvlJc w:val="left"/>
      <w:pPr>
        <w:ind w:left="0" w:firstLine="0"/>
      </w:pPr>
      <w:rPr>
        <w:rFonts w:hint="eastAsia" w:ascii="黑体" w:hAnsi="Times New Roman" w:eastAsia="黑体"/>
        <w:b w:val="0"/>
        <w:i w:val="0"/>
        <w:sz w:val="21"/>
      </w:rPr>
    </w:lvl>
    <w:lvl w:ilvl="2" w:tentative="0">
      <w:start w:val="1"/>
      <w:numFmt w:val="decimal"/>
      <w:pStyle w:val="308"/>
      <w:suff w:val="nothing"/>
      <w:lvlText w:val="%1%2.%3　"/>
      <w:lvlJc w:val="left"/>
      <w:pPr>
        <w:ind w:left="0" w:firstLine="0"/>
      </w:pPr>
      <w:rPr>
        <w:rFonts w:hint="eastAsia" w:ascii="黑体" w:hAnsi="Times New Roman" w:eastAsia="黑体"/>
        <w:b w:val="0"/>
        <w:i w:val="0"/>
        <w:sz w:val="21"/>
      </w:rPr>
    </w:lvl>
    <w:lvl w:ilvl="3" w:tentative="0">
      <w:start w:val="1"/>
      <w:numFmt w:val="decimal"/>
      <w:pStyle w:val="191"/>
      <w:suff w:val="nothing"/>
      <w:lvlText w:val="%1%2.%3.%4　"/>
      <w:lvlJc w:val="left"/>
      <w:pPr>
        <w:ind w:left="0" w:firstLine="0"/>
      </w:pPr>
      <w:rPr>
        <w:rFonts w:hint="eastAsia" w:ascii="黑体" w:hAnsi="Times New Roman" w:eastAsia="黑体"/>
        <w:b w:val="0"/>
        <w:i w:val="0"/>
        <w:sz w:val="21"/>
      </w:rPr>
    </w:lvl>
    <w:lvl w:ilvl="4" w:tentative="0">
      <w:start w:val="1"/>
      <w:numFmt w:val="decimal"/>
      <w:pStyle w:val="192"/>
      <w:suff w:val="nothing"/>
      <w:lvlText w:val="%1%2.%3.%4.%5　"/>
      <w:lvlJc w:val="left"/>
      <w:pPr>
        <w:ind w:left="0" w:firstLine="0"/>
      </w:pPr>
      <w:rPr>
        <w:rFonts w:hint="eastAsia" w:ascii="黑体" w:hAnsi="Times New Roman" w:eastAsia="黑体"/>
        <w:b w:val="0"/>
        <w:i w:val="0"/>
        <w:sz w:val="21"/>
      </w:rPr>
    </w:lvl>
    <w:lvl w:ilvl="5" w:tentative="0">
      <w:start w:val="1"/>
      <w:numFmt w:val="decimal"/>
      <w:pStyle w:val="193"/>
      <w:suff w:val="nothing"/>
      <w:lvlText w:val="%1%2.%3.%4.%5.%6　"/>
      <w:lvlJc w:val="left"/>
      <w:pPr>
        <w:ind w:left="0" w:firstLine="0"/>
      </w:pPr>
      <w:rPr>
        <w:rFonts w:hint="eastAsia" w:ascii="黑体" w:hAnsi="Times New Roman" w:eastAsia="黑体"/>
        <w:b w:val="0"/>
        <w:i w:val="0"/>
        <w:sz w:val="21"/>
      </w:rPr>
    </w:lvl>
    <w:lvl w:ilvl="6" w:tentative="0">
      <w:start w:val="1"/>
      <w:numFmt w:val="decimal"/>
      <w:pStyle w:val="19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6">
    <w:nsid w:val="6D6C07CD"/>
    <w:multiLevelType w:val="multilevel"/>
    <w:tmpl w:val="6D6C07CD"/>
    <w:lvl w:ilvl="0" w:tentative="0">
      <w:start w:val="1"/>
      <w:numFmt w:val="lowerLetter"/>
      <w:pStyle w:val="328"/>
      <w:lvlText w:val="%1)"/>
      <w:lvlJc w:val="left"/>
      <w:pPr>
        <w:tabs>
          <w:tab w:val="left" w:pos="839"/>
        </w:tabs>
        <w:ind w:left="839" w:hanging="419"/>
      </w:pPr>
      <w:rPr>
        <w:rFonts w:hint="eastAsia" w:ascii="宋体" w:eastAsia="宋体"/>
        <w:b w:val="0"/>
        <w:i w:val="0"/>
        <w:sz w:val="21"/>
      </w:rPr>
    </w:lvl>
    <w:lvl w:ilvl="1" w:tentative="0">
      <w:start w:val="1"/>
      <w:numFmt w:val="decimal"/>
      <w:pStyle w:val="321"/>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abstractNum w:abstractNumId="37">
    <w:nsid w:val="6E87019F"/>
    <w:multiLevelType w:val="multilevel"/>
    <w:tmpl w:val="6E87019F"/>
    <w:lvl w:ilvl="0" w:tentative="0">
      <w:start w:val="1"/>
      <w:numFmt w:val="chineseCountingThousand"/>
      <w:pStyle w:val="119"/>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8">
    <w:nsid w:val="72DF347D"/>
    <w:multiLevelType w:val="multilevel"/>
    <w:tmpl w:val="72DF347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pStyle w:val="122"/>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113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7543651A"/>
    <w:multiLevelType w:val="multilevel"/>
    <w:tmpl w:val="7543651A"/>
    <w:lvl w:ilvl="0" w:tentative="0">
      <w:start w:val="1"/>
      <w:numFmt w:val="lowerLetter"/>
      <w:pStyle w:val="117"/>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77E4025A"/>
    <w:multiLevelType w:val="singleLevel"/>
    <w:tmpl w:val="77E4025A"/>
    <w:lvl w:ilvl="0" w:tentative="0">
      <w:start w:val="1"/>
      <w:numFmt w:val="decimal"/>
      <w:suff w:val="nothing"/>
      <w:lvlText w:val="%1、"/>
      <w:lvlJc w:val="left"/>
    </w:lvl>
  </w:abstractNum>
  <w:num w:numId="1">
    <w:abstractNumId w:val="31"/>
  </w:num>
  <w:num w:numId="2">
    <w:abstractNumId w:val="23"/>
  </w:num>
  <w:num w:numId="3">
    <w:abstractNumId w:val="14"/>
  </w:num>
  <w:num w:numId="4">
    <w:abstractNumId w:val="32"/>
  </w:num>
  <w:num w:numId="5">
    <w:abstractNumId w:val="21"/>
  </w:num>
  <w:num w:numId="6">
    <w:abstractNumId w:val="22"/>
  </w:num>
  <w:num w:numId="7">
    <w:abstractNumId w:val="39"/>
  </w:num>
  <w:num w:numId="8">
    <w:abstractNumId w:val="37"/>
  </w:num>
  <w:num w:numId="9">
    <w:abstractNumId w:val="38"/>
  </w:num>
  <w:num w:numId="10">
    <w:abstractNumId w:val="12"/>
  </w:num>
  <w:num w:numId="11">
    <w:abstractNumId w:val="11"/>
  </w:num>
  <w:num w:numId="12">
    <w:abstractNumId w:val="9"/>
  </w:num>
  <w:num w:numId="13">
    <w:abstractNumId w:val="5"/>
  </w:num>
  <w:num w:numId="14">
    <w:abstractNumId w:val="16"/>
  </w:num>
  <w:num w:numId="15">
    <w:abstractNumId w:val="35"/>
  </w:num>
  <w:num w:numId="16">
    <w:abstractNumId w:val="6"/>
  </w:num>
  <w:num w:numId="17">
    <w:abstractNumId w:val="2"/>
  </w:num>
  <w:num w:numId="18">
    <w:abstractNumId w:val="17"/>
  </w:num>
  <w:num w:numId="19">
    <w:abstractNumId w:val="13"/>
  </w:num>
  <w:num w:numId="20">
    <w:abstractNumId w:val="19"/>
  </w:num>
  <w:num w:numId="21">
    <w:abstractNumId w:val="20"/>
  </w:num>
  <w:num w:numId="22">
    <w:abstractNumId w:val="25"/>
  </w:num>
  <w:num w:numId="23">
    <w:abstractNumId w:val="36"/>
  </w:num>
  <w:num w:numId="24">
    <w:abstractNumId w:val="15"/>
  </w:num>
  <w:num w:numId="25">
    <w:abstractNumId w:val="33"/>
  </w:num>
  <w:num w:numId="26">
    <w:abstractNumId w:val="24"/>
  </w:num>
  <w:num w:numId="27">
    <w:abstractNumId w:val="7"/>
  </w:num>
  <w:num w:numId="28">
    <w:abstractNumId w:val="34"/>
  </w:num>
  <w:num w:numId="29">
    <w:abstractNumId w:val="0"/>
  </w:num>
  <w:num w:numId="30">
    <w:abstractNumId w:val="40"/>
  </w:num>
  <w:num w:numId="31">
    <w:abstractNumId w:val="8"/>
  </w:num>
  <w:num w:numId="32">
    <w:abstractNumId w:val="1"/>
  </w:num>
  <w:num w:numId="33">
    <w:abstractNumId w:val="4"/>
  </w:num>
  <w:num w:numId="34">
    <w:abstractNumId w:val="3"/>
  </w:num>
  <w:num w:numId="35">
    <w:abstractNumId w:val="26"/>
  </w:num>
  <w:num w:numId="36">
    <w:abstractNumId w:val="18"/>
  </w:num>
  <w:num w:numId="37">
    <w:abstractNumId w:val="30"/>
  </w:num>
  <w:num w:numId="38">
    <w:abstractNumId w:val="10"/>
  </w:num>
  <w:num w:numId="39">
    <w:abstractNumId w:val="29"/>
  </w:num>
  <w:num w:numId="40">
    <w:abstractNumId w:val="28"/>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1"/>
  <w:bordersDoNotSurroundFooter w:val="1"/>
  <w:hideSpellingErrors/>
  <w:trackRevisions w:val="1"/>
  <w:documentProtection w:enforcement="0"/>
  <w:defaultTabStop w:val="420"/>
  <w:drawingGridHorizontalSpacing w:val="120"/>
  <w:drawingGridVerticalSpacing w:val="163"/>
  <w:noPunctuationKerning w:val="1"/>
  <w:characterSpacingControl w:val="compressPunctuation"/>
  <w:hdrShapeDefaults>
    <o:shapelayout v:ext="edit">
      <o:idmap v:ext="edit" data="2,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EzNDRjNWRkMjY3YjdkMzcxNGM4MjQ3YzIzMWI0MjIifQ=="/>
  </w:docVars>
  <w:rsids>
    <w:rsidRoot w:val="00BB761A"/>
    <w:rsid w:val="000008ED"/>
    <w:rsid w:val="0000175A"/>
    <w:rsid w:val="00001FE2"/>
    <w:rsid w:val="0000210C"/>
    <w:rsid w:val="00002ED2"/>
    <w:rsid w:val="0000331A"/>
    <w:rsid w:val="00003350"/>
    <w:rsid w:val="000037F7"/>
    <w:rsid w:val="0000448C"/>
    <w:rsid w:val="000044DB"/>
    <w:rsid w:val="00004A15"/>
    <w:rsid w:val="00004F02"/>
    <w:rsid w:val="0000540C"/>
    <w:rsid w:val="00005BB0"/>
    <w:rsid w:val="00005E7C"/>
    <w:rsid w:val="00005F84"/>
    <w:rsid w:val="0000615D"/>
    <w:rsid w:val="00006265"/>
    <w:rsid w:val="00010067"/>
    <w:rsid w:val="00011B94"/>
    <w:rsid w:val="00011D8A"/>
    <w:rsid w:val="0001206D"/>
    <w:rsid w:val="0001256D"/>
    <w:rsid w:val="00012ABF"/>
    <w:rsid w:val="00014436"/>
    <w:rsid w:val="00014D40"/>
    <w:rsid w:val="00015363"/>
    <w:rsid w:val="00015AC3"/>
    <w:rsid w:val="00015CFF"/>
    <w:rsid w:val="00015FC1"/>
    <w:rsid w:val="00016183"/>
    <w:rsid w:val="00016498"/>
    <w:rsid w:val="0001718A"/>
    <w:rsid w:val="00017225"/>
    <w:rsid w:val="000174A0"/>
    <w:rsid w:val="000174B1"/>
    <w:rsid w:val="00020626"/>
    <w:rsid w:val="000206AD"/>
    <w:rsid w:val="00020DA7"/>
    <w:rsid w:val="00020DE7"/>
    <w:rsid w:val="00021AE9"/>
    <w:rsid w:val="00021E9B"/>
    <w:rsid w:val="00022B50"/>
    <w:rsid w:val="00023675"/>
    <w:rsid w:val="00023962"/>
    <w:rsid w:val="000239D0"/>
    <w:rsid w:val="00024601"/>
    <w:rsid w:val="00024725"/>
    <w:rsid w:val="00024862"/>
    <w:rsid w:val="000250C3"/>
    <w:rsid w:val="00025C39"/>
    <w:rsid w:val="00027113"/>
    <w:rsid w:val="00027A15"/>
    <w:rsid w:val="00027BD6"/>
    <w:rsid w:val="000309BA"/>
    <w:rsid w:val="00030D02"/>
    <w:rsid w:val="00031237"/>
    <w:rsid w:val="000314BB"/>
    <w:rsid w:val="00031DD9"/>
    <w:rsid w:val="000320AD"/>
    <w:rsid w:val="0003241E"/>
    <w:rsid w:val="000325AB"/>
    <w:rsid w:val="00032622"/>
    <w:rsid w:val="00033BBE"/>
    <w:rsid w:val="00033F6D"/>
    <w:rsid w:val="00033FF5"/>
    <w:rsid w:val="000344A8"/>
    <w:rsid w:val="0003452C"/>
    <w:rsid w:val="00036458"/>
    <w:rsid w:val="000365E8"/>
    <w:rsid w:val="00037012"/>
    <w:rsid w:val="00037D23"/>
    <w:rsid w:val="00040385"/>
    <w:rsid w:val="000403EA"/>
    <w:rsid w:val="000409CC"/>
    <w:rsid w:val="00040F94"/>
    <w:rsid w:val="00041122"/>
    <w:rsid w:val="000415A5"/>
    <w:rsid w:val="000421CB"/>
    <w:rsid w:val="00042C2E"/>
    <w:rsid w:val="00042FFA"/>
    <w:rsid w:val="000431FD"/>
    <w:rsid w:val="0004336E"/>
    <w:rsid w:val="00043959"/>
    <w:rsid w:val="00043F50"/>
    <w:rsid w:val="0004492B"/>
    <w:rsid w:val="00044F61"/>
    <w:rsid w:val="000455BC"/>
    <w:rsid w:val="00045A0D"/>
    <w:rsid w:val="000463BA"/>
    <w:rsid w:val="00046640"/>
    <w:rsid w:val="000469C6"/>
    <w:rsid w:val="00047623"/>
    <w:rsid w:val="00047BC4"/>
    <w:rsid w:val="00047C24"/>
    <w:rsid w:val="00050126"/>
    <w:rsid w:val="00050273"/>
    <w:rsid w:val="0005050E"/>
    <w:rsid w:val="00050770"/>
    <w:rsid w:val="0005087B"/>
    <w:rsid w:val="00050B41"/>
    <w:rsid w:val="00051F3C"/>
    <w:rsid w:val="00052763"/>
    <w:rsid w:val="000527D2"/>
    <w:rsid w:val="00052B60"/>
    <w:rsid w:val="00052E40"/>
    <w:rsid w:val="00053163"/>
    <w:rsid w:val="00053CCC"/>
    <w:rsid w:val="000541A1"/>
    <w:rsid w:val="00054404"/>
    <w:rsid w:val="00054539"/>
    <w:rsid w:val="000545C0"/>
    <w:rsid w:val="00054A06"/>
    <w:rsid w:val="00054A5F"/>
    <w:rsid w:val="00055A04"/>
    <w:rsid w:val="000563E5"/>
    <w:rsid w:val="000572A3"/>
    <w:rsid w:val="000578B9"/>
    <w:rsid w:val="00057DFA"/>
    <w:rsid w:val="000604FA"/>
    <w:rsid w:val="00061F6E"/>
    <w:rsid w:val="00062388"/>
    <w:rsid w:val="00062DB6"/>
    <w:rsid w:val="0006317A"/>
    <w:rsid w:val="00063C7A"/>
    <w:rsid w:val="000644FD"/>
    <w:rsid w:val="00064953"/>
    <w:rsid w:val="00065796"/>
    <w:rsid w:val="00065F71"/>
    <w:rsid w:val="00066535"/>
    <w:rsid w:val="0007074C"/>
    <w:rsid w:val="000716FA"/>
    <w:rsid w:val="000717A9"/>
    <w:rsid w:val="00071B0F"/>
    <w:rsid w:val="00071DD7"/>
    <w:rsid w:val="00071F37"/>
    <w:rsid w:val="00072BFA"/>
    <w:rsid w:val="00073405"/>
    <w:rsid w:val="000734D1"/>
    <w:rsid w:val="00073B6B"/>
    <w:rsid w:val="00074099"/>
    <w:rsid w:val="00074C93"/>
    <w:rsid w:val="00075EAB"/>
    <w:rsid w:val="000763A2"/>
    <w:rsid w:val="000771D6"/>
    <w:rsid w:val="00077CC0"/>
    <w:rsid w:val="00080257"/>
    <w:rsid w:val="000804F6"/>
    <w:rsid w:val="00080FF8"/>
    <w:rsid w:val="00082BD3"/>
    <w:rsid w:val="000836F1"/>
    <w:rsid w:val="00083A85"/>
    <w:rsid w:val="00083BCC"/>
    <w:rsid w:val="00084365"/>
    <w:rsid w:val="00084385"/>
    <w:rsid w:val="00084CC0"/>
    <w:rsid w:val="00085057"/>
    <w:rsid w:val="00085490"/>
    <w:rsid w:val="00085B4B"/>
    <w:rsid w:val="00085DE8"/>
    <w:rsid w:val="000864BC"/>
    <w:rsid w:val="00086505"/>
    <w:rsid w:val="00086766"/>
    <w:rsid w:val="00086ABF"/>
    <w:rsid w:val="00086B70"/>
    <w:rsid w:val="00086F67"/>
    <w:rsid w:val="00090295"/>
    <w:rsid w:val="0009048A"/>
    <w:rsid w:val="00090A0E"/>
    <w:rsid w:val="00090B22"/>
    <w:rsid w:val="00090B88"/>
    <w:rsid w:val="00090E47"/>
    <w:rsid w:val="0009187E"/>
    <w:rsid w:val="00091A38"/>
    <w:rsid w:val="00091D27"/>
    <w:rsid w:val="00092A34"/>
    <w:rsid w:val="0009323B"/>
    <w:rsid w:val="000935C3"/>
    <w:rsid w:val="00093B05"/>
    <w:rsid w:val="00093F37"/>
    <w:rsid w:val="00093FC6"/>
    <w:rsid w:val="00094ACE"/>
    <w:rsid w:val="00096643"/>
    <w:rsid w:val="00096ADA"/>
    <w:rsid w:val="0009711C"/>
    <w:rsid w:val="0009723A"/>
    <w:rsid w:val="000974F5"/>
    <w:rsid w:val="000979DF"/>
    <w:rsid w:val="00097F7A"/>
    <w:rsid w:val="000A0B31"/>
    <w:rsid w:val="000A14FE"/>
    <w:rsid w:val="000A1597"/>
    <w:rsid w:val="000A1661"/>
    <w:rsid w:val="000A1DE8"/>
    <w:rsid w:val="000A35E4"/>
    <w:rsid w:val="000A41B0"/>
    <w:rsid w:val="000A4754"/>
    <w:rsid w:val="000A4AD5"/>
    <w:rsid w:val="000A63B0"/>
    <w:rsid w:val="000A65F1"/>
    <w:rsid w:val="000A6A2C"/>
    <w:rsid w:val="000A74F4"/>
    <w:rsid w:val="000A7F33"/>
    <w:rsid w:val="000A7F50"/>
    <w:rsid w:val="000B0882"/>
    <w:rsid w:val="000B106C"/>
    <w:rsid w:val="000B1829"/>
    <w:rsid w:val="000B2290"/>
    <w:rsid w:val="000B3397"/>
    <w:rsid w:val="000B4158"/>
    <w:rsid w:val="000B43B6"/>
    <w:rsid w:val="000B46FF"/>
    <w:rsid w:val="000B5040"/>
    <w:rsid w:val="000B59A2"/>
    <w:rsid w:val="000B694C"/>
    <w:rsid w:val="000B6958"/>
    <w:rsid w:val="000B6CD4"/>
    <w:rsid w:val="000B6D52"/>
    <w:rsid w:val="000B75DF"/>
    <w:rsid w:val="000B7E1D"/>
    <w:rsid w:val="000C0144"/>
    <w:rsid w:val="000C0745"/>
    <w:rsid w:val="000C11F3"/>
    <w:rsid w:val="000C1568"/>
    <w:rsid w:val="000C1F2D"/>
    <w:rsid w:val="000C304E"/>
    <w:rsid w:val="000C3B05"/>
    <w:rsid w:val="000C3E8E"/>
    <w:rsid w:val="000C4089"/>
    <w:rsid w:val="000C464B"/>
    <w:rsid w:val="000C46FB"/>
    <w:rsid w:val="000C5009"/>
    <w:rsid w:val="000C50B9"/>
    <w:rsid w:val="000C5651"/>
    <w:rsid w:val="000C59A0"/>
    <w:rsid w:val="000C59CC"/>
    <w:rsid w:val="000C5D76"/>
    <w:rsid w:val="000C621B"/>
    <w:rsid w:val="000C633C"/>
    <w:rsid w:val="000C70C2"/>
    <w:rsid w:val="000C7172"/>
    <w:rsid w:val="000D0EE3"/>
    <w:rsid w:val="000D18B7"/>
    <w:rsid w:val="000D1900"/>
    <w:rsid w:val="000D207F"/>
    <w:rsid w:val="000D21E3"/>
    <w:rsid w:val="000D24E1"/>
    <w:rsid w:val="000D333B"/>
    <w:rsid w:val="000D4184"/>
    <w:rsid w:val="000D4711"/>
    <w:rsid w:val="000D4D7D"/>
    <w:rsid w:val="000D4E79"/>
    <w:rsid w:val="000D4EC6"/>
    <w:rsid w:val="000D571E"/>
    <w:rsid w:val="000D5907"/>
    <w:rsid w:val="000D5B3D"/>
    <w:rsid w:val="000D62E6"/>
    <w:rsid w:val="000D775A"/>
    <w:rsid w:val="000D7BBC"/>
    <w:rsid w:val="000D7BC2"/>
    <w:rsid w:val="000D7E6A"/>
    <w:rsid w:val="000E0149"/>
    <w:rsid w:val="000E03AD"/>
    <w:rsid w:val="000E0DAE"/>
    <w:rsid w:val="000E0EED"/>
    <w:rsid w:val="000E1BDB"/>
    <w:rsid w:val="000E2C91"/>
    <w:rsid w:val="000E2DEB"/>
    <w:rsid w:val="000E36A7"/>
    <w:rsid w:val="000E3F65"/>
    <w:rsid w:val="000E46A3"/>
    <w:rsid w:val="000E4B93"/>
    <w:rsid w:val="000E4C5D"/>
    <w:rsid w:val="000E55E9"/>
    <w:rsid w:val="000E59F4"/>
    <w:rsid w:val="000E5D4B"/>
    <w:rsid w:val="000E61D9"/>
    <w:rsid w:val="000E639B"/>
    <w:rsid w:val="000E6F24"/>
    <w:rsid w:val="000E73D5"/>
    <w:rsid w:val="000E760F"/>
    <w:rsid w:val="000E7965"/>
    <w:rsid w:val="000E7E15"/>
    <w:rsid w:val="000F032D"/>
    <w:rsid w:val="000F05DD"/>
    <w:rsid w:val="000F06FF"/>
    <w:rsid w:val="000F09EA"/>
    <w:rsid w:val="000F0BFA"/>
    <w:rsid w:val="000F13BB"/>
    <w:rsid w:val="000F183E"/>
    <w:rsid w:val="000F2393"/>
    <w:rsid w:val="000F24DD"/>
    <w:rsid w:val="000F344C"/>
    <w:rsid w:val="000F3845"/>
    <w:rsid w:val="000F3968"/>
    <w:rsid w:val="000F4B92"/>
    <w:rsid w:val="000F4F59"/>
    <w:rsid w:val="000F535E"/>
    <w:rsid w:val="000F597C"/>
    <w:rsid w:val="000F631C"/>
    <w:rsid w:val="000F664F"/>
    <w:rsid w:val="000F6FA9"/>
    <w:rsid w:val="000F71C5"/>
    <w:rsid w:val="000F7FDB"/>
    <w:rsid w:val="00100161"/>
    <w:rsid w:val="00100A6C"/>
    <w:rsid w:val="00100D5D"/>
    <w:rsid w:val="0010142B"/>
    <w:rsid w:val="00101F88"/>
    <w:rsid w:val="001031AA"/>
    <w:rsid w:val="00103465"/>
    <w:rsid w:val="00103AFE"/>
    <w:rsid w:val="00103E17"/>
    <w:rsid w:val="00104847"/>
    <w:rsid w:val="00104A40"/>
    <w:rsid w:val="00107194"/>
    <w:rsid w:val="00107521"/>
    <w:rsid w:val="00110195"/>
    <w:rsid w:val="00110873"/>
    <w:rsid w:val="00110DE1"/>
    <w:rsid w:val="001110AE"/>
    <w:rsid w:val="00111127"/>
    <w:rsid w:val="001115EC"/>
    <w:rsid w:val="00111E99"/>
    <w:rsid w:val="00111FD9"/>
    <w:rsid w:val="001128C0"/>
    <w:rsid w:val="00113483"/>
    <w:rsid w:val="001139A9"/>
    <w:rsid w:val="00113A6D"/>
    <w:rsid w:val="00115990"/>
    <w:rsid w:val="00115C73"/>
    <w:rsid w:val="00116814"/>
    <w:rsid w:val="00116A27"/>
    <w:rsid w:val="00117345"/>
    <w:rsid w:val="00117816"/>
    <w:rsid w:val="00117AB9"/>
    <w:rsid w:val="0012053C"/>
    <w:rsid w:val="00120E62"/>
    <w:rsid w:val="00120EF1"/>
    <w:rsid w:val="00121366"/>
    <w:rsid w:val="00122A69"/>
    <w:rsid w:val="00123214"/>
    <w:rsid w:val="00123E94"/>
    <w:rsid w:val="0012425C"/>
    <w:rsid w:val="001248CB"/>
    <w:rsid w:val="00124E70"/>
    <w:rsid w:val="00125116"/>
    <w:rsid w:val="001251BB"/>
    <w:rsid w:val="001257BE"/>
    <w:rsid w:val="00125933"/>
    <w:rsid w:val="00126032"/>
    <w:rsid w:val="00126379"/>
    <w:rsid w:val="00126A45"/>
    <w:rsid w:val="001272D1"/>
    <w:rsid w:val="00127311"/>
    <w:rsid w:val="001278D6"/>
    <w:rsid w:val="00127E8F"/>
    <w:rsid w:val="001303E9"/>
    <w:rsid w:val="00130CD4"/>
    <w:rsid w:val="00130DCE"/>
    <w:rsid w:val="00131E8B"/>
    <w:rsid w:val="00132481"/>
    <w:rsid w:val="001328E0"/>
    <w:rsid w:val="00132B9F"/>
    <w:rsid w:val="001331FB"/>
    <w:rsid w:val="00133A69"/>
    <w:rsid w:val="00134079"/>
    <w:rsid w:val="00134094"/>
    <w:rsid w:val="00136097"/>
    <w:rsid w:val="001362CA"/>
    <w:rsid w:val="00136472"/>
    <w:rsid w:val="001366EC"/>
    <w:rsid w:val="00136B80"/>
    <w:rsid w:val="001370BF"/>
    <w:rsid w:val="00137250"/>
    <w:rsid w:val="00137691"/>
    <w:rsid w:val="001376E1"/>
    <w:rsid w:val="00137853"/>
    <w:rsid w:val="0013793E"/>
    <w:rsid w:val="00137BCA"/>
    <w:rsid w:val="00137D96"/>
    <w:rsid w:val="00137F8C"/>
    <w:rsid w:val="00140013"/>
    <w:rsid w:val="00140384"/>
    <w:rsid w:val="001406F6"/>
    <w:rsid w:val="001407A6"/>
    <w:rsid w:val="00140859"/>
    <w:rsid w:val="00140F7C"/>
    <w:rsid w:val="00141617"/>
    <w:rsid w:val="00141910"/>
    <w:rsid w:val="00141B16"/>
    <w:rsid w:val="0014207F"/>
    <w:rsid w:val="00142270"/>
    <w:rsid w:val="00142366"/>
    <w:rsid w:val="00143257"/>
    <w:rsid w:val="0014356B"/>
    <w:rsid w:val="001438A3"/>
    <w:rsid w:val="0014496F"/>
    <w:rsid w:val="001450AE"/>
    <w:rsid w:val="001451BC"/>
    <w:rsid w:val="001456AE"/>
    <w:rsid w:val="001465AC"/>
    <w:rsid w:val="00146E62"/>
    <w:rsid w:val="00147B2D"/>
    <w:rsid w:val="001512F4"/>
    <w:rsid w:val="001519F9"/>
    <w:rsid w:val="00151EB0"/>
    <w:rsid w:val="0015238E"/>
    <w:rsid w:val="00152877"/>
    <w:rsid w:val="001528A9"/>
    <w:rsid w:val="00152AAB"/>
    <w:rsid w:val="00152FCD"/>
    <w:rsid w:val="001530C8"/>
    <w:rsid w:val="001531E0"/>
    <w:rsid w:val="0015361F"/>
    <w:rsid w:val="00153F3B"/>
    <w:rsid w:val="001547D0"/>
    <w:rsid w:val="00154E3C"/>
    <w:rsid w:val="001575A9"/>
    <w:rsid w:val="001575F4"/>
    <w:rsid w:val="00157AE7"/>
    <w:rsid w:val="00160075"/>
    <w:rsid w:val="00160A9E"/>
    <w:rsid w:val="00160CA1"/>
    <w:rsid w:val="0016130F"/>
    <w:rsid w:val="00162498"/>
    <w:rsid w:val="00162A3F"/>
    <w:rsid w:val="00162C92"/>
    <w:rsid w:val="00163363"/>
    <w:rsid w:val="00163627"/>
    <w:rsid w:val="001643C5"/>
    <w:rsid w:val="00164579"/>
    <w:rsid w:val="001651A4"/>
    <w:rsid w:val="00165454"/>
    <w:rsid w:val="00165C83"/>
    <w:rsid w:val="00165EC9"/>
    <w:rsid w:val="00166121"/>
    <w:rsid w:val="001666A7"/>
    <w:rsid w:val="0016679A"/>
    <w:rsid w:val="00167530"/>
    <w:rsid w:val="001675AD"/>
    <w:rsid w:val="00170552"/>
    <w:rsid w:val="001717B3"/>
    <w:rsid w:val="00171B67"/>
    <w:rsid w:val="00171D0C"/>
    <w:rsid w:val="00171D48"/>
    <w:rsid w:val="00171F3E"/>
    <w:rsid w:val="00172962"/>
    <w:rsid w:val="00172AA5"/>
    <w:rsid w:val="001737D6"/>
    <w:rsid w:val="00173BDD"/>
    <w:rsid w:val="00173FC5"/>
    <w:rsid w:val="00174444"/>
    <w:rsid w:val="00174A25"/>
    <w:rsid w:val="00175577"/>
    <w:rsid w:val="00175DB5"/>
    <w:rsid w:val="0017679D"/>
    <w:rsid w:val="00176F42"/>
    <w:rsid w:val="0017771A"/>
    <w:rsid w:val="00180093"/>
    <w:rsid w:val="00180154"/>
    <w:rsid w:val="00180227"/>
    <w:rsid w:val="00180E46"/>
    <w:rsid w:val="00180EB8"/>
    <w:rsid w:val="001811D1"/>
    <w:rsid w:val="0018161F"/>
    <w:rsid w:val="001819AF"/>
    <w:rsid w:val="001819E4"/>
    <w:rsid w:val="0018213A"/>
    <w:rsid w:val="00182254"/>
    <w:rsid w:val="001825A6"/>
    <w:rsid w:val="00183800"/>
    <w:rsid w:val="00183840"/>
    <w:rsid w:val="00183949"/>
    <w:rsid w:val="00184C99"/>
    <w:rsid w:val="00184E32"/>
    <w:rsid w:val="00185800"/>
    <w:rsid w:val="00185CCA"/>
    <w:rsid w:val="00186257"/>
    <w:rsid w:val="00186437"/>
    <w:rsid w:val="0018672F"/>
    <w:rsid w:val="00186A61"/>
    <w:rsid w:val="001874B8"/>
    <w:rsid w:val="001877C9"/>
    <w:rsid w:val="001878FD"/>
    <w:rsid w:val="0018797D"/>
    <w:rsid w:val="00187D76"/>
    <w:rsid w:val="00190C01"/>
    <w:rsid w:val="00190C2D"/>
    <w:rsid w:val="00190F09"/>
    <w:rsid w:val="00191A37"/>
    <w:rsid w:val="0019297D"/>
    <w:rsid w:val="00192A34"/>
    <w:rsid w:val="0019374E"/>
    <w:rsid w:val="0019387D"/>
    <w:rsid w:val="00194095"/>
    <w:rsid w:val="00194744"/>
    <w:rsid w:val="00195C62"/>
    <w:rsid w:val="00195F96"/>
    <w:rsid w:val="00196028"/>
    <w:rsid w:val="00197279"/>
    <w:rsid w:val="00197D64"/>
    <w:rsid w:val="001A004F"/>
    <w:rsid w:val="001A03FF"/>
    <w:rsid w:val="001A1554"/>
    <w:rsid w:val="001A173C"/>
    <w:rsid w:val="001A1E82"/>
    <w:rsid w:val="001A2646"/>
    <w:rsid w:val="001A2F39"/>
    <w:rsid w:val="001A35E8"/>
    <w:rsid w:val="001A3D59"/>
    <w:rsid w:val="001A3F85"/>
    <w:rsid w:val="001A41E4"/>
    <w:rsid w:val="001A43B7"/>
    <w:rsid w:val="001A48AE"/>
    <w:rsid w:val="001A5397"/>
    <w:rsid w:val="001A6691"/>
    <w:rsid w:val="001A6D50"/>
    <w:rsid w:val="001A7316"/>
    <w:rsid w:val="001A78B3"/>
    <w:rsid w:val="001A79FA"/>
    <w:rsid w:val="001A7A91"/>
    <w:rsid w:val="001A7ACC"/>
    <w:rsid w:val="001B0274"/>
    <w:rsid w:val="001B0FF7"/>
    <w:rsid w:val="001B150A"/>
    <w:rsid w:val="001B172A"/>
    <w:rsid w:val="001B174A"/>
    <w:rsid w:val="001B1C15"/>
    <w:rsid w:val="001B211B"/>
    <w:rsid w:val="001B2131"/>
    <w:rsid w:val="001B23A3"/>
    <w:rsid w:val="001B2CA3"/>
    <w:rsid w:val="001B2E0D"/>
    <w:rsid w:val="001B44AE"/>
    <w:rsid w:val="001B4688"/>
    <w:rsid w:val="001B46A7"/>
    <w:rsid w:val="001B4DBE"/>
    <w:rsid w:val="001B4EC7"/>
    <w:rsid w:val="001B515D"/>
    <w:rsid w:val="001B52E5"/>
    <w:rsid w:val="001B5437"/>
    <w:rsid w:val="001B57C9"/>
    <w:rsid w:val="001B57E1"/>
    <w:rsid w:val="001B57E8"/>
    <w:rsid w:val="001B5E91"/>
    <w:rsid w:val="001B67EC"/>
    <w:rsid w:val="001B6D01"/>
    <w:rsid w:val="001B7CB2"/>
    <w:rsid w:val="001B7CB4"/>
    <w:rsid w:val="001C034D"/>
    <w:rsid w:val="001C143A"/>
    <w:rsid w:val="001C1DEA"/>
    <w:rsid w:val="001C2433"/>
    <w:rsid w:val="001C3234"/>
    <w:rsid w:val="001C4F4A"/>
    <w:rsid w:val="001C5071"/>
    <w:rsid w:val="001C54B6"/>
    <w:rsid w:val="001C57AF"/>
    <w:rsid w:val="001C5FC4"/>
    <w:rsid w:val="001C6165"/>
    <w:rsid w:val="001C6BFD"/>
    <w:rsid w:val="001C70A4"/>
    <w:rsid w:val="001C7270"/>
    <w:rsid w:val="001C7745"/>
    <w:rsid w:val="001C786F"/>
    <w:rsid w:val="001C7B80"/>
    <w:rsid w:val="001C7FCD"/>
    <w:rsid w:val="001D05B5"/>
    <w:rsid w:val="001D0613"/>
    <w:rsid w:val="001D0A3B"/>
    <w:rsid w:val="001D0BD6"/>
    <w:rsid w:val="001D0E30"/>
    <w:rsid w:val="001D0FAA"/>
    <w:rsid w:val="001D2206"/>
    <w:rsid w:val="001D2430"/>
    <w:rsid w:val="001D2DFC"/>
    <w:rsid w:val="001D2FCE"/>
    <w:rsid w:val="001D3C49"/>
    <w:rsid w:val="001D58D7"/>
    <w:rsid w:val="001D59A9"/>
    <w:rsid w:val="001D5C46"/>
    <w:rsid w:val="001D6BEC"/>
    <w:rsid w:val="001D74B2"/>
    <w:rsid w:val="001E045E"/>
    <w:rsid w:val="001E15AB"/>
    <w:rsid w:val="001E1FB6"/>
    <w:rsid w:val="001E2695"/>
    <w:rsid w:val="001E3CFD"/>
    <w:rsid w:val="001E3F29"/>
    <w:rsid w:val="001E4D4E"/>
    <w:rsid w:val="001E51B8"/>
    <w:rsid w:val="001E5621"/>
    <w:rsid w:val="001E5849"/>
    <w:rsid w:val="001E5B6C"/>
    <w:rsid w:val="001E5DAC"/>
    <w:rsid w:val="001E618E"/>
    <w:rsid w:val="001E688C"/>
    <w:rsid w:val="001E70D7"/>
    <w:rsid w:val="001E7F32"/>
    <w:rsid w:val="001F0654"/>
    <w:rsid w:val="001F084E"/>
    <w:rsid w:val="001F160B"/>
    <w:rsid w:val="001F1A31"/>
    <w:rsid w:val="001F20F4"/>
    <w:rsid w:val="001F232A"/>
    <w:rsid w:val="001F2E00"/>
    <w:rsid w:val="001F33FD"/>
    <w:rsid w:val="001F3D6C"/>
    <w:rsid w:val="001F4885"/>
    <w:rsid w:val="001F52F6"/>
    <w:rsid w:val="001F538C"/>
    <w:rsid w:val="001F7B83"/>
    <w:rsid w:val="002005FC"/>
    <w:rsid w:val="00200B8B"/>
    <w:rsid w:val="002012C3"/>
    <w:rsid w:val="00201450"/>
    <w:rsid w:val="00202002"/>
    <w:rsid w:val="002026C1"/>
    <w:rsid w:val="00202C17"/>
    <w:rsid w:val="00202DFA"/>
    <w:rsid w:val="00202EE3"/>
    <w:rsid w:val="00203137"/>
    <w:rsid w:val="00203425"/>
    <w:rsid w:val="00203747"/>
    <w:rsid w:val="00203CCE"/>
    <w:rsid w:val="002059DB"/>
    <w:rsid w:val="00205E49"/>
    <w:rsid w:val="002061F7"/>
    <w:rsid w:val="002075FB"/>
    <w:rsid w:val="00207A13"/>
    <w:rsid w:val="00207E55"/>
    <w:rsid w:val="00207EF8"/>
    <w:rsid w:val="002100B9"/>
    <w:rsid w:val="002113A0"/>
    <w:rsid w:val="002124FD"/>
    <w:rsid w:val="00213F48"/>
    <w:rsid w:val="00214B77"/>
    <w:rsid w:val="00214DED"/>
    <w:rsid w:val="00215010"/>
    <w:rsid w:val="00216574"/>
    <w:rsid w:val="0021680E"/>
    <w:rsid w:val="00216A6A"/>
    <w:rsid w:val="00216E07"/>
    <w:rsid w:val="002171AE"/>
    <w:rsid w:val="00217698"/>
    <w:rsid w:val="002176FE"/>
    <w:rsid w:val="0021782A"/>
    <w:rsid w:val="00220451"/>
    <w:rsid w:val="002211A5"/>
    <w:rsid w:val="00221831"/>
    <w:rsid w:val="0022183E"/>
    <w:rsid w:val="00221885"/>
    <w:rsid w:val="00222F38"/>
    <w:rsid w:val="00223A55"/>
    <w:rsid w:val="0022459A"/>
    <w:rsid w:val="00224B20"/>
    <w:rsid w:val="00225902"/>
    <w:rsid w:val="00225A28"/>
    <w:rsid w:val="00225A78"/>
    <w:rsid w:val="00225DC4"/>
    <w:rsid w:val="00226127"/>
    <w:rsid w:val="00226470"/>
    <w:rsid w:val="00226689"/>
    <w:rsid w:val="002268D9"/>
    <w:rsid w:val="00226CCF"/>
    <w:rsid w:val="00227A33"/>
    <w:rsid w:val="00227D93"/>
    <w:rsid w:val="00230115"/>
    <w:rsid w:val="0023051C"/>
    <w:rsid w:val="002305E3"/>
    <w:rsid w:val="00231E61"/>
    <w:rsid w:val="00232BCD"/>
    <w:rsid w:val="00233A35"/>
    <w:rsid w:val="00233EEF"/>
    <w:rsid w:val="0023439C"/>
    <w:rsid w:val="0023504A"/>
    <w:rsid w:val="002357D4"/>
    <w:rsid w:val="00235BAE"/>
    <w:rsid w:val="00235CA3"/>
    <w:rsid w:val="0023640A"/>
    <w:rsid w:val="00236442"/>
    <w:rsid w:val="00236A1D"/>
    <w:rsid w:val="0023714F"/>
    <w:rsid w:val="0023757B"/>
    <w:rsid w:val="00237CB9"/>
    <w:rsid w:val="00240B42"/>
    <w:rsid w:val="00240BFB"/>
    <w:rsid w:val="00241293"/>
    <w:rsid w:val="0024160C"/>
    <w:rsid w:val="0024178A"/>
    <w:rsid w:val="00241BE5"/>
    <w:rsid w:val="00242A86"/>
    <w:rsid w:val="00242B43"/>
    <w:rsid w:val="00242D35"/>
    <w:rsid w:val="00244516"/>
    <w:rsid w:val="00244BBF"/>
    <w:rsid w:val="00244FAD"/>
    <w:rsid w:val="00244FCF"/>
    <w:rsid w:val="0024542A"/>
    <w:rsid w:val="00250056"/>
    <w:rsid w:val="00250991"/>
    <w:rsid w:val="00250CD1"/>
    <w:rsid w:val="00250E7C"/>
    <w:rsid w:val="00251202"/>
    <w:rsid w:val="00251374"/>
    <w:rsid w:val="00251818"/>
    <w:rsid w:val="00251FD6"/>
    <w:rsid w:val="0025268B"/>
    <w:rsid w:val="00252AB0"/>
    <w:rsid w:val="00252B68"/>
    <w:rsid w:val="00252C9C"/>
    <w:rsid w:val="00253036"/>
    <w:rsid w:val="0025341A"/>
    <w:rsid w:val="00253AA1"/>
    <w:rsid w:val="00253F5C"/>
    <w:rsid w:val="002542D5"/>
    <w:rsid w:val="00254641"/>
    <w:rsid w:val="00254733"/>
    <w:rsid w:val="00254963"/>
    <w:rsid w:val="00254BBE"/>
    <w:rsid w:val="00254EB8"/>
    <w:rsid w:val="00254FCF"/>
    <w:rsid w:val="00255885"/>
    <w:rsid w:val="00255B13"/>
    <w:rsid w:val="00255EAA"/>
    <w:rsid w:val="00256E0D"/>
    <w:rsid w:val="00257EA8"/>
    <w:rsid w:val="00257F12"/>
    <w:rsid w:val="00260180"/>
    <w:rsid w:val="00260500"/>
    <w:rsid w:val="00261349"/>
    <w:rsid w:val="0026134F"/>
    <w:rsid w:val="002615A0"/>
    <w:rsid w:val="00261671"/>
    <w:rsid w:val="00261790"/>
    <w:rsid w:val="00262ED7"/>
    <w:rsid w:val="002630C5"/>
    <w:rsid w:val="002639E4"/>
    <w:rsid w:val="00263C74"/>
    <w:rsid w:val="002644DA"/>
    <w:rsid w:val="00264537"/>
    <w:rsid w:val="0026477A"/>
    <w:rsid w:val="002647D6"/>
    <w:rsid w:val="0026486A"/>
    <w:rsid w:val="00264F68"/>
    <w:rsid w:val="002652A9"/>
    <w:rsid w:val="0026690E"/>
    <w:rsid w:val="00266B91"/>
    <w:rsid w:val="00266BA0"/>
    <w:rsid w:val="002670C7"/>
    <w:rsid w:val="00267811"/>
    <w:rsid w:val="00267AA7"/>
    <w:rsid w:val="002704ED"/>
    <w:rsid w:val="002714E8"/>
    <w:rsid w:val="00272A76"/>
    <w:rsid w:val="002732A3"/>
    <w:rsid w:val="00273CE6"/>
    <w:rsid w:val="00274784"/>
    <w:rsid w:val="00274D81"/>
    <w:rsid w:val="00275A95"/>
    <w:rsid w:val="00275D0A"/>
    <w:rsid w:val="00275E3B"/>
    <w:rsid w:val="002765E5"/>
    <w:rsid w:val="0027689A"/>
    <w:rsid w:val="002769EF"/>
    <w:rsid w:val="0027750B"/>
    <w:rsid w:val="00277E8B"/>
    <w:rsid w:val="002804EB"/>
    <w:rsid w:val="002821EE"/>
    <w:rsid w:val="00282BAD"/>
    <w:rsid w:val="00283BBC"/>
    <w:rsid w:val="00283EBD"/>
    <w:rsid w:val="002847CD"/>
    <w:rsid w:val="002849FA"/>
    <w:rsid w:val="00284C5F"/>
    <w:rsid w:val="00284F46"/>
    <w:rsid w:val="002852B4"/>
    <w:rsid w:val="00285974"/>
    <w:rsid w:val="00285E5A"/>
    <w:rsid w:val="002868B4"/>
    <w:rsid w:val="00287308"/>
    <w:rsid w:val="00287E11"/>
    <w:rsid w:val="0029025C"/>
    <w:rsid w:val="00290A2F"/>
    <w:rsid w:val="00290E8E"/>
    <w:rsid w:val="0029163D"/>
    <w:rsid w:val="00293441"/>
    <w:rsid w:val="002939BF"/>
    <w:rsid w:val="00293D35"/>
    <w:rsid w:val="00293EE1"/>
    <w:rsid w:val="00294B3D"/>
    <w:rsid w:val="00294D0F"/>
    <w:rsid w:val="00295362"/>
    <w:rsid w:val="00295C5A"/>
    <w:rsid w:val="002965B0"/>
    <w:rsid w:val="00296BE0"/>
    <w:rsid w:val="00296D08"/>
    <w:rsid w:val="00297BA4"/>
    <w:rsid w:val="00297C4E"/>
    <w:rsid w:val="002A063A"/>
    <w:rsid w:val="002A1219"/>
    <w:rsid w:val="002A14AE"/>
    <w:rsid w:val="002A15E6"/>
    <w:rsid w:val="002A2097"/>
    <w:rsid w:val="002A330E"/>
    <w:rsid w:val="002A3900"/>
    <w:rsid w:val="002A4016"/>
    <w:rsid w:val="002A4054"/>
    <w:rsid w:val="002A456F"/>
    <w:rsid w:val="002A5095"/>
    <w:rsid w:val="002A50F9"/>
    <w:rsid w:val="002A5261"/>
    <w:rsid w:val="002A56FE"/>
    <w:rsid w:val="002A58F7"/>
    <w:rsid w:val="002A5AB6"/>
    <w:rsid w:val="002A6973"/>
    <w:rsid w:val="002A7501"/>
    <w:rsid w:val="002B0E8D"/>
    <w:rsid w:val="002B0F2F"/>
    <w:rsid w:val="002B0FB0"/>
    <w:rsid w:val="002B11AE"/>
    <w:rsid w:val="002B12CB"/>
    <w:rsid w:val="002B15B6"/>
    <w:rsid w:val="002B1FC6"/>
    <w:rsid w:val="002B2753"/>
    <w:rsid w:val="002B3076"/>
    <w:rsid w:val="002B3A55"/>
    <w:rsid w:val="002B3A84"/>
    <w:rsid w:val="002B40B7"/>
    <w:rsid w:val="002B45B0"/>
    <w:rsid w:val="002B46E8"/>
    <w:rsid w:val="002B4BC9"/>
    <w:rsid w:val="002B4CBA"/>
    <w:rsid w:val="002B52CA"/>
    <w:rsid w:val="002B6C29"/>
    <w:rsid w:val="002B6F3F"/>
    <w:rsid w:val="002B77B9"/>
    <w:rsid w:val="002C0BC1"/>
    <w:rsid w:val="002C0D0A"/>
    <w:rsid w:val="002C1275"/>
    <w:rsid w:val="002C1910"/>
    <w:rsid w:val="002C203A"/>
    <w:rsid w:val="002C20F6"/>
    <w:rsid w:val="002C230E"/>
    <w:rsid w:val="002C2FFE"/>
    <w:rsid w:val="002C3631"/>
    <w:rsid w:val="002C402E"/>
    <w:rsid w:val="002C42F5"/>
    <w:rsid w:val="002C49B6"/>
    <w:rsid w:val="002C5DA1"/>
    <w:rsid w:val="002C5F8F"/>
    <w:rsid w:val="002C6647"/>
    <w:rsid w:val="002C6D04"/>
    <w:rsid w:val="002C7035"/>
    <w:rsid w:val="002C7367"/>
    <w:rsid w:val="002C76AD"/>
    <w:rsid w:val="002C7948"/>
    <w:rsid w:val="002D0A1A"/>
    <w:rsid w:val="002D0AA3"/>
    <w:rsid w:val="002D17D4"/>
    <w:rsid w:val="002D1827"/>
    <w:rsid w:val="002D1AEA"/>
    <w:rsid w:val="002D24A6"/>
    <w:rsid w:val="002D2690"/>
    <w:rsid w:val="002D2716"/>
    <w:rsid w:val="002D291B"/>
    <w:rsid w:val="002D3484"/>
    <w:rsid w:val="002D4055"/>
    <w:rsid w:val="002D40F5"/>
    <w:rsid w:val="002D4613"/>
    <w:rsid w:val="002D5C50"/>
    <w:rsid w:val="002D5F5B"/>
    <w:rsid w:val="002D6D37"/>
    <w:rsid w:val="002D6FDA"/>
    <w:rsid w:val="002D73E1"/>
    <w:rsid w:val="002D79FC"/>
    <w:rsid w:val="002E1561"/>
    <w:rsid w:val="002E1646"/>
    <w:rsid w:val="002E1ED1"/>
    <w:rsid w:val="002E2E33"/>
    <w:rsid w:val="002E3C10"/>
    <w:rsid w:val="002E4AEF"/>
    <w:rsid w:val="002E61E0"/>
    <w:rsid w:val="002E6602"/>
    <w:rsid w:val="002E6D9E"/>
    <w:rsid w:val="002E784C"/>
    <w:rsid w:val="002F03BF"/>
    <w:rsid w:val="002F05D5"/>
    <w:rsid w:val="002F14F8"/>
    <w:rsid w:val="002F1768"/>
    <w:rsid w:val="002F1D40"/>
    <w:rsid w:val="002F2A4B"/>
    <w:rsid w:val="002F2E4B"/>
    <w:rsid w:val="002F4477"/>
    <w:rsid w:val="002F4B2A"/>
    <w:rsid w:val="002F6380"/>
    <w:rsid w:val="002F646E"/>
    <w:rsid w:val="002F64B3"/>
    <w:rsid w:val="002F64EA"/>
    <w:rsid w:val="002F69EE"/>
    <w:rsid w:val="002F741B"/>
    <w:rsid w:val="002F7857"/>
    <w:rsid w:val="003007E5"/>
    <w:rsid w:val="00300FB1"/>
    <w:rsid w:val="0030135A"/>
    <w:rsid w:val="003013BB"/>
    <w:rsid w:val="00301601"/>
    <w:rsid w:val="00301C7D"/>
    <w:rsid w:val="00301F3E"/>
    <w:rsid w:val="003020AD"/>
    <w:rsid w:val="00302541"/>
    <w:rsid w:val="00302703"/>
    <w:rsid w:val="003029A7"/>
    <w:rsid w:val="00302E13"/>
    <w:rsid w:val="00302F65"/>
    <w:rsid w:val="003032F8"/>
    <w:rsid w:val="00303706"/>
    <w:rsid w:val="00303795"/>
    <w:rsid w:val="003037E9"/>
    <w:rsid w:val="003068C2"/>
    <w:rsid w:val="003070BF"/>
    <w:rsid w:val="00307809"/>
    <w:rsid w:val="003103F1"/>
    <w:rsid w:val="00310B67"/>
    <w:rsid w:val="0031163B"/>
    <w:rsid w:val="00312955"/>
    <w:rsid w:val="0031376F"/>
    <w:rsid w:val="0031399D"/>
    <w:rsid w:val="003139A5"/>
    <w:rsid w:val="00315CCC"/>
    <w:rsid w:val="00316557"/>
    <w:rsid w:val="00316619"/>
    <w:rsid w:val="0031774C"/>
    <w:rsid w:val="00317927"/>
    <w:rsid w:val="00321F3C"/>
    <w:rsid w:val="003227B6"/>
    <w:rsid w:val="00322990"/>
    <w:rsid w:val="00322DCB"/>
    <w:rsid w:val="00323CC3"/>
    <w:rsid w:val="00323F11"/>
    <w:rsid w:val="0032428C"/>
    <w:rsid w:val="003246A4"/>
    <w:rsid w:val="00324960"/>
    <w:rsid w:val="00324B60"/>
    <w:rsid w:val="00324BB2"/>
    <w:rsid w:val="00324D1D"/>
    <w:rsid w:val="0032513C"/>
    <w:rsid w:val="003251FC"/>
    <w:rsid w:val="003258C4"/>
    <w:rsid w:val="00326054"/>
    <w:rsid w:val="003261E2"/>
    <w:rsid w:val="003264C3"/>
    <w:rsid w:val="00326B14"/>
    <w:rsid w:val="00326F3A"/>
    <w:rsid w:val="00330768"/>
    <w:rsid w:val="00330940"/>
    <w:rsid w:val="003309C1"/>
    <w:rsid w:val="003312F7"/>
    <w:rsid w:val="0033183F"/>
    <w:rsid w:val="00332D35"/>
    <w:rsid w:val="003334AA"/>
    <w:rsid w:val="003334F4"/>
    <w:rsid w:val="003338E4"/>
    <w:rsid w:val="0033434C"/>
    <w:rsid w:val="00334678"/>
    <w:rsid w:val="00334ADD"/>
    <w:rsid w:val="003350EC"/>
    <w:rsid w:val="00335500"/>
    <w:rsid w:val="00335A83"/>
    <w:rsid w:val="00336C99"/>
    <w:rsid w:val="003371FC"/>
    <w:rsid w:val="003378E5"/>
    <w:rsid w:val="003409C8"/>
    <w:rsid w:val="00341814"/>
    <w:rsid w:val="00341D18"/>
    <w:rsid w:val="00341FB1"/>
    <w:rsid w:val="003421B6"/>
    <w:rsid w:val="00342A3F"/>
    <w:rsid w:val="00342C03"/>
    <w:rsid w:val="00342F77"/>
    <w:rsid w:val="00343031"/>
    <w:rsid w:val="00343EC4"/>
    <w:rsid w:val="003447BD"/>
    <w:rsid w:val="0034484B"/>
    <w:rsid w:val="00344D43"/>
    <w:rsid w:val="0034653C"/>
    <w:rsid w:val="003465B8"/>
    <w:rsid w:val="00346807"/>
    <w:rsid w:val="0034743B"/>
    <w:rsid w:val="0035065B"/>
    <w:rsid w:val="003506A0"/>
    <w:rsid w:val="00350DC9"/>
    <w:rsid w:val="00350E54"/>
    <w:rsid w:val="00350F88"/>
    <w:rsid w:val="00351185"/>
    <w:rsid w:val="0035219D"/>
    <w:rsid w:val="00352230"/>
    <w:rsid w:val="0035281D"/>
    <w:rsid w:val="003531C5"/>
    <w:rsid w:val="003542F6"/>
    <w:rsid w:val="003545DE"/>
    <w:rsid w:val="00354842"/>
    <w:rsid w:val="00355C19"/>
    <w:rsid w:val="00356C38"/>
    <w:rsid w:val="00356D39"/>
    <w:rsid w:val="00357FD7"/>
    <w:rsid w:val="00360755"/>
    <w:rsid w:val="00360ACE"/>
    <w:rsid w:val="00361CC8"/>
    <w:rsid w:val="00361CDF"/>
    <w:rsid w:val="00361DE2"/>
    <w:rsid w:val="00362249"/>
    <w:rsid w:val="003625FD"/>
    <w:rsid w:val="003627D8"/>
    <w:rsid w:val="00362A69"/>
    <w:rsid w:val="003631BD"/>
    <w:rsid w:val="00363BEC"/>
    <w:rsid w:val="003642B8"/>
    <w:rsid w:val="003647EF"/>
    <w:rsid w:val="00364B4D"/>
    <w:rsid w:val="00364BEC"/>
    <w:rsid w:val="00365672"/>
    <w:rsid w:val="0036579A"/>
    <w:rsid w:val="00365A31"/>
    <w:rsid w:val="00365C41"/>
    <w:rsid w:val="00366365"/>
    <w:rsid w:val="00366915"/>
    <w:rsid w:val="003675AF"/>
    <w:rsid w:val="003676AE"/>
    <w:rsid w:val="00367ADE"/>
    <w:rsid w:val="00371CEC"/>
    <w:rsid w:val="00371DCF"/>
    <w:rsid w:val="003733D4"/>
    <w:rsid w:val="00373D20"/>
    <w:rsid w:val="003742FC"/>
    <w:rsid w:val="0037472C"/>
    <w:rsid w:val="00374F3B"/>
    <w:rsid w:val="00376191"/>
    <w:rsid w:val="003765B8"/>
    <w:rsid w:val="00376BFA"/>
    <w:rsid w:val="00377C1D"/>
    <w:rsid w:val="00377F88"/>
    <w:rsid w:val="0038057C"/>
    <w:rsid w:val="00380E6E"/>
    <w:rsid w:val="00380F92"/>
    <w:rsid w:val="00381AF5"/>
    <w:rsid w:val="003820D1"/>
    <w:rsid w:val="003826BB"/>
    <w:rsid w:val="00383127"/>
    <w:rsid w:val="003836AD"/>
    <w:rsid w:val="00384D25"/>
    <w:rsid w:val="00384FBB"/>
    <w:rsid w:val="003859F7"/>
    <w:rsid w:val="00385D48"/>
    <w:rsid w:val="0038607F"/>
    <w:rsid w:val="00386B0D"/>
    <w:rsid w:val="00386BC8"/>
    <w:rsid w:val="00386C65"/>
    <w:rsid w:val="0038714C"/>
    <w:rsid w:val="00387E6B"/>
    <w:rsid w:val="00390906"/>
    <w:rsid w:val="00390AA5"/>
    <w:rsid w:val="00390EB5"/>
    <w:rsid w:val="0039123D"/>
    <w:rsid w:val="003915BC"/>
    <w:rsid w:val="00391CC1"/>
    <w:rsid w:val="00392142"/>
    <w:rsid w:val="00392B69"/>
    <w:rsid w:val="00392E18"/>
    <w:rsid w:val="003933C1"/>
    <w:rsid w:val="003936A8"/>
    <w:rsid w:val="00393BB0"/>
    <w:rsid w:val="00394084"/>
    <w:rsid w:val="0039417C"/>
    <w:rsid w:val="00395056"/>
    <w:rsid w:val="0039597A"/>
    <w:rsid w:val="00396211"/>
    <w:rsid w:val="00396651"/>
    <w:rsid w:val="003973C9"/>
    <w:rsid w:val="00397A31"/>
    <w:rsid w:val="003A0B9E"/>
    <w:rsid w:val="003A11FF"/>
    <w:rsid w:val="003A12D8"/>
    <w:rsid w:val="003A2269"/>
    <w:rsid w:val="003A2315"/>
    <w:rsid w:val="003A2B6A"/>
    <w:rsid w:val="003A2E69"/>
    <w:rsid w:val="003A2E7D"/>
    <w:rsid w:val="003A3659"/>
    <w:rsid w:val="003A4469"/>
    <w:rsid w:val="003A4AF6"/>
    <w:rsid w:val="003A6D75"/>
    <w:rsid w:val="003A769B"/>
    <w:rsid w:val="003A7BE2"/>
    <w:rsid w:val="003B0213"/>
    <w:rsid w:val="003B053F"/>
    <w:rsid w:val="003B1620"/>
    <w:rsid w:val="003B20CB"/>
    <w:rsid w:val="003B4BD7"/>
    <w:rsid w:val="003B5EBB"/>
    <w:rsid w:val="003B617A"/>
    <w:rsid w:val="003B75A3"/>
    <w:rsid w:val="003B7F88"/>
    <w:rsid w:val="003C0EC9"/>
    <w:rsid w:val="003C0F29"/>
    <w:rsid w:val="003C0F77"/>
    <w:rsid w:val="003C2B9B"/>
    <w:rsid w:val="003C302B"/>
    <w:rsid w:val="003C4E4F"/>
    <w:rsid w:val="003C59B9"/>
    <w:rsid w:val="003C5B8B"/>
    <w:rsid w:val="003C5F06"/>
    <w:rsid w:val="003C604B"/>
    <w:rsid w:val="003C65A2"/>
    <w:rsid w:val="003C6C7B"/>
    <w:rsid w:val="003C6D06"/>
    <w:rsid w:val="003C6D37"/>
    <w:rsid w:val="003C6FEB"/>
    <w:rsid w:val="003C7AD8"/>
    <w:rsid w:val="003C7BF5"/>
    <w:rsid w:val="003C7D6F"/>
    <w:rsid w:val="003D0967"/>
    <w:rsid w:val="003D11BD"/>
    <w:rsid w:val="003D1389"/>
    <w:rsid w:val="003D13AA"/>
    <w:rsid w:val="003D20DD"/>
    <w:rsid w:val="003D223F"/>
    <w:rsid w:val="003D2506"/>
    <w:rsid w:val="003D2786"/>
    <w:rsid w:val="003D294B"/>
    <w:rsid w:val="003D2CED"/>
    <w:rsid w:val="003D2F38"/>
    <w:rsid w:val="003D3972"/>
    <w:rsid w:val="003D46EA"/>
    <w:rsid w:val="003D4B13"/>
    <w:rsid w:val="003D54CA"/>
    <w:rsid w:val="003D5A97"/>
    <w:rsid w:val="003D5C44"/>
    <w:rsid w:val="003D6214"/>
    <w:rsid w:val="003D6E27"/>
    <w:rsid w:val="003D7201"/>
    <w:rsid w:val="003D7F0B"/>
    <w:rsid w:val="003E0494"/>
    <w:rsid w:val="003E0957"/>
    <w:rsid w:val="003E09E3"/>
    <w:rsid w:val="003E0ACC"/>
    <w:rsid w:val="003E16F5"/>
    <w:rsid w:val="003E18DE"/>
    <w:rsid w:val="003E1A15"/>
    <w:rsid w:val="003E2AA8"/>
    <w:rsid w:val="003E2FDA"/>
    <w:rsid w:val="003E3240"/>
    <w:rsid w:val="003E3C1E"/>
    <w:rsid w:val="003E409D"/>
    <w:rsid w:val="003E44D0"/>
    <w:rsid w:val="003E4617"/>
    <w:rsid w:val="003E4D80"/>
    <w:rsid w:val="003E63B7"/>
    <w:rsid w:val="003E6444"/>
    <w:rsid w:val="003E663D"/>
    <w:rsid w:val="003F01E1"/>
    <w:rsid w:val="003F07A1"/>
    <w:rsid w:val="003F22FD"/>
    <w:rsid w:val="003F2E23"/>
    <w:rsid w:val="003F3C01"/>
    <w:rsid w:val="003F41D4"/>
    <w:rsid w:val="003F4A8C"/>
    <w:rsid w:val="003F4AE4"/>
    <w:rsid w:val="003F525A"/>
    <w:rsid w:val="003F52EA"/>
    <w:rsid w:val="003F6D23"/>
    <w:rsid w:val="003F7255"/>
    <w:rsid w:val="003F77C8"/>
    <w:rsid w:val="003F78D0"/>
    <w:rsid w:val="003F7E77"/>
    <w:rsid w:val="004015D2"/>
    <w:rsid w:val="004040B4"/>
    <w:rsid w:val="00404118"/>
    <w:rsid w:val="00404F19"/>
    <w:rsid w:val="004057A8"/>
    <w:rsid w:val="004061C8"/>
    <w:rsid w:val="004066E8"/>
    <w:rsid w:val="00406CA9"/>
    <w:rsid w:val="0041007C"/>
    <w:rsid w:val="004109CD"/>
    <w:rsid w:val="00410D50"/>
    <w:rsid w:val="00410DC5"/>
    <w:rsid w:val="00410FEA"/>
    <w:rsid w:val="00411905"/>
    <w:rsid w:val="00411B74"/>
    <w:rsid w:val="00411D0F"/>
    <w:rsid w:val="004124B2"/>
    <w:rsid w:val="00412528"/>
    <w:rsid w:val="004128A3"/>
    <w:rsid w:val="00413229"/>
    <w:rsid w:val="00413BC2"/>
    <w:rsid w:val="00413DF9"/>
    <w:rsid w:val="00414216"/>
    <w:rsid w:val="00414409"/>
    <w:rsid w:val="004154B7"/>
    <w:rsid w:val="00415F0C"/>
    <w:rsid w:val="0041626C"/>
    <w:rsid w:val="0041653D"/>
    <w:rsid w:val="004168F7"/>
    <w:rsid w:val="00417424"/>
    <w:rsid w:val="00417A97"/>
    <w:rsid w:val="00421668"/>
    <w:rsid w:val="004223EA"/>
    <w:rsid w:val="00422754"/>
    <w:rsid w:val="00422D19"/>
    <w:rsid w:val="0042304A"/>
    <w:rsid w:val="004232EA"/>
    <w:rsid w:val="00423440"/>
    <w:rsid w:val="0042368E"/>
    <w:rsid w:val="004236BC"/>
    <w:rsid w:val="00423FBF"/>
    <w:rsid w:val="00424CF2"/>
    <w:rsid w:val="0042589E"/>
    <w:rsid w:val="004261E3"/>
    <w:rsid w:val="00426D9C"/>
    <w:rsid w:val="0042713F"/>
    <w:rsid w:val="00427387"/>
    <w:rsid w:val="004307C5"/>
    <w:rsid w:val="00430E9E"/>
    <w:rsid w:val="00430F3C"/>
    <w:rsid w:val="004316AE"/>
    <w:rsid w:val="004318EC"/>
    <w:rsid w:val="00431D82"/>
    <w:rsid w:val="004340A1"/>
    <w:rsid w:val="00434565"/>
    <w:rsid w:val="00434B7A"/>
    <w:rsid w:val="00434D11"/>
    <w:rsid w:val="0043541E"/>
    <w:rsid w:val="004354F6"/>
    <w:rsid w:val="00435832"/>
    <w:rsid w:val="004361A7"/>
    <w:rsid w:val="004361FB"/>
    <w:rsid w:val="004362A1"/>
    <w:rsid w:val="00436716"/>
    <w:rsid w:val="00437359"/>
    <w:rsid w:val="00441F1D"/>
    <w:rsid w:val="0044385D"/>
    <w:rsid w:val="00444CBE"/>
    <w:rsid w:val="0044521A"/>
    <w:rsid w:val="00445969"/>
    <w:rsid w:val="00445A9E"/>
    <w:rsid w:val="00445DEA"/>
    <w:rsid w:val="004462A6"/>
    <w:rsid w:val="00446414"/>
    <w:rsid w:val="00446AF8"/>
    <w:rsid w:val="00447222"/>
    <w:rsid w:val="00447C0B"/>
    <w:rsid w:val="00447C1E"/>
    <w:rsid w:val="00450AB6"/>
    <w:rsid w:val="0045110D"/>
    <w:rsid w:val="00451860"/>
    <w:rsid w:val="004524E0"/>
    <w:rsid w:val="004526E2"/>
    <w:rsid w:val="00452DB5"/>
    <w:rsid w:val="004542E1"/>
    <w:rsid w:val="00454FB6"/>
    <w:rsid w:val="004553C7"/>
    <w:rsid w:val="0045548E"/>
    <w:rsid w:val="0045549E"/>
    <w:rsid w:val="00456343"/>
    <w:rsid w:val="00456547"/>
    <w:rsid w:val="00456557"/>
    <w:rsid w:val="00456791"/>
    <w:rsid w:val="0045735C"/>
    <w:rsid w:val="00457891"/>
    <w:rsid w:val="00457E80"/>
    <w:rsid w:val="004608AB"/>
    <w:rsid w:val="004611CE"/>
    <w:rsid w:val="00461243"/>
    <w:rsid w:val="004619F9"/>
    <w:rsid w:val="00462784"/>
    <w:rsid w:val="004628E1"/>
    <w:rsid w:val="00462CFB"/>
    <w:rsid w:val="00462E89"/>
    <w:rsid w:val="00463809"/>
    <w:rsid w:val="0046382F"/>
    <w:rsid w:val="00463906"/>
    <w:rsid w:val="00463940"/>
    <w:rsid w:val="00463B39"/>
    <w:rsid w:val="00463E74"/>
    <w:rsid w:val="004640D3"/>
    <w:rsid w:val="00464D1B"/>
    <w:rsid w:val="004654AA"/>
    <w:rsid w:val="004658C0"/>
    <w:rsid w:val="00465DCE"/>
    <w:rsid w:val="0046663C"/>
    <w:rsid w:val="00470D54"/>
    <w:rsid w:val="0047132B"/>
    <w:rsid w:val="00471692"/>
    <w:rsid w:val="00471800"/>
    <w:rsid w:val="00471B76"/>
    <w:rsid w:val="00471CBC"/>
    <w:rsid w:val="00471E09"/>
    <w:rsid w:val="00472A6B"/>
    <w:rsid w:val="004744D4"/>
    <w:rsid w:val="004745E1"/>
    <w:rsid w:val="00474A4A"/>
    <w:rsid w:val="00475261"/>
    <w:rsid w:val="00475824"/>
    <w:rsid w:val="00475F26"/>
    <w:rsid w:val="004767BA"/>
    <w:rsid w:val="0048054F"/>
    <w:rsid w:val="00480E2E"/>
    <w:rsid w:val="00480E2F"/>
    <w:rsid w:val="00481224"/>
    <w:rsid w:val="004817BB"/>
    <w:rsid w:val="004822C9"/>
    <w:rsid w:val="004825B3"/>
    <w:rsid w:val="00482896"/>
    <w:rsid w:val="00483239"/>
    <w:rsid w:val="0048339A"/>
    <w:rsid w:val="004838EF"/>
    <w:rsid w:val="0048399D"/>
    <w:rsid w:val="00483AB7"/>
    <w:rsid w:val="004851EC"/>
    <w:rsid w:val="004857EA"/>
    <w:rsid w:val="00486662"/>
    <w:rsid w:val="00486C25"/>
    <w:rsid w:val="00486EAA"/>
    <w:rsid w:val="00486FBF"/>
    <w:rsid w:val="004874B2"/>
    <w:rsid w:val="00487A8D"/>
    <w:rsid w:val="0049058D"/>
    <w:rsid w:val="00490F08"/>
    <w:rsid w:val="004910A4"/>
    <w:rsid w:val="004911D1"/>
    <w:rsid w:val="00491663"/>
    <w:rsid w:val="00492916"/>
    <w:rsid w:val="00492D79"/>
    <w:rsid w:val="004937EB"/>
    <w:rsid w:val="00493A05"/>
    <w:rsid w:val="004950A7"/>
    <w:rsid w:val="004952D1"/>
    <w:rsid w:val="00495354"/>
    <w:rsid w:val="00495A54"/>
    <w:rsid w:val="00495CA0"/>
    <w:rsid w:val="0049604A"/>
    <w:rsid w:val="004960E8"/>
    <w:rsid w:val="00496154"/>
    <w:rsid w:val="00496471"/>
    <w:rsid w:val="00496653"/>
    <w:rsid w:val="004966E8"/>
    <w:rsid w:val="00497BB4"/>
    <w:rsid w:val="004A056D"/>
    <w:rsid w:val="004A0A11"/>
    <w:rsid w:val="004A0A9B"/>
    <w:rsid w:val="004A0D74"/>
    <w:rsid w:val="004A14ED"/>
    <w:rsid w:val="004A161D"/>
    <w:rsid w:val="004A1831"/>
    <w:rsid w:val="004A1B22"/>
    <w:rsid w:val="004A1E97"/>
    <w:rsid w:val="004A1EDA"/>
    <w:rsid w:val="004A34A5"/>
    <w:rsid w:val="004A34F6"/>
    <w:rsid w:val="004A37EC"/>
    <w:rsid w:val="004A4FB8"/>
    <w:rsid w:val="004A5368"/>
    <w:rsid w:val="004A5429"/>
    <w:rsid w:val="004A5AE3"/>
    <w:rsid w:val="004A62C1"/>
    <w:rsid w:val="004A651C"/>
    <w:rsid w:val="004A7667"/>
    <w:rsid w:val="004A767B"/>
    <w:rsid w:val="004A79EF"/>
    <w:rsid w:val="004B08F8"/>
    <w:rsid w:val="004B09D3"/>
    <w:rsid w:val="004B0B5A"/>
    <w:rsid w:val="004B0C6C"/>
    <w:rsid w:val="004B0D0A"/>
    <w:rsid w:val="004B0D62"/>
    <w:rsid w:val="004B3E55"/>
    <w:rsid w:val="004B41C8"/>
    <w:rsid w:val="004B423F"/>
    <w:rsid w:val="004B42A8"/>
    <w:rsid w:val="004B4568"/>
    <w:rsid w:val="004B4951"/>
    <w:rsid w:val="004B53D0"/>
    <w:rsid w:val="004B558F"/>
    <w:rsid w:val="004B593C"/>
    <w:rsid w:val="004B5D39"/>
    <w:rsid w:val="004B6DA1"/>
    <w:rsid w:val="004B70EF"/>
    <w:rsid w:val="004B732B"/>
    <w:rsid w:val="004B73CF"/>
    <w:rsid w:val="004B7413"/>
    <w:rsid w:val="004B75FF"/>
    <w:rsid w:val="004B76DC"/>
    <w:rsid w:val="004C037B"/>
    <w:rsid w:val="004C08D8"/>
    <w:rsid w:val="004C0BAC"/>
    <w:rsid w:val="004C145A"/>
    <w:rsid w:val="004C17E6"/>
    <w:rsid w:val="004C214E"/>
    <w:rsid w:val="004C255D"/>
    <w:rsid w:val="004C2C08"/>
    <w:rsid w:val="004C318A"/>
    <w:rsid w:val="004C441C"/>
    <w:rsid w:val="004C47D0"/>
    <w:rsid w:val="004C5802"/>
    <w:rsid w:val="004C5841"/>
    <w:rsid w:val="004C6146"/>
    <w:rsid w:val="004C69A5"/>
    <w:rsid w:val="004C6A32"/>
    <w:rsid w:val="004C700B"/>
    <w:rsid w:val="004C7490"/>
    <w:rsid w:val="004C7CD4"/>
    <w:rsid w:val="004D054F"/>
    <w:rsid w:val="004D058F"/>
    <w:rsid w:val="004D096E"/>
    <w:rsid w:val="004D1478"/>
    <w:rsid w:val="004D1573"/>
    <w:rsid w:val="004D1BF3"/>
    <w:rsid w:val="004D29C7"/>
    <w:rsid w:val="004D2AAC"/>
    <w:rsid w:val="004D3004"/>
    <w:rsid w:val="004D31D0"/>
    <w:rsid w:val="004D35F4"/>
    <w:rsid w:val="004D3BB5"/>
    <w:rsid w:val="004D3F6B"/>
    <w:rsid w:val="004D3F89"/>
    <w:rsid w:val="004D4EC6"/>
    <w:rsid w:val="004D5C00"/>
    <w:rsid w:val="004D5EEE"/>
    <w:rsid w:val="004D5FDD"/>
    <w:rsid w:val="004D620F"/>
    <w:rsid w:val="004D6C6A"/>
    <w:rsid w:val="004D6FEA"/>
    <w:rsid w:val="004E03B2"/>
    <w:rsid w:val="004E18B5"/>
    <w:rsid w:val="004E19B0"/>
    <w:rsid w:val="004E22DF"/>
    <w:rsid w:val="004E24DC"/>
    <w:rsid w:val="004E2818"/>
    <w:rsid w:val="004E37B8"/>
    <w:rsid w:val="004E4E01"/>
    <w:rsid w:val="004E513C"/>
    <w:rsid w:val="004E530B"/>
    <w:rsid w:val="004E5B7A"/>
    <w:rsid w:val="004E5B92"/>
    <w:rsid w:val="004E5BA9"/>
    <w:rsid w:val="004E5CA3"/>
    <w:rsid w:val="004E638B"/>
    <w:rsid w:val="004E6469"/>
    <w:rsid w:val="004E64D6"/>
    <w:rsid w:val="004E6A57"/>
    <w:rsid w:val="004E73AF"/>
    <w:rsid w:val="004E7F1C"/>
    <w:rsid w:val="004F144A"/>
    <w:rsid w:val="004F1A15"/>
    <w:rsid w:val="004F1C56"/>
    <w:rsid w:val="004F1EB6"/>
    <w:rsid w:val="004F30B2"/>
    <w:rsid w:val="004F31B8"/>
    <w:rsid w:val="004F3531"/>
    <w:rsid w:val="004F432F"/>
    <w:rsid w:val="004F4775"/>
    <w:rsid w:val="004F4866"/>
    <w:rsid w:val="004F4AA7"/>
    <w:rsid w:val="004F4EB2"/>
    <w:rsid w:val="004F5D79"/>
    <w:rsid w:val="004F681D"/>
    <w:rsid w:val="004F7123"/>
    <w:rsid w:val="004F7211"/>
    <w:rsid w:val="004F746E"/>
    <w:rsid w:val="004F7D80"/>
    <w:rsid w:val="0050132B"/>
    <w:rsid w:val="00502276"/>
    <w:rsid w:val="00503494"/>
    <w:rsid w:val="005036CD"/>
    <w:rsid w:val="00503766"/>
    <w:rsid w:val="005048E7"/>
    <w:rsid w:val="005048FD"/>
    <w:rsid w:val="00504985"/>
    <w:rsid w:val="00504C20"/>
    <w:rsid w:val="00504D95"/>
    <w:rsid w:val="00506126"/>
    <w:rsid w:val="0050703C"/>
    <w:rsid w:val="0050777D"/>
    <w:rsid w:val="005100AD"/>
    <w:rsid w:val="0051041B"/>
    <w:rsid w:val="005108CC"/>
    <w:rsid w:val="0051093B"/>
    <w:rsid w:val="00510A6A"/>
    <w:rsid w:val="00511E17"/>
    <w:rsid w:val="00512A71"/>
    <w:rsid w:val="00512A9E"/>
    <w:rsid w:val="00512FA2"/>
    <w:rsid w:val="00513728"/>
    <w:rsid w:val="00514286"/>
    <w:rsid w:val="005144E9"/>
    <w:rsid w:val="0051532D"/>
    <w:rsid w:val="00516054"/>
    <w:rsid w:val="005160BB"/>
    <w:rsid w:val="005169E6"/>
    <w:rsid w:val="005176F4"/>
    <w:rsid w:val="00517BA2"/>
    <w:rsid w:val="0052015B"/>
    <w:rsid w:val="00520839"/>
    <w:rsid w:val="005208EA"/>
    <w:rsid w:val="00520BFF"/>
    <w:rsid w:val="00520E41"/>
    <w:rsid w:val="00520EAA"/>
    <w:rsid w:val="00523007"/>
    <w:rsid w:val="005236CC"/>
    <w:rsid w:val="005237C0"/>
    <w:rsid w:val="00524519"/>
    <w:rsid w:val="00524572"/>
    <w:rsid w:val="005250BC"/>
    <w:rsid w:val="0052557D"/>
    <w:rsid w:val="00525857"/>
    <w:rsid w:val="00525A65"/>
    <w:rsid w:val="00526496"/>
    <w:rsid w:val="00526A55"/>
    <w:rsid w:val="00526FC4"/>
    <w:rsid w:val="00527843"/>
    <w:rsid w:val="00527BA3"/>
    <w:rsid w:val="005306F3"/>
    <w:rsid w:val="005313EF"/>
    <w:rsid w:val="00532527"/>
    <w:rsid w:val="00532885"/>
    <w:rsid w:val="00532900"/>
    <w:rsid w:val="00532C77"/>
    <w:rsid w:val="00532DD0"/>
    <w:rsid w:val="0053324A"/>
    <w:rsid w:val="005336EB"/>
    <w:rsid w:val="005345B3"/>
    <w:rsid w:val="00534E07"/>
    <w:rsid w:val="00535354"/>
    <w:rsid w:val="005359BC"/>
    <w:rsid w:val="00535B30"/>
    <w:rsid w:val="00536686"/>
    <w:rsid w:val="00540D43"/>
    <w:rsid w:val="00540DA1"/>
    <w:rsid w:val="005412C3"/>
    <w:rsid w:val="00541C9A"/>
    <w:rsid w:val="0054260F"/>
    <w:rsid w:val="00542702"/>
    <w:rsid w:val="00542C3D"/>
    <w:rsid w:val="00542C61"/>
    <w:rsid w:val="00544010"/>
    <w:rsid w:val="0054451A"/>
    <w:rsid w:val="0054474B"/>
    <w:rsid w:val="00544C92"/>
    <w:rsid w:val="00545C5D"/>
    <w:rsid w:val="005462CB"/>
    <w:rsid w:val="00546471"/>
    <w:rsid w:val="005464D9"/>
    <w:rsid w:val="005477DB"/>
    <w:rsid w:val="00547E10"/>
    <w:rsid w:val="0055017C"/>
    <w:rsid w:val="00550EBD"/>
    <w:rsid w:val="0055138C"/>
    <w:rsid w:val="00551432"/>
    <w:rsid w:val="005524D9"/>
    <w:rsid w:val="00552EA3"/>
    <w:rsid w:val="0055361A"/>
    <w:rsid w:val="00553ED9"/>
    <w:rsid w:val="00553FD7"/>
    <w:rsid w:val="00554094"/>
    <w:rsid w:val="005540C9"/>
    <w:rsid w:val="005541D7"/>
    <w:rsid w:val="00554306"/>
    <w:rsid w:val="00554E41"/>
    <w:rsid w:val="00555954"/>
    <w:rsid w:val="00556051"/>
    <w:rsid w:val="005564D4"/>
    <w:rsid w:val="0055718B"/>
    <w:rsid w:val="00557858"/>
    <w:rsid w:val="0055788E"/>
    <w:rsid w:val="00557B54"/>
    <w:rsid w:val="00557CDC"/>
    <w:rsid w:val="00557F97"/>
    <w:rsid w:val="00560899"/>
    <w:rsid w:val="00560CC0"/>
    <w:rsid w:val="00560CF7"/>
    <w:rsid w:val="00560F60"/>
    <w:rsid w:val="0056156A"/>
    <w:rsid w:val="0056227D"/>
    <w:rsid w:val="00562B9E"/>
    <w:rsid w:val="00562F64"/>
    <w:rsid w:val="005636A9"/>
    <w:rsid w:val="005638AA"/>
    <w:rsid w:val="00563C6B"/>
    <w:rsid w:val="00564827"/>
    <w:rsid w:val="00564ADF"/>
    <w:rsid w:val="00564EA7"/>
    <w:rsid w:val="00564F7B"/>
    <w:rsid w:val="005653FE"/>
    <w:rsid w:val="00565E15"/>
    <w:rsid w:val="00565F1F"/>
    <w:rsid w:val="0056751A"/>
    <w:rsid w:val="005679F8"/>
    <w:rsid w:val="00567C0E"/>
    <w:rsid w:val="00570787"/>
    <w:rsid w:val="00570838"/>
    <w:rsid w:val="005708AA"/>
    <w:rsid w:val="00571839"/>
    <w:rsid w:val="00571840"/>
    <w:rsid w:val="00572789"/>
    <w:rsid w:val="005727B1"/>
    <w:rsid w:val="0057287D"/>
    <w:rsid w:val="00572C44"/>
    <w:rsid w:val="0057323B"/>
    <w:rsid w:val="005740AB"/>
    <w:rsid w:val="0057428F"/>
    <w:rsid w:val="00574313"/>
    <w:rsid w:val="005746D2"/>
    <w:rsid w:val="0057590A"/>
    <w:rsid w:val="00576337"/>
    <w:rsid w:val="00576D50"/>
    <w:rsid w:val="00577BF4"/>
    <w:rsid w:val="00577EC8"/>
    <w:rsid w:val="00580F30"/>
    <w:rsid w:val="00581051"/>
    <w:rsid w:val="005815D1"/>
    <w:rsid w:val="005822CD"/>
    <w:rsid w:val="00582BAC"/>
    <w:rsid w:val="0058434F"/>
    <w:rsid w:val="005844D5"/>
    <w:rsid w:val="005848ED"/>
    <w:rsid w:val="00584B07"/>
    <w:rsid w:val="00585160"/>
    <w:rsid w:val="00585844"/>
    <w:rsid w:val="0058584E"/>
    <w:rsid w:val="00586A7D"/>
    <w:rsid w:val="00590071"/>
    <w:rsid w:val="00590223"/>
    <w:rsid w:val="005902FF"/>
    <w:rsid w:val="00590653"/>
    <w:rsid w:val="00590CF0"/>
    <w:rsid w:val="00591729"/>
    <w:rsid w:val="00591A22"/>
    <w:rsid w:val="00592610"/>
    <w:rsid w:val="00593091"/>
    <w:rsid w:val="005930A4"/>
    <w:rsid w:val="005934F4"/>
    <w:rsid w:val="00593AF7"/>
    <w:rsid w:val="00594C9D"/>
    <w:rsid w:val="00595ADF"/>
    <w:rsid w:val="00595E0E"/>
    <w:rsid w:val="00596003"/>
    <w:rsid w:val="00596DD5"/>
    <w:rsid w:val="00596E45"/>
    <w:rsid w:val="00596E93"/>
    <w:rsid w:val="00597237"/>
    <w:rsid w:val="00597F34"/>
    <w:rsid w:val="005A07B9"/>
    <w:rsid w:val="005A099A"/>
    <w:rsid w:val="005A0C2C"/>
    <w:rsid w:val="005A0C9A"/>
    <w:rsid w:val="005A0F79"/>
    <w:rsid w:val="005A0FD9"/>
    <w:rsid w:val="005A11C6"/>
    <w:rsid w:val="005A176E"/>
    <w:rsid w:val="005A1C25"/>
    <w:rsid w:val="005A1ECD"/>
    <w:rsid w:val="005A2DA0"/>
    <w:rsid w:val="005A3612"/>
    <w:rsid w:val="005A37C7"/>
    <w:rsid w:val="005A3840"/>
    <w:rsid w:val="005A4637"/>
    <w:rsid w:val="005A4877"/>
    <w:rsid w:val="005A5225"/>
    <w:rsid w:val="005A5469"/>
    <w:rsid w:val="005A5B1E"/>
    <w:rsid w:val="005A5CB5"/>
    <w:rsid w:val="005A6296"/>
    <w:rsid w:val="005A6B6C"/>
    <w:rsid w:val="005A6FDD"/>
    <w:rsid w:val="005B0162"/>
    <w:rsid w:val="005B0550"/>
    <w:rsid w:val="005B05EC"/>
    <w:rsid w:val="005B0EC7"/>
    <w:rsid w:val="005B1748"/>
    <w:rsid w:val="005B2AF0"/>
    <w:rsid w:val="005B375F"/>
    <w:rsid w:val="005B4258"/>
    <w:rsid w:val="005B46B5"/>
    <w:rsid w:val="005B4EA5"/>
    <w:rsid w:val="005B6016"/>
    <w:rsid w:val="005B6596"/>
    <w:rsid w:val="005B6955"/>
    <w:rsid w:val="005B6E07"/>
    <w:rsid w:val="005B733A"/>
    <w:rsid w:val="005B7BEC"/>
    <w:rsid w:val="005C048D"/>
    <w:rsid w:val="005C05D6"/>
    <w:rsid w:val="005C06A2"/>
    <w:rsid w:val="005C075D"/>
    <w:rsid w:val="005C15A9"/>
    <w:rsid w:val="005C1B11"/>
    <w:rsid w:val="005C1E5A"/>
    <w:rsid w:val="005C2754"/>
    <w:rsid w:val="005C2FFE"/>
    <w:rsid w:val="005C33CA"/>
    <w:rsid w:val="005C3B8F"/>
    <w:rsid w:val="005C53BE"/>
    <w:rsid w:val="005C6B63"/>
    <w:rsid w:val="005C7069"/>
    <w:rsid w:val="005C761E"/>
    <w:rsid w:val="005C7B30"/>
    <w:rsid w:val="005D0486"/>
    <w:rsid w:val="005D081A"/>
    <w:rsid w:val="005D1530"/>
    <w:rsid w:val="005D261B"/>
    <w:rsid w:val="005D28E0"/>
    <w:rsid w:val="005D2A58"/>
    <w:rsid w:val="005D33C0"/>
    <w:rsid w:val="005D3AD0"/>
    <w:rsid w:val="005D3D65"/>
    <w:rsid w:val="005D3DEB"/>
    <w:rsid w:val="005D56D6"/>
    <w:rsid w:val="005D58D8"/>
    <w:rsid w:val="005D5CAD"/>
    <w:rsid w:val="005D5E94"/>
    <w:rsid w:val="005D6876"/>
    <w:rsid w:val="005D6E45"/>
    <w:rsid w:val="005D6EDA"/>
    <w:rsid w:val="005D7041"/>
    <w:rsid w:val="005D7632"/>
    <w:rsid w:val="005D79C6"/>
    <w:rsid w:val="005D7CF8"/>
    <w:rsid w:val="005E0446"/>
    <w:rsid w:val="005E10C4"/>
    <w:rsid w:val="005E15FF"/>
    <w:rsid w:val="005E1B1D"/>
    <w:rsid w:val="005E23CF"/>
    <w:rsid w:val="005E278C"/>
    <w:rsid w:val="005E2BB1"/>
    <w:rsid w:val="005E3055"/>
    <w:rsid w:val="005E3280"/>
    <w:rsid w:val="005E33D5"/>
    <w:rsid w:val="005E3723"/>
    <w:rsid w:val="005E390E"/>
    <w:rsid w:val="005E432C"/>
    <w:rsid w:val="005E4CB1"/>
    <w:rsid w:val="005E4D82"/>
    <w:rsid w:val="005E505B"/>
    <w:rsid w:val="005E5516"/>
    <w:rsid w:val="005E5771"/>
    <w:rsid w:val="005E64D3"/>
    <w:rsid w:val="005E6FFA"/>
    <w:rsid w:val="005E7A52"/>
    <w:rsid w:val="005E7ED9"/>
    <w:rsid w:val="005F058D"/>
    <w:rsid w:val="005F093E"/>
    <w:rsid w:val="005F11F5"/>
    <w:rsid w:val="005F1F7E"/>
    <w:rsid w:val="005F2784"/>
    <w:rsid w:val="005F27F0"/>
    <w:rsid w:val="005F29E7"/>
    <w:rsid w:val="005F3706"/>
    <w:rsid w:val="005F3A50"/>
    <w:rsid w:val="005F4891"/>
    <w:rsid w:val="005F4BED"/>
    <w:rsid w:val="005F65C5"/>
    <w:rsid w:val="005F6B3F"/>
    <w:rsid w:val="005F7136"/>
    <w:rsid w:val="005F766D"/>
    <w:rsid w:val="0060053E"/>
    <w:rsid w:val="00600616"/>
    <w:rsid w:val="0060077C"/>
    <w:rsid w:val="00601190"/>
    <w:rsid w:val="00601487"/>
    <w:rsid w:val="006014AF"/>
    <w:rsid w:val="00601DF2"/>
    <w:rsid w:val="0060216D"/>
    <w:rsid w:val="00602887"/>
    <w:rsid w:val="00602CEA"/>
    <w:rsid w:val="006036FD"/>
    <w:rsid w:val="0060409F"/>
    <w:rsid w:val="006044E6"/>
    <w:rsid w:val="00605B2F"/>
    <w:rsid w:val="00606405"/>
    <w:rsid w:val="00606414"/>
    <w:rsid w:val="00607246"/>
    <w:rsid w:val="00607432"/>
    <w:rsid w:val="00607A99"/>
    <w:rsid w:val="00607AD9"/>
    <w:rsid w:val="006105A7"/>
    <w:rsid w:val="006117D2"/>
    <w:rsid w:val="00611AE6"/>
    <w:rsid w:val="00611D63"/>
    <w:rsid w:val="00611DB9"/>
    <w:rsid w:val="00612613"/>
    <w:rsid w:val="00612BE5"/>
    <w:rsid w:val="00613469"/>
    <w:rsid w:val="00613664"/>
    <w:rsid w:val="00614602"/>
    <w:rsid w:val="00614638"/>
    <w:rsid w:val="00614D73"/>
    <w:rsid w:val="00614EA5"/>
    <w:rsid w:val="006154AC"/>
    <w:rsid w:val="00616BF7"/>
    <w:rsid w:val="00616CF5"/>
    <w:rsid w:val="00616E14"/>
    <w:rsid w:val="00616EC5"/>
    <w:rsid w:val="00617360"/>
    <w:rsid w:val="006179C4"/>
    <w:rsid w:val="00617A51"/>
    <w:rsid w:val="00620973"/>
    <w:rsid w:val="00620FFA"/>
    <w:rsid w:val="00621D16"/>
    <w:rsid w:val="006228D5"/>
    <w:rsid w:val="006233E8"/>
    <w:rsid w:val="006234EA"/>
    <w:rsid w:val="00623F8E"/>
    <w:rsid w:val="00624FB5"/>
    <w:rsid w:val="006250D2"/>
    <w:rsid w:val="00625746"/>
    <w:rsid w:val="00625A70"/>
    <w:rsid w:val="006260A5"/>
    <w:rsid w:val="00626386"/>
    <w:rsid w:val="00627E2A"/>
    <w:rsid w:val="00630536"/>
    <w:rsid w:val="006314F2"/>
    <w:rsid w:val="0063159C"/>
    <w:rsid w:val="00631FC9"/>
    <w:rsid w:val="006320DF"/>
    <w:rsid w:val="00633CED"/>
    <w:rsid w:val="00634242"/>
    <w:rsid w:val="00634820"/>
    <w:rsid w:val="006350DE"/>
    <w:rsid w:val="00636B51"/>
    <w:rsid w:val="006370C6"/>
    <w:rsid w:val="00637D8F"/>
    <w:rsid w:val="00640148"/>
    <w:rsid w:val="00640154"/>
    <w:rsid w:val="0064062F"/>
    <w:rsid w:val="0064108B"/>
    <w:rsid w:val="0064170D"/>
    <w:rsid w:val="006418DF"/>
    <w:rsid w:val="00641E1D"/>
    <w:rsid w:val="00642A89"/>
    <w:rsid w:val="00642BE9"/>
    <w:rsid w:val="00642CAD"/>
    <w:rsid w:val="00642CD3"/>
    <w:rsid w:val="00642E27"/>
    <w:rsid w:val="00643C90"/>
    <w:rsid w:val="006447AF"/>
    <w:rsid w:val="0064496E"/>
    <w:rsid w:val="006449E4"/>
    <w:rsid w:val="00645773"/>
    <w:rsid w:val="006457F9"/>
    <w:rsid w:val="00646412"/>
    <w:rsid w:val="00647BEB"/>
    <w:rsid w:val="00647F71"/>
    <w:rsid w:val="006504E0"/>
    <w:rsid w:val="0065054D"/>
    <w:rsid w:val="006505CA"/>
    <w:rsid w:val="00650E60"/>
    <w:rsid w:val="00651CCB"/>
    <w:rsid w:val="00652039"/>
    <w:rsid w:val="00652DE0"/>
    <w:rsid w:val="00653298"/>
    <w:rsid w:val="006539CB"/>
    <w:rsid w:val="00653AE5"/>
    <w:rsid w:val="00653D72"/>
    <w:rsid w:val="00653ED1"/>
    <w:rsid w:val="00654013"/>
    <w:rsid w:val="006540B8"/>
    <w:rsid w:val="006551A4"/>
    <w:rsid w:val="00655916"/>
    <w:rsid w:val="00655D31"/>
    <w:rsid w:val="00656131"/>
    <w:rsid w:val="0065617E"/>
    <w:rsid w:val="00656CD2"/>
    <w:rsid w:val="00656E22"/>
    <w:rsid w:val="00657245"/>
    <w:rsid w:val="006575BC"/>
    <w:rsid w:val="006600BF"/>
    <w:rsid w:val="006611D3"/>
    <w:rsid w:val="00661E06"/>
    <w:rsid w:val="006623A1"/>
    <w:rsid w:val="00662E96"/>
    <w:rsid w:val="00663152"/>
    <w:rsid w:val="006635B4"/>
    <w:rsid w:val="00663753"/>
    <w:rsid w:val="00663DE8"/>
    <w:rsid w:val="00664708"/>
    <w:rsid w:val="006659F3"/>
    <w:rsid w:val="006660D3"/>
    <w:rsid w:val="0066616F"/>
    <w:rsid w:val="00666AF5"/>
    <w:rsid w:val="0066744E"/>
    <w:rsid w:val="0066755A"/>
    <w:rsid w:val="00667AAF"/>
    <w:rsid w:val="00667FC0"/>
    <w:rsid w:val="00670390"/>
    <w:rsid w:val="00671C03"/>
    <w:rsid w:val="00671DC5"/>
    <w:rsid w:val="00671EAD"/>
    <w:rsid w:val="00671F51"/>
    <w:rsid w:val="00672081"/>
    <w:rsid w:val="00673007"/>
    <w:rsid w:val="0067424B"/>
    <w:rsid w:val="00674ED9"/>
    <w:rsid w:val="006753BC"/>
    <w:rsid w:val="00675A0E"/>
    <w:rsid w:val="00675B84"/>
    <w:rsid w:val="00676A41"/>
    <w:rsid w:val="00676AA5"/>
    <w:rsid w:val="00677B55"/>
    <w:rsid w:val="00680011"/>
    <w:rsid w:val="006801BC"/>
    <w:rsid w:val="006801E8"/>
    <w:rsid w:val="00680A21"/>
    <w:rsid w:val="00681939"/>
    <w:rsid w:val="00681961"/>
    <w:rsid w:val="00682074"/>
    <w:rsid w:val="006823B5"/>
    <w:rsid w:val="00683205"/>
    <w:rsid w:val="006839CE"/>
    <w:rsid w:val="00683E2C"/>
    <w:rsid w:val="0068419F"/>
    <w:rsid w:val="006859C1"/>
    <w:rsid w:val="0068624D"/>
    <w:rsid w:val="00686304"/>
    <w:rsid w:val="0068647F"/>
    <w:rsid w:val="00686C23"/>
    <w:rsid w:val="00687068"/>
    <w:rsid w:val="006876BA"/>
    <w:rsid w:val="00687AD0"/>
    <w:rsid w:val="0069038C"/>
    <w:rsid w:val="00690D20"/>
    <w:rsid w:val="006911B1"/>
    <w:rsid w:val="006918F7"/>
    <w:rsid w:val="00691F4B"/>
    <w:rsid w:val="00692393"/>
    <w:rsid w:val="00692981"/>
    <w:rsid w:val="00692E3B"/>
    <w:rsid w:val="00693327"/>
    <w:rsid w:val="006946B1"/>
    <w:rsid w:val="0069518B"/>
    <w:rsid w:val="00695543"/>
    <w:rsid w:val="006957E7"/>
    <w:rsid w:val="00695D22"/>
    <w:rsid w:val="00696214"/>
    <w:rsid w:val="006963CB"/>
    <w:rsid w:val="00696487"/>
    <w:rsid w:val="00697065"/>
    <w:rsid w:val="00697099"/>
    <w:rsid w:val="006977BF"/>
    <w:rsid w:val="006979C0"/>
    <w:rsid w:val="00697D3A"/>
    <w:rsid w:val="00697E38"/>
    <w:rsid w:val="006A001F"/>
    <w:rsid w:val="006A04FD"/>
    <w:rsid w:val="006A057C"/>
    <w:rsid w:val="006A0DA4"/>
    <w:rsid w:val="006A14E8"/>
    <w:rsid w:val="006A2435"/>
    <w:rsid w:val="006A24E1"/>
    <w:rsid w:val="006A299B"/>
    <w:rsid w:val="006A31A6"/>
    <w:rsid w:val="006A47EC"/>
    <w:rsid w:val="006A4946"/>
    <w:rsid w:val="006A4B78"/>
    <w:rsid w:val="006A4F59"/>
    <w:rsid w:val="006A542A"/>
    <w:rsid w:val="006A5662"/>
    <w:rsid w:val="006A56F7"/>
    <w:rsid w:val="006A59DB"/>
    <w:rsid w:val="006A78F1"/>
    <w:rsid w:val="006A79C6"/>
    <w:rsid w:val="006A7A84"/>
    <w:rsid w:val="006A7AC8"/>
    <w:rsid w:val="006B07EA"/>
    <w:rsid w:val="006B1A68"/>
    <w:rsid w:val="006B26FA"/>
    <w:rsid w:val="006B2885"/>
    <w:rsid w:val="006B3845"/>
    <w:rsid w:val="006B387A"/>
    <w:rsid w:val="006B3CE4"/>
    <w:rsid w:val="006B4293"/>
    <w:rsid w:val="006B4ED4"/>
    <w:rsid w:val="006B5490"/>
    <w:rsid w:val="006B59B4"/>
    <w:rsid w:val="006B5BCA"/>
    <w:rsid w:val="006B5E83"/>
    <w:rsid w:val="006B64EA"/>
    <w:rsid w:val="006B6749"/>
    <w:rsid w:val="006B6964"/>
    <w:rsid w:val="006B6AD0"/>
    <w:rsid w:val="006B6B21"/>
    <w:rsid w:val="006B6BDE"/>
    <w:rsid w:val="006B73A5"/>
    <w:rsid w:val="006C0028"/>
    <w:rsid w:val="006C1FD9"/>
    <w:rsid w:val="006C2111"/>
    <w:rsid w:val="006C2118"/>
    <w:rsid w:val="006C22D1"/>
    <w:rsid w:val="006C2AC1"/>
    <w:rsid w:val="006C3417"/>
    <w:rsid w:val="006C3DDE"/>
    <w:rsid w:val="006C4206"/>
    <w:rsid w:val="006C4683"/>
    <w:rsid w:val="006C510E"/>
    <w:rsid w:val="006C5F50"/>
    <w:rsid w:val="006C60AE"/>
    <w:rsid w:val="006C60F8"/>
    <w:rsid w:val="006C6475"/>
    <w:rsid w:val="006C6752"/>
    <w:rsid w:val="006C73BE"/>
    <w:rsid w:val="006C74FC"/>
    <w:rsid w:val="006D0122"/>
    <w:rsid w:val="006D1EBC"/>
    <w:rsid w:val="006D2722"/>
    <w:rsid w:val="006D2C6D"/>
    <w:rsid w:val="006D3345"/>
    <w:rsid w:val="006D3BCC"/>
    <w:rsid w:val="006D4230"/>
    <w:rsid w:val="006D4EB3"/>
    <w:rsid w:val="006D53C3"/>
    <w:rsid w:val="006D55C3"/>
    <w:rsid w:val="006D55F2"/>
    <w:rsid w:val="006D55FF"/>
    <w:rsid w:val="006D5EFB"/>
    <w:rsid w:val="006D654B"/>
    <w:rsid w:val="006D6933"/>
    <w:rsid w:val="006D69F4"/>
    <w:rsid w:val="006D72DF"/>
    <w:rsid w:val="006D7524"/>
    <w:rsid w:val="006D7EBD"/>
    <w:rsid w:val="006D7F00"/>
    <w:rsid w:val="006E0522"/>
    <w:rsid w:val="006E0786"/>
    <w:rsid w:val="006E1938"/>
    <w:rsid w:val="006E19C3"/>
    <w:rsid w:val="006E1ABA"/>
    <w:rsid w:val="006E1C2A"/>
    <w:rsid w:val="006E2FA6"/>
    <w:rsid w:val="006E3166"/>
    <w:rsid w:val="006E331E"/>
    <w:rsid w:val="006E36F4"/>
    <w:rsid w:val="006E4119"/>
    <w:rsid w:val="006E4137"/>
    <w:rsid w:val="006E463F"/>
    <w:rsid w:val="006E50B5"/>
    <w:rsid w:val="006E510E"/>
    <w:rsid w:val="006E5810"/>
    <w:rsid w:val="006E6192"/>
    <w:rsid w:val="006E63DC"/>
    <w:rsid w:val="006E6619"/>
    <w:rsid w:val="006E6BE2"/>
    <w:rsid w:val="006E6D75"/>
    <w:rsid w:val="006F020B"/>
    <w:rsid w:val="006F08AC"/>
    <w:rsid w:val="006F176D"/>
    <w:rsid w:val="006F1C68"/>
    <w:rsid w:val="006F1DC8"/>
    <w:rsid w:val="006F1F5E"/>
    <w:rsid w:val="006F2294"/>
    <w:rsid w:val="006F29A3"/>
    <w:rsid w:val="006F5A77"/>
    <w:rsid w:val="006F5E55"/>
    <w:rsid w:val="006F6116"/>
    <w:rsid w:val="006F6282"/>
    <w:rsid w:val="006F637C"/>
    <w:rsid w:val="006F66D8"/>
    <w:rsid w:val="006F6BBF"/>
    <w:rsid w:val="006F6E0D"/>
    <w:rsid w:val="006F7050"/>
    <w:rsid w:val="006F7336"/>
    <w:rsid w:val="006F76FC"/>
    <w:rsid w:val="006F7E22"/>
    <w:rsid w:val="00700E09"/>
    <w:rsid w:val="00701478"/>
    <w:rsid w:val="007016E6"/>
    <w:rsid w:val="0070207C"/>
    <w:rsid w:val="00702836"/>
    <w:rsid w:val="00702D5C"/>
    <w:rsid w:val="0070338B"/>
    <w:rsid w:val="007037C8"/>
    <w:rsid w:val="007040A9"/>
    <w:rsid w:val="00704503"/>
    <w:rsid w:val="007049B5"/>
    <w:rsid w:val="00706436"/>
    <w:rsid w:val="00706F6E"/>
    <w:rsid w:val="0070706E"/>
    <w:rsid w:val="007078B6"/>
    <w:rsid w:val="00707A6D"/>
    <w:rsid w:val="00710C52"/>
    <w:rsid w:val="00711078"/>
    <w:rsid w:val="00711425"/>
    <w:rsid w:val="00712EDE"/>
    <w:rsid w:val="00712F60"/>
    <w:rsid w:val="00712F6C"/>
    <w:rsid w:val="0071312D"/>
    <w:rsid w:val="00714244"/>
    <w:rsid w:val="00714264"/>
    <w:rsid w:val="00714FAF"/>
    <w:rsid w:val="00715511"/>
    <w:rsid w:val="007155A3"/>
    <w:rsid w:val="00715C3F"/>
    <w:rsid w:val="00715C45"/>
    <w:rsid w:val="007160E1"/>
    <w:rsid w:val="007162FD"/>
    <w:rsid w:val="00717263"/>
    <w:rsid w:val="00717335"/>
    <w:rsid w:val="00720985"/>
    <w:rsid w:val="0072109F"/>
    <w:rsid w:val="00721C56"/>
    <w:rsid w:val="00722236"/>
    <w:rsid w:val="007223B1"/>
    <w:rsid w:val="0072256A"/>
    <w:rsid w:val="00722C09"/>
    <w:rsid w:val="00722D26"/>
    <w:rsid w:val="00722F72"/>
    <w:rsid w:val="007231A6"/>
    <w:rsid w:val="00723525"/>
    <w:rsid w:val="0072398D"/>
    <w:rsid w:val="007245C7"/>
    <w:rsid w:val="007247EE"/>
    <w:rsid w:val="00725439"/>
    <w:rsid w:val="007257AC"/>
    <w:rsid w:val="00725964"/>
    <w:rsid w:val="00725F48"/>
    <w:rsid w:val="00726386"/>
    <w:rsid w:val="0072646F"/>
    <w:rsid w:val="00730E3B"/>
    <w:rsid w:val="00731B02"/>
    <w:rsid w:val="0073212A"/>
    <w:rsid w:val="00734C87"/>
    <w:rsid w:val="00734F96"/>
    <w:rsid w:val="00735025"/>
    <w:rsid w:val="00735531"/>
    <w:rsid w:val="00735B60"/>
    <w:rsid w:val="00735F43"/>
    <w:rsid w:val="00735FA1"/>
    <w:rsid w:val="0073649A"/>
    <w:rsid w:val="0074025A"/>
    <w:rsid w:val="0074090C"/>
    <w:rsid w:val="007415BF"/>
    <w:rsid w:val="007416BD"/>
    <w:rsid w:val="00741720"/>
    <w:rsid w:val="0074253D"/>
    <w:rsid w:val="0074309F"/>
    <w:rsid w:val="00743519"/>
    <w:rsid w:val="00743ADA"/>
    <w:rsid w:val="00744567"/>
    <w:rsid w:val="00744948"/>
    <w:rsid w:val="007451A8"/>
    <w:rsid w:val="007455D7"/>
    <w:rsid w:val="00746B99"/>
    <w:rsid w:val="0074782A"/>
    <w:rsid w:val="00747FBC"/>
    <w:rsid w:val="00750720"/>
    <w:rsid w:val="00750EAE"/>
    <w:rsid w:val="00751F1C"/>
    <w:rsid w:val="007525F1"/>
    <w:rsid w:val="00752936"/>
    <w:rsid w:val="00753D53"/>
    <w:rsid w:val="0075466C"/>
    <w:rsid w:val="007554A8"/>
    <w:rsid w:val="007559F5"/>
    <w:rsid w:val="00755C16"/>
    <w:rsid w:val="007560AA"/>
    <w:rsid w:val="00756EEE"/>
    <w:rsid w:val="00756F01"/>
    <w:rsid w:val="00757127"/>
    <w:rsid w:val="00757507"/>
    <w:rsid w:val="007607ED"/>
    <w:rsid w:val="00760865"/>
    <w:rsid w:val="0076093A"/>
    <w:rsid w:val="007613D2"/>
    <w:rsid w:val="00761849"/>
    <w:rsid w:val="0076301C"/>
    <w:rsid w:val="00763645"/>
    <w:rsid w:val="007646A6"/>
    <w:rsid w:val="0076495D"/>
    <w:rsid w:val="007649B2"/>
    <w:rsid w:val="00764DCF"/>
    <w:rsid w:val="0076613C"/>
    <w:rsid w:val="00766293"/>
    <w:rsid w:val="0076652C"/>
    <w:rsid w:val="00766C2A"/>
    <w:rsid w:val="00767A6F"/>
    <w:rsid w:val="007700D4"/>
    <w:rsid w:val="00770699"/>
    <w:rsid w:val="0077080C"/>
    <w:rsid w:val="00770B1F"/>
    <w:rsid w:val="0077264F"/>
    <w:rsid w:val="00772894"/>
    <w:rsid w:val="007750EA"/>
    <w:rsid w:val="007754D8"/>
    <w:rsid w:val="0077556B"/>
    <w:rsid w:val="0077611B"/>
    <w:rsid w:val="007763F0"/>
    <w:rsid w:val="00776601"/>
    <w:rsid w:val="00780913"/>
    <w:rsid w:val="00780A9F"/>
    <w:rsid w:val="00780AE5"/>
    <w:rsid w:val="007819F2"/>
    <w:rsid w:val="00782C28"/>
    <w:rsid w:val="00782D3D"/>
    <w:rsid w:val="0078395D"/>
    <w:rsid w:val="00783CFD"/>
    <w:rsid w:val="00783E39"/>
    <w:rsid w:val="00784800"/>
    <w:rsid w:val="0078496A"/>
    <w:rsid w:val="007849CD"/>
    <w:rsid w:val="0078587E"/>
    <w:rsid w:val="00786170"/>
    <w:rsid w:val="00786C30"/>
    <w:rsid w:val="00787828"/>
    <w:rsid w:val="007900FC"/>
    <w:rsid w:val="00790221"/>
    <w:rsid w:val="007906A7"/>
    <w:rsid w:val="00790771"/>
    <w:rsid w:val="00790C09"/>
    <w:rsid w:val="00790C5C"/>
    <w:rsid w:val="00791013"/>
    <w:rsid w:val="007911BF"/>
    <w:rsid w:val="0079137E"/>
    <w:rsid w:val="00792723"/>
    <w:rsid w:val="007930C0"/>
    <w:rsid w:val="00793819"/>
    <w:rsid w:val="00793896"/>
    <w:rsid w:val="00794AB9"/>
    <w:rsid w:val="00794D4B"/>
    <w:rsid w:val="007951E2"/>
    <w:rsid w:val="0079530E"/>
    <w:rsid w:val="007955D4"/>
    <w:rsid w:val="0079574F"/>
    <w:rsid w:val="007957FA"/>
    <w:rsid w:val="00796566"/>
    <w:rsid w:val="007975C1"/>
    <w:rsid w:val="00797733"/>
    <w:rsid w:val="00797911"/>
    <w:rsid w:val="007A0BB7"/>
    <w:rsid w:val="007A0F33"/>
    <w:rsid w:val="007A1333"/>
    <w:rsid w:val="007A20E6"/>
    <w:rsid w:val="007A2B91"/>
    <w:rsid w:val="007A44F5"/>
    <w:rsid w:val="007A4CF2"/>
    <w:rsid w:val="007A5177"/>
    <w:rsid w:val="007A5E2C"/>
    <w:rsid w:val="007A5E30"/>
    <w:rsid w:val="007A5E92"/>
    <w:rsid w:val="007A655A"/>
    <w:rsid w:val="007A7305"/>
    <w:rsid w:val="007A74D9"/>
    <w:rsid w:val="007A7859"/>
    <w:rsid w:val="007A7AAF"/>
    <w:rsid w:val="007A7D44"/>
    <w:rsid w:val="007B027C"/>
    <w:rsid w:val="007B04B1"/>
    <w:rsid w:val="007B08CA"/>
    <w:rsid w:val="007B0E26"/>
    <w:rsid w:val="007B0E88"/>
    <w:rsid w:val="007B1157"/>
    <w:rsid w:val="007B20DC"/>
    <w:rsid w:val="007B23E8"/>
    <w:rsid w:val="007B27B2"/>
    <w:rsid w:val="007B3055"/>
    <w:rsid w:val="007B3225"/>
    <w:rsid w:val="007B3333"/>
    <w:rsid w:val="007B3558"/>
    <w:rsid w:val="007B38C1"/>
    <w:rsid w:val="007B3A80"/>
    <w:rsid w:val="007B4878"/>
    <w:rsid w:val="007B5223"/>
    <w:rsid w:val="007B52AB"/>
    <w:rsid w:val="007B54E8"/>
    <w:rsid w:val="007B620B"/>
    <w:rsid w:val="007B72CB"/>
    <w:rsid w:val="007B7346"/>
    <w:rsid w:val="007B7481"/>
    <w:rsid w:val="007B7C59"/>
    <w:rsid w:val="007B7F2B"/>
    <w:rsid w:val="007C06CA"/>
    <w:rsid w:val="007C0BC0"/>
    <w:rsid w:val="007C18EA"/>
    <w:rsid w:val="007C19E1"/>
    <w:rsid w:val="007C29DE"/>
    <w:rsid w:val="007C3613"/>
    <w:rsid w:val="007C3932"/>
    <w:rsid w:val="007C40D5"/>
    <w:rsid w:val="007C44C6"/>
    <w:rsid w:val="007C47A6"/>
    <w:rsid w:val="007C49D5"/>
    <w:rsid w:val="007C52B3"/>
    <w:rsid w:val="007C549D"/>
    <w:rsid w:val="007C5A90"/>
    <w:rsid w:val="007C613D"/>
    <w:rsid w:val="007C6AEC"/>
    <w:rsid w:val="007C77C0"/>
    <w:rsid w:val="007D1F9E"/>
    <w:rsid w:val="007D28B3"/>
    <w:rsid w:val="007D2EFE"/>
    <w:rsid w:val="007D4B4C"/>
    <w:rsid w:val="007D5857"/>
    <w:rsid w:val="007D6FA6"/>
    <w:rsid w:val="007E0432"/>
    <w:rsid w:val="007E13B9"/>
    <w:rsid w:val="007E15DF"/>
    <w:rsid w:val="007E1716"/>
    <w:rsid w:val="007E2282"/>
    <w:rsid w:val="007E2339"/>
    <w:rsid w:val="007E3354"/>
    <w:rsid w:val="007E3E3D"/>
    <w:rsid w:val="007E3EA3"/>
    <w:rsid w:val="007E45E2"/>
    <w:rsid w:val="007E49B5"/>
    <w:rsid w:val="007E5AF3"/>
    <w:rsid w:val="007E615D"/>
    <w:rsid w:val="007E63A0"/>
    <w:rsid w:val="007E67BA"/>
    <w:rsid w:val="007E6825"/>
    <w:rsid w:val="007E6AA4"/>
    <w:rsid w:val="007E6CF4"/>
    <w:rsid w:val="007E6E7B"/>
    <w:rsid w:val="007E73AF"/>
    <w:rsid w:val="007E74A1"/>
    <w:rsid w:val="007E78B0"/>
    <w:rsid w:val="007E78FB"/>
    <w:rsid w:val="007F0163"/>
    <w:rsid w:val="007F0461"/>
    <w:rsid w:val="007F0530"/>
    <w:rsid w:val="007F096D"/>
    <w:rsid w:val="007F0F8E"/>
    <w:rsid w:val="007F113B"/>
    <w:rsid w:val="007F1422"/>
    <w:rsid w:val="007F17C1"/>
    <w:rsid w:val="007F23D9"/>
    <w:rsid w:val="007F2C69"/>
    <w:rsid w:val="007F34E8"/>
    <w:rsid w:val="007F3503"/>
    <w:rsid w:val="007F4000"/>
    <w:rsid w:val="007F4026"/>
    <w:rsid w:val="007F4FD8"/>
    <w:rsid w:val="007F57AD"/>
    <w:rsid w:val="007F60A5"/>
    <w:rsid w:val="007F60EA"/>
    <w:rsid w:val="007F6453"/>
    <w:rsid w:val="007F6E0D"/>
    <w:rsid w:val="0080095A"/>
    <w:rsid w:val="008012A5"/>
    <w:rsid w:val="008021B4"/>
    <w:rsid w:val="0080232E"/>
    <w:rsid w:val="00802E89"/>
    <w:rsid w:val="00802F47"/>
    <w:rsid w:val="00803A94"/>
    <w:rsid w:val="00803DB2"/>
    <w:rsid w:val="008047CA"/>
    <w:rsid w:val="00804923"/>
    <w:rsid w:val="0080611D"/>
    <w:rsid w:val="0080625A"/>
    <w:rsid w:val="008066BD"/>
    <w:rsid w:val="00807EEB"/>
    <w:rsid w:val="00810DB5"/>
    <w:rsid w:val="008112B6"/>
    <w:rsid w:val="008123ED"/>
    <w:rsid w:val="00812D38"/>
    <w:rsid w:val="00812F19"/>
    <w:rsid w:val="00813067"/>
    <w:rsid w:val="008132D1"/>
    <w:rsid w:val="008133FA"/>
    <w:rsid w:val="008139A1"/>
    <w:rsid w:val="00814917"/>
    <w:rsid w:val="00814ABA"/>
    <w:rsid w:val="00814CF6"/>
    <w:rsid w:val="00815CC9"/>
    <w:rsid w:val="00816295"/>
    <w:rsid w:val="008166ED"/>
    <w:rsid w:val="00816E7B"/>
    <w:rsid w:val="00817BB1"/>
    <w:rsid w:val="00817D87"/>
    <w:rsid w:val="0082079E"/>
    <w:rsid w:val="00820D86"/>
    <w:rsid w:val="00820F07"/>
    <w:rsid w:val="00821996"/>
    <w:rsid w:val="00821C9B"/>
    <w:rsid w:val="008224B3"/>
    <w:rsid w:val="00823622"/>
    <w:rsid w:val="00823C3B"/>
    <w:rsid w:val="00823D5E"/>
    <w:rsid w:val="00825D6E"/>
    <w:rsid w:val="008267A8"/>
    <w:rsid w:val="00826A4D"/>
    <w:rsid w:val="00826F3F"/>
    <w:rsid w:val="008274BE"/>
    <w:rsid w:val="00827A41"/>
    <w:rsid w:val="00827E93"/>
    <w:rsid w:val="008301FE"/>
    <w:rsid w:val="008306ED"/>
    <w:rsid w:val="00830E37"/>
    <w:rsid w:val="00830ED0"/>
    <w:rsid w:val="00830EF1"/>
    <w:rsid w:val="0083139B"/>
    <w:rsid w:val="00831C94"/>
    <w:rsid w:val="00832A09"/>
    <w:rsid w:val="00833484"/>
    <w:rsid w:val="00833B43"/>
    <w:rsid w:val="008341B9"/>
    <w:rsid w:val="008347B6"/>
    <w:rsid w:val="00834EC0"/>
    <w:rsid w:val="00835430"/>
    <w:rsid w:val="0083543F"/>
    <w:rsid w:val="00835C02"/>
    <w:rsid w:val="00835CFD"/>
    <w:rsid w:val="00835F13"/>
    <w:rsid w:val="00836002"/>
    <w:rsid w:val="00836487"/>
    <w:rsid w:val="00836BD0"/>
    <w:rsid w:val="00836D2A"/>
    <w:rsid w:val="00837370"/>
    <w:rsid w:val="00837EB9"/>
    <w:rsid w:val="008400CA"/>
    <w:rsid w:val="008406E0"/>
    <w:rsid w:val="00840A40"/>
    <w:rsid w:val="00840CE4"/>
    <w:rsid w:val="0084122E"/>
    <w:rsid w:val="00841B28"/>
    <w:rsid w:val="008420BB"/>
    <w:rsid w:val="00842930"/>
    <w:rsid w:val="00842A8E"/>
    <w:rsid w:val="00843A43"/>
    <w:rsid w:val="00843B0F"/>
    <w:rsid w:val="008446D6"/>
    <w:rsid w:val="00844C15"/>
    <w:rsid w:val="00845234"/>
    <w:rsid w:val="00845599"/>
    <w:rsid w:val="008455FA"/>
    <w:rsid w:val="00845B71"/>
    <w:rsid w:val="00845D0E"/>
    <w:rsid w:val="00845D2A"/>
    <w:rsid w:val="00847240"/>
    <w:rsid w:val="008475F8"/>
    <w:rsid w:val="0084765D"/>
    <w:rsid w:val="008476E4"/>
    <w:rsid w:val="00847E4E"/>
    <w:rsid w:val="008504B1"/>
    <w:rsid w:val="00850870"/>
    <w:rsid w:val="00850FEF"/>
    <w:rsid w:val="0085129E"/>
    <w:rsid w:val="0085203A"/>
    <w:rsid w:val="00852DE9"/>
    <w:rsid w:val="008532C1"/>
    <w:rsid w:val="00853493"/>
    <w:rsid w:val="00853918"/>
    <w:rsid w:val="00854393"/>
    <w:rsid w:val="00854DB5"/>
    <w:rsid w:val="008554BE"/>
    <w:rsid w:val="00855893"/>
    <w:rsid w:val="008558C7"/>
    <w:rsid w:val="0085626B"/>
    <w:rsid w:val="0085640C"/>
    <w:rsid w:val="00857249"/>
    <w:rsid w:val="0085795F"/>
    <w:rsid w:val="00860D8F"/>
    <w:rsid w:val="008621A6"/>
    <w:rsid w:val="0086241C"/>
    <w:rsid w:val="0086256A"/>
    <w:rsid w:val="008626DA"/>
    <w:rsid w:val="0086288E"/>
    <w:rsid w:val="0086290C"/>
    <w:rsid w:val="00862CE8"/>
    <w:rsid w:val="0086339A"/>
    <w:rsid w:val="008649AC"/>
    <w:rsid w:val="00864EAF"/>
    <w:rsid w:val="00865182"/>
    <w:rsid w:val="00865BB9"/>
    <w:rsid w:val="00866B94"/>
    <w:rsid w:val="00867321"/>
    <w:rsid w:val="0087015A"/>
    <w:rsid w:val="0087047E"/>
    <w:rsid w:val="008708A0"/>
    <w:rsid w:val="00871954"/>
    <w:rsid w:val="00871C9F"/>
    <w:rsid w:val="00872F5D"/>
    <w:rsid w:val="008737FB"/>
    <w:rsid w:val="00874D08"/>
    <w:rsid w:val="00875014"/>
    <w:rsid w:val="0087581D"/>
    <w:rsid w:val="0087587B"/>
    <w:rsid w:val="008759F7"/>
    <w:rsid w:val="00875AA3"/>
    <w:rsid w:val="008770F0"/>
    <w:rsid w:val="008773AD"/>
    <w:rsid w:val="008811BC"/>
    <w:rsid w:val="008817D1"/>
    <w:rsid w:val="00881CF5"/>
    <w:rsid w:val="00882020"/>
    <w:rsid w:val="008826C0"/>
    <w:rsid w:val="00882A48"/>
    <w:rsid w:val="0088340B"/>
    <w:rsid w:val="00883523"/>
    <w:rsid w:val="0088394C"/>
    <w:rsid w:val="00884AD4"/>
    <w:rsid w:val="008853BC"/>
    <w:rsid w:val="00887476"/>
    <w:rsid w:val="008902FF"/>
    <w:rsid w:val="008904DC"/>
    <w:rsid w:val="00890609"/>
    <w:rsid w:val="008906CF"/>
    <w:rsid w:val="00890D6C"/>
    <w:rsid w:val="0089117D"/>
    <w:rsid w:val="00891715"/>
    <w:rsid w:val="00891AC1"/>
    <w:rsid w:val="00892385"/>
    <w:rsid w:val="00892462"/>
    <w:rsid w:val="0089252F"/>
    <w:rsid w:val="00892A8E"/>
    <w:rsid w:val="00892C58"/>
    <w:rsid w:val="00893200"/>
    <w:rsid w:val="008932FD"/>
    <w:rsid w:val="008936F4"/>
    <w:rsid w:val="008952F9"/>
    <w:rsid w:val="008954A4"/>
    <w:rsid w:val="00895506"/>
    <w:rsid w:val="008957BD"/>
    <w:rsid w:val="00895907"/>
    <w:rsid w:val="008967C8"/>
    <w:rsid w:val="00896BAC"/>
    <w:rsid w:val="00896FAA"/>
    <w:rsid w:val="00897517"/>
    <w:rsid w:val="00897579"/>
    <w:rsid w:val="00897B62"/>
    <w:rsid w:val="008A005D"/>
    <w:rsid w:val="008A05F2"/>
    <w:rsid w:val="008A0DAE"/>
    <w:rsid w:val="008A182E"/>
    <w:rsid w:val="008A187B"/>
    <w:rsid w:val="008A1EED"/>
    <w:rsid w:val="008A201B"/>
    <w:rsid w:val="008A2650"/>
    <w:rsid w:val="008A296C"/>
    <w:rsid w:val="008A3423"/>
    <w:rsid w:val="008A3581"/>
    <w:rsid w:val="008A3A05"/>
    <w:rsid w:val="008A4732"/>
    <w:rsid w:val="008A4839"/>
    <w:rsid w:val="008A4B5A"/>
    <w:rsid w:val="008A4E34"/>
    <w:rsid w:val="008A4E9F"/>
    <w:rsid w:val="008A5164"/>
    <w:rsid w:val="008A57D1"/>
    <w:rsid w:val="008A648B"/>
    <w:rsid w:val="008A6BB9"/>
    <w:rsid w:val="008A6D0A"/>
    <w:rsid w:val="008A7371"/>
    <w:rsid w:val="008A7375"/>
    <w:rsid w:val="008A765C"/>
    <w:rsid w:val="008A781B"/>
    <w:rsid w:val="008A7A79"/>
    <w:rsid w:val="008A7ED9"/>
    <w:rsid w:val="008B032C"/>
    <w:rsid w:val="008B04D4"/>
    <w:rsid w:val="008B0840"/>
    <w:rsid w:val="008B09BD"/>
    <w:rsid w:val="008B09EE"/>
    <w:rsid w:val="008B1004"/>
    <w:rsid w:val="008B1357"/>
    <w:rsid w:val="008B14F4"/>
    <w:rsid w:val="008B1617"/>
    <w:rsid w:val="008B231E"/>
    <w:rsid w:val="008B2753"/>
    <w:rsid w:val="008B29D9"/>
    <w:rsid w:val="008B2B45"/>
    <w:rsid w:val="008B3022"/>
    <w:rsid w:val="008B32C0"/>
    <w:rsid w:val="008B32F1"/>
    <w:rsid w:val="008B3593"/>
    <w:rsid w:val="008B4A60"/>
    <w:rsid w:val="008B4B00"/>
    <w:rsid w:val="008B5239"/>
    <w:rsid w:val="008B637B"/>
    <w:rsid w:val="008B6579"/>
    <w:rsid w:val="008B67DD"/>
    <w:rsid w:val="008B7744"/>
    <w:rsid w:val="008B7F2E"/>
    <w:rsid w:val="008C01B7"/>
    <w:rsid w:val="008C04A0"/>
    <w:rsid w:val="008C20CD"/>
    <w:rsid w:val="008C23D2"/>
    <w:rsid w:val="008C2CC4"/>
    <w:rsid w:val="008C2E86"/>
    <w:rsid w:val="008C2E98"/>
    <w:rsid w:val="008C33DE"/>
    <w:rsid w:val="008C3AFC"/>
    <w:rsid w:val="008C3F03"/>
    <w:rsid w:val="008C467B"/>
    <w:rsid w:val="008C4FFC"/>
    <w:rsid w:val="008C54B3"/>
    <w:rsid w:val="008C645F"/>
    <w:rsid w:val="008C64CE"/>
    <w:rsid w:val="008C64F8"/>
    <w:rsid w:val="008C6CC9"/>
    <w:rsid w:val="008C77FB"/>
    <w:rsid w:val="008C7B8D"/>
    <w:rsid w:val="008D18BD"/>
    <w:rsid w:val="008D20EB"/>
    <w:rsid w:val="008D2135"/>
    <w:rsid w:val="008D219F"/>
    <w:rsid w:val="008D27C0"/>
    <w:rsid w:val="008D293F"/>
    <w:rsid w:val="008D38C8"/>
    <w:rsid w:val="008D3A48"/>
    <w:rsid w:val="008D468B"/>
    <w:rsid w:val="008D4824"/>
    <w:rsid w:val="008D4A94"/>
    <w:rsid w:val="008D4B61"/>
    <w:rsid w:val="008D5E3C"/>
    <w:rsid w:val="008D6AAC"/>
    <w:rsid w:val="008D6ECE"/>
    <w:rsid w:val="008D732E"/>
    <w:rsid w:val="008D76B5"/>
    <w:rsid w:val="008D7CA5"/>
    <w:rsid w:val="008E0291"/>
    <w:rsid w:val="008E08DD"/>
    <w:rsid w:val="008E09DD"/>
    <w:rsid w:val="008E0BF7"/>
    <w:rsid w:val="008E0E7A"/>
    <w:rsid w:val="008E0F9F"/>
    <w:rsid w:val="008E118D"/>
    <w:rsid w:val="008E1661"/>
    <w:rsid w:val="008E1BE5"/>
    <w:rsid w:val="008E36B9"/>
    <w:rsid w:val="008E4471"/>
    <w:rsid w:val="008E462B"/>
    <w:rsid w:val="008E4817"/>
    <w:rsid w:val="008E4E5B"/>
    <w:rsid w:val="008E4FA9"/>
    <w:rsid w:val="008E64D7"/>
    <w:rsid w:val="008E66D3"/>
    <w:rsid w:val="008E66F9"/>
    <w:rsid w:val="008E6FF5"/>
    <w:rsid w:val="008E7358"/>
    <w:rsid w:val="008E7C28"/>
    <w:rsid w:val="008F03F6"/>
    <w:rsid w:val="008F0D53"/>
    <w:rsid w:val="008F1080"/>
    <w:rsid w:val="008F11C4"/>
    <w:rsid w:val="008F1A58"/>
    <w:rsid w:val="008F1DDE"/>
    <w:rsid w:val="008F28D3"/>
    <w:rsid w:val="008F2EFC"/>
    <w:rsid w:val="008F322F"/>
    <w:rsid w:val="008F32E1"/>
    <w:rsid w:val="008F33F3"/>
    <w:rsid w:val="008F3CC9"/>
    <w:rsid w:val="008F40A9"/>
    <w:rsid w:val="008F4650"/>
    <w:rsid w:val="008F497A"/>
    <w:rsid w:val="008F4F5D"/>
    <w:rsid w:val="008F54D4"/>
    <w:rsid w:val="008F6800"/>
    <w:rsid w:val="008F7418"/>
    <w:rsid w:val="0090075C"/>
    <w:rsid w:val="009028D1"/>
    <w:rsid w:val="009028D3"/>
    <w:rsid w:val="00903120"/>
    <w:rsid w:val="009055E6"/>
    <w:rsid w:val="009056B5"/>
    <w:rsid w:val="00905B15"/>
    <w:rsid w:val="00906D55"/>
    <w:rsid w:val="00907098"/>
    <w:rsid w:val="009070C5"/>
    <w:rsid w:val="0091131B"/>
    <w:rsid w:val="00911537"/>
    <w:rsid w:val="00912C1F"/>
    <w:rsid w:val="009132BF"/>
    <w:rsid w:val="00913EA2"/>
    <w:rsid w:val="00914B4B"/>
    <w:rsid w:val="00915A01"/>
    <w:rsid w:val="00915D99"/>
    <w:rsid w:val="0091616D"/>
    <w:rsid w:val="00916430"/>
    <w:rsid w:val="00916851"/>
    <w:rsid w:val="00916923"/>
    <w:rsid w:val="009172AF"/>
    <w:rsid w:val="00917333"/>
    <w:rsid w:val="00917A41"/>
    <w:rsid w:val="00920C75"/>
    <w:rsid w:val="00921692"/>
    <w:rsid w:val="00922903"/>
    <w:rsid w:val="00922C17"/>
    <w:rsid w:val="00922D4C"/>
    <w:rsid w:val="00923653"/>
    <w:rsid w:val="00923F2F"/>
    <w:rsid w:val="00924373"/>
    <w:rsid w:val="00924D08"/>
    <w:rsid w:val="009266D5"/>
    <w:rsid w:val="00926AAF"/>
    <w:rsid w:val="00926E22"/>
    <w:rsid w:val="00927153"/>
    <w:rsid w:val="00927759"/>
    <w:rsid w:val="00927780"/>
    <w:rsid w:val="00930254"/>
    <w:rsid w:val="00931620"/>
    <w:rsid w:val="00931870"/>
    <w:rsid w:val="00931C9D"/>
    <w:rsid w:val="00932025"/>
    <w:rsid w:val="00932B2F"/>
    <w:rsid w:val="00932DEA"/>
    <w:rsid w:val="00932E80"/>
    <w:rsid w:val="00933993"/>
    <w:rsid w:val="009341DD"/>
    <w:rsid w:val="00934F99"/>
    <w:rsid w:val="00935FB7"/>
    <w:rsid w:val="0093606F"/>
    <w:rsid w:val="00936239"/>
    <w:rsid w:val="00936677"/>
    <w:rsid w:val="009404CC"/>
    <w:rsid w:val="009408AD"/>
    <w:rsid w:val="00940DF6"/>
    <w:rsid w:val="00941492"/>
    <w:rsid w:val="009416D1"/>
    <w:rsid w:val="0094191B"/>
    <w:rsid w:val="00941934"/>
    <w:rsid w:val="00941A46"/>
    <w:rsid w:val="00941CC9"/>
    <w:rsid w:val="009432D5"/>
    <w:rsid w:val="00943644"/>
    <w:rsid w:val="00944623"/>
    <w:rsid w:val="009448F1"/>
    <w:rsid w:val="009449B0"/>
    <w:rsid w:val="00944D54"/>
    <w:rsid w:val="00945049"/>
    <w:rsid w:val="00945279"/>
    <w:rsid w:val="00945A7E"/>
    <w:rsid w:val="009461D3"/>
    <w:rsid w:val="0094687A"/>
    <w:rsid w:val="00946B17"/>
    <w:rsid w:val="00946B6C"/>
    <w:rsid w:val="00947197"/>
    <w:rsid w:val="009472B9"/>
    <w:rsid w:val="009477CE"/>
    <w:rsid w:val="00947A8D"/>
    <w:rsid w:val="009502CD"/>
    <w:rsid w:val="00950A50"/>
    <w:rsid w:val="009512A8"/>
    <w:rsid w:val="009518E8"/>
    <w:rsid w:val="00951B70"/>
    <w:rsid w:val="00951BC5"/>
    <w:rsid w:val="00952BC8"/>
    <w:rsid w:val="00952EAA"/>
    <w:rsid w:val="00953704"/>
    <w:rsid w:val="009538C0"/>
    <w:rsid w:val="00953E75"/>
    <w:rsid w:val="009542DE"/>
    <w:rsid w:val="0095441F"/>
    <w:rsid w:val="009544E3"/>
    <w:rsid w:val="00956C83"/>
    <w:rsid w:val="00957021"/>
    <w:rsid w:val="009573A8"/>
    <w:rsid w:val="00957DC9"/>
    <w:rsid w:val="00957E6D"/>
    <w:rsid w:val="00957F9C"/>
    <w:rsid w:val="00960366"/>
    <w:rsid w:val="00960703"/>
    <w:rsid w:val="00960A97"/>
    <w:rsid w:val="00960D0D"/>
    <w:rsid w:val="0096114F"/>
    <w:rsid w:val="00962347"/>
    <w:rsid w:val="00963802"/>
    <w:rsid w:val="00963C13"/>
    <w:rsid w:val="0096406C"/>
    <w:rsid w:val="009645B8"/>
    <w:rsid w:val="00964698"/>
    <w:rsid w:val="0096510C"/>
    <w:rsid w:val="009657BB"/>
    <w:rsid w:val="00965807"/>
    <w:rsid w:val="009659F1"/>
    <w:rsid w:val="00965C04"/>
    <w:rsid w:val="00965F18"/>
    <w:rsid w:val="00967780"/>
    <w:rsid w:val="00967F5E"/>
    <w:rsid w:val="00970677"/>
    <w:rsid w:val="00970F96"/>
    <w:rsid w:val="00971B04"/>
    <w:rsid w:val="009723B5"/>
    <w:rsid w:val="0097269F"/>
    <w:rsid w:val="0097285D"/>
    <w:rsid w:val="0097295A"/>
    <w:rsid w:val="0097374E"/>
    <w:rsid w:val="009737BC"/>
    <w:rsid w:val="00973EBA"/>
    <w:rsid w:val="00975DC5"/>
    <w:rsid w:val="00976362"/>
    <w:rsid w:val="00976685"/>
    <w:rsid w:val="00976F4B"/>
    <w:rsid w:val="0097727E"/>
    <w:rsid w:val="0097733C"/>
    <w:rsid w:val="00977391"/>
    <w:rsid w:val="009773AE"/>
    <w:rsid w:val="00977F4E"/>
    <w:rsid w:val="009806D0"/>
    <w:rsid w:val="00980700"/>
    <w:rsid w:val="0098082A"/>
    <w:rsid w:val="00980852"/>
    <w:rsid w:val="00980B35"/>
    <w:rsid w:val="00980C20"/>
    <w:rsid w:val="00981060"/>
    <w:rsid w:val="009813C4"/>
    <w:rsid w:val="00982969"/>
    <w:rsid w:val="00982E41"/>
    <w:rsid w:val="009830CB"/>
    <w:rsid w:val="00983398"/>
    <w:rsid w:val="00983C0D"/>
    <w:rsid w:val="00983C20"/>
    <w:rsid w:val="009843C8"/>
    <w:rsid w:val="0098476A"/>
    <w:rsid w:val="0098498B"/>
    <w:rsid w:val="00984FAA"/>
    <w:rsid w:val="0098610D"/>
    <w:rsid w:val="0098614F"/>
    <w:rsid w:val="00986D33"/>
    <w:rsid w:val="00987214"/>
    <w:rsid w:val="0098740B"/>
    <w:rsid w:val="009900F6"/>
    <w:rsid w:val="0099073D"/>
    <w:rsid w:val="009908A8"/>
    <w:rsid w:val="00990EA7"/>
    <w:rsid w:val="009928FE"/>
    <w:rsid w:val="009939BF"/>
    <w:rsid w:val="009946F9"/>
    <w:rsid w:val="00994AD7"/>
    <w:rsid w:val="00994B96"/>
    <w:rsid w:val="00996C5C"/>
    <w:rsid w:val="00996F5A"/>
    <w:rsid w:val="00996F8F"/>
    <w:rsid w:val="00997AA1"/>
    <w:rsid w:val="00997EE7"/>
    <w:rsid w:val="009A057F"/>
    <w:rsid w:val="009A06FD"/>
    <w:rsid w:val="009A074F"/>
    <w:rsid w:val="009A0B78"/>
    <w:rsid w:val="009A134A"/>
    <w:rsid w:val="009A13C9"/>
    <w:rsid w:val="009A2A05"/>
    <w:rsid w:val="009A3171"/>
    <w:rsid w:val="009A35F0"/>
    <w:rsid w:val="009A3B07"/>
    <w:rsid w:val="009A3C90"/>
    <w:rsid w:val="009A40B5"/>
    <w:rsid w:val="009A54BC"/>
    <w:rsid w:val="009A62CC"/>
    <w:rsid w:val="009A65FD"/>
    <w:rsid w:val="009A6757"/>
    <w:rsid w:val="009A68C3"/>
    <w:rsid w:val="009A7719"/>
    <w:rsid w:val="009A7AFD"/>
    <w:rsid w:val="009B061A"/>
    <w:rsid w:val="009B1044"/>
    <w:rsid w:val="009B146A"/>
    <w:rsid w:val="009B2BCB"/>
    <w:rsid w:val="009B3076"/>
    <w:rsid w:val="009B3971"/>
    <w:rsid w:val="009B4064"/>
    <w:rsid w:val="009B4711"/>
    <w:rsid w:val="009B4B4E"/>
    <w:rsid w:val="009B4BB4"/>
    <w:rsid w:val="009B4BE2"/>
    <w:rsid w:val="009B56E8"/>
    <w:rsid w:val="009B5EB1"/>
    <w:rsid w:val="009B681F"/>
    <w:rsid w:val="009B7193"/>
    <w:rsid w:val="009B7ABF"/>
    <w:rsid w:val="009C0431"/>
    <w:rsid w:val="009C144B"/>
    <w:rsid w:val="009C1A27"/>
    <w:rsid w:val="009C1C59"/>
    <w:rsid w:val="009C2629"/>
    <w:rsid w:val="009C2A3E"/>
    <w:rsid w:val="009C2C53"/>
    <w:rsid w:val="009C2DED"/>
    <w:rsid w:val="009C34EE"/>
    <w:rsid w:val="009C3BBD"/>
    <w:rsid w:val="009C48DF"/>
    <w:rsid w:val="009C4BDD"/>
    <w:rsid w:val="009C6A79"/>
    <w:rsid w:val="009C7697"/>
    <w:rsid w:val="009C76CB"/>
    <w:rsid w:val="009C77C7"/>
    <w:rsid w:val="009C7EE2"/>
    <w:rsid w:val="009C7FC2"/>
    <w:rsid w:val="009D0223"/>
    <w:rsid w:val="009D06A9"/>
    <w:rsid w:val="009D0F27"/>
    <w:rsid w:val="009D34AA"/>
    <w:rsid w:val="009D3899"/>
    <w:rsid w:val="009D3D49"/>
    <w:rsid w:val="009D3F55"/>
    <w:rsid w:val="009D436A"/>
    <w:rsid w:val="009D43A3"/>
    <w:rsid w:val="009D530B"/>
    <w:rsid w:val="009D6B72"/>
    <w:rsid w:val="009D72C9"/>
    <w:rsid w:val="009D77B6"/>
    <w:rsid w:val="009D7BFC"/>
    <w:rsid w:val="009D7E54"/>
    <w:rsid w:val="009D7FCB"/>
    <w:rsid w:val="009E0200"/>
    <w:rsid w:val="009E0278"/>
    <w:rsid w:val="009E059C"/>
    <w:rsid w:val="009E1104"/>
    <w:rsid w:val="009E1845"/>
    <w:rsid w:val="009E1F4D"/>
    <w:rsid w:val="009E2232"/>
    <w:rsid w:val="009E2D47"/>
    <w:rsid w:val="009E2E1D"/>
    <w:rsid w:val="009E335C"/>
    <w:rsid w:val="009E36E4"/>
    <w:rsid w:val="009E37F4"/>
    <w:rsid w:val="009E3EB0"/>
    <w:rsid w:val="009E459D"/>
    <w:rsid w:val="009E47D9"/>
    <w:rsid w:val="009E585A"/>
    <w:rsid w:val="009E5894"/>
    <w:rsid w:val="009E5BA9"/>
    <w:rsid w:val="009E694F"/>
    <w:rsid w:val="009E6CD5"/>
    <w:rsid w:val="009E72D2"/>
    <w:rsid w:val="009E73BF"/>
    <w:rsid w:val="009E78CA"/>
    <w:rsid w:val="009E7DC6"/>
    <w:rsid w:val="009F0556"/>
    <w:rsid w:val="009F05EB"/>
    <w:rsid w:val="009F0990"/>
    <w:rsid w:val="009F0E80"/>
    <w:rsid w:val="009F1210"/>
    <w:rsid w:val="009F147C"/>
    <w:rsid w:val="009F154F"/>
    <w:rsid w:val="009F16C5"/>
    <w:rsid w:val="009F214E"/>
    <w:rsid w:val="009F258A"/>
    <w:rsid w:val="009F32DF"/>
    <w:rsid w:val="009F3A9A"/>
    <w:rsid w:val="009F4690"/>
    <w:rsid w:val="009F48A5"/>
    <w:rsid w:val="009F4A02"/>
    <w:rsid w:val="009F5101"/>
    <w:rsid w:val="009F6207"/>
    <w:rsid w:val="009F637C"/>
    <w:rsid w:val="009F65F0"/>
    <w:rsid w:val="009F6A5D"/>
    <w:rsid w:val="009F6C74"/>
    <w:rsid w:val="009F6EA7"/>
    <w:rsid w:val="009F7727"/>
    <w:rsid w:val="009F77DA"/>
    <w:rsid w:val="00A003E7"/>
    <w:rsid w:val="00A016E4"/>
    <w:rsid w:val="00A01D7C"/>
    <w:rsid w:val="00A031A5"/>
    <w:rsid w:val="00A05723"/>
    <w:rsid w:val="00A058FF"/>
    <w:rsid w:val="00A07167"/>
    <w:rsid w:val="00A07808"/>
    <w:rsid w:val="00A079E9"/>
    <w:rsid w:val="00A10035"/>
    <w:rsid w:val="00A104E5"/>
    <w:rsid w:val="00A1127F"/>
    <w:rsid w:val="00A11812"/>
    <w:rsid w:val="00A11EFC"/>
    <w:rsid w:val="00A12048"/>
    <w:rsid w:val="00A122CC"/>
    <w:rsid w:val="00A123D6"/>
    <w:rsid w:val="00A13717"/>
    <w:rsid w:val="00A13ABC"/>
    <w:rsid w:val="00A149D5"/>
    <w:rsid w:val="00A1547F"/>
    <w:rsid w:val="00A15A15"/>
    <w:rsid w:val="00A15B28"/>
    <w:rsid w:val="00A171A1"/>
    <w:rsid w:val="00A207CB"/>
    <w:rsid w:val="00A21056"/>
    <w:rsid w:val="00A21285"/>
    <w:rsid w:val="00A22371"/>
    <w:rsid w:val="00A23B81"/>
    <w:rsid w:val="00A23C2D"/>
    <w:rsid w:val="00A23D11"/>
    <w:rsid w:val="00A2413E"/>
    <w:rsid w:val="00A242D8"/>
    <w:rsid w:val="00A2453D"/>
    <w:rsid w:val="00A24E93"/>
    <w:rsid w:val="00A2541D"/>
    <w:rsid w:val="00A259A7"/>
    <w:rsid w:val="00A259E1"/>
    <w:rsid w:val="00A25A18"/>
    <w:rsid w:val="00A26286"/>
    <w:rsid w:val="00A26FF7"/>
    <w:rsid w:val="00A270D6"/>
    <w:rsid w:val="00A273F7"/>
    <w:rsid w:val="00A27426"/>
    <w:rsid w:val="00A2768E"/>
    <w:rsid w:val="00A27EB0"/>
    <w:rsid w:val="00A30046"/>
    <w:rsid w:val="00A30C53"/>
    <w:rsid w:val="00A30D6D"/>
    <w:rsid w:val="00A31EBD"/>
    <w:rsid w:val="00A332AF"/>
    <w:rsid w:val="00A33D5D"/>
    <w:rsid w:val="00A3494F"/>
    <w:rsid w:val="00A34F58"/>
    <w:rsid w:val="00A35B57"/>
    <w:rsid w:val="00A36A94"/>
    <w:rsid w:val="00A36ACE"/>
    <w:rsid w:val="00A3745C"/>
    <w:rsid w:val="00A405C4"/>
    <w:rsid w:val="00A40CC9"/>
    <w:rsid w:val="00A40F77"/>
    <w:rsid w:val="00A41B7F"/>
    <w:rsid w:val="00A423F2"/>
    <w:rsid w:val="00A42940"/>
    <w:rsid w:val="00A42DBA"/>
    <w:rsid w:val="00A434BB"/>
    <w:rsid w:val="00A4357E"/>
    <w:rsid w:val="00A43843"/>
    <w:rsid w:val="00A4432F"/>
    <w:rsid w:val="00A4453F"/>
    <w:rsid w:val="00A45507"/>
    <w:rsid w:val="00A45D5C"/>
    <w:rsid w:val="00A46352"/>
    <w:rsid w:val="00A4641A"/>
    <w:rsid w:val="00A46AD1"/>
    <w:rsid w:val="00A4771E"/>
    <w:rsid w:val="00A501B1"/>
    <w:rsid w:val="00A505B4"/>
    <w:rsid w:val="00A51840"/>
    <w:rsid w:val="00A53161"/>
    <w:rsid w:val="00A53E05"/>
    <w:rsid w:val="00A54E8C"/>
    <w:rsid w:val="00A5588E"/>
    <w:rsid w:val="00A559E8"/>
    <w:rsid w:val="00A55FB6"/>
    <w:rsid w:val="00A566B8"/>
    <w:rsid w:val="00A57805"/>
    <w:rsid w:val="00A57B1C"/>
    <w:rsid w:val="00A60751"/>
    <w:rsid w:val="00A60C3A"/>
    <w:rsid w:val="00A6104E"/>
    <w:rsid w:val="00A61364"/>
    <w:rsid w:val="00A61705"/>
    <w:rsid w:val="00A61B82"/>
    <w:rsid w:val="00A621FA"/>
    <w:rsid w:val="00A624D3"/>
    <w:rsid w:val="00A63B5B"/>
    <w:rsid w:val="00A63F11"/>
    <w:rsid w:val="00A65C82"/>
    <w:rsid w:val="00A66943"/>
    <w:rsid w:val="00A67F46"/>
    <w:rsid w:val="00A703A1"/>
    <w:rsid w:val="00A70DA2"/>
    <w:rsid w:val="00A71417"/>
    <w:rsid w:val="00A7182D"/>
    <w:rsid w:val="00A7233F"/>
    <w:rsid w:val="00A723C3"/>
    <w:rsid w:val="00A7277A"/>
    <w:rsid w:val="00A72946"/>
    <w:rsid w:val="00A72983"/>
    <w:rsid w:val="00A72C5A"/>
    <w:rsid w:val="00A73D9B"/>
    <w:rsid w:val="00A73E4D"/>
    <w:rsid w:val="00A7447D"/>
    <w:rsid w:val="00A755E8"/>
    <w:rsid w:val="00A75AE4"/>
    <w:rsid w:val="00A75FA3"/>
    <w:rsid w:val="00A7690D"/>
    <w:rsid w:val="00A76D0F"/>
    <w:rsid w:val="00A770F6"/>
    <w:rsid w:val="00A80CBA"/>
    <w:rsid w:val="00A814AD"/>
    <w:rsid w:val="00A81913"/>
    <w:rsid w:val="00A81C49"/>
    <w:rsid w:val="00A82238"/>
    <w:rsid w:val="00A823B4"/>
    <w:rsid w:val="00A82ADD"/>
    <w:rsid w:val="00A82C5E"/>
    <w:rsid w:val="00A85400"/>
    <w:rsid w:val="00A85E97"/>
    <w:rsid w:val="00A86039"/>
    <w:rsid w:val="00A869CA"/>
    <w:rsid w:val="00A872E6"/>
    <w:rsid w:val="00A87484"/>
    <w:rsid w:val="00A87F8A"/>
    <w:rsid w:val="00A90E29"/>
    <w:rsid w:val="00A90E9F"/>
    <w:rsid w:val="00A91412"/>
    <w:rsid w:val="00A916F2"/>
    <w:rsid w:val="00A91A14"/>
    <w:rsid w:val="00A91BD5"/>
    <w:rsid w:val="00A92381"/>
    <w:rsid w:val="00A925C7"/>
    <w:rsid w:val="00A925E6"/>
    <w:rsid w:val="00A93402"/>
    <w:rsid w:val="00A9369F"/>
    <w:rsid w:val="00A94DAA"/>
    <w:rsid w:val="00A94E0C"/>
    <w:rsid w:val="00A953ED"/>
    <w:rsid w:val="00A96142"/>
    <w:rsid w:val="00A961ED"/>
    <w:rsid w:val="00A96300"/>
    <w:rsid w:val="00A97A2E"/>
    <w:rsid w:val="00A97A82"/>
    <w:rsid w:val="00A97F27"/>
    <w:rsid w:val="00AA0302"/>
    <w:rsid w:val="00AA0BF5"/>
    <w:rsid w:val="00AA16F9"/>
    <w:rsid w:val="00AA1DF2"/>
    <w:rsid w:val="00AA2234"/>
    <w:rsid w:val="00AA23E3"/>
    <w:rsid w:val="00AA2DCA"/>
    <w:rsid w:val="00AA2EE5"/>
    <w:rsid w:val="00AA541B"/>
    <w:rsid w:val="00AA5E4B"/>
    <w:rsid w:val="00AA63CB"/>
    <w:rsid w:val="00AA69F5"/>
    <w:rsid w:val="00AA6D1A"/>
    <w:rsid w:val="00AA74D4"/>
    <w:rsid w:val="00AA7858"/>
    <w:rsid w:val="00AA7A1B"/>
    <w:rsid w:val="00AB080E"/>
    <w:rsid w:val="00AB0E1F"/>
    <w:rsid w:val="00AB0FBE"/>
    <w:rsid w:val="00AB159A"/>
    <w:rsid w:val="00AB1B20"/>
    <w:rsid w:val="00AB2FF6"/>
    <w:rsid w:val="00AB3057"/>
    <w:rsid w:val="00AB380D"/>
    <w:rsid w:val="00AB5CCC"/>
    <w:rsid w:val="00AB6412"/>
    <w:rsid w:val="00AB6CE2"/>
    <w:rsid w:val="00AB7053"/>
    <w:rsid w:val="00AC0A6D"/>
    <w:rsid w:val="00AC0D94"/>
    <w:rsid w:val="00AC1391"/>
    <w:rsid w:val="00AC2E87"/>
    <w:rsid w:val="00AC342E"/>
    <w:rsid w:val="00AC34CF"/>
    <w:rsid w:val="00AC37F3"/>
    <w:rsid w:val="00AC3CA7"/>
    <w:rsid w:val="00AC42A8"/>
    <w:rsid w:val="00AC449F"/>
    <w:rsid w:val="00AC4D26"/>
    <w:rsid w:val="00AC4D89"/>
    <w:rsid w:val="00AC4EB8"/>
    <w:rsid w:val="00AC4FC7"/>
    <w:rsid w:val="00AC5492"/>
    <w:rsid w:val="00AC5887"/>
    <w:rsid w:val="00AC5D74"/>
    <w:rsid w:val="00AC5FDE"/>
    <w:rsid w:val="00AC63D1"/>
    <w:rsid w:val="00AC688F"/>
    <w:rsid w:val="00AC7438"/>
    <w:rsid w:val="00AC75A3"/>
    <w:rsid w:val="00AC7C31"/>
    <w:rsid w:val="00AC7E85"/>
    <w:rsid w:val="00AD0186"/>
    <w:rsid w:val="00AD043F"/>
    <w:rsid w:val="00AD0537"/>
    <w:rsid w:val="00AD08EE"/>
    <w:rsid w:val="00AD19BD"/>
    <w:rsid w:val="00AD21E9"/>
    <w:rsid w:val="00AD2909"/>
    <w:rsid w:val="00AD2980"/>
    <w:rsid w:val="00AD2D3B"/>
    <w:rsid w:val="00AD426A"/>
    <w:rsid w:val="00AD477B"/>
    <w:rsid w:val="00AD4F00"/>
    <w:rsid w:val="00AD5185"/>
    <w:rsid w:val="00AD5792"/>
    <w:rsid w:val="00AD6F1A"/>
    <w:rsid w:val="00AD71F7"/>
    <w:rsid w:val="00AD7793"/>
    <w:rsid w:val="00AD7B42"/>
    <w:rsid w:val="00AE0B1C"/>
    <w:rsid w:val="00AE0B1F"/>
    <w:rsid w:val="00AE11C6"/>
    <w:rsid w:val="00AE132C"/>
    <w:rsid w:val="00AE14F6"/>
    <w:rsid w:val="00AE177E"/>
    <w:rsid w:val="00AE21A5"/>
    <w:rsid w:val="00AE2EF5"/>
    <w:rsid w:val="00AE2FF4"/>
    <w:rsid w:val="00AE377B"/>
    <w:rsid w:val="00AE3D54"/>
    <w:rsid w:val="00AE3DEA"/>
    <w:rsid w:val="00AE44E9"/>
    <w:rsid w:val="00AE4AE9"/>
    <w:rsid w:val="00AE55B8"/>
    <w:rsid w:val="00AE5F27"/>
    <w:rsid w:val="00AE6F91"/>
    <w:rsid w:val="00AE7710"/>
    <w:rsid w:val="00AE7953"/>
    <w:rsid w:val="00AE7A9A"/>
    <w:rsid w:val="00AF0C36"/>
    <w:rsid w:val="00AF0D55"/>
    <w:rsid w:val="00AF0DCC"/>
    <w:rsid w:val="00AF1D47"/>
    <w:rsid w:val="00AF2064"/>
    <w:rsid w:val="00AF20A7"/>
    <w:rsid w:val="00AF244E"/>
    <w:rsid w:val="00AF266F"/>
    <w:rsid w:val="00AF2DCF"/>
    <w:rsid w:val="00AF39A7"/>
    <w:rsid w:val="00AF3A10"/>
    <w:rsid w:val="00AF3DDA"/>
    <w:rsid w:val="00AF43C7"/>
    <w:rsid w:val="00AF45FE"/>
    <w:rsid w:val="00AF5281"/>
    <w:rsid w:val="00AF534E"/>
    <w:rsid w:val="00AF5536"/>
    <w:rsid w:val="00AF589F"/>
    <w:rsid w:val="00AF5D6E"/>
    <w:rsid w:val="00AF61C3"/>
    <w:rsid w:val="00AF6B34"/>
    <w:rsid w:val="00B01453"/>
    <w:rsid w:val="00B0147C"/>
    <w:rsid w:val="00B01AEC"/>
    <w:rsid w:val="00B01C2D"/>
    <w:rsid w:val="00B021BD"/>
    <w:rsid w:val="00B0264D"/>
    <w:rsid w:val="00B02A46"/>
    <w:rsid w:val="00B03CB7"/>
    <w:rsid w:val="00B03F55"/>
    <w:rsid w:val="00B049C7"/>
    <w:rsid w:val="00B0537B"/>
    <w:rsid w:val="00B05C44"/>
    <w:rsid w:val="00B05FBC"/>
    <w:rsid w:val="00B069A5"/>
    <w:rsid w:val="00B06A5B"/>
    <w:rsid w:val="00B06A72"/>
    <w:rsid w:val="00B06D01"/>
    <w:rsid w:val="00B077C9"/>
    <w:rsid w:val="00B1111A"/>
    <w:rsid w:val="00B11C82"/>
    <w:rsid w:val="00B12339"/>
    <w:rsid w:val="00B12A65"/>
    <w:rsid w:val="00B136FC"/>
    <w:rsid w:val="00B13898"/>
    <w:rsid w:val="00B13E47"/>
    <w:rsid w:val="00B13F07"/>
    <w:rsid w:val="00B13F4B"/>
    <w:rsid w:val="00B140AB"/>
    <w:rsid w:val="00B1462C"/>
    <w:rsid w:val="00B1488B"/>
    <w:rsid w:val="00B15523"/>
    <w:rsid w:val="00B15E12"/>
    <w:rsid w:val="00B15FF5"/>
    <w:rsid w:val="00B16126"/>
    <w:rsid w:val="00B1644A"/>
    <w:rsid w:val="00B170BD"/>
    <w:rsid w:val="00B176C1"/>
    <w:rsid w:val="00B20165"/>
    <w:rsid w:val="00B20268"/>
    <w:rsid w:val="00B2101E"/>
    <w:rsid w:val="00B21676"/>
    <w:rsid w:val="00B216B4"/>
    <w:rsid w:val="00B2185E"/>
    <w:rsid w:val="00B22025"/>
    <w:rsid w:val="00B2240A"/>
    <w:rsid w:val="00B22A90"/>
    <w:rsid w:val="00B23487"/>
    <w:rsid w:val="00B237F8"/>
    <w:rsid w:val="00B2380B"/>
    <w:rsid w:val="00B23DDB"/>
    <w:rsid w:val="00B23DEF"/>
    <w:rsid w:val="00B23F0D"/>
    <w:rsid w:val="00B24061"/>
    <w:rsid w:val="00B24176"/>
    <w:rsid w:val="00B24460"/>
    <w:rsid w:val="00B25062"/>
    <w:rsid w:val="00B25DA9"/>
    <w:rsid w:val="00B25EA7"/>
    <w:rsid w:val="00B25F11"/>
    <w:rsid w:val="00B263FE"/>
    <w:rsid w:val="00B268BB"/>
    <w:rsid w:val="00B26FA5"/>
    <w:rsid w:val="00B272DC"/>
    <w:rsid w:val="00B30130"/>
    <w:rsid w:val="00B302C9"/>
    <w:rsid w:val="00B303B2"/>
    <w:rsid w:val="00B30432"/>
    <w:rsid w:val="00B3084F"/>
    <w:rsid w:val="00B31FF0"/>
    <w:rsid w:val="00B32028"/>
    <w:rsid w:val="00B3286B"/>
    <w:rsid w:val="00B32925"/>
    <w:rsid w:val="00B32D2D"/>
    <w:rsid w:val="00B33083"/>
    <w:rsid w:val="00B34140"/>
    <w:rsid w:val="00B34E81"/>
    <w:rsid w:val="00B353E9"/>
    <w:rsid w:val="00B35517"/>
    <w:rsid w:val="00B35A96"/>
    <w:rsid w:val="00B3674D"/>
    <w:rsid w:val="00B36E00"/>
    <w:rsid w:val="00B3702B"/>
    <w:rsid w:val="00B373A3"/>
    <w:rsid w:val="00B402B1"/>
    <w:rsid w:val="00B40AFE"/>
    <w:rsid w:val="00B40B4D"/>
    <w:rsid w:val="00B40D01"/>
    <w:rsid w:val="00B41D20"/>
    <w:rsid w:val="00B42DF9"/>
    <w:rsid w:val="00B4418F"/>
    <w:rsid w:val="00B44467"/>
    <w:rsid w:val="00B4460A"/>
    <w:rsid w:val="00B44A8B"/>
    <w:rsid w:val="00B44BB7"/>
    <w:rsid w:val="00B44C50"/>
    <w:rsid w:val="00B44D66"/>
    <w:rsid w:val="00B45575"/>
    <w:rsid w:val="00B460B3"/>
    <w:rsid w:val="00B466F7"/>
    <w:rsid w:val="00B46CCD"/>
    <w:rsid w:val="00B475A6"/>
    <w:rsid w:val="00B47793"/>
    <w:rsid w:val="00B47A18"/>
    <w:rsid w:val="00B47C6F"/>
    <w:rsid w:val="00B501A5"/>
    <w:rsid w:val="00B5028B"/>
    <w:rsid w:val="00B50598"/>
    <w:rsid w:val="00B50D61"/>
    <w:rsid w:val="00B50DE0"/>
    <w:rsid w:val="00B51720"/>
    <w:rsid w:val="00B517DD"/>
    <w:rsid w:val="00B51831"/>
    <w:rsid w:val="00B51E15"/>
    <w:rsid w:val="00B532D4"/>
    <w:rsid w:val="00B5330F"/>
    <w:rsid w:val="00B53764"/>
    <w:rsid w:val="00B53A95"/>
    <w:rsid w:val="00B53B9C"/>
    <w:rsid w:val="00B53C20"/>
    <w:rsid w:val="00B5453F"/>
    <w:rsid w:val="00B545D4"/>
    <w:rsid w:val="00B5481B"/>
    <w:rsid w:val="00B54C11"/>
    <w:rsid w:val="00B54CD4"/>
    <w:rsid w:val="00B550C1"/>
    <w:rsid w:val="00B555E3"/>
    <w:rsid w:val="00B55ED4"/>
    <w:rsid w:val="00B5634E"/>
    <w:rsid w:val="00B56C27"/>
    <w:rsid w:val="00B57331"/>
    <w:rsid w:val="00B60624"/>
    <w:rsid w:val="00B60DC1"/>
    <w:rsid w:val="00B61313"/>
    <w:rsid w:val="00B61D5C"/>
    <w:rsid w:val="00B61E74"/>
    <w:rsid w:val="00B6213F"/>
    <w:rsid w:val="00B6223F"/>
    <w:rsid w:val="00B62595"/>
    <w:rsid w:val="00B625CB"/>
    <w:rsid w:val="00B626F4"/>
    <w:rsid w:val="00B62C01"/>
    <w:rsid w:val="00B64016"/>
    <w:rsid w:val="00B646DA"/>
    <w:rsid w:val="00B64864"/>
    <w:rsid w:val="00B64930"/>
    <w:rsid w:val="00B64E49"/>
    <w:rsid w:val="00B651FC"/>
    <w:rsid w:val="00B6537A"/>
    <w:rsid w:val="00B65B75"/>
    <w:rsid w:val="00B65CB3"/>
    <w:rsid w:val="00B66486"/>
    <w:rsid w:val="00B66569"/>
    <w:rsid w:val="00B675F2"/>
    <w:rsid w:val="00B70363"/>
    <w:rsid w:val="00B706E8"/>
    <w:rsid w:val="00B70D52"/>
    <w:rsid w:val="00B7114D"/>
    <w:rsid w:val="00B715E6"/>
    <w:rsid w:val="00B716D2"/>
    <w:rsid w:val="00B718EA"/>
    <w:rsid w:val="00B71E31"/>
    <w:rsid w:val="00B72B17"/>
    <w:rsid w:val="00B73869"/>
    <w:rsid w:val="00B73A3D"/>
    <w:rsid w:val="00B74E67"/>
    <w:rsid w:val="00B75511"/>
    <w:rsid w:val="00B76DA9"/>
    <w:rsid w:val="00B7732F"/>
    <w:rsid w:val="00B7780B"/>
    <w:rsid w:val="00B77A98"/>
    <w:rsid w:val="00B80DDD"/>
    <w:rsid w:val="00B81557"/>
    <w:rsid w:val="00B823C1"/>
    <w:rsid w:val="00B82C4E"/>
    <w:rsid w:val="00B82D43"/>
    <w:rsid w:val="00B834CE"/>
    <w:rsid w:val="00B837D0"/>
    <w:rsid w:val="00B839F2"/>
    <w:rsid w:val="00B8420D"/>
    <w:rsid w:val="00B84457"/>
    <w:rsid w:val="00B84996"/>
    <w:rsid w:val="00B84A94"/>
    <w:rsid w:val="00B85D96"/>
    <w:rsid w:val="00B85DB0"/>
    <w:rsid w:val="00B85E0E"/>
    <w:rsid w:val="00B85F47"/>
    <w:rsid w:val="00B870C1"/>
    <w:rsid w:val="00B87593"/>
    <w:rsid w:val="00B91996"/>
    <w:rsid w:val="00B91C1D"/>
    <w:rsid w:val="00B91E17"/>
    <w:rsid w:val="00B91E70"/>
    <w:rsid w:val="00B925A3"/>
    <w:rsid w:val="00B925B6"/>
    <w:rsid w:val="00B937CF"/>
    <w:rsid w:val="00B93955"/>
    <w:rsid w:val="00B940D2"/>
    <w:rsid w:val="00B95178"/>
    <w:rsid w:val="00B953B4"/>
    <w:rsid w:val="00B96CA2"/>
    <w:rsid w:val="00B97141"/>
    <w:rsid w:val="00B97282"/>
    <w:rsid w:val="00B97BFD"/>
    <w:rsid w:val="00B97D96"/>
    <w:rsid w:val="00BA0839"/>
    <w:rsid w:val="00BA0F23"/>
    <w:rsid w:val="00BA1140"/>
    <w:rsid w:val="00BA15F0"/>
    <w:rsid w:val="00BA228E"/>
    <w:rsid w:val="00BA2B12"/>
    <w:rsid w:val="00BA2CEB"/>
    <w:rsid w:val="00BA368B"/>
    <w:rsid w:val="00BA40FC"/>
    <w:rsid w:val="00BA4721"/>
    <w:rsid w:val="00BA4A84"/>
    <w:rsid w:val="00BA4C5A"/>
    <w:rsid w:val="00BA4DE8"/>
    <w:rsid w:val="00BA51F5"/>
    <w:rsid w:val="00BA534C"/>
    <w:rsid w:val="00BA616E"/>
    <w:rsid w:val="00BA6DE4"/>
    <w:rsid w:val="00BA7BDB"/>
    <w:rsid w:val="00BB0089"/>
    <w:rsid w:val="00BB0A61"/>
    <w:rsid w:val="00BB0D21"/>
    <w:rsid w:val="00BB1015"/>
    <w:rsid w:val="00BB14B2"/>
    <w:rsid w:val="00BB2540"/>
    <w:rsid w:val="00BB28BA"/>
    <w:rsid w:val="00BB3350"/>
    <w:rsid w:val="00BB4246"/>
    <w:rsid w:val="00BB486F"/>
    <w:rsid w:val="00BB4997"/>
    <w:rsid w:val="00BB4E19"/>
    <w:rsid w:val="00BB55A4"/>
    <w:rsid w:val="00BB5762"/>
    <w:rsid w:val="00BB5AF6"/>
    <w:rsid w:val="00BB6619"/>
    <w:rsid w:val="00BB6824"/>
    <w:rsid w:val="00BB6BA0"/>
    <w:rsid w:val="00BB6DEF"/>
    <w:rsid w:val="00BB75E5"/>
    <w:rsid w:val="00BB761A"/>
    <w:rsid w:val="00BB77EE"/>
    <w:rsid w:val="00BB781D"/>
    <w:rsid w:val="00BB7AF7"/>
    <w:rsid w:val="00BB7D32"/>
    <w:rsid w:val="00BB7FBB"/>
    <w:rsid w:val="00BC07C2"/>
    <w:rsid w:val="00BC0D6A"/>
    <w:rsid w:val="00BC13FE"/>
    <w:rsid w:val="00BC2282"/>
    <w:rsid w:val="00BC27C1"/>
    <w:rsid w:val="00BC292A"/>
    <w:rsid w:val="00BC2C6F"/>
    <w:rsid w:val="00BC3B9F"/>
    <w:rsid w:val="00BC3DAE"/>
    <w:rsid w:val="00BC434D"/>
    <w:rsid w:val="00BC4376"/>
    <w:rsid w:val="00BC4662"/>
    <w:rsid w:val="00BC51DE"/>
    <w:rsid w:val="00BC5ABF"/>
    <w:rsid w:val="00BC6012"/>
    <w:rsid w:val="00BC682B"/>
    <w:rsid w:val="00BC699C"/>
    <w:rsid w:val="00BC76E4"/>
    <w:rsid w:val="00BC7704"/>
    <w:rsid w:val="00BC78E8"/>
    <w:rsid w:val="00BC7B86"/>
    <w:rsid w:val="00BC7EDE"/>
    <w:rsid w:val="00BD0A1B"/>
    <w:rsid w:val="00BD0D1C"/>
    <w:rsid w:val="00BD1432"/>
    <w:rsid w:val="00BD17DC"/>
    <w:rsid w:val="00BD276E"/>
    <w:rsid w:val="00BD2FD2"/>
    <w:rsid w:val="00BD335D"/>
    <w:rsid w:val="00BD3E5E"/>
    <w:rsid w:val="00BD4595"/>
    <w:rsid w:val="00BD5854"/>
    <w:rsid w:val="00BD5BAB"/>
    <w:rsid w:val="00BD675A"/>
    <w:rsid w:val="00BE0074"/>
    <w:rsid w:val="00BE045B"/>
    <w:rsid w:val="00BE176E"/>
    <w:rsid w:val="00BE1BCB"/>
    <w:rsid w:val="00BE2057"/>
    <w:rsid w:val="00BE20D4"/>
    <w:rsid w:val="00BE24EA"/>
    <w:rsid w:val="00BE2577"/>
    <w:rsid w:val="00BE35C1"/>
    <w:rsid w:val="00BE3611"/>
    <w:rsid w:val="00BE3D7A"/>
    <w:rsid w:val="00BE4AFB"/>
    <w:rsid w:val="00BE4D29"/>
    <w:rsid w:val="00BE5295"/>
    <w:rsid w:val="00BE561A"/>
    <w:rsid w:val="00BE576D"/>
    <w:rsid w:val="00BE59F9"/>
    <w:rsid w:val="00BE5C99"/>
    <w:rsid w:val="00BE6C82"/>
    <w:rsid w:val="00BE7266"/>
    <w:rsid w:val="00BE72EC"/>
    <w:rsid w:val="00BE748F"/>
    <w:rsid w:val="00BE7744"/>
    <w:rsid w:val="00BE7E2C"/>
    <w:rsid w:val="00BE7E95"/>
    <w:rsid w:val="00BE7F57"/>
    <w:rsid w:val="00BF0042"/>
    <w:rsid w:val="00BF0725"/>
    <w:rsid w:val="00BF0FF5"/>
    <w:rsid w:val="00BF1124"/>
    <w:rsid w:val="00BF13A0"/>
    <w:rsid w:val="00BF1D5B"/>
    <w:rsid w:val="00BF2317"/>
    <w:rsid w:val="00BF27F5"/>
    <w:rsid w:val="00BF28D9"/>
    <w:rsid w:val="00BF2D85"/>
    <w:rsid w:val="00BF3196"/>
    <w:rsid w:val="00BF4245"/>
    <w:rsid w:val="00BF444D"/>
    <w:rsid w:val="00BF4682"/>
    <w:rsid w:val="00BF4961"/>
    <w:rsid w:val="00BF4F11"/>
    <w:rsid w:val="00BF4FE9"/>
    <w:rsid w:val="00BF522B"/>
    <w:rsid w:val="00BF5C92"/>
    <w:rsid w:val="00BF5D71"/>
    <w:rsid w:val="00BF681B"/>
    <w:rsid w:val="00BF7DA9"/>
    <w:rsid w:val="00C00442"/>
    <w:rsid w:val="00C00918"/>
    <w:rsid w:val="00C01A16"/>
    <w:rsid w:val="00C01EBA"/>
    <w:rsid w:val="00C02043"/>
    <w:rsid w:val="00C02432"/>
    <w:rsid w:val="00C025C7"/>
    <w:rsid w:val="00C02653"/>
    <w:rsid w:val="00C026E8"/>
    <w:rsid w:val="00C02782"/>
    <w:rsid w:val="00C02D69"/>
    <w:rsid w:val="00C03053"/>
    <w:rsid w:val="00C03B83"/>
    <w:rsid w:val="00C03F75"/>
    <w:rsid w:val="00C04587"/>
    <w:rsid w:val="00C0512D"/>
    <w:rsid w:val="00C05790"/>
    <w:rsid w:val="00C057D7"/>
    <w:rsid w:val="00C05915"/>
    <w:rsid w:val="00C059EB"/>
    <w:rsid w:val="00C05ECA"/>
    <w:rsid w:val="00C06A70"/>
    <w:rsid w:val="00C06B63"/>
    <w:rsid w:val="00C105AF"/>
    <w:rsid w:val="00C106A6"/>
    <w:rsid w:val="00C106EF"/>
    <w:rsid w:val="00C10AF9"/>
    <w:rsid w:val="00C116EE"/>
    <w:rsid w:val="00C11705"/>
    <w:rsid w:val="00C127DD"/>
    <w:rsid w:val="00C1282A"/>
    <w:rsid w:val="00C12958"/>
    <w:rsid w:val="00C12BD9"/>
    <w:rsid w:val="00C1311F"/>
    <w:rsid w:val="00C13F09"/>
    <w:rsid w:val="00C14A74"/>
    <w:rsid w:val="00C14DAE"/>
    <w:rsid w:val="00C150B4"/>
    <w:rsid w:val="00C15265"/>
    <w:rsid w:val="00C15292"/>
    <w:rsid w:val="00C15FED"/>
    <w:rsid w:val="00C16050"/>
    <w:rsid w:val="00C16064"/>
    <w:rsid w:val="00C16682"/>
    <w:rsid w:val="00C16863"/>
    <w:rsid w:val="00C171E8"/>
    <w:rsid w:val="00C175C8"/>
    <w:rsid w:val="00C17F96"/>
    <w:rsid w:val="00C2025E"/>
    <w:rsid w:val="00C204D9"/>
    <w:rsid w:val="00C21089"/>
    <w:rsid w:val="00C21504"/>
    <w:rsid w:val="00C215E1"/>
    <w:rsid w:val="00C222C4"/>
    <w:rsid w:val="00C2289C"/>
    <w:rsid w:val="00C22D64"/>
    <w:rsid w:val="00C22F94"/>
    <w:rsid w:val="00C2312D"/>
    <w:rsid w:val="00C2405B"/>
    <w:rsid w:val="00C2431F"/>
    <w:rsid w:val="00C24649"/>
    <w:rsid w:val="00C27CB4"/>
    <w:rsid w:val="00C27CFA"/>
    <w:rsid w:val="00C305FE"/>
    <w:rsid w:val="00C31550"/>
    <w:rsid w:val="00C31728"/>
    <w:rsid w:val="00C318D8"/>
    <w:rsid w:val="00C3285C"/>
    <w:rsid w:val="00C32B47"/>
    <w:rsid w:val="00C3343B"/>
    <w:rsid w:val="00C34339"/>
    <w:rsid w:val="00C34704"/>
    <w:rsid w:val="00C34919"/>
    <w:rsid w:val="00C35044"/>
    <w:rsid w:val="00C3573E"/>
    <w:rsid w:val="00C357DE"/>
    <w:rsid w:val="00C35A53"/>
    <w:rsid w:val="00C35C80"/>
    <w:rsid w:val="00C35FA1"/>
    <w:rsid w:val="00C36630"/>
    <w:rsid w:val="00C3698F"/>
    <w:rsid w:val="00C371D9"/>
    <w:rsid w:val="00C37690"/>
    <w:rsid w:val="00C379FA"/>
    <w:rsid w:val="00C4012C"/>
    <w:rsid w:val="00C40557"/>
    <w:rsid w:val="00C417DB"/>
    <w:rsid w:val="00C41805"/>
    <w:rsid w:val="00C42032"/>
    <w:rsid w:val="00C422B4"/>
    <w:rsid w:val="00C423F2"/>
    <w:rsid w:val="00C42B83"/>
    <w:rsid w:val="00C42CED"/>
    <w:rsid w:val="00C438B4"/>
    <w:rsid w:val="00C4402C"/>
    <w:rsid w:val="00C44253"/>
    <w:rsid w:val="00C4598F"/>
    <w:rsid w:val="00C45BE8"/>
    <w:rsid w:val="00C45C11"/>
    <w:rsid w:val="00C45C91"/>
    <w:rsid w:val="00C472BD"/>
    <w:rsid w:val="00C474F5"/>
    <w:rsid w:val="00C4787D"/>
    <w:rsid w:val="00C47CB7"/>
    <w:rsid w:val="00C47DBB"/>
    <w:rsid w:val="00C50D0A"/>
    <w:rsid w:val="00C51B19"/>
    <w:rsid w:val="00C52BA7"/>
    <w:rsid w:val="00C52D44"/>
    <w:rsid w:val="00C53145"/>
    <w:rsid w:val="00C53535"/>
    <w:rsid w:val="00C53749"/>
    <w:rsid w:val="00C53D6D"/>
    <w:rsid w:val="00C54146"/>
    <w:rsid w:val="00C54A2D"/>
    <w:rsid w:val="00C54D0F"/>
    <w:rsid w:val="00C54F2C"/>
    <w:rsid w:val="00C55310"/>
    <w:rsid w:val="00C558D3"/>
    <w:rsid w:val="00C560C0"/>
    <w:rsid w:val="00C56501"/>
    <w:rsid w:val="00C56B9E"/>
    <w:rsid w:val="00C56BD4"/>
    <w:rsid w:val="00C57C49"/>
    <w:rsid w:val="00C606B9"/>
    <w:rsid w:val="00C60A78"/>
    <w:rsid w:val="00C60C68"/>
    <w:rsid w:val="00C60F77"/>
    <w:rsid w:val="00C6171E"/>
    <w:rsid w:val="00C6175A"/>
    <w:rsid w:val="00C6229C"/>
    <w:rsid w:val="00C62A69"/>
    <w:rsid w:val="00C62CE7"/>
    <w:rsid w:val="00C63A46"/>
    <w:rsid w:val="00C641EC"/>
    <w:rsid w:val="00C64297"/>
    <w:rsid w:val="00C647D7"/>
    <w:rsid w:val="00C64823"/>
    <w:rsid w:val="00C65252"/>
    <w:rsid w:val="00C653DE"/>
    <w:rsid w:val="00C654A2"/>
    <w:rsid w:val="00C65627"/>
    <w:rsid w:val="00C66DEB"/>
    <w:rsid w:val="00C66ECC"/>
    <w:rsid w:val="00C67C71"/>
    <w:rsid w:val="00C67F84"/>
    <w:rsid w:val="00C7014E"/>
    <w:rsid w:val="00C70A5F"/>
    <w:rsid w:val="00C70D4C"/>
    <w:rsid w:val="00C71123"/>
    <w:rsid w:val="00C714E0"/>
    <w:rsid w:val="00C71558"/>
    <w:rsid w:val="00C717F9"/>
    <w:rsid w:val="00C71B38"/>
    <w:rsid w:val="00C73B24"/>
    <w:rsid w:val="00C74122"/>
    <w:rsid w:val="00C74129"/>
    <w:rsid w:val="00C74705"/>
    <w:rsid w:val="00C74E5E"/>
    <w:rsid w:val="00C75092"/>
    <w:rsid w:val="00C751FB"/>
    <w:rsid w:val="00C76226"/>
    <w:rsid w:val="00C76352"/>
    <w:rsid w:val="00C76897"/>
    <w:rsid w:val="00C76A9D"/>
    <w:rsid w:val="00C7703E"/>
    <w:rsid w:val="00C778A4"/>
    <w:rsid w:val="00C77B60"/>
    <w:rsid w:val="00C77E2A"/>
    <w:rsid w:val="00C80068"/>
    <w:rsid w:val="00C803D9"/>
    <w:rsid w:val="00C807F3"/>
    <w:rsid w:val="00C8084D"/>
    <w:rsid w:val="00C8113B"/>
    <w:rsid w:val="00C81205"/>
    <w:rsid w:val="00C81423"/>
    <w:rsid w:val="00C81A06"/>
    <w:rsid w:val="00C81A89"/>
    <w:rsid w:val="00C81CAA"/>
    <w:rsid w:val="00C832DB"/>
    <w:rsid w:val="00C8357F"/>
    <w:rsid w:val="00C8409F"/>
    <w:rsid w:val="00C8454B"/>
    <w:rsid w:val="00C84CBD"/>
    <w:rsid w:val="00C84F10"/>
    <w:rsid w:val="00C857B8"/>
    <w:rsid w:val="00C85A29"/>
    <w:rsid w:val="00C85D49"/>
    <w:rsid w:val="00C85DA8"/>
    <w:rsid w:val="00C86BFD"/>
    <w:rsid w:val="00C86C56"/>
    <w:rsid w:val="00C9071E"/>
    <w:rsid w:val="00C9078D"/>
    <w:rsid w:val="00C909C0"/>
    <w:rsid w:val="00C90C50"/>
    <w:rsid w:val="00C918FA"/>
    <w:rsid w:val="00C91D6D"/>
    <w:rsid w:val="00C93313"/>
    <w:rsid w:val="00C93A42"/>
    <w:rsid w:val="00C93DC8"/>
    <w:rsid w:val="00C94AF0"/>
    <w:rsid w:val="00C953D4"/>
    <w:rsid w:val="00C96C0E"/>
    <w:rsid w:val="00C96C0F"/>
    <w:rsid w:val="00C9713D"/>
    <w:rsid w:val="00C97257"/>
    <w:rsid w:val="00CA0267"/>
    <w:rsid w:val="00CA038C"/>
    <w:rsid w:val="00CA0F93"/>
    <w:rsid w:val="00CA11D1"/>
    <w:rsid w:val="00CA1AD5"/>
    <w:rsid w:val="00CA28E7"/>
    <w:rsid w:val="00CA3010"/>
    <w:rsid w:val="00CA30EC"/>
    <w:rsid w:val="00CA317A"/>
    <w:rsid w:val="00CA3EE8"/>
    <w:rsid w:val="00CA3F5F"/>
    <w:rsid w:val="00CA3FAC"/>
    <w:rsid w:val="00CA48F4"/>
    <w:rsid w:val="00CA4A23"/>
    <w:rsid w:val="00CA5413"/>
    <w:rsid w:val="00CA55AA"/>
    <w:rsid w:val="00CA600F"/>
    <w:rsid w:val="00CA7878"/>
    <w:rsid w:val="00CA794B"/>
    <w:rsid w:val="00CB015B"/>
    <w:rsid w:val="00CB04C3"/>
    <w:rsid w:val="00CB094A"/>
    <w:rsid w:val="00CB0E25"/>
    <w:rsid w:val="00CB173B"/>
    <w:rsid w:val="00CB1893"/>
    <w:rsid w:val="00CB245F"/>
    <w:rsid w:val="00CB2E4F"/>
    <w:rsid w:val="00CB321D"/>
    <w:rsid w:val="00CB34BE"/>
    <w:rsid w:val="00CB46F0"/>
    <w:rsid w:val="00CB4E2F"/>
    <w:rsid w:val="00CB53E2"/>
    <w:rsid w:val="00CB5957"/>
    <w:rsid w:val="00CB5982"/>
    <w:rsid w:val="00CB5A80"/>
    <w:rsid w:val="00CB5D45"/>
    <w:rsid w:val="00CB5F4C"/>
    <w:rsid w:val="00CB60F3"/>
    <w:rsid w:val="00CB65E1"/>
    <w:rsid w:val="00CB661D"/>
    <w:rsid w:val="00CB6DD0"/>
    <w:rsid w:val="00CB72D2"/>
    <w:rsid w:val="00CB7CDE"/>
    <w:rsid w:val="00CC0C38"/>
    <w:rsid w:val="00CC0D95"/>
    <w:rsid w:val="00CC1325"/>
    <w:rsid w:val="00CC142E"/>
    <w:rsid w:val="00CC22D7"/>
    <w:rsid w:val="00CC2617"/>
    <w:rsid w:val="00CC3AB5"/>
    <w:rsid w:val="00CC4720"/>
    <w:rsid w:val="00CC4779"/>
    <w:rsid w:val="00CC478F"/>
    <w:rsid w:val="00CC4A78"/>
    <w:rsid w:val="00CC5583"/>
    <w:rsid w:val="00CC5B7C"/>
    <w:rsid w:val="00CC6292"/>
    <w:rsid w:val="00CC6756"/>
    <w:rsid w:val="00CC6962"/>
    <w:rsid w:val="00CC71DA"/>
    <w:rsid w:val="00CC7591"/>
    <w:rsid w:val="00CC7601"/>
    <w:rsid w:val="00CD0177"/>
    <w:rsid w:val="00CD1778"/>
    <w:rsid w:val="00CD1A74"/>
    <w:rsid w:val="00CD24AA"/>
    <w:rsid w:val="00CD262A"/>
    <w:rsid w:val="00CD2A30"/>
    <w:rsid w:val="00CD2E0F"/>
    <w:rsid w:val="00CD3224"/>
    <w:rsid w:val="00CD45BC"/>
    <w:rsid w:val="00CD4B6D"/>
    <w:rsid w:val="00CD51E0"/>
    <w:rsid w:val="00CD5A13"/>
    <w:rsid w:val="00CD681D"/>
    <w:rsid w:val="00CD6C64"/>
    <w:rsid w:val="00CD6E2B"/>
    <w:rsid w:val="00CD7577"/>
    <w:rsid w:val="00CE00B8"/>
    <w:rsid w:val="00CE0244"/>
    <w:rsid w:val="00CE0401"/>
    <w:rsid w:val="00CE0575"/>
    <w:rsid w:val="00CE0AAF"/>
    <w:rsid w:val="00CE0D1C"/>
    <w:rsid w:val="00CE194E"/>
    <w:rsid w:val="00CE1F92"/>
    <w:rsid w:val="00CE1FF4"/>
    <w:rsid w:val="00CE2442"/>
    <w:rsid w:val="00CE26EC"/>
    <w:rsid w:val="00CE27EC"/>
    <w:rsid w:val="00CE298F"/>
    <w:rsid w:val="00CE3DA0"/>
    <w:rsid w:val="00CE5239"/>
    <w:rsid w:val="00CE5341"/>
    <w:rsid w:val="00CE55A5"/>
    <w:rsid w:val="00CE5690"/>
    <w:rsid w:val="00CE647A"/>
    <w:rsid w:val="00CE6502"/>
    <w:rsid w:val="00CE6897"/>
    <w:rsid w:val="00CE744F"/>
    <w:rsid w:val="00CE79D9"/>
    <w:rsid w:val="00CE7C0C"/>
    <w:rsid w:val="00CF0347"/>
    <w:rsid w:val="00CF08E2"/>
    <w:rsid w:val="00CF1A4A"/>
    <w:rsid w:val="00CF1EA6"/>
    <w:rsid w:val="00CF2AD7"/>
    <w:rsid w:val="00CF35CE"/>
    <w:rsid w:val="00CF3A49"/>
    <w:rsid w:val="00CF42B4"/>
    <w:rsid w:val="00CF4B17"/>
    <w:rsid w:val="00CF5165"/>
    <w:rsid w:val="00CF5CE0"/>
    <w:rsid w:val="00CF5F9A"/>
    <w:rsid w:val="00CF65D6"/>
    <w:rsid w:val="00CF6A33"/>
    <w:rsid w:val="00CF6E41"/>
    <w:rsid w:val="00CF6F61"/>
    <w:rsid w:val="00CF7818"/>
    <w:rsid w:val="00CF78BB"/>
    <w:rsid w:val="00CF7A9F"/>
    <w:rsid w:val="00CF7E46"/>
    <w:rsid w:val="00D004F4"/>
    <w:rsid w:val="00D00A7A"/>
    <w:rsid w:val="00D00F6C"/>
    <w:rsid w:val="00D01CEB"/>
    <w:rsid w:val="00D01FCF"/>
    <w:rsid w:val="00D023E1"/>
    <w:rsid w:val="00D03C3F"/>
    <w:rsid w:val="00D04C6D"/>
    <w:rsid w:val="00D04FAD"/>
    <w:rsid w:val="00D057D6"/>
    <w:rsid w:val="00D05F42"/>
    <w:rsid w:val="00D06200"/>
    <w:rsid w:val="00D0638D"/>
    <w:rsid w:val="00D0652C"/>
    <w:rsid w:val="00D066B8"/>
    <w:rsid w:val="00D06931"/>
    <w:rsid w:val="00D071CF"/>
    <w:rsid w:val="00D07313"/>
    <w:rsid w:val="00D07442"/>
    <w:rsid w:val="00D07519"/>
    <w:rsid w:val="00D07CC0"/>
    <w:rsid w:val="00D1015F"/>
    <w:rsid w:val="00D10F9C"/>
    <w:rsid w:val="00D11195"/>
    <w:rsid w:val="00D11684"/>
    <w:rsid w:val="00D1184E"/>
    <w:rsid w:val="00D12472"/>
    <w:rsid w:val="00D1280C"/>
    <w:rsid w:val="00D13FBE"/>
    <w:rsid w:val="00D140E2"/>
    <w:rsid w:val="00D141D9"/>
    <w:rsid w:val="00D14288"/>
    <w:rsid w:val="00D150FF"/>
    <w:rsid w:val="00D1687A"/>
    <w:rsid w:val="00D17B6C"/>
    <w:rsid w:val="00D203E0"/>
    <w:rsid w:val="00D21200"/>
    <w:rsid w:val="00D2123B"/>
    <w:rsid w:val="00D219C7"/>
    <w:rsid w:val="00D22602"/>
    <w:rsid w:val="00D22A7E"/>
    <w:rsid w:val="00D22BA7"/>
    <w:rsid w:val="00D237E6"/>
    <w:rsid w:val="00D239EE"/>
    <w:rsid w:val="00D23A9F"/>
    <w:rsid w:val="00D23C62"/>
    <w:rsid w:val="00D243AB"/>
    <w:rsid w:val="00D24770"/>
    <w:rsid w:val="00D24F03"/>
    <w:rsid w:val="00D25428"/>
    <w:rsid w:val="00D254B9"/>
    <w:rsid w:val="00D25AB7"/>
    <w:rsid w:val="00D25B83"/>
    <w:rsid w:val="00D26C00"/>
    <w:rsid w:val="00D26F83"/>
    <w:rsid w:val="00D27387"/>
    <w:rsid w:val="00D273A2"/>
    <w:rsid w:val="00D276F9"/>
    <w:rsid w:val="00D27A02"/>
    <w:rsid w:val="00D304DE"/>
    <w:rsid w:val="00D30571"/>
    <w:rsid w:val="00D3070C"/>
    <w:rsid w:val="00D30AD0"/>
    <w:rsid w:val="00D310D9"/>
    <w:rsid w:val="00D316DC"/>
    <w:rsid w:val="00D316ED"/>
    <w:rsid w:val="00D317A2"/>
    <w:rsid w:val="00D31E52"/>
    <w:rsid w:val="00D32DC1"/>
    <w:rsid w:val="00D33312"/>
    <w:rsid w:val="00D3342A"/>
    <w:rsid w:val="00D33778"/>
    <w:rsid w:val="00D33D44"/>
    <w:rsid w:val="00D344AD"/>
    <w:rsid w:val="00D34983"/>
    <w:rsid w:val="00D34AFB"/>
    <w:rsid w:val="00D35209"/>
    <w:rsid w:val="00D3551B"/>
    <w:rsid w:val="00D359EB"/>
    <w:rsid w:val="00D36129"/>
    <w:rsid w:val="00D36269"/>
    <w:rsid w:val="00D36339"/>
    <w:rsid w:val="00D36887"/>
    <w:rsid w:val="00D369AD"/>
    <w:rsid w:val="00D36AAC"/>
    <w:rsid w:val="00D36F2E"/>
    <w:rsid w:val="00D37121"/>
    <w:rsid w:val="00D40DFE"/>
    <w:rsid w:val="00D40E19"/>
    <w:rsid w:val="00D42BFE"/>
    <w:rsid w:val="00D4331F"/>
    <w:rsid w:val="00D44994"/>
    <w:rsid w:val="00D454B1"/>
    <w:rsid w:val="00D473B1"/>
    <w:rsid w:val="00D47A70"/>
    <w:rsid w:val="00D47BA9"/>
    <w:rsid w:val="00D516DE"/>
    <w:rsid w:val="00D51982"/>
    <w:rsid w:val="00D51A52"/>
    <w:rsid w:val="00D51DF2"/>
    <w:rsid w:val="00D522AE"/>
    <w:rsid w:val="00D525B6"/>
    <w:rsid w:val="00D53011"/>
    <w:rsid w:val="00D53096"/>
    <w:rsid w:val="00D542F0"/>
    <w:rsid w:val="00D54824"/>
    <w:rsid w:val="00D5482B"/>
    <w:rsid w:val="00D548AF"/>
    <w:rsid w:val="00D54E7A"/>
    <w:rsid w:val="00D54F7C"/>
    <w:rsid w:val="00D5527A"/>
    <w:rsid w:val="00D5545D"/>
    <w:rsid w:val="00D57C5D"/>
    <w:rsid w:val="00D60052"/>
    <w:rsid w:val="00D6043D"/>
    <w:rsid w:val="00D60D8A"/>
    <w:rsid w:val="00D60EE4"/>
    <w:rsid w:val="00D610D0"/>
    <w:rsid w:val="00D62529"/>
    <w:rsid w:val="00D625B5"/>
    <w:rsid w:val="00D62FAB"/>
    <w:rsid w:val="00D637A3"/>
    <w:rsid w:val="00D645E7"/>
    <w:rsid w:val="00D65999"/>
    <w:rsid w:val="00D65F8A"/>
    <w:rsid w:val="00D660FD"/>
    <w:rsid w:val="00D6619C"/>
    <w:rsid w:val="00D66435"/>
    <w:rsid w:val="00D664B3"/>
    <w:rsid w:val="00D66857"/>
    <w:rsid w:val="00D66927"/>
    <w:rsid w:val="00D678F0"/>
    <w:rsid w:val="00D679A3"/>
    <w:rsid w:val="00D70032"/>
    <w:rsid w:val="00D703CB"/>
    <w:rsid w:val="00D70663"/>
    <w:rsid w:val="00D7076A"/>
    <w:rsid w:val="00D70BE5"/>
    <w:rsid w:val="00D70CEF"/>
    <w:rsid w:val="00D7148D"/>
    <w:rsid w:val="00D71834"/>
    <w:rsid w:val="00D71CBC"/>
    <w:rsid w:val="00D72629"/>
    <w:rsid w:val="00D72941"/>
    <w:rsid w:val="00D72CFD"/>
    <w:rsid w:val="00D7342E"/>
    <w:rsid w:val="00D73677"/>
    <w:rsid w:val="00D736F1"/>
    <w:rsid w:val="00D73ABB"/>
    <w:rsid w:val="00D73D84"/>
    <w:rsid w:val="00D752BB"/>
    <w:rsid w:val="00D75771"/>
    <w:rsid w:val="00D75785"/>
    <w:rsid w:val="00D75A3B"/>
    <w:rsid w:val="00D762D8"/>
    <w:rsid w:val="00D76353"/>
    <w:rsid w:val="00D76E13"/>
    <w:rsid w:val="00D77017"/>
    <w:rsid w:val="00D7744F"/>
    <w:rsid w:val="00D7796D"/>
    <w:rsid w:val="00D803AC"/>
    <w:rsid w:val="00D80437"/>
    <w:rsid w:val="00D808EC"/>
    <w:rsid w:val="00D80978"/>
    <w:rsid w:val="00D81AEC"/>
    <w:rsid w:val="00D827BB"/>
    <w:rsid w:val="00D837F6"/>
    <w:rsid w:val="00D840F5"/>
    <w:rsid w:val="00D84627"/>
    <w:rsid w:val="00D84C0B"/>
    <w:rsid w:val="00D84E28"/>
    <w:rsid w:val="00D857E8"/>
    <w:rsid w:val="00D85AB0"/>
    <w:rsid w:val="00D85AC5"/>
    <w:rsid w:val="00D8621F"/>
    <w:rsid w:val="00D86E83"/>
    <w:rsid w:val="00D8778E"/>
    <w:rsid w:val="00D87829"/>
    <w:rsid w:val="00D87F4E"/>
    <w:rsid w:val="00D87F70"/>
    <w:rsid w:val="00D90261"/>
    <w:rsid w:val="00D902BE"/>
    <w:rsid w:val="00D907BD"/>
    <w:rsid w:val="00D90EE4"/>
    <w:rsid w:val="00D91436"/>
    <w:rsid w:val="00D91ADD"/>
    <w:rsid w:val="00D91FA5"/>
    <w:rsid w:val="00D927C4"/>
    <w:rsid w:val="00D9295E"/>
    <w:rsid w:val="00D93104"/>
    <w:rsid w:val="00D93150"/>
    <w:rsid w:val="00D93B88"/>
    <w:rsid w:val="00D93FDA"/>
    <w:rsid w:val="00D940B8"/>
    <w:rsid w:val="00D941C1"/>
    <w:rsid w:val="00D94319"/>
    <w:rsid w:val="00D95689"/>
    <w:rsid w:val="00D95D6D"/>
    <w:rsid w:val="00D96785"/>
    <w:rsid w:val="00D96D80"/>
    <w:rsid w:val="00D97ABC"/>
    <w:rsid w:val="00D97D52"/>
    <w:rsid w:val="00D97E91"/>
    <w:rsid w:val="00DA067B"/>
    <w:rsid w:val="00DA0D84"/>
    <w:rsid w:val="00DA0D9C"/>
    <w:rsid w:val="00DA1C90"/>
    <w:rsid w:val="00DA1EF2"/>
    <w:rsid w:val="00DA2942"/>
    <w:rsid w:val="00DA3B33"/>
    <w:rsid w:val="00DA52CB"/>
    <w:rsid w:val="00DA5CB7"/>
    <w:rsid w:val="00DA5D1B"/>
    <w:rsid w:val="00DA5D67"/>
    <w:rsid w:val="00DA661D"/>
    <w:rsid w:val="00DA669F"/>
    <w:rsid w:val="00DA70FD"/>
    <w:rsid w:val="00DA7F49"/>
    <w:rsid w:val="00DB032B"/>
    <w:rsid w:val="00DB057A"/>
    <w:rsid w:val="00DB0DA9"/>
    <w:rsid w:val="00DB17F3"/>
    <w:rsid w:val="00DB27F6"/>
    <w:rsid w:val="00DB2F2E"/>
    <w:rsid w:val="00DB3491"/>
    <w:rsid w:val="00DB3F2E"/>
    <w:rsid w:val="00DB4102"/>
    <w:rsid w:val="00DB425D"/>
    <w:rsid w:val="00DB432E"/>
    <w:rsid w:val="00DB4636"/>
    <w:rsid w:val="00DB48C9"/>
    <w:rsid w:val="00DB4CFB"/>
    <w:rsid w:val="00DB5526"/>
    <w:rsid w:val="00DB5A11"/>
    <w:rsid w:val="00DB5A48"/>
    <w:rsid w:val="00DB5A4D"/>
    <w:rsid w:val="00DB5D9E"/>
    <w:rsid w:val="00DB60EA"/>
    <w:rsid w:val="00DB6255"/>
    <w:rsid w:val="00DB77E1"/>
    <w:rsid w:val="00DB78EB"/>
    <w:rsid w:val="00DB7B89"/>
    <w:rsid w:val="00DB7F40"/>
    <w:rsid w:val="00DC0206"/>
    <w:rsid w:val="00DC1A12"/>
    <w:rsid w:val="00DC1D80"/>
    <w:rsid w:val="00DC1E0E"/>
    <w:rsid w:val="00DC24BE"/>
    <w:rsid w:val="00DC2741"/>
    <w:rsid w:val="00DC2A91"/>
    <w:rsid w:val="00DC2C64"/>
    <w:rsid w:val="00DC2DD6"/>
    <w:rsid w:val="00DC3130"/>
    <w:rsid w:val="00DC3725"/>
    <w:rsid w:val="00DC3AE2"/>
    <w:rsid w:val="00DC3D8E"/>
    <w:rsid w:val="00DC3DD9"/>
    <w:rsid w:val="00DC3F5C"/>
    <w:rsid w:val="00DC4254"/>
    <w:rsid w:val="00DC459A"/>
    <w:rsid w:val="00DC45F5"/>
    <w:rsid w:val="00DC48AA"/>
    <w:rsid w:val="00DC515C"/>
    <w:rsid w:val="00DC66A3"/>
    <w:rsid w:val="00DC67ED"/>
    <w:rsid w:val="00DD0644"/>
    <w:rsid w:val="00DD1260"/>
    <w:rsid w:val="00DD168C"/>
    <w:rsid w:val="00DD2614"/>
    <w:rsid w:val="00DD2920"/>
    <w:rsid w:val="00DD2A36"/>
    <w:rsid w:val="00DD2AC3"/>
    <w:rsid w:val="00DD3899"/>
    <w:rsid w:val="00DD3AE3"/>
    <w:rsid w:val="00DD3C00"/>
    <w:rsid w:val="00DD4B8F"/>
    <w:rsid w:val="00DD5242"/>
    <w:rsid w:val="00DD54E8"/>
    <w:rsid w:val="00DD559E"/>
    <w:rsid w:val="00DD56A4"/>
    <w:rsid w:val="00DD5A2F"/>
    <w:rsid w:val="00DD5B46"/>
    <w:rsid w:val="00DD6020"/>
    <w:rsid w:val="00DD60F2"/>
    <w:rsid w:val="00DD641B"/>
    <w:rsid w:val="00DD666B"/>
    <w:rsid w:val="00DD7637"/>
    <w:rsid w:val="00DD7E8F"/>
    <w:rsid w:val="00DE0105"/>
    <w:rsid w:val="00DE084D"/>
    <w:rsid w:val="00DE095A"/>
    <w:rsid w:val="00DE1114"/>
    <w:rsid w:val="00DE14ED"/>
    <w:rsid w:val="00DE1ABB"/>
    <w:rsid w:val="00DE217E"/>
    <w:rsid w:val="00DE23D1"/>
    <w:rsid w:val="00DE2401"/>
    <w:rsid w:val="00DE2AA5"/>
    <w:rsid w:val="00DE2D5D"/>
    <w:rsid w:val="00DE3753"/>
    <w:rsid w:val="00DE37B5"/>
    <w:rsid w:val="00DE3E11"/>
    <w:rsid w:val="00DE4458"/>
    <w:rsid w:val="00DE5642"/>
    <w:rsid w:val="00DE5677"/>
    <w:rsid w:val="00DE7053"/>
    <w:rsid w:val="00DE7A9B"/>
    <w:rsid w:val="00DE7C7C"/>
    <w:rsid w:val="00DE7CD1"/>
    <w:rsid w:val="00DF04EB"/>
    <w:rsid w:val="00DF0B67"/>
    <w:rsid w:val="00DF1441"/>
    <w:rsid w:val="00DF175F"/>
    <w:rsid w:val="00DF22B8"/>
    <w:rsid w:val="00DF22D1"/>
    <w:rsid w:val="00DF316E"/>
    <w:rsid w:val="00DF45E1"/>
    <w:rsid w:val="00DF4A5C"/>
    <w:rsid w:val="00DF57F3"/>
    <w:rsid w:val="00DF613C"/>
    <w:rsid w:val="00DF6258"/>
    <w:rsid w:val="00DF6C0F"/>
    <w:rsid w:val="00DF6E4C"/>
    <w:rsid w:val="00DF72C9"/>
    <w:rsid w:val="00DF7990"/>
    <w:rsid w:val="00DF7DC9"/>
    <w:rsid w:val="00DF7E00"/>
    <w:rsid w:val="00E002E2"/>
    <w:rsid w:val="00E02231"/>
    <w:rsid w:val="00E025CB"/>
    <w:rsid w:val="00E02938"/>
    <w:rsid w:val="00E02AA8"/>
    <w:rsid w:val="00E037AD"/>
    <w:rsid w:val="00E03E84"/>
    <w:rsid w:val="00E0478A"/>
    <w:rsid w:val="00E04DA3"/>
    <w:rsid w:val="00E04EC7"/>
    <w:rsid w:val="00E05583"/>
    <w:rsid w:val="00E06328"/>
    <w:rsid w:val="00E06436"/>
    <w:rsid w:val="00E075B1"/>
    <w:rsid w:val="00E07955"/>
    <w:rsid w:val="00E07B0E"/>
    <w:rsid w:val="00E07B10"/>
    <w:rsid w:val="00E07B34"/>
    <w:rsid w:val="00E10033"/>
    <w:rsid w:val="00E12A0C"/>
    <w:rsid w:val="00E1312E"/>
    <w:rsid w:val="00E13439"/>
    <w:rsid w:val="00E134A2"/>
    <w:rsid w:val="00E136E7"/>
    <w:rsid w:val="00E136ED"/>
    <w:rsid w:val="00E13C61"/>
    <w:rsid w:val="00E13E8B"/>
    <w:rsid w:val="00E14078"/>
    <w:rsid w:val="00E14633"/>
    <w:rsid w:val="00E168D8"/>
    <w:rsid w:val="00E16D56"/>
    <w:rsid w:val="00E175EC"/>
    <w:rsid w:val="00E17608"/>
    <w:rsid w:val="00E17EA2"/>
    <w:rsid w:val="00E203D5"/>
    <w:rsid w:val="00E20E97"/>
    <w:rsid w:val="00E20EE6"/>
    <w:rsid w:val="00E21001"/>
    <w:rsid w:val="00E214F4"/>
    <w:rsid w:val="00E21A2C"/>
    <w:rsid w:val="00E223E3"/>
    <w:rsid w:val="00E22DCF"/>
    <w:rsid w:val="00E234E0"/>
    <w:rsid w:val="00E24195"/>
    <w:rsid w:val="00E2463C"/>
    <w:rsid w:val="00E24F0C"/>
    <w:rsid w:val="00E2510D"/>
    <w:rsid w:val="00E25DFA"/>
    <w:rsid w:val="00E269AB"/>
    <w:rsid w:val="00E30B31"/>
    <w:rsid w:val="00E312B6"/>
    <w:rsid w:val="00E314A5"/>
    <w:rsid w:val="00E318CA"/>
    <w:rsid w:val="00E31AB9"/>
    <w:rsid w:val="00E32398"/>
    <w:rsid w:val="00E32D56"/>
    <w:rsid w:val="00E33928"/>
    <w:rsid w:val="00E33FB7"/>
    <w:rsid w:val="00E34342"/>
    <w:rsid w:val="00E345A8"/>
    <w:rsid w:val="00E34787"/>
    <w:rsid w:val="00E34AD6"/>
    <w:rsid w:val="00E3510B"/>
    <w:rsid w:val="00E353BF"/>
    <w:rsid w:val="00E3582B"/>
    <w:rsid w:val="00E360A9"/>
    <w:rsid w:val="00E36ABD"/>
    <w:rsid w:val="00E36CDC"/>
    <w:rsid w:val="00E36D27"/>
    <w:rsid w:val="00E36D93"/>
    <w:rsid w:val="00E3778F"/>
    <w:rsid w:val="00E37B9E"/>
    <w:rsid w:val="00E408F4"/>
    <w:rsid w:val="00E40DC0"/>
    <w:rsid w:val="00E41D89"/>
    <w:rsid w:val="00E41F70"/>
    <w:rsid w:val="00E42366"/>
    <w:rsid w:val="00E4274F"/>
    <w:rsid w:val="00E42A69"/>
    <w:rsid w:val="00E430C5"/>
    <w:rsid w:val="00E43204"/>
    <w:rsid w:val="00E43279"/>
    <w:rsid w:val="00E43923"/>
    <w:rsid w:val="00E44E11"/>
    <w:rsid w:val="00E4529F"/>
    <w:rsid w:val="00E45445"/>
    <w:rsid w:val="00E47146"/>
    <w:rsid w:val="00E47DE9"/>
    <w:rsid w:val="00E501A5"/>
    <w:rsid w:val="00E501CB"/>
    <w:rsid w:val="00E50958"/>
    <w:rsid w:val="00E50BC8"/>
    <w:rsid w:val="00E50D8D"/>
    <w:rsid w:val="00E511B7"/>
    <w:rsid w:val="00E5188A"/>
    <w:rsid w:val="00E51B5A"/>
    <w:rsid w:val="00E5272A"/>
    <w:rsid w:val="00E5318F"/>
    <w:rsid w:val="00E5322E"/>
    <w:rsid w:val="00E54C63"/>
    <w:rsid w:val="00E54C7A"/>
    <w:rsid w:val="00E54CC8"/>
    <w:rsid w:val="00E557C3"/>
    <w:rsid w:val="00E561BE"/>
    <w:rsid w:val="00E563E2"/>
    <w:rsid w:val="00E56513"/>
    <w:rsid w:val="00E57485"/>
    <w:rsid w:val="00E57630"/>
    <w:rsid w:val="00E606C8"/>
    <w:rsid w:val="00E609AB"/>
    <w:rsid w:val="00E60FF9"/>
    <w:rsid w:val="00E612E3"/>
    <w:rsid w:val="00E61A0C"/>
    <w:rsid w:val="00E61CA2"/>
    <w:rsid w:val="00E62426"/>
    <w:rsid w:val="00E62F31"/>
    <w:rsid w:val="00E6349E"/>
    <w:rsid w:val="00E63588"/>
    <w:rsid w:val="00E63663"/>
    <w:rsid w:val="00E63F4B"/>
    <w:rsid w:val="00E642B9"/>
    <w:rsid w:val="00E64853"/>
    <w:rsid w:val="00E650C8"/>
    <w:rsid w:val="00E65175"/>
    <w:rsid w:val="00E65BBF"/>
    <w:rsid w:val="00E66AA9"/>
    <w:rsid w:val="00E66EB3"/>
    <w:rsid w:val="00E67779"/>
    <w:rsid w:val="00E67BBD"/>
    <w:rsid w:val="00E67C85"/>
    <w:rsid w:val="00E7029B"/>
    <w:rsid w:val="00E708F3"/>
    <w:rsid w:val="00E70D08"/>
    <w:rsid w:val="00E7103F"/>
    <w:rsid w:val="00E71394"/>
    <w:rsid w:val="00E7261E"/>
    <w:rsid w:val="00E72C5B"/>
    <w:rsid w:val="00E72DC8"/>
    <w:rsid w:val="00E730EC"/>
    <w:rsid w:val="00E73B9A"/>
    <w:rsid w:val="00E7563B"/>
    <w:rsid w:val="00E75ABC"/>
    <w:rsid w:val="00E77D7B"/>
    <w:rsid w:val="00E77DFE"/>
    <w:rsid w:val="00E80735"/>
    <w:rsid w:val="00E80943"/>
    <w:rsid w:val="00E80CB3"/>
    <w:rsid w:val="00E81C8A"/>
    <w:rsid w:val="00E8239C"/>
    <w:rsid w:val="00E8343F"/>
    <w:rsid w:val="00E84087"/>
    <w:rsid w:val="00E840DF"/>
    <w:rsid w:val="00E843E4"/>
    <w:rsid w:val="00E844AA"/>
    <w:rsid w:val="00E84618"/>
    <w:rsid w:val="00E84F78"/>
    <w:rsid w:val="00E85F83"/>
    <w:rsid w:val="00E86B0A"/>
    <w:rsid w:val="00E86B38"/>
    <w:rsid w:val="00E8759D"/>
    <w:rsid w:val="00E902A0"/>
    <w:rsid w:val="00E9030E"/>
    <w:rsid w:val="00E909D4"/>
    <w:rsid w:val="00E90A3E"/>
    <w:rsid w:val="00E90AF4"/>
    <w:rsid w:val="00E90E12"/>
    <w:rsid w:val="00E912F2"/>
    <w:rsid w:val="00E9241B"/>
    <w:rsid w:val="00E93B97"/>
    <w:rsid w:val="00E94172"/>
    <w:rsid w:val="00E942C5"/>
    <w:rsid w:val="00E94A87"/>
    <w:rsid w:val="00E955C9"/>
    <w:rsid w:val="00E967DF"/>
    <w:rsid w:val="00E968AF"/>
    <w:rsid w:val="00E97B32"/>
    <w:rsid w:val="00E97C9E"/>
    <w:rsid w:val="00E97F09"/>
    <w:rsid w:val="00EA050C"/>
    <w:rsid w:val="00EA05EE"/>
    <w:rsid w:val="00EA0760"/>
    <w:rsid w:val="00EA0DF7"/>
    <w:rsid w:val="00EA0F57"/>
    <w:rsid w:val="00EA104F"/>
    <w:rsid w:val="00EA12D1"/>
    <w:rsid w:val="00EA1B54"/>
    <w:rsid w:val="00EA219D"/>
    <w:rsid w:val="00EA2AC1"/>
    <w:rsid w:val="00EA2AD7"/>
    <w:rsid w:val="00EA43F6"/>
    <w:rsid w:val="00EA510D"/>
    <w:rsid w:val="00EA5B92"/>
    <w:rsid w:val="00EA5F3F"/>
    <w:rsid w:val="00EA64BA"/>
    <w:rsid w:val="00EA7C72"/>
    <w:rsid w:val="00EA7E8D"/>
    <w:rsid w:val="00EB0762"/>
    <w:rsid w:val="00EB0F04"/>
    <w:rsid w:val="00EB0F5E"/>
    <w:rsid w:val="00EB14D7"/>
    <w:rsid w:val="00EB18AF"/>
    <w:rsid w:val="00EB1DA6"/>
    <w:rsid w:val="00EB20AA"/>
    <w:rsid w:val="00EB35AA"/>
    <w:rsid w:val="00EB36A3"/>
    <w:rsid w:val="00EB3A26"/>
    <w:rsid w:val="00EB3A46"/>
    <w:rsid w:val="00EB3C9B"/>
    <w:rsid w:val="00EB3D4F"/>
    <w:rsid w:val="00EB41E9"/>
    <w:rsid w:val="00EB4EF8"/>
    <w:rsid w:val="00EB5293"/>
    <w:rsid w:val="00EB58C7"/>
    <w:rsid w:val="00EB6020"/>
    <w:rsid w:val="00EB6E98"/>
    <w:rsid w:val="00EB7057"/>
    <w:rsid w:val="00EB743C"/>
    <w:rsid w:val="00EB7A28"/>
    <w:rsid w:val="00EC0005"/>
    <w:rsid w:val="00EC03E6"/>
    <w:rsid w:val="00EC08C4"/>
    <w:rsid w:val="00EC0904"/>
    <w:rsid w:val="00EC0E60"/>
    <w:rsid w:val="00EC1FC0"/>
    <w:rsid w:val="00EC205B"/>
    <w:rsid w:val="00EC2152"/>
    <w:rsid w:val="00EC2518"/>
    <w:rsid w:val="00EC2795"/>
    <w:rsid w:val="00EC281C"/>
    <w:rsid w:val="00EC2DE0"/>
    <w:rsid w:val="00EC3D7F"/>
    <w:rsid w:val="00EC5574"/>
    <w:rsid w:val="00EC5707"/>
    <w:rsid w:val="00EC5A88"/>
    <w:rsid w:val="00EC5F5F"/>
    <w:rsid w:val="00EC6343"/>
    <w:rsid w:val="00EC635D"/>
    <w:rsid w:val="00EC6406"/>
    <w:rsid w:val="00EC6E06"/>
    <w:rsid w:val="00EC708F"/>
    <w:rsid w:val="00EC7311"/>
    <w:rsid w:val="00EC7827"/>
    <w:rsid w:val="00EC7A7F"/>
    <w:rsid w:val="00ED0A11"/>
    <w:rsid w:val="00ED0E3D"/>
    <w:rsid w:val="00ED0E6A"/>
    <w:rsid w:val="00ED102C"/>
    <w:rsid w:val="00ED1358"/>
    <w:rsid w:val="00ED142B"/>
    <w:rsid w:val="00ED228B"/>
    <w:rsid w:val="00ED2896"/>
    <w:rsid w:val="00ED293C"/>
    <w:rsid w:val="00ED3892"/>
    <w:rsid w:val="00ED39DF"/>
    <w:rsid w:val="00ED3B0B"/>
    <w:rsid w:val="00ED3F97"/>
    <w:rsid w:val="00ED4220"/>
    <w:rsid w:val="00ED498E"/>
    <w:rsid w:val="00ED4BCA"/>
    <w:rsid w:val="00ED4D09"/>
    <w:rsid w:val="00ED50C4"/>
    <w:rsid w:val="00ED5737"/>
    <w:rsid w:val="00ED5C2C"/>
    <w:rsid w:val="00ED606F"/>
    <w:rsid w:val="00ED6DFE"/>
    <w:rsid w:val="00ED77CF"/>
    <w:rsid w:val="00ED7B37"/>
    <w:rsid w:val="00ED7ECE"/>
    <w:rsid w:val="00EE0162"/>
    <w:rsid w:val="00EE1378"/>
    <w:rsid w:val="00EE19A5"/>
    <w:rsid w:val="00EE25EC"/>
    <w:rsid w:val="00EE30DF"/>
    <w:rsid w:val="00EE361F"/>
    <w:rsid w:val="00EE3840"/>
    <w:rsid w:val="00EE38DE"/>
    <w:rsid w:val="00EE4510"/>
    <w:rsid w:val="00EE4E53"/>
    <w:rsid w:val="00EE506E"/>
    <w:rsid w:val="00EE5442"/>
    <w:rsid w:val="00EE5975"/>
    <w:rsid w:val="00EE5AFF"/>
    <w:rsid w:val="00EE5B59"/>
    <w:rsid w:val="00EE6135"/>
    <w:rsid w:val="00EE6457"/>
    <w:rsid w:val="00EE657F"/>
    <w:rsid w:val="00EE67F9"/>
    <w:rsid w:val="00EE7015"/>
    <w:rsid w:val="00EE7505"/>
    <w:rsid w:val="00EF0D3B"/>
    <w:rsid w:val="00EF0DDF"/>
    <w:rsid w:val="00EF1670"/>
    <w:rsid w:val="00EF185B"/>
    <w:rsid w:val="00EF25B0"/>
    <w:rsid w:val="00EF27CD"/>
    <w:rsid w:val="00EF28D6"/>
    <w:rsid w:val="00EF2FF6"/>
    <w:rsid w:val="00EF32E9"/>
    <w:rsid w:val="00EF343A"/>
    <w:rsid w:val="00EF3677"/>
    <w:rsid w:val="00EF62E0"/>
    <w:rsid w:val="00EF6A6D"/>
    <w:rsid w:val="00EF6DAA"/>
    <w:rsid w:val="00EF6EC6"/>
    <w:rsid w:val="00EF7173"/>
    <w:rsid w:val="00EF72FD"/>
    <w:rsid w:val="00EF7569"/>
    <w:rsid w:val="00EF79CE"/>
    <w:rsid w:val="00F000C9"/>
    <w:rsid w:val="00F001C3"/>
    <w:rsid w:val="00F00332"/>
    <w:rsid w:val="00F005AE"/>
    <w:rsid w:val="00F01D5F"/>
    <w:rsid w:val="00F01F36"/>
    <w:rsid w:val="00F02C2F"/>
    <w:rsid w:val="00F0355A"/>
    <w:rsid w:val="00F036FB"/>
    <w:rsid w:val="00F03A10"/>
    <w:rsid w:val="00F03C2E"/>
    <w:rsid w:val="00F044B8"/>
    <w:rsid w:val="00F04A38"/>
    <w:rsid w:val="00F04B6D"/>
    <w:rsid w:val="00F04B7D"/>
    <w:rsid w:val="00F04F7B"/>
    <w:rsid w:val="00F05345"/>
    <w:rsid w:val="00F05379"/>
    <w:rsid w:val="00F05D89"/>
    <w:rsid w:val="00F05E9A"/>
    <w:rsid w:val="00F061D5"/>
    <w:rsid w:val="00F06795"/>
    <w:rsid w:val="00F06F55"/>
    <w:rsid w:val="00F078D0"/>
    <w:rsid w:val="00F10806"/>
    <w:rsid w:val="00F10A15"/>
    <w:rsid w:val="00F1139F"/>
    <w:rsid w:val="00F119A6"/>
    <w:rsid w:val="00F119CD"/>
    <w:rsid w:val="00F11D17"/>
    <w:rsid w:val="00F12AFC"/>
    <w:rsid w:val="00F12BB9"/>
    <w:rsid w:val="00F12BD6"/>
    <w:rsid w:val="00F14049"/>
    <w:rsid w:val="00F14596"/>
    <w:rsid w:val="00F1494A"/>
    <w:rsid w:val="00F1521E"/>
    <w:rsid w:val="00F15873"/>
    <w:rsid w:val="00F1641B"/>
    <w:rsid w:val="00F16A52"/>
    <w:rsid w:val="00F16DAA"/>
    <w:rsid w:val="00F17051"/>
    <w:rsid w:val="00F17669"/>
    <w:rsid w:val="00F17E65"/>
    <w:rsid w:val="00F206D9"/>
    <w:rsid w:val="00F21383"/>
    <w:rsid w:val="00F2144E"/>
    <w:rsid w:val="00F21A34"/>
    <w:rsid w:val="00F221A6"/>
    <w:rsid w:val="00F22F5E"/>
    <w:rsid w:val="00F22FD0"/>
    <w:rsid w:val="00F23B48"/>
    <w:rsid w:val="00F23FD5"/>
    <w:rsid w:val="00F2461D"/>
    <w:rsid w:val="00F24B14"/>
    <w:rsid w:val="00F24BAF"/>
    <w:rsid w:val="00F24F6E"/>
    <w:rsid w:val="00F2589A"/>
    <w:rsid w:val="00F25AA2"/>
    <w:rsid w:val="00F263EF"/>
    <w:rsid w:val="00F26507"/>
    <w:rsid w:val="00F266ED"/>
    <w:rsid w:val="00F2689B"/>
    <w:rsid w:val="00F26A6E"/>
    <w:rsid w:val="00F272B9"/>
    <w:rsid w:val="00F27A82"/>
    <w:rsid w:val="00F27FB0"/>
    <w:rsid w:val="00F30874"/>
    <w:rsid w:val="00F30A2E"/>
    <w:rsid w:val="00F31A16"/>
    <w:rsid w:val="00F31CCF"/>
    <w:rsid w:val="00F328CE"/>
    <w:rsid w:val="00F32D82"/>
    <w:rsid w:val="00F33BE5"/>
    <w:rsid w:val="00F33D8D"/>
    <w:rsid w:val="00F33E33"/>
    <w:rsid w:val="00F34710"/>
    <w:rsid w:val="00F3477E"/>
    <w:rsid w:val="00F34C50"/>
    <w:rsid w:val="00F35AD2"/>
    <w:rsid w:val="00F41B86"/>
    <w:rsid w:val="00F41BA0"/>
    <w:rsid w:val="00F41CF0"/>
    <w:rsid w:val="00F41DD4"/>
    <w:rsid w:val="00F42308"/>
    <w:rsid w:val="00F430F5"/>
    <w:rsid w:val="00F433FF"/>
    <w:rsid w:val="00F434C3"/>
    <w:rsid w:val="00F43B50"/>
    <w:rsid w:val="00F43EEA"/>
    <w:rsid w:val="00F44235"/>
    <w:rsid w:val="00F442B5"/>
    <w:rsid w:val="00F44319"/>
    <w:rsid w:val="00F4539B"/>
    <w:rsid w:val="00F45EC7"/>
    <w:rsid w:val="00F46336"/>
    <w:rsid w:val="00F46FB1"/>
    <w:rsid w:val="00F47CAD"/>
    <w:rsid w:val="00F50BD2"/>
    <w:rsid w:val="00F516B3"/>
    <w:rsid w:val="00F51BE4"/>
    <w:rsid w:val="00F520CB"/>
    <w:rsid w:val="00F524DB"/>
    <w:rsid w:val="00F52699"/>
    <w:rsid w:val="00F5270B"/>
    <w:rsid w:val="00F5275C"/>
    <w:rsid w:val="00F52EF3"/>
    <w:rsid w:val="00F538B4"/>
    <w:rsid w:val="00F53F89"/>
    <w:rsid w:val="00F54288"/>
    <w:rsid w:val="00F5444D"/>
    <w:rsid w:val="00F54C93"/>
    <w:rsid w:val="00F5559E"/>
    <w:rsid w:val="00F574D3"/>
    <w:rsid w:val="00F57782"/>
    <w:rsid w:val="00F57CAC"/>
    <w:rsid w:val="00F57EE0"/>
    <w:rsid w:val="00F60536"/>
    <w:rsid w:val="00F60813"/>
    <w:rsid w:val="00F615A2"/>
    <w:rsid w:val="00F618C2"/>
    <w:rsid w:val="00F61A5C"/>
    <w:rsid w:val="00F62363"/>
    <w:rsid w:val="00F628CB"/>
    <w:rsid w:val="00F6291D"/>
    <w:rsid w:val="00F62BD1"/>
    <w:rsid w:val="00F63A1B"/>
    <w:rsid w:val="00F64862"/>
    <w:rsid w:val="00F64990"/>
    <w:rsid w:val="00F64BFC"/>
    <w:rsid w:val="00F65268"/>
    <w:rsid w:val="00F65C0E"/>
    <w:rsid w:val="00F668D5"/>
    <w:rsid w:val="00F67ABB"/>
    <w:rsid w:val="00F67E4A"/>
    <w:rsid w:val="00F70257"/>
    <w:rsid w:val="00F70660"/>
    <w:rsid w:val="00F7085D"/>
    <w:rsid w:val="00F70D27"/>
    <w:rsid w:val="00F719F4"/>
    <w:rsid w:val="00F71CEA"/>
    <w:rsid w:val="00F72592"/>
    <w:rsid w:val="00F72897"/>
    <w:rsid w:val="00F73262"/>
    <w:rsid w:val="00F734D6"/>
    <w:rsid w:val="00F7354C"/>
    <w:rsid w:val="00F73809"/>
    <w:rsid w:val="00F73F35"/>
    <w:rsid w:val="00F74203"/>
    <w:rsid w:val="00F744AF"/>
    <w:rsid w:val="00F74F7D"/>
    <w:rsid w:val="00F753E0"/>
    <w:rsid w:val="00F7574B"/>
    <w:rsid w:val="00F7642F"/>
    <w:rsid w:val="00F767EC"/>
    <w:rsid w:val="00F76835"/>
    <w:rsid w:val="00F77831"/>
    <w:rsid w:val="00F801E9"/>
    <w:rsid w:val="00F805A3"/>
    <w:rsid w:val="00F806CC"/>
    <w:rsid w:val="00F81020"/>
    <w:rsid w:val="00F81182"/>
    <w:rsid w:val="00F81506"/>
    <w:rsid w:val="00F81B9F"/>
    <w:rsid w:val="00F81D2A"/>
    <w:rsid w:val="00F82D1D"/>
    <w:rsid w:val="00F84021"/>
    <w:rsid w:val="00F845EA"/>
    <w:rsid w:val="00F85230"/>
    <w:rsid w:val="00F85232"/>
    <w:rsid w:val="00F854DC"/>
    <w:rsid w:val="00F85FFD"/>
    <w:rsid w:val="00F86801"/>
    <w:rsid w:val="00F875FA"/>
    <w:rsid w:val="00F9046E"/>
    <w:rsid w:val="00F904C0"/>
    <w:rsid w:val="00F910E9"/>
    <w:rsid w:val="00F9162C"/>
    <w:rsid w:val="00F9187A"/>
    <w:rsid w:val="00F922B2"/>
    <w:rsid w:val="00F92621"/>
    <w:rsid w:val="00F92A86"/>
    <w:rsid w:val="00F92BE9"/>
    <w:rsid w:val="00F93843"/>
    <w:rsid w:val="00F93C9C"/>
    <w:rsid w:val="00F93E11"/>
    <w:rsid w:val="00F9432D"/>
    <w:rsid w:val="00F9435B"/>
    <w:rsid w:val="00F94567"/>
    <w:rsid w:val="00F946F9"/>
    <w:rsid w:val="00F96276"/>
    <w:rsid w:val="00F96429"/>
    <w:rsid w:val="00F964E1"/>
    <w:rsid w:val="00F96525"/>
    <w:rsid w:val="00F966B6"/>
    <w:rsid w:val="00F968C8"/>
    <w:rsid w:val="00F96F39"/>
    <w:rsid w:val="00F97DC0"/>
    <w:rsid w:val="00FA156A"/>
    <w:rsid w:val="00FA15C7"/>
    <w:rsid w:val="00FA171D"/>
    <w:rsid w:val="00FA217C"/>
    <w:rsid w:val="00FA24AA"/>
    <w:rsid w:val="00FA2971"/>
    <w:rsid w:val="00FA299F"/>
    <w:rsid w:val="00FA3081"/>
    <w:rsid w:val="00FA3930"/>
    <w:rsid w:val="00FA3BC1"/>
    <w:rsid w:val="00FA3CF7"/>
    <w:rsid w:val="00FA3E2D"/>
    <w:rsid w:val="00FA445A"/>
    <w:rsid w:val="00FA473C"/>
    <w:rsid w:val="00FA4A2D"/>
    <w:rsid w:val="00FA4B92"/>
    <w:rsid w:val="00FA5317"/>
    <w:rsid w:val="00FA5EA1"/>
    <w:rsid w:val="00FA62F8"/>
    <w:rsid w:val="00FA66BA"/>
    <w:rsid w:val="00FA66D2"/>
    <w:rsid w:val="00FA6A30"/>
    <w:rsid w:val="00FA7EC1"/>
    <w:rsid w:val="00FB0703"/>
    <w:rsid w:val="00FB0F1B"/>
    <w:rsid w:val="00FB0F3A"/>
    <w:rsid w:val="00FB180F"/>
    <w:rsid w:val="00FB19AA"/>
    <w:rsid w:val="00FB2697"/>
    <w:rsid w:val="00FB288F"/>
    <w:rsid w:val="00FB2FD3"/>
    <w:rsid w:val="00FB3C05"/>
    <w:rsid w:val="00FB3DAA"/>
    <w:rsid w:val="00FB3DFD"/>
    <w:rsid w:val="00FB3FBE"/>
    <w:rsid w:val="00FB479C"/>
    <w:rsid w:val="00FB4D0A"/>
    <w:rsid w:val="00FB55BF"/>
    <w:rsid w:val="00FB6511"/>
    <w:rsid w:val="00FB69A9"/>
    <w:rsid w:val="00FB7000"/>
    <w:rsid w:val="00FB7301"/>
    <w:rsid w:val="00FB730E"/>
    <w:rsid w:val="00FB798C"/>
    <w:rsid w:val="00FC09E1"/>
    <w:rsid w:val="00FC0A75"/>
    <w:rsid w:val="00FC0AD0"/>
    <w:rsid w:val="00FC0AD1"/>
    <w:rsid w:val="00FC1594"/>
    <w:rsid w:val="00FC1B54"/>
    <w:rsid w:val="00FC1D96"/>
    <w:rsid w:val="00FC248C"/>
    <w:rsid w:val="00FC2F21"/>
    <w:rsid w:val="00FC36AD"/>
    <w:rsid w:val="00FC3734"/>
    <w:rsid w:val="00FC3BEA"/>
    <w:rsid w:val="00FC3E8D"/>
    <w:rsid w:val="00FC4032"/>
    <w:rsid w:val="00FC446C"/>
    <w:rsid w:val="00FC44AA"/>
    <w:rsid w:val="00FC52B4"/>
    <w:rsid w:val="00FC5B01"/>
    <w:rsid w:val="00FC6792"/>
    <w:rsid w:val="00FC6940"/>
    <w:rsid w:val="00FC6D78"/>
    <w:rsid w:val="00FC73DC"/>
    <w:rsid w:val="00FC78BE"/>
    <w:rsid w:val="00FC7971"/>
    <w:rsid w:val="00FD00E2"/>
    <w:rsid w:val="00FD023B"/>
    <w:rsid w:val="00FD029F"/>
    <w:rsid w:val="00FD03CC"/>
    <w:rsid w:val="00FD04C1"/>
    <w:rsid w:val="00FD0B15"/>
    <w:rsid w:val="00FD0C8C"/>
    <w:rsid w:val="00FD0F51"/>
    <w:rsid w:val="00FD0F8E"/>
    <w:rsid w:val="00FD1DD1"/>
    <w:rsid w:val="00FD22FA"/>
    <w:rsid w:val="00FD282F"/>
    <w:rsid w:val="00FD2B52"/>
    <w:rsid w:val="00FD3B73"/>
    <w:rsid w:val="00FD4159"/>
    <w:rsid w:val="00FD4773"/>
    <w:rsid w:val="00FD477D"/>
    <w:rsid w:val="00FD6976"/>
    <w:rsid w:val="00FD6DE9"/>
    <w:rsid w:val="00FD6EA1"/>
    <w:rsid w:val="00FD7123"/>
    <w:rsid w:val="00FD7BAE"/>
    <w:rsid w:val="00FD7F44"/>
    <w:rsid w:val="00FE08E4"/>
    <w:rsid w:val="00FE0ADE"/>
    <w:rsid w:val="00FE0B31"/>
    <w:rsid w:val="00FE1E68"/>
    <w:rsid w:val="00FE203D"/>
    <w:rsid w:val="00FE262C"/>
    <w:rsid w:val="00FE2BF3"/>
    <w:rsid w:val="00FE2F6D"/>
    <w:rsid w:val="00FE35A1"/>
    <w:rsid w:val="00FE3A93"/>
    <w:rsid w:val="00FE3B60"/>
    <w:rsid w:val="00FE3ECC"/>
    <w:rsid w:val="00FE3F6E"/>
    <w:rsid w:val="00FE445A"/>
    <w:rsid w:val="00FE450B"/>
    <w:rsid w:val="00FE45A1"/>
    <w:rsid w:val="00FE464A"/>
    <w:rsid w:val="00FE4BE4"/>
    <w:rsid w:val="00FE4D78"/>
    <w:rsid w:val="00FE51ED"/>
    <w:rsid w:val="00FE6034"/>
    <w:rsid w:val="00FE61BC"/>
    <w:rsid w:val="00FE66FB"/>
    <w:rsid w:val="00FE6B1A"/>
    <w:rsid w:val="00FE7857"/>
    <w:rsid w:val="00FF0566"/>
    <w:rsid w:val="00FF0D82"/>
    <w:rsid w:val="00FF0E39"/>
    <w:rsid w:val="00FF1B77"/>
    <w:rsid w:val="00FF2085"/>
    <w:rsid w:val="00FF264F"/>
    <w:rsid w:val="00FF3006"/>
    <w:rsid w:val="00FF3232"/>
    <w:rsid w:val="00FF335A"/>
    <w:rsid w:val="00FF3451"/>
    <w:rsid w:val="00FF3652"/>
    <w:rsid w:val="00FF37DA"/>
    <w:rsid w:val="00FF3852"/>
    <w:rsid w:val="00FF40A3"/>
    <w:rsid w:val="00FF43AB"/>
    <w:rsid w:val="00FF47FB"/>
    <w:rsid w:val="00FF5363"/>
    <w:rsid w:val="00FF5E9C"/>
    <w:rsid w:val="00FF5ED8"/>
    <w:rsid w:val="00FF64B6"/>
    <w:rsid w:val="00FF6630"/>
    <w:rsid w:val="00FF692A"/>
    <w:rsid w:val="00FF766F"/>
    <w:rsid w:val="00FF79BA"/>
    <w:rsid w:val="00FF7A51"/>
    <w:rsid w:val="011113C9"/>
    <w:rsid w:val="0148439A"/>
    <w:rsid w:val="01A510A3"/>
    <w:rsid w:val="01B96BE2"/>
    <w:rsid w:val="01D13BA3"/>
    <w:rsid w:val="01D8357C"/>
    <w:rsid w:val="02033EA9"/>
    <w:rsid w:val="020531A4"/>
    <w:rsid w:val="02066EE3"/>
    <w:rsid w:val="021E22AD"/>
    <w:rsid w:val="02401678"/>
    <w:rsid w:val="02571B8A"/>
    <w:rsid w:val="025A508D"/>
    <w:rsid w:val="02822E75"/>
    <w:rsid w:val="02A067CF"/>
    <w:rsid w:val="02A46CDC"/>
    <w:rsid w:val="02AE0293"/>
    <w:rsid w:val="02DE0E3C"/>
    <w:rsid w:val="03093B72"/>
    <w:rsid w:val="034D5723"/>
    <w:rsid w:val="037141D0"/>
    <w:rsid w:val="03996600"/>
    <w:rsid w:val="03A4367F"/>
    <w:rsid w:val="03A87CD4"/>
    <w:rsid w:val="03C865F6"/>
    <w:rsid w:val="03E432AF"/>
    <w:rsid w:val="03F07AF2"/>
    <w:rsid w:val="040177FD"/>
    <w:rsid w:val="048B63BF"/>
    <w:rsid w:val="04976F27"/>
    <w:rsid w:val="04A171B4"/>
    <w:rsid w:val="04CC22A5"/>
    <w:rsid w:val="04EA4275"/>
    <w:rsid w:val="04F10071"/>
    <w:rsid w:val="04F14884"/>
    <w:rsid w:val="05034C87"/>
    <w:rsid w:val="050D54CA"/>
    <w:rsid w:val="05171B7C"/>
    <w:rsid w:val="05213F86"/>
    <w:rsid w:val="055A682B"/>
    <w:rsid w:val="0596716A"/>
    <w:rsid w:val="059F14A4"/>
    <w:rsid w:val="05DE55F8"/>
    <w:rsid w:val="05E55026"/>
    <w:rsid w:val="05F00B34"/>
    <w:rsid w:val="063D5EC8"/>
    <w:rsid w:val="06425EC4"/>
    <w:rsid w:val="064E45EA"/>
    <w:rsid w:val="065A7BAD"/>
    <w:rsid w:val="065E1763"/>
    <w:rsid w:val="06966049"/>
    <w:rsid w:val="06982EAA"/>
    <w:rsid w:val="06B654A7"/>
    <w:rsid w:val="06CD5010"/>
    <w:rsid w:val="06D30594"/>
    <w:rsid w:val="06E50914"/>
    <w:rsid w:val="06FD3FFE"/>
    <w:rsid w:val="075518FE"/>
    <w:rsid w:val="07B30FFF"/>
    <w:rsid w:val="07B628DF"/>
    <w:rsid w:val="07C55F15"/>
    <w:rsid w:val="07D42D1F"/>
    <w:rsid w:val="07DF4454"/>
    <w:rsid w:val="07FE41A1"/>
    <w:rsid w:val="08191C64"/>
    <w:rsid w:val="082B3390"/>
    <w:rsid w:val="08387E2F"/>
    <w:rsid w:val="08654E8A"/>
    <w:rsid w:val="08AD63BB"/>
    <w:rsid w:val="08D739BF"/>
    <w:rsid w:val="08FB18DB"/>
    <w:rsid w:val="091B6A87"/>
    <w:rsid w:val="09294CE7"/>
    <w:rsid w:val="09307A52"/>
    <w:rsid w:val="093267E2"/>
    <w:rsid w:val="09520ED8"/>
    <w:rsid w:val="09571E04"/>
    <w:rsid w:val="095F5E77"/>
    <w:rsid w:val="0A136042"/>
    <w:rsid w:val="0A140FA2"/>
    <w:rsid w:val="0A4053F0"/>
    <w:rsid w:val="0A460F27"/>
    <w:rsid w:val="0A5C2796"/>
    <w:rsid w:val="0A66245A"/>
    <w:rsid w:val="0A7310CC"/>
    <w:rsid w:val="0A7D676D"/>
    <w:rsid w:val="0AAF0151"/>
    <w:rsid w:val="0ACF403A"/>
    <w:rsid w:val="0AE655C4"/>
    <w:rsid w:val="0AF26F29"/>
    <w:rsid w:val="0B34474A"/>
    <w:rsid w:val="0B402FBE"/>
    <w:rsid w:val="0B695E48"/>
    <w:rsid w:val="0B6F6A6E"/>
    <w:rsid w:val="0B9364C8"/>
    <w:rsid w:val="0BBC5EBA"/>
    <w:rsid w:val="0C185C53"/>
    <w:rsid w:val="0C27734B"/>
    <w:rsid w:val="0C3605D5"/>
    <w:rsid w:val="0C75613A"/>
    <w:rsid w:val="0C8619B5"/>
    <w:rsid w:val="0CD615A9"/>
    <w:rsid w:val="0D1B5F3C"/>
    <w:rsid w:val="0D263FF9"/>
    <w:rsid w:val="0D462FA2"/>
    <w:rsid w:val="0D6A4D7E"/>
    <w:rsid w:val="0D9122ED"/>
    <w:rsid w:val="0DB674AA"/>
    <w:rsid w:val="0DD45704"/>
    <w:rsid w:val="0E067FC5"/>
    <w:rsid w:val="0E3237E4"/>
    <w:rsid w:val="0E5817EB"/>
    <w:rsid w:val="0E5E2024"/>
    <w:rsid w:val="0E8D76B2"/>
    <w:rsid w:val="0E9A0928"/>
    <w:rsid w:val="0EA62A38"/>
    <w:rsid w:val="0EC54E31"/>
    <w:rsid w:val="0ED17D81"/>
    <w:rsid w:val="0ED63A4D"/>
    <w:rsid w:val="0F2B1802"/>
    <w:rsid w:val="0F3B599B"/>
    <w:rsid w:val="0F557DD6"/>
    <w:rsid w:val="0F6E5F7B"/>
    <w:rsid w:val="0FA15D36"/>
    <w:rsid w:val="0FCF4C19"/>
    <w:rsid w:val="0FF362A8"/>
    <w:rsid w:val="103C2999"/>
    <w:rsid w:val="10A46BB2"/>
    <w:rsid w:val="10A95834"/>
    <w:rsid w:val="10B20AA5"/>
    <w:rsid w:val="10BB76D7"/>
    <w:rsid w:val="10CD0887"/>
    <w:rsid w:val="10DB7818"/>
    <w:rsid w:val="11014AA4"/>
    <w:rsid w:val="11034C08"/>
    <w:rsid w:val="11702599"/>
    <w:rsid w:val="1179205A"/>
    <w:rsid w:val="11845EB9"/>
    <w:rsid w:val="11967048"/>
    <w:rsid w:val="11A12E86"/>
    <w:rsid w:val="11B87730"/>
    <w:rsid w:val="11C917C8"/>
    <w:rsid w:val="11EC1974"/>
    <w:rsid w:val="12365D59"/>
    <w:rsid w:val="124B6CD9"/>
    <w:rsid w:val="126B523A"/>
    <w:rsid w:val="12B250B3"/>
    <w:rsid w:val="12C53C7A"/>
    <w:rsid w:val="12C90801"/>
    <w:rsid w:val="12CB66C6"/>
    <w:rsid w:val="12D50FB5"/>
    <w:rsid w:val="13371893"/>
    <w:rsid w:val="13584682"/>
    <w:rsid w:val="14694157"/>
    <w:rsid w:val="149B1BA2"/>
    <w:rsid w:val="15035681"/>
    <w:rsid w:val="150F0B2A"/>
    <w:rsid w:val="15123BF3"/>
    <w:rsid w:val="1516133F"/>
    <w:rsid w:val="151E0181"/>
    <w:rsid w:val="155E03D0"/>
    <w:rsid w:val="156E2668"/>
    <w:rsid w:val="156F0557"/>
    <w:rsid w:val="159A0717"/>
    <w:rsid w:val="159E0B84"/>
    <w:rsid w:val="15C403EC"/>
    <w:rsid w:val="15EA495F"/>
    <w:rsid w:val="15FB6FDF"/>
    <w:rsid w:val="160505A3"/>
    <w:rsid w:val="160C6B51"/>
    <w:rsid w:val="16180AB9"/>
    <w:rsid w:val="162B5EAD"/>
    <w:rsid w:val="1667540E"/>
    <w:rsid w:val="169226BE"/>
    <w:rsid w:val="16CE04D5"/>
    <w:rsid w:val="16D513D8"/>
    <w:rsid w:val="16E7092C"/>
    <w:rsid w:val="170A0740"/>
    <w:rsid w:val="17407B12"/>
    <w:rsid w:val="17420117"/>
    <w:rsid w:val="174727ED"/>
    <w:rsid w:val="1751432E"/>
    <w:rsid w:val="17941885"/>
    <w:rsid w:val="17D877C7"/>
    <w:rsid w:val="17FD50ED"/>
    <w:rsid w:val="184E7096"/>
    <w:rsid w:val="184F1456"/>
    <w:rsid w:val="187B1642"/>
    <w:rsid w:val="18B90D7F"/>
    <w:rsid w:val="18F545DF"/>
    <w:rsid w:val="18FF2DE8"/>
    <w:rsid w:val="191C683E"/>
    <w:rsid w:val="191F3E67"/>
    <w:rsid w:val="19234A87"/>
    <w:rsid w:val="197226E5"/>
    <w:rsid w:val="19C96B86"/>
    <w:rsid w:val="19D3406C"/>
    <w:rsid w:val="19DC4392"/>
    <w:rsid w:val="1A6B57F9"/>
    <w:rsid w:val="1A910490"/>
    <w:rsid w:val="1ABE50CB"/>
    <w:rsid w:val="1AC36AEF"/>
    <w:rsid w:val="1AD6747A"/>
    <w:rsid w:val="1AE17177"/>
    <w:rsid w:val="1AEE0821"/>
    <w:rsid w:val="1B0A1401"/>
    <w:rsid w:val="1B3A72C3"/>
    <w:rsid w:val="1B51633B"/>
    <w:rsid w:val="1B7328D8"/>
    <w:rsid w:val="1B751A38"/>
    <w:rsid w:val="1B85781D"/>
    <w:rsid w:val="1B9E0D45"/>
    <w:rsid w:val="1BF11CA6"/>
    <w:rsid w:val="1BFE3129"/>
    <w:rsid w:val="1C142391"/>
    <w:rsid w:val="1C7141DB"/>
    <w:rsid w:val="1CA41132"/>
    <w:rsid w:val="1CAC3D38"/>
    <w:rsid w:val="1CF44B02"/>
    <w:rsid w:val="1D360E39"/>
    <w:rsid w:val="1D3A1222"/>
    <w:rsid w:val="1D7A599C"/>
    <w:rsid w:val="1D7B1345"/>
    <w:rsid w:val="1D7D20B2"/>
    <w:rsid w:val="1D8A53CB"/>
    <w:rsid w:val="1DADA87F"/>
    <w:rsid w:val="1DB1335D"/>
    <w:rsid w:val="1DB435B3"/>
    <w:rsid w:val="1DE16C3F"/>
    <w:rsid w:val="1DE36685"/>
    <w:rsid w:val="1DE92C6C"/>
    <w:rsid w:val="1DEB4D87"/>
    <w:rsid w:val="1DED1FB5"/>
    <w:rsid w:val="1E0925AC"/>
    <w:rsid w:val="1E14240A"/>
    <w:rsid w:val="1E611EE2"/>
    <w:rsid w:val="1E895743"/>
    <w:rsid w:val="1EBC224F"/>
    <w:rsid w:val="1EE56A92"/>
    <w:rsid w:val="1EF61C3A"/>
    <w:rsid w:val="1EFE43F1"/>
    <w:rsid w:val="1F0D2063"/>
    <w:rsid w:val="1F551D72"/>
    <w:rsid w:val="1F7455C9"/>
    <w:rsid w:val="1FA83C42"/>
    <w:rsid w:val="1FB5776D"/>
    <w:rsid w:val="1FFB37EA"/>
    <w:rsid w:val="200C3F08"/>
    <w:rsid w:val="200F76C3"/>
    <w:rsid w:val="202453FC"/>
    <w:rsid w:val="20471976"/>
    <w:rsid w:val="2071586C"/>
    <w:rsid w:val="20A30660"/>
    <w:rsid w:val="211A7CA1"/>
    <w:rsid w:val="21210C05"/>
    <w:rsid w:val="21272FD9"/>
    <w:rsid w:val="2138717C"/>
    <w:rsid w:val="214830B5"/>
    <w:rsid w:val="216B1380"/>
    <w:rsid w:val="218B630F"/>
    <w:rsid w:val="21A12149"/>
    <w:rsid w:val="21CE5B6C"/>
    <w:rsid w:val="21EA1DCF"/>
    <w:rsid w:val="21FA51BB"/>
    <w:rsid w:val="220166CB"/>
    <w:rsid w:val="220B07AE"/>
    <w:rsid w:val="225C3735"/>
    <w:rsid w:val="225F685B"/>
    <w:rsid w:val="228100D2"/>
    <w:rsid w:val="22B26CFD"/>
    <w:rsid w:val="22DB757E"/>
    <w:rsid w:val="230F1E2C"/>
    <w:rsid w:val="23193811"/>
    <w:rsid w:val="231A7041"/>
    <w:rsid w:val="23227EA7"/>
    <w:rsid w:val="233F1C3B"/>
    <w:rsid w:val="23585764"/>
    <w:rsid w:val="239B4C32"/>
    <w:rsid w:val="23A54B4B"/>
    <w:rsid w:val="23E24268"/>
    <w:rsid w:val="2423238A"/>
    <w:rsid w:val="24590A03"/>
    <w:rsid w:val="248F55D0"/>
    <w:rsid w:val="24DB752F"/>
    <w:rsid w:val="24E6466C"/>
    <w:rsid w:val="24F74EE2"/>
    <w:rsid w:val="24FA5141"/>
    <w:rsid w:val="25270BB7"/>
    <w:rsid w:val="253A7508"/>
    <w:rsid w:val="253C4239"/>
    <w:rsid w:val="255F65A3"/>
    <w:rsid w:val="25AF5A19"/>
    <w:rsid w:val="25BC3C40"/>
    <w:rsid w:val="25E86EC7"/>
    <w:rsid w:val="261C4FA9"/>
    <w:rsid w:val="2667336A"/>
    <w:rsid w:val="269D1D30"/>
    <w:rsid w:val="26DA5E46"/>
    <w:rsid w:val="27495237"/>
    <w:rsid w:val="27604855"/>
    <w:rsid w:val="27A80362"/>
    <w:rsid w:val="27A82DA5"/>
    <w:rsid w:val="27AD472C"/>
    <w:rsid w:val="27E24E07"/>
    <w:rsid w:val="2804313D"/>
    <w:rsid w:val="283111A3"/>
    <w:rsid w:val="28477589"/>
    <w:rsid w:val="28DA6765"/>
    <w:rsid w:val="28E66F49"/>
    <w:rsid w:val="28F5698E"/>
    <w:rsid w:val="28FE7429"/>
    <w:rsid w:val="29257001"/>
    <w:rsid w:val="29483ED6"/>
    <w:rsid w:val="29707FBA"/>
    <w:rsid w:val="29B334E6"/>
    <w:rsid w:val="29D22797"/>
    <w:rsid w:val="29F65FDF"/>
    <w:rsid w:val="2A420BB9"/>
    <w:rsid w:val="2A672865"/>
    <w:rsid w:val="2A7C3335"/>
    <w:rsid w:val="2A9048E6"/>
    <w:rsid w:val="2A9278D8"/>
    <w:rsid w:val="2A93622F"/>
    <w:rsid w:val="2AA646D0"/>
    <w:rsid w:val="2AAF1B7B"/>
    <w:rsid w:val="2AB020C4"/>
    <w:rsid w:val="2ABE7231"/>
    <w:rsid w:val="2AF77BC2"/>
    <w:rsid w:val="2B265DC6"/>
    <w:rsid w:val="2B3A4EEE"/>
    <w:rsid w:val="2B6A7811"/>
    <w:rsid w:val="2B6E5792"/>
    <w:rsid w:val="2B8C7656"/>
    <w:rsid w:val="2BA0200E"/>
    <w:rsid w:val="2BA116D5"/>
    <w:rsid w:val="2BA65416"/>
    <w:rsid w:val="2BE02538"/>
    <w:rsid w:val="2C261412"/>
    <w:rsid w:val="2C3027AD"/>
    <w:rsid w:val="2C505B3D"/>
    <w:rsid w:val="2C6F6711"/>
    <w:rsid w:val="2CA667D6"/>
    <w:rsid w:val="2CB05B20"/>
    <w:rsid w:val="2CC063DD"/>
    <w:rsid w:val="2D007DDF"/>
    <w:rsid w:val="2D195893"/>
    <w:rsid w:val="2D3213E8"/>
    <w:rsid w:val="2D605EBD"/>
    <w:rsid w:val="2D70529C"/>
    <w:rsid w:val="2D8B58C9"/>
    <w:rsid w:val="2DBD4BA6"/>
    <w:rsid w:val="2DDC4A59"/>
    <w:rsid w:val="2E0270E5"/>
    <w:rsid w:val="2E1A3511"/>
    <w:rsid w:val="2E22423B"/>
    <w:rsid w:val="2E43053A"/>
    <w:rsid w:val="2E474B3A"/>
    <w:rsid w:val="2E6910F6"/>
    <w:rsid w:val="2E7446F5"/>
    <w:rsid w:val="2E931B01"/>
    <w:rsid w:val="2EA678D1"/>
    <w:rsid w:val="2EB37807"/>
    <w:rsid w:val="2EC013F3"/>
    <w:rsid w:val="2EDD1E8A"/>
    <w:rsid w:val="2EEA15D4"/>
    <w:rsid w:val="2EFA733D"/>
    <w:rsid w:val="2F0C5500"/>
    <w:rsid w:val="2F104B6B"/>
    <w:rsid w:val="2F5562BC"/>
    <w:rsid w:val="2F682BA5"/>
    <w:rsid w:val="2F711AE7"/>
    <w:rsid w:val="2FDE5351"/>
    <w:rsid w:val="2FF42CAC"/>
    <w:rsid w:val="2FF5408B"/>
    <w:rsid w:val="2FF81BE3"/>
    <w:rsid w:val="30043AB2"/>
    <w:rsid w:val="301504B6"/>
    <w:rsid w:val="301B0A41"/>
    <w:rsid w:val="302600D2"/>
    <w:rsid w:val="305F2F99"/>
    <w:rsid w:val="30690E0C"/>
    <w:rsid w:val="30BE6D14"/>
    <w:rsid w:val="30C41A60"/>
    <w:rsid w:val="30D64AF3"/>
    <w:rsid w:val="30DC69D0"/>
    <w:rsid w:val="30EE1B3C"/>
    <w:rsid w:val="311C658B"/>
    <w:rsid w:val="311E2456"/>
    <w:rsid w:val="31466E2A"/>
    <w:rsid w:val="314D409C"/>
    <w:rsid w:val="317B5595"/>
    <w:rsid w:val="31AC0148"/>
    <w:rsid w:val="31B32A71"/>
    <w:rsid w:val="31EB425B"/>
    <w:rsid w:val="320A7EC0"/>
    <w:rsid w:val="323B0D6C"/>
    <w:rsid w:val="32421152"/>
    <w:rsid w:val="324741AC"/>
    <w:rsid w:val="32574071"/>
    <w:rsid w:val="32C9498F"/>
    <w:rsid w:val="32FD49B4"/>
    <w:rsid w:val="33030EB7"/>
    <w:rsid w:val="330D3E04"/>
    <w:rsid w:val="335266C1"/>
    <w:rsid w:val="337B0D9A"/>
    <w:rsid w:val="337C355E"/>
    <w:rsid w:val="339A433E"/>
    <w:rsid w:val="33C65504"/>
    <w:rsid w:val="33ED0D73"/>
    <w:rsid w:val="340B78F6"/>
    <w:rsid w:val="34455010"/>
    <w:rsid w:val="34480B4A"/>
    <w:rsid w:val="344F2340"/>
    <w:rsid w:val="34535C27"/>
    <w:rsid w:val="347B3AF7"/>
    <w:rsid w:val="347E0998"/>
    <w:rsid w:val="34AB14F7"/>
    <w:rsid w:val="34B431F0"/>
    <w:rsid w:val="352A2343"/>
    <w:rsid w:val="354E66A4"/>
    <w:rsid w:val="356A0DE8"/>
    <w:rsid w:val="35C33371"/>
    <w:rsid w:val="35F76F11"/>
    <w:rsid w:val="3605385B"/>
    <w:rsid w:val="36147E72"/>
    <w:rsid w:val="361C2778"/>
    <w:rsid w:val="362A6DDD"/>
    <w:rsid w:val="36340223"/>
    <w:rsid w:val="36463E34"/>
    <w:rsid w:val="365B0B8E"/>
    <w:rsid w:val="36881F5B"/>
    <w:rsid w:val="36962CBB"/>
    <w:rsid w:val="36AD1A0E"/>
    <w:rsid w:val="36C86A70"/>
    <w:rsid w:val="36CD21D0"/>
    <w:rsid w:val="36DB4E2D"/>
    <w:rsid w:val="36E0129F"/>
    <w:rsid w:val="36F05D27"/>
    <w:rsid w:val="36F53209"/>
    <w:rsid w:val="373A19DF"/>
    <w:rsid w:val="374D6B7F"/>
    <w:rsid w:val="378D056B"/>
    <w:rsid w:val="37913529"/>
    <w:rsid w:val="37BE73EB"/>
    <w:rsid w:val="38027D4E"/>
    <w:rsid w:val="3815535B"/>
    <w:rsid w:val="382238DE"/>
    <w:rsid w:val="38433910"/>
    <w:rsid w:val="38777F22"/>
    <w:rsid w:val="387C382B"/>
    <w:rsid w:val="38993DF0"/>
    <w:rsid w:val="38A04871"/>
    <w:rsid w:val="38C75C6A"/>
    <w:rsid w:val="38E41033"/>
    <w:rsid w:val="38ED5ED4"/>
    <w:rsid w:val="38F26F35"/>
    <w:rsid w:val="392007CC"/>
    <w:rsid w:val="39356702"/>
    <w:rsid w:val="39AF47CA"/>
    <w:rsid w:val="39BC032C"/>
    <w:rsid w:val="39F03F9F"/>
    <w:rsid w:val="39F90E95"/>
    <w:rsid w:val="3A137DCB"/>
    <w:rsid w:val="3A6E5FC6"/>
    <w:rsid w:val="3A795B61"/>
    <w:rsid w:val="3A7D2492"/>
    <w:rsid w:val="3A900AEC"/>
    <w:rsid w:val="3ABE5300"/>
    <w:rsid w:val="3ACF167E"/>
    <w:rsid w:val="3AE00EEC"/>
    <w:rsid w:val="3AEF1014"/>
    <w:rsid w:val="3B236E96"/>
    <w:rsid w:val="3B400F18"/>
    <w:rsid w:val="3B6209F2"/>
    <w:rsid w:val="3B6D2A3C"/>
    <w:rsid w:val="3B876735"/>
    <w:rsid w:val="3B8C4352"/>
    <w:rsid w:val="3B8D4EBC"/>
    <w:rsid w:val="3B942BF7"/>
    <w:rsid w:val="3B95478A"/>
    <w:rsid w:val="3B9C63FE"/>
    <w:rsid w:val="3BC11379"/>
    <w:rsid w:val="3BDA4C6A"/>
    <w:rsid w:val="3C1279B0"/>
    <w:rsid w:val="3C1D1315"/>
    <w:rsid w:val="3C6F3AB2"/>
    <w:rsid w:val="3C733A34"/>
    <w:rsid w:val="3C792159"/>
    <w:rsid w:val="3C8D40B6"/>
    <w:rsid w:val="3C98637F"/>
    <w:rsid w:val="3C9A27B5"/>
    <w:rsid w:val="3CAC27B0"/>
    <w:rsid w:val="3CB31C97"/>
    <w:rsid w:val="3CFA5F40"/>
    <w:rsid w:val="3D0F66D2"/>
    <w:rsid w:val="3D17693E"/>
    <w:rsid w:val="3D213FA0"/>
    <w:rsid w:val="3D385922"/>
    <w:rsid w:val="3D407778"/>
    <w:rsid w:val="3D43553E"/>
    <w:rsid w:val="3D751207"/>
    <w:rsid w:val="3D922661"/>
    <w:rsid w:val="3DB5599B"/>
    <w:rsid w:val="3DCE1592"/>
    <w:rsid w:val="3DD14EF3"/>
    <w:rsid w:val="3DE04AF0"/>
    <w:rsid w:val="3DFA0615"/>
    <w:rsid w:val="3DFE6528"/>
    <w:rsid w:val="3E3B3B05"/>
    <w:rsid w:val="3E3F6593"/>
    <w:rsid w:val="3E4C7BF9"/>
    <w:rsid w:val="3E643867"/>
    <w:rsid w:val="3EDB3543"/>
    <w:rsid w:val="3F084A11"/>
    <w:rsid w:val="3F1015B2"/>
    <w:rsid w:val="3F110517"/>
    <w:rsid w:val="3F335841"/>
    <w:rsid w:val="3F6B0012"/>
    <w:rsid w:val="3F6F303F"/>
    <w:rsid w:val="3F945B50"/>
    <w:rsid w:val="3FAA20C3"/>
    <w:rsid w:val="3FC57472"/>
    <w:rsid w:val="3FCC1161"/>
    <w:rsid w:val="3FCF4CDA"/>
    <w:rsid w:val="3FD51FE7"/>
    <w:rsid w:val="401C613B"/>
    <w:rsid w:val="408972C7"/>
    <w:rsid w:val="408C794F"/>
    <w:rsid w:val="409C47C7"/>
    <w:rsid w:val="40AD7647"/>
    <w:rsid w:val="40BC7850"/>
    <w:rsid w:val="40D9637B"/>
    <w:rsid w:val="40F22DE0"/>
    <w:rsid w:val="41304512"/>
    <w:rsid w:val="41420B68"/>
    <w:rsid w:val="41B35F09"/>
    <w:rsid w:val="41C7373A"/>
    <w:rsid w:val="41E55B5C"/>
    <w:rsid w:val="42027844"/>
    <w:rsid w:val="421C7425"/>
    <w:rsid w:val="421E69F6"/>
    <w:rsid w:val="42747098"/>
    <w:rsid w:val="4305472F"/>
    <w:rsid w:val="431A3EDF"/>
    <w:rsid w:val="43447101"/>
    <w:rsid w:val="43633BA0"/>
    <w:rsid w:val="43707D79"/>
    <w:rsid w:val="43AB598F"/>
    <w:rsid w:val="43B76C8B"/>
    <w:rsid w:val="43CB14CC"/>
    <w:rsid w:val="43E50677"/>
    <w:rsid w:val="43EF3D7A"/>
    <w:rsid w:val="43F93826"/>
    <w:rsid w:val="44072E2F"/>
    <w:rsid w:val="440844E4"/>
    <w:rsid w:val="443D748B"/>
    <w:rsid w:val="444826CE"/>
    <w:rsid w:val="446153F8"/>
    <w:rsid w:val="44674B36"/>
    <w:rsid w:val="44780292"/>
    <w:rsid w:val="44C5110A"/>
    <w:rsid w:val="44D46D7D"/>
    <w:rsid w:val="44FB0ADB"/>
    <w:rsid w:val="451C7BB5"/>
    <w:rsid w:val="453E1C91"/>
    <w:rsid w:val="45442F32"/>
    <w:rsid w:val="45475CB4"/>
    <w:rsid w:val="4567163B"/>
    <w:rsid w:val="456D2072"/>
    <w:rsid w:val="458D2A1E"/>
    <w:rsid w:val="4594534A"/>
    <w:rsid w:val="459B71AA"/>
    <w:rsid w:val="45BF3D54"/>
    <w:rsid w:val="4661594B"/>
    <w:rsid w:val="467B7E53"/>
    <w:rsid w:val="46A50E9C"/>
    <w:rsid w:val="46A762EC"/>
    <w:rsid w:val="46D45B43"/>
    <w:rsid w:val="46DB1B70"/>
    <w:rsid w:val="47115017"/>
    <w:rsid w:val="47134093"/>
    <w:rsid w:val="471E5207"/>
    <w:rsid w:val="47380F79"/>
    <w:rsid w:val="4738351D"/>
    <w:rsid w:val="474C0EF9"/>
    <w:rsid w:val="479B35FA"/>
    <w:rsid w:val="47A5389A"/>
    <w:rsid w:val="47E76734"/>
    <w:rsid w:val="47F14291"/>
    <w:rsid w:val="48274F77"/>
    <w:rsid w:val="482A0CAD"/>
    <w:rsid w:val="48325D50"/>
    <w:rsid w:val="485458B8"/>
    <w:rsid w:val="48916DF5"/>
    <w:rsid w:val="489E4CCB"/>
    <w:rsid w:val="48EF1737"/>
    <w:rsid w:val="490A404A"/>
    <w:rsid w:val="49930C9D"/>
    <w:rsid w:val="49A107F1"/>
    <w:rsid w:val="49A65AD0"/>
    <w:rsid w:val="49C43537"/>
    <w:rsid w:val="49CC3C1B"/>
    <w:rsid w:val="4A246EB8"/>
    <w:rsid w:val="4A3D404F"/>
    <w:rsid w:val="4A484FA8"/>
    <w:rsid w:val="4A4E00ED"/>
    <w:rsid w:val="4ACA0BB0"/>
    <w:rsid w:val="4ADE136A"/>
    <w:rsid w:val="4AE755F0"/>
    <w:rsid w:val="4B9E36A8"/>
    <w:rsid w:val="4BC00AA0"/>
    <w:rsid w:val="4BD73C27"/>
    <w:rsid w:val="4C146224"/>
    <w:rsid w:val="4C6F4A6E"/>
    <w:rsid w:val="4CA502CC"/>
    <w:rsid w:val="4CC67E4D"/>
    <w:rsid w:val="4CC83E99"/>
    <w:rsid w:val="4D2A4700"/>
    <w:rsid w:val="4D4140A4"/>
    <w:rsid w:val="4D5D7A37"/>
    <w:rsid w:val="4D850F4D"/>
    <w:rsid w:val="4DA40B47"/>
    <w:rsid w:val="4DA8541B"/>
    <w:rsid w:val="4DB3204F"/>
    <w:rsid w:val="4DCD40BE"/>
    <w:rsid w:val="4E0C7807"/>
    <w:rsid w:val="4E194DFA"/>
    <w:rsid w:val="4E25486B"/>
    <w:rsid w:val="4E25570A"/>
    <w:rsid w:val="4E591334"/>
    <w:rsid w:val="4E5F21BC"/>
    <w:rsid w:val="4E6D10CC"/>
    <w:rsid w:val="4E9518CC"/>
    <w:rsid w:val="4E9722DB"/>
    <w:rsid w:val="4E9F4B5B"/>
    <w:rsid w:val="4EA84BE2"/>
    <w:rsid w:val="4ECA629C"/>
    <w:rsid w:val="4EE16836"/>
    <w:rsid w:val="4EF84CB9"/>
    <w:rsid w:val="4F0F1FF1"/>
    <w:rsid w:val="4F1A3F70"/>
    <w:rsid w:val="4F2570D4"/>
    <w:rsid w:val="4F311112"/>
    <w:rsid w:val="4F437B43"/>
    <w:rsid w:val="4F452F09"/>
    <w:rsid w:val="4F5018A8"/>
    <w:rsid w:val="4F833EFF"/>
    <w:rsid w:val="4F87306C"/>
    <w:rsid w:val="4FC3556E"/>
    <w:rsid w:val="4FD26903"/>
    <w:rsid w:val="4FEA3C38"/>
    <w:rsid w:val="4FEB2D31"/>
    <w:rsid w:val="4FEC3E52"/>
    <w:rsid w:val="4FF713BD"/>
    <w:rsid w:val="501F2C4C"/>
    <w:rsid w:val="50465138"/>
    <w:rsid w:val="50997606"/>
    <w:rsid w:val="50A04439"/>
    <w:rsid w:val="50CF3169"/>
    <w:rsid w:val="50F33248"/>
    <w:rsid w:val="5107592F"/>
    <w:rsid w:val="51A87A4A"/>
    <w:rsid w:val="51C72B1A"/>
    <w:rsid w:val="51C84238"/>
    <w:rsid w:val="51D51877"/>
    <w:rsid w:val="51F46D28"/>
    <w:rsid w:val="52B86D5A"/>
    <w:rsid w:val="52C0762E"/>
    <w:rsid w:val="52CD198D"/>
    <w:rsid w:val="52D11D2F"/>
    <w:rsid w:val="52D40070"/>
    <w:rsid w:val="531D0F89"/>
    <w:rsid w:val="533D6A82"/>
    <w:rsid w:val="534732D5"/>
    <w:rsid w:val="534D5859"/>
    <w:rsid w:val="53595CA7"/>
    <w:rsid w:val="536410A5"/>
    <w:rsid w:val="539D2CA1"/>
    <w:rsid w:val="53BE40FE"/>
    <w:rsid w:val="53E307F3"/>
    <w:rsid w:val="53E4234F"/>
    <w:rsid w:val="53E84BD3"/>
    <w:rsid w:val="53EE4B0B"/>
    <w:rsid w:val="53EE6028"/>
    <w:rsid w:val="53F32429"/>
    <w:rsid w:val="54085625"/>
    <w:rsid w:val="541F0763"/>
    <w:rsid w:val="542C0B0C"/>
    <w:rsid w:val="54332701"/>
    <w:rsid w:val="545670C2"/>
    <w:rsid w:val="5480565D"/>
    <w:rsid w:val="548B023D"/>
    <w:rsid w:val="549B2BE8"/>
    <w:rsid w:val="54B70777"/>
    <w:rsid w:val="54C61E15"/>
    <w:rsid w:val="54ED2AE0"/>
    <w:rsid w:val="54EE5643"/>
    <w:rsid w:val="54F93220"/>
    <w:rsid w:val="550D67CF"/>
    <w:rsid w:val="556733D7"/>
    <w:rsid w:val="559E251F"/>
    <w:rsid w:val="55A90B97"/>
    <w:rsid w:val="55AD1EF5"/>
    <w:rsid w:val="55C03299"/>
    <w:rsid w:val="55DF0A77"/>
    <w:rsid w:val="55EB602D"/>
    <w:rsid w:val="5606580F"/>
    <w:rsid w:val="560765ED"/>
    <w:rsid w:val="561E677E"/>
    <w:rsid w:val="566A7C41"/>
    <w:rsid w:val="567F6C43"/>
    <w:rsid w:val="56872B1A"/>
    <w:rsid w:val="56C21B2A"/>
    <w:rsid w:val="56CA077E"/>
    <w:rsid w:val="56D514BA"/>
    <w:rsid w:val="56DD0066"/>
    <w:rsid w:val="56DD6C8E"/>
    <w:rsid w:val="56E95134"/>
    <w:rsid w:val="572D1195"/>
    <w:rsid w:val="57353C1C"/>
    <w:rsid w:val="573737CE"/>
    <w:rsid w:val="573C6CC0"/>
    <w:rsid w:val="577A6095"/>
    <w:rsid w:val="57884D34"/>
    <w:rsid w:val="578F1D6A"/>
    <w:rsid w:val="579B71F5"/>
    <w:rsid w:val="579B7619"/>
    <w:rsid w:val="57C82096"/>
    <w:rsid w:val="57E538FA"/>
    <w:rsid w:val="57EC5210"/>
    <w:rsid w:val="5809029A"/>
    <w:rsid w:val="580E5838"/>
    <w:rsid w:val="5889187C"/>
    <w:rsid w:val="5895590E"/>
    <w:rsid w:val="58D27403"/>
    <w:rsid w:val="58D97110"/>
    <w:rsid w:val="59472874"/>
    <w:rsid w:val="595259C8"/>
    <w:rsid w:val="59961574"/>
    <w:rsid w:val="59E40581"/>
    <w:rsid w:val="59EF4758"/>
    <w:rsid w:val="59FF3589"/>
    <w:rsid w:val="5A400C4E"/>
    <w:rsid w:val="5A523EC8"/>
    <w:rsid w:val="5A5A45A1"/>
    <w:rsid w:val="5A6C1A27"/>
    <w:rsid w:val="5AA20087"/>
    <w:rsid w:val="5ABE2E3C"/>
    <w:rsid w:val="5AC0058E"/>
    <w:rsid w:val="5ADF224D"/>
    <w:rsid w:val="5B2554ED"/>
    <w:rsid w:val="5B394658"/>
    <w:rsid w:val="5B6F79C8"/>
    <w:rsid w:val="5B793945"/>
    <w:rsid w:val="5B960EDB"/>
    <w:rsid w:val="5C330230"/>
    <w:rsid w:val="5C5C5463"/>
    <w:rsid w:val="5CD55D79"/>
    <w:rsid w:val="5CEC64AF"/>
    <w:rsid w:val="5CF12A99"/>
    <w:rsid w:val="5D6B4885"/>
    <w:rsid w:val="5D78353E"/>
    <w:rsid w:val="5D8A56AD"/>
    <w:rsid w:val="5D8C14CD"/>
    <w:rsid w:val="5D9D3B8A"/>
    <w:rsid w:val="5DF01243"/>
    <w:rsid w:val="5DF038DE"/>
    <w:rsid w:val="5E0F3C05"/>
    <w:rsid w:val="5E2C304F"/>
    <w:rsid w:val="5E3470F1"/>
    <w:rsid w:val="5E710A10"/>
    <w:rsid w:val="5E944988"/>
    <w:rsid w:val="5E9A56DE"/>
    <w:rsid w:val="5EAC5D09"/>
    <w:rsid w:val="5EBF24E8"/>
    <w:rsid w:val="5EC23F6C"/>
    <w:rsid w:val="5F020056"/>
    <w:rsid w:val="5F1A4628"/>
    <w:rsid w:val="5F2048BE"/>
    <w:rsid w:val="5F4C72CA"/>
    <w:rsid w:val="5F5F416A"/>
    <w:rsid w:val="5F770511"/>
    <w:rsid w:val="5F902207"/>
    <w:rsid w:val="5F9B06EB"/>
    <w:rsid w:val="5FA76C6A"/>
    <w:rsid w:val="5FBEFC39"/>
    <w:rsid w:val="5FFF538C"/>
    <w:rsid w:val="603D5025"/>
    <w:rsid w:val="604975AD"/>
    <w:rsid w:val="607F5AB7"/>
    <w:rsid w:val="608508AD"/>
    <w:rsid w:val="60EB66DB"/>
    <w:rsid w:val="61053135"/>
    <w:rsid w:val="617D048E"/>
    <w:rsid w:val="61834DEC"/>
    <w:rsid w:val="61996D80"/>
    <w:rsid w:val="61AE6903"/>
    <w:rsid w:val="61C860FB"/>
    <w:rsid w:val="62215C60"/>
    <w:rsid w:val="62546CCA"/>
    <w:rsid w:val="62581DB0"/>
    <w:rsid w:val="625E188F"/>
    <w:rsid w:val="62657CFE"/>
    <w:rsid w:val="62690996"/>
    <w:rsid w:val="627A2D01"/>
    <w:rsid w:val="628738EF"/>
    <w:rsid w:val="62963713"/>
    <w:rsid w:val="62B31A34"/>
    <w:rsid w:val="62C835FA"/>
    <w:rsid w:val="62FF5E00"/>
    <w:rsid w:val="630466E1"/>
    <w:rsid w:val="633377DB"/>
    <w:rsid w:val="63732868"/>
    <w:rsid w:val="63B53009"/>
    <w:rsid w:val="63E6790A"/>
    <w:rsid w:val="64443707"/>
    <w:rsid w:val="647273EE"/>
    <w:rsid w:val="64CB68A0"/>
    <w:rsid w:val="64FB4CAA"/>
    <w:rsid w:val="65050FE9"/>
    <w:rsid w:val="652F7D4C"/>
    <w:rsid w:val="655B398A"/>
    <w:rsid w:val="655F0C67"/>
    <w:rsid w:val="658E1FB1"/>
    <w:rsid w:val="65932748"/>
    <w:rsid w:val="65CA2BCE"/>
    <w:rsid w:val="65EB6773"/>
    <w:rsid w:val="660702BD"/>
    <w:rsid w:val="6618335B"/>
    <w:rsid w:val="666813DE"/>
    <w:rsid w:val="66AC6B93"/>
    <w:rsid w:val="66C70434"/>
    <w:rsid w:val="67056BE9"/>
    <w:rsid w:val="671777EF"/>
    <w:rsid w:val="67241732"/>
    <w:rsid w:val="6731167B"/>
    <w:rsid w:val="67422785"/>
    <w:rsid w:val="678472A5"/>
    <w:rsid w:val="68114C0B"/>
    <w:rsid w:val="682274AB"/>
    <w:rsid w:val="688A4512"/>
    <w:rsid w:val="68D8147F"/>
    <w:rsid w:val="68DE2098"/>
    <w:rsid w:val="68FF3C3F"/>
    <w:rsid w:val="691E2604"/>
    <w:rsid w:val="693F5F86"/>
    <w:rsid w:val="695807A9"/>
    <w:rsid w:val="69704789"/>
    <w:rsid w:val="69877177"/>
    <w:rsid w:val="698F684D"/>
    <w:rsid w:val="69A77DBC"/>
    <w:rsid w:val="69E551D2"/>
    <w:rsid w:val="69E60838"/>
    <w:rsid w:val="6A1506BE"/>
    <w:rsid w:val="6A211646"/>
    <w:rsid w:val="6A212989"/>
    <w:rsid w:val="6A3E5FDF"/>
    <w:rsid w:val="6A5B08E6"/>
    <w:rsid w:val="6A672B02"/>
    <w:rsid w:val="6A8924D7"/>
    <w:rsid w:val="6A8E75D9"/>
    <w:rsid w:val="6AB9362D"/>
    <w:rsid w:val="6ACC36D1"/>
    <w:rsid w:val="6AD47DD8"/>
    <w:rsid w:val="6B1C34E9"/>
    <w:rsid w:val="6B661A9B"/>
    <w:rsid w:val="6BA60328"/>
    <w:rsid w:val="6BAB61C0"/>
    <w:rsid w:val="6BC640BD"/>
    <w:rsid w:val="6BC84DE1"/>
    <w:rsid w:val="6BC9417B"/>
    <w:rsid w:val="6BCB3C6C"/>
    <w:rsid w:val="6BD44054"/>
    <w:rsid w:val="6BDB740E"/>
    <w:rsid w:val="6BDC40B9"/>
    <w:rsid w:val="6BEA785F"/>
    <w:rsid w:val="6BF00ED3"/>
    <w:rsid w:val="6C0B414A"/>
    <w:rsid w:val="6C0B4E7F"/>
    <w:rsid w:val="6C174EC8"/>
    <w:rsid w:val="6C2A374B"/>
    <w:rsid w:val="6C3A5E42"/>
    <w:rsid w:val="6C66407E"/>
    <w:rsid w:val="6C867617"/>
    <w:rsid w:val="6C9B015F"/>
    <w:rsid w:val="6CA472D4"/>
    <w:rsid w:val="6CBC331A"/>
    <w:rsid w:val="6CDB46DF"/>
    <w:rsid w:val="6CE87CA6"/>
    <w:rsid w:val="6D11374C"/>
    <w:rsid w:val="6D645999"/>
    <w:rsid w:val="6D7F2190"/>
    <w:rsid w:val="6D8C188B"/>
    <w:rsid w:val="6DA209E5"/>
    <w:rsid w:val="6DC70F12"/>
    <w:rsid w:val="6DDC70C9"/>
    <w:rsid w:val="6E2940B7"/>
    <w:rsid w:val="6E4B75BF"/>
    <w:rsid w:val="6E684E7F"/>
    <w:rsid w:val="6E9002BB"/>
    <w:rsid w:val="6E951771"/>
    <w:rsid w:val="6EB406DC"/>
    <w:rsid w:val="6EB46EB7"/>
    <w:rsid w:val="6EDC7946"/>
    <w:rsid w:val="6EF93CFF"/>
    <w:rsid w:val="6F1247D1"/>
    <w:rsid w:val="6F225FB0"/>
    <w:rsid w:val="6F24189A"/>
    <w:rsid w:val="6F60160C"/>
    <w:rsid w:val="6F7A6F4B"/>
    <w:rsid w:val="6FC919FB"/>
    <w:rsid w:val="6FDE0390"/>
    <w:rsid w:val="70552F84"/>
    <w:rsid w:val="70794DE8"/>
    <w:rsid w:val="708B75DE"/>
    <w:rsid w:val="70A666D1"/>
    <w:rsid w:val="70CB3DA8"/>
    <w:rsid w:val="71056728"/>
    <w:rsid w:val="710E4544"/>
    <w:rsid w:val="711F0322"/>
    <w:rsid w:val="71B74ED4"/>
    <w:rsid w:val="71E9142B"/>
    <w:rsid w:val="72391FAF"/>
    <w:rsid w:val="724C4BC2"/>
    <w:rsid w:val="727A2C14"/>
    <w:rsid w:val="727C5F89"/>
    <w:rsid w:val="72982F2A"/>
    <w:rsid w:val="72E63F44"/>
    <w:rsid w:val="731970B0"/>
    <w:rsid w:val="731A0082"/>
    <w:rsid w:val="73272E42"/>
    <w:rsid w:val="733B5766"/>
    <w:rsid w:val="734072BA"/>
    <w:rsid w:val="736E463C"/>
    <w:rsid w:val="7391277C"/>
    <w:rsid w:val="73961F16"/>
    <w:rsid w:val="73B83D10"/>
    <w:rsid w:val="73C06F26"/>
    <w:rsid w:val="742B0368"/>
    <w:rsid w:val="746953BB"/>
    <w:rsid w:val="74837684"/>
    <w:rsid w:val="7493579C"/>
    <w:rsid w:val="74A64B14"/>
    <w:rsid w:val="74DC7BAE"/>
    <w:rsid w:val="74E7769E"/>
    <w:rsid w:val="74EB0BA7"/>
    <w:rsid w:val="75145BA0"/>
    <w:rsid w:val="75377391"/>
    <w:rsid w:val="75574453"/>
    <w:rsid w:val="757A3D38"/>
    <w:rsid w:val="757F7B10"/>
    <w:rsid w:val="75C0371B"/>
    <w:rsid w:val="75EBC6ED"/>
    <w:rsid w:val="75F434B1"/>
    <w:rsid w:val="75F51727"/>
    <w:rsid w:val="75F54C77"/>
    <w:rsid w:val="760C0AC6"/>
    <w:rsid w:val="76126ADB"/>
    <w:rsid w:val="764010E4"/>
    <w:rsid w:val="768D3874"/>
    <w:rsid w:val="76A648D0"/>
    <w:rsid w:val="76C340C4"/>
    <w:rsid w:val="77132B3E"/>
    <w:rsid w:val="771A030D"/>
    <w:rsid w:val="77610E62"/>
    <w:rsid w:val="78094D2F"/>
    <w:rsid w:val="78224565"/>
    <w:rsid w:val="78413C4B"/>
    <w:rsid w:val="786974CB"/>
    <w:rsid w:val="78C7704D"/>
    <w:rsid w:val="78E71CAD"/>
    <w:rsid w:val="79042372"/>
    <w:rsid w:val="792B4394"/>
    <w:rsid w:val="792C687B"/>
    <w:rsid w:val="793A1749"/>
    <w:rsid w:val="794A497E"/>
    <w:rsid w:val="79D35515"/>
    <w:rsid w:val="79FF0EF4"/>
    <w:rsid w:val="7A1637FF"/>
    <w:rsid w:val="7A264A5A"/>
    <w:rsid w:val="7A2F31D1"/>
    <w:rsid w:val="7A94003D"/>
    <w:rsid w:val="7AD53168"/>
    <w:rsid w:val="7AD712DE"/>
    <w:rsid w:val="7B26649F"/>
    <w:rsid w:val="7B4C7256"/>
    <w:rsid w:val="7B5C4642"/>
    <w:rsid w:val="7B5D60AA"/>
    <w:rsid w:val="7B630B1D"/>
    <w:rsid w:val="7B8D5DD7"/>
    <w:rsid w:val="7BAC2294"/>
    <w:rsid w:val="7BB40320"/>
    <w:rsid w:val="7BCB2FD6"/>
    <w:rsid w:val="7BE618DD"/>
    <w:rsid w:val="7BF06E84"/>
    <w:rsid w:val="7C4727B0"/>
    <w:rsid w:val="7C5776CD"/>
    <w:rsid w:val="7C6D4020"/>
    <w:rsid w:val="7C7179E2"/>
    <w:rsid w:val="7C8272F4"/>
    <w:rsid w:val="7CA82CA9"/>
    <w:rsid w:val="7CF553D8"/>
    <w:rsid w:val="7D1E77A3"/>
    <w:rsid w:val="7D2F734E"/>
    <w:rsid w:val="7D5D2EC5"/>
    <w:rsid w:val="7D787632"/>
    <w:rsid w:val="7E127388"/>
    <w:rsid w:val="7E76459B"/>
    <w:rsid w:val="7E9E696A"/>
    <w:rsid w:val="7EC4769B"/>
    <w:rsid w:val="7F3744AC"/>
    <w:rsid w:val="7F4125E6"/>
    <w:rsid w:val="7F5921DE"/>
    <w:rsid w:val="7F621B5C"/>
    <w:rsid w:val="7F641334"/>
    <w:rsid w:val="7F837DCE"/>
    <w:rsid w:val="7F947EB6"/>
    <w:rsid w:val="7FAD3604"/>
    <w:rsid w:val="7FB9222B"/>
    <w:rsid w:val="7FBDC2A0"/>
    <w:rsid w:val="7FC563C6"/>
    <w:rsid w:val="7FD72BC2"/>
    <w:rsid w:val="7FE12A33"/>
    <w:rsid w:val="7FEADF81"/>
    <w:rsid w:val="7FF9F9CB"/>
    <w:rsid w:val="7FFD8FAC"/>
    <w:rsid w:val="7FFFBDBE"/>
    <w:rsid w:val="9F178552"/>
    <w:rsid w:val="A7C97AED"/>
    <w:rsid w:val="BEFDCB01"/>
    <w:rsid w:val="BF6C9167"/>
    <w:rsid w:val="C72FB000"/>
    <w:rsid w:val="D5F37A67"/>
    <w:rsid w:val="DB7F8456"/>
    <w:rsid w:val="DD4EF65F"/>
    <w:rsid w:val="DFFF7E9A"/>
    <w:rsid w:val="F1EFCAAE"/>
    <w:rsid w:val="F7EE3DCB"/>
    <w:rsid w:val="F7FDEA9B"/>
    <w:rsid w:val="F9CEF8C9"/>
    <w:rsid w:val="FBDFC2CF"/>
    <w:rsid w:val="FBFF9761"/>
    <w:rsid w:val="FEF9BAAF"/>
    <w:rsid w:val="FEFD870A"/>
    <w:rsid w:val="FF6AC95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1"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35" w:semiHidden="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nhideWhenUsed="0" w:uiPriority="0" w:semiHidden="0" w:name="page number"/>
    <w:lsdException w:qFormat="1" w:uiPriority="0" w:name="endnote reference"/>
    <w:lsdException w:qFormat="1" w:unhideWhenUsed="0" w:uiPriority="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99" w:semiHidden="0" w:name="Body Text First Indent"/>
    <w:lsdException w:qFormat="1" w:unhideWhenUsed="0" w:uiPriority="99" w:semiHidden="0" w:name="Body Text First Indent 2"/>
    <w:lsdException w:uiPriority="99" w:name="Note Heading"/>
    <w:lsdException w:qFormat="1" w:uiPriority="99" w:semiHidden="0" w:name="Body Text 2"/>
    <w:lsdException w:qFormat="1" w:uiPriority="99" w:semiHidden="0" w:name="Body Text 3"/>
    <w:lsdException w:qFormat="1" w:uiPriority="99" w:name="Body Text Indent 2"/>
    <w:lsdException w:qFormat="1" w:uiPriority="0" w:semiHidden="0" w:name="Body Text Indent 3"/>
    <w:lsdException w:uiPriority="99" w:name="Block Text"/>
    <w:lsdException w:qFormat="1" w:uiPriority="99" w:semiHidden="0" w:name="Hyperlink"/>
    <w:lsdException w:qFormat="1" w:uiPriority="0" w:semiHidden="0" w:name="FollowedHyperlink"/>
    <w:lsdException w:qFormat="1" w:unhideWhenUsed="0" w:uiPriority="22" w:semiHidden="0" w:name="Strong"/>
    <w:lsdException w:qFormat="1" w:unhideWhenUsed="0" w:uiPriority="99"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ordWrap w:val="0"/>
      <w:topLinePunct/>
      <w:adjustRightInd w:val="0"/>
      <w:snapToGrid w:val="0"/>
      <w:spacing w:afterLines="50" w:line="360" w:lineRule="auto"/>
      <w:ind w:firstLine="480" w:firstLineChars="200"/>
      <w:jc w:val="both"/>
    </w:pPr>
    <w:rPr>
      <w:rFonts w:ascii="宋体" w:hAnsi="宋体" w:eastAsia="宋体" w:cs="Times New Roman"/>
      <w:sz w:val="24"/>
      <w:lang w:val="en-US" w:eastAsia="zh-CN" w:bidi="ar-SA"/>
    </w:rPr>
  </w:style>
  <w:style w:type="paragraph" w:styleId="2">
    <w:name w:val="heading 1"/>
    <w:basedOn w:val="1"/>
    <w:next w:val="1"/>
    <w:link w:val="73"/>
    <w:qFormat/>
    <w:uiPriority w:val="9"/>
    <w:pPr>
      <w:jc w:val="center"/>
      <w:outlineLvl w:val="0"/>
    </w:pPr>
    <w:rPr>
      <w:rFonts w:ascii="Calibri" w:hAnsi="Calibri"/>
      <w:b/>
      <w:kern w:val="44"/>
      <w:sz w:val="30"/>
      <w:szCs w:val="22"/>
    </w:rPr>
  </w:style>
  <w:style w:type="paragraph" w:styleId="3">
    <w:name w:val="heading 2"/>
    <w:basedOn w:val="1"/>
    <w:next w:val="1"/>
    <w:link w:val="74"/>
    <w:qFormat/>
    <w:uiPriority w:val="9"/>
    <w:pPr>
      <w:keepNext/>
      <w:keepLines/>
      <w:spacing w:line="413" w:lineRule="auto"/>
      <w:outlineLvl w:val="1"/>
    </w:pPr>
    <w:rPr>
      <w:rFonts w:ascii="Arial" w:hAnsi="Arial" w:eastAsia="黑体"/>
      <w:b/>
      <w:sz w:val="28"/>
    </w:rPr>
  </w:style>
  <w:style w:type="paragraph" w:styleId="4">
    <w:name w:val="heading 3"/>
    <w:basedOn w:val="1"/>
    <w:next w:val="1"/>
    <w:link w:val="75"/>
    <w:qFormat/>
    <w:uiPriority w:val="9"/>
    <w:pPr>
      <w:keepNext/>
      <w:keepLines/>
      <w:ind w:firstLine="0" w:firstLineChars="0"/>
      <w:jc w:val="left"/>
      <w:outlineLvl w:val="2"/>
    </w:pPr>
    <w:rPr>
      <w:b/>
    </w:rPr>
  </w:style>
  <w:style w:type="paragraph" w:styleId="5">
    <w:name w:val="heading 4"/>
    <w:basedOn w:val="1"/>
    <w:next w:val="1"/>
    <w:link w:val="76"/>
    <w:qFormat/>
    <w:uiPriority w:val="9"/>
    <w:pPr>
      <w:keepNext/>
      <w:keepLines/>
      <w:outlineLvl w:val="3"/>
    </w:pPr>
    <w:rPr>
      <w:rFonts w:ascii="Arial" w:hAnsi="Arial"/>
      <w:kern w:val="2"/>
      <w:sz w:val="28"/>
      <w:szCs w:val="22"/>
    </w:rPr>
  </w:style>
  <w:style w:type="paragraph" w:styleId="6">
    <w:name w:val="heading 5"/>
    <w:basedOn w:val="1"/>
    <w:next w:val="1"/>
    <w:link w:val="77"/>
    <w:qFormat/>
    <w:uiPriority w:val="9"/>
    <w:pPr>
      <w:keepNext/>
      <w:keepLines/>
      <w:spacing w:before="280" w:after="290" w:line="376" w:lineRule="auto"/>
      <w:ind w:left="992" w:hanging="992"/>
      <w:outlineLvl w:val="4"/>
    </w:pPr>
    <w:rPr>
      <w:b/>
      <w:bCs/>
      <w:sz w:val="28"/>
      <w:szCs w:val="28"/>
    </w:rPr>
  </w:style>
  <w:style w:type="paragraph" w:styleId="7">
    <w:name w:val="heading 6"/>
    <w:basedOn w:val="1"/>
    <w:next w:val="1"/>
    <w:link w:val="78"/>
    <w:qFormat/>
    <w:uiPriority w:val="9"/>
    <w:pPr>
      <w:keepNext/>
      <w:keepLines/>
      <w:spacing w:before="240" w:after="64" w:line="320" w:lineRule="auto"/>
      <w:ind w:left="1134" w:hanging="1134"/>
      <w:outlineLvl w:val="5"/>
    </w:pPr>
    <w:rPr>
      <w:rFonts w:ascii="Calibri Light" w:hAnsi="Calibri Light"/>
      <w:b/>
      <w:bCs/>
    </w:rPr>
  </w:style>
  <w:style w:type="paragraph" w:styleId="8">
    <w:name w:val="heading 7"/>
    <w:basedOn w:val="1"/>
    <w:next w:val="1"/>
    <w:link w:val="79"/>
    <w:qFormat/>
    <w:uiPriority w:val="9"/>
    <w:pPr>
      <w:spacing w:line="288" w:lineRule="auto"/>
      <w:outlineLvl w:val="6"/>
    </w:pPr>
    <w:rPr>
      <w:rFonts w:ascii="CG Times" w:hAnsi="CG Times"/>
      <w:sz w:val="22"/>
      <w:lang w:val="en-GB"/>
    </w:rPr>
  </w:style>
  <w:style w:type="paragraph" w:styleId="9">
    <w:name w:val="heading 8"/>
    <w:basedOn w:val="1"/>
    <w:next w:val="1"/>
    <w:link w:val="80"/>
    <w:qFormat/>
    <w:uiPriority w:val="9"/>
    <w:pPr>
      <w:spacing w:line="288" w:lineRule="auto"/>
      <w:outlineLvl w:val="7"/>
    </w:pPr>
    <w:rPr>
      <w:rFonts w:ascii="CG Times" w:hAnsi="CG Times"/>
      <w:sz w:val="22"/>
      <w:lang w:val="en-GB"/>
    </w:rPr>
  </w:style>
  <w:style w:type="paragraph" w:styleId="10">
    <w:name w:val="heading 9"/>
    <w:basedOn w:val="1"/>
    <w:next w:val="1"/>
    <w:link w:val="81"/>
    <w:qFormat/>
    <w:uiPriority w:val="9"/>
    <w:pPr>
      <w:pageBreakBefore/>
      <w:tabs>
        <w:tab w:val="left" w:pos="1800"/>
      </w:tabs>
      <w:suppressAutoHyphens/>
      <w:spacing w:after="300" w:line="336" w:lineRule="auto"/>
      <w:jc w:val="center"/>
      <w:outlineLvl w:val="8"/>
    </w:pPr>
    <w:rPr>
      <w:rFonts w:ascii="CG Times" w:hAnsi="CG Times"/>
      <w:b/>
      <w:smallCaps/>
      <w:sz w:val="21"/>
      <w:lang w:val="en-GB"/>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sz w:val="21"/>
    </w:rPr>
  </w:style>
  <w:style w:type="paragraph" w:styleId="12">
    <w:name w:val="index 8"/>
    <w:basedOn w:val="1"/>
    <w:next w:val="1"/>
    <w:qFormat/>
    <w:uiPriority w:val="0"/>
    <w:pPr>
      <w:widowControl w:val="0"/>
      <w:wordWrap/>
      <w:topLinePunct w:val="0"/>
      <w:adjustRightInd/>
      <w:snapToGrid/>
      <w:spacing w:afterLines="0" w:line="240" w:lineRule="auto"/>
      <w:ind w:left="1680" w:hanging="210" w:firstLineChars="0"/>
      <w:jc w:val="left"/>
    </w:pPr>
    <w:rPr>
      <w:rFonts w:ascii="Calibri" w:hAnsi="Calibri"/>
      <w:kern w:val="2"/>
      <w:sz w:val="20"/>
    </w:rPr>
  </w:style>
  <w:style w:type="paragraph" w:styleId="13">
    <w:name w:val="Normal Indent"/>
    <w:basedOn w:val="1"/>
    <w:qFormat/>
    <w:uiPriority w:val="0"/>
    <w:pPr>
      <w:widowControl w:val="0"/>
      <w:wordWrap/>
      <w:topLinePunct w:val="0"/>
      <w:adjustRightInd/>
      <w:snapToGrid/>
      <w:spacing w:afterLines="0" w:line="240" w:lineRule="auto"/>
      <w:ind w:firstLine="420" w:firstLineChars="0"/>
    </w:pPr>
    <w:rPr>
      <w:rFonts w:ascii="Calibri" w:hAnsi="Calibri"/>
      <w:kern w:val="2"/>
      <w:sz w:val="21"/>
    </w:rPr>
  </w:style>
  <w:style w:type="paragraph" w:styleId="14">
    <w:name w:val="caption"/>
    <w:basedOn w:val="1"/>
    <w:next w:val="1"/>
    <w:qFormat/>
    <w:uiPriority w:val="35"/>
    <w:pPr>
      <w:widowControl w:val="0"/>
      <w:wordWrap/>
      <w:topLinePunct w:val="0"/>
      <w:adjustRightInd/>
      <w:snapToGrid/>
      <w:spacing w:afterLines="0" w:line="240" w:lineRule="auto"/>
      <w:ind w:firstLine="0" w:firstLineChars="0"/>
    </w:pPr>
    <w:rPr>
      <w:rFonts w:ascii="Calibri" w:hAnsi="Calibri"/>
      <w:b/>
      <w:bCs/>
      <w:kern w:val="2"/>
      <w:sz w:val="21"/>
      <w:szCs w:val="24"/>
    </w:rPr>
  </w:style>
  <w:style w:type="paragraph" w:styleId="15">
    <w:name w:val="index 5"/>
    <w:basedOn w:val="1"/>
    <w:next w:val="1"/>
    <w:qFormat/>
    <w:uiPriority w:val="0"/>
    <w:pPr>
      <w:widowControl w:val="0"/>
      <w:wordWrap/>
      <w:topLinePunct w:val="0"/>
      <w:adjustRightInd/>
      <w:snapToGrid/>
      <w:spacing w:afterLines="0" w:line="240" w:lineRule="auto"/>
      <w:ind w:left="1050" w:hanging="210" w:firstLineChars="0"/>
      <w:jc w:val="left"/>
    </w:pPr>
    <w:rPr>
      <w:rFonts w:ascii="Calibri" w:hAnsi="Calibri"/>
      <w:kern w:val="2"/>
      <w:sz w:val="20"/>
    </w:rPr>
  </w:style>
  <w:style w:type="paragraph" w:styleId="16">
    <w:name w:val="Document Map"/>
    <w:basedOn w:val="1"/>
    <w:link w:val="82"/>
    <w:unhideWhenUsed/>
    <w:qFormat/>
    <w:uiPriority w:val="99"/>
  </w:style>
  <w:style w:type="paragraph" w:styleId="17">
    <w:name w:val="annotation text"/>
    <w:basedOn w:val="1"/>
    <w:link w:val="83"/>
    <w:unhideWhenUsed/>
    <w:qFormat/>
    <w:uiPriority w:val="99"/>
    <w:pPr>
      <w:jc w:val="left"/>
    </w:pPr>
  </w:style>
  <w:style w:type="paragraph" w:styleId="18">
    <w:name w:val="index 6"/>
    <w:basedOn w:val="1"/>
    <w:next w:val="1"/>
    <w:qFormat/>
    <w:uiPriority w:val="0"/>
    <w:pPr>
      <w:widowControl w:val="0"/>
      <w:wordWrap/>
      <w:topLinePunct w:val="0"/>
      <w:adjustRightInd/>
      <w:snapToGrid/>
      <w:spacing w:afterLines="0" w:line="240" w:lineRule="auto"/>
      <w:ind w:left="1260" w:hanging="210" w:firstLineChars="0"/>
      <w:jc w:val="left"/>
    </w:pPr>
    <w:rPr>
      <w:rFonts w:ascii="Calibri" w:hAnsi="Calibri"/>
      <w:kern w:val="2"/>
      <w:sz w:val="20"/>
    </w:rPr>
  </w:style>
  <w:style w:type="paragraph" w:styleId="19">
    <w:name w:val="Body Text 3"/>
    <w:basedOn w:val="1"/>
    <w:link w:val="84"/>
    <w:unhideWhenUsed/>
    <w:qFormat/>
    <w:uiPriority w:val="99"/>
    <w:rPr>
      <w:sz w:val="16"/>
      <w:szCs w:val="16"/>
    </w:rPr>
  </w:style>
  <w:style w:type="paragraph" w:styleId="20">
    <w:name w:val="Body Text"/>
    <w:basedOn w:val="1"/>
    <w:link w:val="85"/>
    <w:unhideWhenUsed/>
    <w:qFormat/>
    <w:uiPriority w:val="1"/>
  </w:style>
  <w:style w:type="paragraph" w:styleId="21">
    <w:name w:val="Body Text Indent"/>
    <w:basedOn w:val="1"/>
    <w:link w:val="86"/>
    <w:qFormat/>
    <w:uiPriority w:val="0"/>
    <w:pPr>
      <w:ind w:left="420" w:leftChars="200"/>
    </w:pPr>
    <w:rPr>
      <w:rFonts w:ascii="Calibri" w:hAnsi="Calibri"/>
      <w:kern w:val="2"/>
      <w:szCs w:val="24"/>
    </w:rPr>
  </w:style>
  <w:style w:type="paragraph" w:styleId="22">
    <w:name w:val="HTML Address"/>
    <w:basedOn w:val="1"/>
    <w:link w:val="169"/>
    <w:qFormat/>
    <w:uiPriority w:val="0"/>
    <w:pPr>
      <w:widowControl w:val="0"/>
      <w:wordWrap/>
      <w:topLinePunct w:val="0"/>
      <w:adjustRightInd/>
      <w:snapToGrid/>
      <w:spacing w:afterLines="0" w:line="240" w:lineRule="auto"/>
      <w:ind w:firstLine="0" w:firstLineChars="0"/>
    </w:pPr>
    <w:rPr>
      <w:rFonts w:ascii="Calibri" w:hAnsi="Calibri"/>
      <w:i/>
      <w:iCs/>
      <w:kern w:val="2"/>
      <w:sz w:val="21"/>
    </w:rPr>
  </w:style>
  <w:style w:type="paragraph" w:styleId="23">
    <w:name w:val="index 4"/>
    <w:basedOn w:val="1"/>
    <w:next w:val="1"/>
    <w:qFormat/>
    <w:uiPriority w:val="0"/>
    <w:pPr>
      <w:widowControl w:val="0"/>
      <w:wordWrap/>
      <w:topLinePunct w:val="0"/>
      <w:adjustRightInd/>
      <w:snapToGrid/>
      <w:spacing w:afterLines="0" w:line="240" w:lineRule="auto"/>
      <w:ind w:left="840" w:hanging="210" w:firstLineChars="0"/>
      <w:jc w:val="left"/>
    </w:pPr>
    <w:rPr>
      <w:rFonts w:ascii="Calibri" w:hAnsi="Calibri"/>
      <w:kern w:val="2"/>
      <w:sz w:val="20"/>
    </w:rPr>
  </w:style>
  <w:style w:type="paragraph" w:styleId="24">
    <w:name w:val="toc 5"/>
    <w:basedOn w:val="1"/>
    <w:next w:val="1"/>
    <w:unhideWhenUsed/>
    <w:qFormat/>
    <w:uiPriority w:val="39"/>
    <w:pPr>
      <w:ind w:left="1680" w:leftChars="800"/>
    </w:pPr>
    <w:rPr>
      <w:sz w:val="21"/>
    </w:rPr>
  </w:style>
  <w:style w:type="paragraph" w:styleId="25">
    <w:name w:val="toc 3"/>
    <w:basedOn w:val="1"/>
    <w:next w:val="1"/>
    <w:unhideWhenUsed/>
    <w:qFormat/>
    <w:uiPriority w:val="1"/>
    <w:pPr>
      <w:ind w:left="840" w:leftChars="400"/>
    </w:pPr>
  </w:style>
  <w:style w:type="paragraph" w:styleId="26">
    <w:name w:val="Plain Text"/>
    <w:basedOn w:val="1"/>
    <w:next w:val="1"/>
    <w:link w:val="72"/>
    <w:qFormat/>
    <w:uiPriority w:val="99"/>
    <w:rPr>
      <w:rFonts w:cs="宋体"/>
      <w:kern w:val="2"/>
      <w:szCs w:val="24"/>
    </w:rPr>
  </w:style>
  <w:style w:type="paragraph" w:styleId="27">
    <w:name w:val="toc 8"/>
    <w:basedOn w:val="1"/>
    <w:next w:val="1"/>
    <w:unhideWhenUsed/>
    <w:qFormat/>
    <w:uiPriority w:val="39"/>
    <w:pPr>
      <w:ind w:left="2940" w:leftChars="1400"/>
    </w:pPr>
    <w:rPr>
      <w:sz w:val="21"/>
    </w:rPr>
  </w:style>
  <w:style w:type="paragraph" w:styleId="28">
    <w:name w:val="index 3"/>
    <w:basedOn w:val="1"/>
    <w:next w:val="1"/>
    <w:qFormat/>
    <w:uiPriority w:val="0"/>
    <w:pPr>
      <w:widowControl w:val="0"/>
      <w:wordWrap/>
      <w:topLinePunct w:val="0"/>
      <w:adjustRightInd/>
      <w:snapToGrid/>
      <w:spacing w:afterLines="0" w:line="240" w:lineRule="auto"/>
      <w:ind w:left="630" w:hanging="210" w:firstLineChars="0"/>
      <w:jc w:val="left"/>
    </w:pPr>
    <w:rPr>
      <w:rFonts w:ascii="Calibri" w:hAnsi="Calibri"/>
      <w:kern w:val="2"/>
      <w:sz w:val="20"/>
    </w:rPr>
  </w:style>
  <w:style w:type="paragraph" w:styleId="29">
    <w:name w:val="Date"/>
    <w:basedOn w:val="1"/>
    <w:next w:val="1"/>
    <w:link w:val="87"/>
    <w:unhideWhenUsed/>
    <w:qFormat/>
    <w:uiPriority w:val="99"/>
    <w:pPr>
      <w:ind w:left="100" w:leftChars="2500"/>
    </w:pPr>
  </w:style>
  <w:style w:type="paragraph" w:styleId="30">
    <w:name w:val="Body Text Indent 2"/>
    <w:basedOn w:val="1"/>
    <w:link w:val="88"/>
    <w:semiHidden/>
    <w:unhideWhenUsed/>
    <w:qFormat/>
    <w:uiPriority w:val="99"/>
    <w:pPr>
      <w:widowControl w:val="0"/>
      <w:wordWrap/>
      <w:topLinePunct w:val="0"/>
      <w:adjustRightInd/>
      <w:snapToGrid/>
      <w:spacing w:afterLines="0" w:line="480" w:lineRule="auto"/>
      <w:ind w:left="420" w:leftChars="200" w:firstLine="0" w:firstLineChars="0"/>
    </w:pPr>
    <w:rPr>
      <w:rFonts w:asciiTheme="minorHAnsi" w:hAnsiTheme="minorHAnsi" w:eastAsiaTheme="minorEastAsia" w:cstheme="minorBidi"/>
      <w:kern w:val="2"/>
      <w:sz w:val="21"/>
      <w:szCs w:val="22"/>
    </w:rPr>
  </w:style>
  <w:style w:type="paragraph" w:styleId="31">
    <w:name w:val="endnote text"/>
    <w:basedOn w:val="1"/>
    <w:link w:val="170"/>
    <w:semiHidden/>
    <w:qFormat/>
    <w:uiPriority w:val="0"/>
    <w:pPr>
      <w:widowControl w:val="0"/>
      <w:wordWrap/>
      <w:topLinePunct w:val="0"/>
      <w:adjustRightInd/>
      <w:spacing w:afterLines="0" w:line="240" w:lineRule="auto"/>
      <w:ind w:firstLine="0" w:firstLineChars="0"/>
      <w:jc w:val="left"/>
    </w:pPr>
    <w:rPr>
      <w:rFonts w:ascii="Times New Roman" w:hAnsi="Times New Roman"/>
      <w:kern w:val="2"/>
      <w:sz w:val="21"/>
      <w:szCs w:val="24"/>
    </w:rPr>
  </w:style>
  <w:style w:type="paragraph" w:styleId="32">
    <w:name w:val="Balloon Text"/>
    <w:basedOn w:val="1"/>
    <w:link w:val="89"/>
    <w:unhideWhenUsed/>
    <w:qFormat/>
    <w:uiPriority w:val="99"/>
    <w:rPr>
      <w:sz w:val="18"/>
      <w:szCs w:val="18"/>
    </w:rPr>
  </w:style>
  <w:style w:type="paragraph" w:styleId="33">
    <w:name w:val="footer"/>
    <w:basedOn w:val="1"/>
    <w:link w:val="90"/>
    <w:unhideWhenUsed/>
    <w:qFormat/>
    <w:uiPriority w:val="99"/>
    <w:pPr>
      <w:tabs>
        <w:tab w:val="center" w:pos="4153"/>
        <w:tab w:val="right" w:pos="8306"/>
      </w:tabs>
      <w:jc w:val="center"/>
    </w:pPr>
    <w:rPr>
      <w:kern w:val="2"/>
      <w:sz w:val="18"/>
      <w:szCs w:val="18"/>
    </w:rPr>
  </w:style>
  <w:style w:type="paragraph" w:styleId="34">
    <w:name w:val="header"/>
    <w:basedOn w:val="1"/>
    <w:link w:val="91"/>
    <w:unhideWhenUsed/>
    <w:qFormat/>
    <w:uiPriority w:val="99"/>
    <w:pPr>
      <w:tabs>
        <w:tab w:val="center" w:pos="4153"/>
        <w:tab w:val="right" w:pos="8306"/>
      </w:tabs>
      <w:ind w:firstLine="360"/>
      <w:jc w:val="center"/>
    </w:pPr>
    <w:rPr>
      <w:sz w:val="18"/>
      <w:szCs w:val="18"/>
    </w:rPr>
  </w:style>
  <w:style w:type="paragraph" w:styleId="35">
    <w:name w:val="toc 1"/>
    <w:basedOn w:val="1"/>
    <w:next w:val="1"/>
    <w:unhideWhenUsed/>
    <w:qFormat/>
    <w:uiPriority w:val="39"/>
  </w:style>
  <w:style w:type="paragraph" w:styleId="36">
    <w:name w:val="toc 4"/>
    <w:basedOn w:val="1"/>
    <w:next w:val="1"/>
    <w:unhideWhenUsed/>
    <w:qFormat/>
    <w:uiPriority w:val="39"/>
    <w:pPr>
      <w:ind w:left="1260" w:leftChars="600"/>
    </w:pPr>
    <w:rPr>
      <w:sz w:val="21"/>
    </w:rPr>
  </w:style>
  <w:style w:type="paragraph" w:styleId="37">
    <w:name w:val="index heading"/>
    <w:basedOn w:val="1"/>
    <w:next w:val="38"/>
    <w:qFormat/>
    <w:uiPriority w:val="0"/>
    <w:pPr>
      <w:widowControl w:val="0"/>
      <w:wordWrap/>
      <w:topLinePunct w:val="0"/>
      <w:adjustRightInd/>
      <w:snapToGrid/>
      <w:spacing w:afterLines="0" w:line="240" w:lineRule="auto"/>
      <w:ind w:firstLine="0" w:firstLineChars="0"/>
      <w:jc w:val="center"/>
    </w:pPr>
    <w:rPr>
      <w:rFonts w:ascii="Calibri" w:hAnsi="Calibri"/>
      <w:b/>
      <w:bCs/>
      <w:iCs/>
      <w:kern w:val="2"/>
      <w:sz w:val="21"/>
    </w:rPr>
  </w:style>
  <w:style w:type="paragraph" w:styleId="38">
    <w:name w:val="index 1"/>
    <w:basedOn w:val="1"/>
    <w:next w:val="1"/>
    <w:qFormat/>
    <w:uiPriority w:val="0"/>
    <w:pPr>
      <w:widowControl w:val="0"/>
      <w:wordWrap/>
      <w:topLinePunct w:val="0"/>
      <w:adjustRightInd/>
      <w:snapToGrid/>
      <w:spacing w:afterLines="0" w:line="240" w:lineRule="auto"/>
      <w:ind w:firstLine="0" w:firstLineChars="0"/>
      <w:jc w:val="center"/>
    </w:pPr>
    <w:rPr>
      <w:rFonts w:cs="宋体"/>
      <w:kern w:val="1"/>
      <w:sz w:val="21"/>
      <w:szCs w:val="21"/>
      <w:lang w:val="en-GB"/>
    </w:rPr>
  </w:style>
  <w:style w:type="paragraph" w:styleId="39">
    <w:name w:val="Subtitle"/>
    <w:next w:val="1"/>
    <w:link w:val="92"/>
    <w:qFormat/>
    <w:uiPriority w:val="0"/>
    <w:pPr>
      <w:adjustRightInd w:val="0"/>
      <w:snapToGrid w:val="0"/>
      <w:ind w:left="708" w:leftChars="295"/>
      <w:outlineLvl w:val="1"/>
    </w:pPr>
    <w:rPr>
      <w:rFonts w:ascii="宋体" w:hAnsi="宋体" w:eastAsia="宋体" w:cs="Times New Roman"/>
      <w:b/>
      <w:bCs/>
      <w:kern w:val="28"/>
      <w:sz w:val="24"/>
      <w:szCs w:val="32"/>
      <w:lang w:val="en-US" w:eastAsia="zh-CN" w:bidi="ar-SA"/>
    </w:rPr>
  </w:style>
  <w:style w:type="paragraph" w:styleId="40">
    <w:name w:val="footnote text"/>
    <w:basedOn w:val="1"/>
    <w:link w:val="171"/>
    <w:unhideWhenUsed/>
    <w:qFormat/>
    <w:uiPriority w:val="0"/>
    <w:pPr>
      <w:widowControl w:val="0"/>
      <w:wordWrap/>
      <w:topLinePunct w:val="0"/>
      <w:adjustRightInd/>
      <w:spacing w:beforeLines="50"/>
      <w:ind w:firstLine="0" w:firstLineChars="0"/>
      <w:jc w:val="left"/>
    </w:pPr>
    <w:rPr>
      <w:rFonts w:ascii="Times New Roman" w:hAnsi="Times New Roman"/>
      <w:kern w:val="2"/>
      <w:sz w:val="18"/>
      <w:szCs w:val="18"/>
    </w:rPr>
  </w:style>
  <w:style w:type="paragraph" w:styleId="41">
    <w:name w:val="toc 6"/>
    <w:basedOn w:val="1"/>
    <w:next w:val="1"/>
    <w:unhideWhenUsed/>
    <w:qFormat/>
    <w:uiPriority w:val="39"/>
    <w:pPr>
      <w:ind w:left="2100" w:leftChars="1000"/>
    </w:pPr>
    <w:rPr>
      <w:sz w:val="21"/>
    </w:rPr>
  </w:style>
  <w:style w:type="paragraph" w:styleId="42">
    <w:name w:val="Body Text Indent 3"/>
    <w:basedOn w:val="1"/>
    <w:link w:val="93"/>
    <w:unhideWhenUsed/>
    <w:qFormat/>
    <w:uiPriority w:val="0"/>
    <w:pPr>
      <w:widowControl w:val="0"/>
      <w:wordWrap/>
      <w:topLinePunct w:val="0"/>
      <w:adjustRightInd/>
      <w:snapToGrid/>
      <w:spacing w:afterLines="0" w:line="240" w:lineRule="auto"/>
      <w:ind w:left="420" w:leftChars="200" w:firstLine="0" w:firstLineChars="0"/>
    </w:pPr>
    <w:rPr>
      <w:rFonts w:asciiTheme="minorHAnsi" w:hAnsiTheme="minorHAnsi" w:eastAsiaTheme="minorEastAsia" w:cstheme="minorBidi"/>
      <w:kern w:val="2"/>
      <w:sz w:val="16"/>
      <w:szCs w:val="16"/>
    </w:rPr>
  </w:style>
  <w:style w:type="paragraph" w:styleId="43">
    <w:name w:val="index 7"/>
    <w:basedOn w:val="1"/>
    <w:next w:val="1"/>
    <w:qFormat/>
    <w:uiPriority w:val="0"/>
    <w:pPr>
      <w:widowControl w:val="0"/>
      <w:wordWrap/>
      <w:topLinePunct w:val="0"/>
      <w:adjustRightInd/>
      <w:snapToGrid/>
      <w:spacing w:afterLines="0" w:line="240" w:lineRule="auto"/>
      <w:ind w:left="1470" w:hanging="210" w:firstLineChars="0"/>
      <w:jc w:val="left"/>
    </w:pPr>
    <w:rPr>
      <w:rFonts w:ascii="Calibri" w:hAnsi="Calibri"/>
      <w:kern w:val="2"/>
      <w:sz w:val="20"/>
    </w:rPr>
  </w:style>
  <w:style w:type="paragraph" w:styleId="44">
    <w:name w:val="index 9"/>
    <w:basedOn w:val="1"/>
    <w:next w:val="1"/>
    <w:qFormat/>
    <w:uiPriority w:val="0"/>
    <w:pPr>
      <w:widowControl w:val="0"/>
      <w:wordWrap/>
      <w:topLinePunct w:val="0"/>
      <w:adjustRightInd/>
      <w:snapToGrid/>
      <w:spacing w:afterLines="0" w:line="240" w:lineRule="auto"/>
      <w:ind w:left="1890" w:hanging="210" w:firstLineChars="0"/>
      <w:jc w:val="left"/>
    </w:pPr>
    <w:rPr>
      <w:rFonts w:ascii="Calibri" w:hAnsi="Calibri"/>
      <w:kern w:val="2"/>
      <w:sz w:val="20"/>
    </w:rPr>
  </w:style>
  <w:style w:type="paragraph" w:styleId="45">
    <w:name w:val="toc 2"/>
    <w:basedOn w:val="1"/>
    <w:next w:val="1"/>
    <w:unhideWhenUsed/>
    <w:qFormat/>
    <w:uiPriority w:val="39"/>
    <w:pPr>
      <w:ind w:left="420" w:leftChars="200"/>
    </w:pPr>
  </w:style>
  <w:style w:type="paragraph" w:styleId="46">
    <w:name w:val="toc 9"/>
    <w:basedOn w:val="1"/>
    <w:next w:val="1"/>
    <w:unhideWhenUsed/>
    <w:qFormat/>
    <w:uiPriority w:val="39"/>
    <w:pPr>
      <w:ind w:left="3360" w:leftChars="1600"/>
    </w:pPr>
    <w:rPr>
      <w:sz w:val="21"/>
    </w:rPr>
  </w:style>
  <w:style w:type="paragraph" w:styleId="47">
    <w:name w:val="Body Text 2"/>
    <w:basedOn w:val="1"/>
    <w:link w:val="94"/>
    <w:unhideWhenUsed/>
    <w:qFormat/>
    <w:uiPriority w:val="99"/>
    <w:pPr>
      <w:spacing w:line="480" w:lineRule="auto"/>
    </w:pPr>
  </w:style>
  <w:style w:type="paragraph" w:styleId="48">
    <w:name w:val="HTML Preformatted"/>
    <w:basedOn w:val="1"/>
    <w:link w:val="95"/>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Lines="0" w:line="240" w:lineRule="auto"/>
      <w:ind w:firstLine="0" w:firstLineChars="0"/>
      <w:jc w:val="left"/>
    </w:pPr>
    <w:rPr>
      <w:rFonts w:cs="宋体"/>
    </w:rPr>
  </w:style>
  <w:style w:type="paragraph" w:styleId="49">
    <w:name w:val="Normal (Web)"/>
    <w:basedOn w:val="1"/>
    <w:unhideWhenUsed/>
    <w:qFormat/>
    <w:uiPriority w:val="99"/>
    <w:pPr>
      <w:adjustRightInd/>
      <w:snapToGrid/>
      <w:spacing w:before="100" w:beforeAutospacing="1" w:afterLines="0" w:afterAutospacing="1" w:line="240" w:lineRule="auto"/>
      <w:ind w:firstLine="0" w:firstLineChars="0"/>
      <w:jc w:val="left"/>
    </w:pPr>
    <w:rPr>
      <w:rFonts w:cs="宋体"/>
    </w:rPr>
  </w:style>
  <w:style w:type="paragraph" w:styleId="50">
    <w:name w:val="index 2"/>
    <w:basedOn w:val="1"/>
    <w:next w:val="1"/>
    <w:qFormat/>
    <w:uiPriority w:val="0"/>
    <w:pPr>
      <w:widowControl w:val="0"/>
      <w:wordWrap/>
      <w:topLinePunct w:val="0"/>
      <w:adjustRightInd/>
      <w:snapToGrid/>
      <w:spacing w:afterLines="0" w:line="240" w:lineRule="auto"/>
      <w:ind w:left="420" w:hanging="210" w:firstLineChars="0"/>
      <w:jc w:val="left"/>
    </w:pPr>
    <w:rPr>
      <w:rFonts w:ascii="Calibri" w:hAnsi="Calibri"/>
      <w:kern w:val="2"/>
      <w:sz w:val="20"/>
    </w:rPr>
  </w:style>
  <w:style w:type="paragraph" w:styleId="51">
    <w:name w:val="Title"/>
    <w:basedOn w:val="1"/>
    <w:next w:val="1"/>
    <w:link w:val="172"/>
    <w:qFormat/>
    <w:uiPriority w:val="0"/>
    <w:pPr>
      <w:widowControl w:val="0"/>
      <w:wordWrap/>
      <w:topLinePunct w:val="0"/>
      <w:adjustRightInd/>
      <w:snapToGrid/>
      <w:spacing w:afterLines="0"/>
      <w:ind w:firstLine="0" w:firstLineChars="0"/>
      <w:jc w:val="center"/>
      <w:outlineLvl w:val="0"/>
    </w:pPr>
    <w:rPr>
      <w:rFonts w:ascii="Cambria" w:hAnsi="Cambria"/>
      <w:b/>
      <w:bCs/>
      <w:kern w:val="2"/>
      <w:sz w:val="32"/>
      <w:szCs w:val="32"/>
    </w:rPr>
  </w:style>
  <w:style w:type="paragraph" w:styleId="52">
    <w:name w:val="annotation subject"/>
    <w:basedOn w:val="17"/>
    <w:next w:val="17"/>
    <w:link w:val="96"/>
    <w:unhideWhenUsed/>
    <w:qFormat/>
    <w:uiPriority w:val="99"/>
    <w:rPr>
      <w:b/>
      <w:bCs/>
    </w:rPr>
  </w:style>
  <w:style w:type="paragraph" w:styleId="53">
    <w:name w:val="Body Text First Indent"/>
    <w:basedOn w:val="20"/>
    <w:unhideWhenUsed/>
    <w:qFormat/>
    <w:uiPriority w:val="99"/>
    <w:pPr>
      <w:spacing w:after="60" w:line="312" w:lineRule="auto"/>
      <w:ind w:left="72" w:leftChars="30" w:right="30" w:rightChars="30" w:firstLine="420"/>
      <w:jc w:val="center"/>
      <w:textAlignment w:val="baseline"/>
    </w:pPr>
    <w:rPr>
      <w:sz w:val="20"/>
    </w:rPr>
  </w:style>
  <w:style w:type="paragraph" w:styleId="54">
    <w:name w:val="Body Text First Indent 2"/>
    <w:basedOn w:val="21"/>
    <w:qFormat/>
    <w:uiPriority w:val="99"/>
    <w:pPr>
      <w:ind w:firstLine="420"/>
      <w:jc w:val="left"/>
      <w:textAlignment w:val="baseline"/>
    </w:pPr>
    <w:rPr>
      <w:rFonts w:ascii="MingLiU" w:eastAsia="MingLiU"/>
      <w:lang w:eastAsia="zh-TW"/>
    </w:rPr>
  </w:style>
  <w:style w:type="table" w:styleId="56">
    <w:name w:val="Table Grid"/>
    <w:basedOn w:val="5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22"/>
    <w:rPr>
      <w:b/>
      <w:bCs/>
    </w:rPr>
  </w:style>
  <w:style w:type="character" w:styleId="59">
    <w:name w:val="page number"/>
    <w:qFormat/>
    <w:uiPriority w:val="0"/>
    <w:rPr>
      <w:rFonts w:ascii="Times New Roman" w:hAnsi="Times New Roman" w:eastAsia="宋体"/>
      <w:sz w:val="18"/>
    </w:rPr>
  </w:style>
  <w:style w:type="character" w:styleId="60">
    <w:name w:val="FollowedHyperlink"/>
    <w:unhideWhenUsed/>
    <w:qFormat/>
    <w:uiPriority w:val="0"/>
    <w:rPr>
      <w:color w:val="954F72"/>
      <w:u w:val="single"/>
    </w:rPr>
  </w:style>
  <w:style w:type="character" w:styleId="61">
    <w:name w:val="Emphasis"/>
    <w:qFormat/>
    <w:uiPriority w:val="99"/>
    <w:rPr>
      <w:rFonts w:eastAsia="宋体"/>
      <w:iCs/>
      <w:sz w:val="21"/>
    </w:rPr>
  </w:style>
  <w:style w:type="character" w:styleId="62">
    <w:name w:val="HTML Definition"/>
    <w:qFormat/>
    <w:uiPriority w:val="0"/>
    <w:rPr>
      <w:i/>
      <w:iCs/>
    </w:rPr>
  </w:style>
  <w:style w:type="character" w:styleId="63">
    <w:name w:val="HTML Typewriter"/>
    <w:qFormat/>
    <w:uiPriority w:val="0"/>
    <w:rPr>
      <w:rFonts w:ascii="Courier New" w:hAnsi="Courier New"/>
      <w:sz w:val="20"/>
      <w:szCs w:val="20"/>
    </w:rPr>
  </w:style>
  <w:style w:type="character" w:styleId="64">
    <w:name w:val="HTML Acronym"/>
    <w:qFormat/>
    <w:uiPriority w:val="0"/>
  </w:style>
  <w:style w:type="character" w:styleId="65">
    <w:name w:val="HTML Variable"/>
    <w:qFormat/>
    <w:uiPriority w:val="0"/>
    <w:rPr>
      <w:i/>
      <w:iCs/>
    </w:rPr>
  </w:style>
  <w:style w:type="character" w:styleId="66">
    <w:name w:val="Hyperlink"/>
    <w:unhideWhenUsed/>
    <w:qFormat/>
    <w:uiPriority w:val="99"/>
    <w:rPr>
      <w:color w:val="0563C1"/>
      <w:u w:val="single"/>
    </w:rPr>
  </w:style>
  <w:style w:type="character" w:styleId="67">
    <w:name w:val="HTML Code"/>
    <w:qFormat/>
    <w:uiPriority w:val="0"/>
    <w:rPr>
      <w:rFonts w:ascii="Courier New" w:hAnsi="Courier New"/>
      <w:sz w:val="20"/>
      <w:szCs w:val="20"/>
    </w:rPr>
  </w:style>
  <w:style w:type="character" w:styleId="68">
    <w:name w:val="annotation reference"/>
    <w:unhideWhenUsed/>
    <w:qFormat/>
    <w:uiPriority w:val="99"/>
    <w:rPr>
      <w:sz w:val="21"/>
      <w:szCs w:val="21"/>
    </w:rPr>
  </w:style>
  <w:style w:type="character" w:styleId="69">
    <w:name w:val="HTML Cite"/>
    <w:qFormat/>
    <w:uiPriority w:val="0"/>
    <w:rPr>
      <w:i/>
      <w:iCs/>
    </w:rPr>
  </w:style>
  <w:style w:type="character" w:styleId="70">
    <w:name w:val="HTML Keyboard"/>
    <w:qFormat/>
    <w:uiPriority w:val="0"/>
    <w:rPr>
      <w:rFonts w:ascii="Courier New" w:hAnsi="Courier New"/>
      <w:sz w:val="20"/>
      <w:szCs w:val="20"/>
    </w:rPr>
  </w:style>
  <w:style w:type="character" w:styleId="71">
    <w:name w:val="HTML Sample"/>
    <w:qFormat/>
    <w:uiPriority w:val="0"/>
    <w:rPr>
      <w:rFonts w:ascii="Courier New" w:hAnsi="Courier New"/>
    </w:rPr>
  </w:style>
  <w:style w:type="character" w:customStyle="1" w:styleId="72">
    <w:name w:val="纯文本 Char"/>
    <w:link w:val="26"/>
    <w:qFormat/>
    <w:uiPriority w:val="99"/>
    <w:rPr>
      <w:rFonts w:ascii="宋体" w:hAnsi="宋体" w:eastAsia="宋体" w:cs="宋体"/>
      <w:kern w:val="2"/>
      <w:sz w:val="24"/>
      <w:szCs w:val="24"/>
    </w:rPr>
  </w:style>
  <w:style w:type="character" w:customStyle="1" w:styleId="73">
    <w:name w:val="标题 1 Char"/>
    <w:link w:val="2"/>
    <w:qFormat/>
    <w:uiPriority w:val="9"/>
    <w:rPr>
      <w:rFonts w:eastAsia="宋体" w:cs="Times New Roman"/>
      <w:b/>
      <w:kern w:val="44"/>
      <w:sz w:val="30"/>
      <w:szCs w:val="22"/>
    </w:rPr>
  </w:style>
  <w:style w:type="character" w:customStyle="1" w:styleId="74">
    <w:name w:val="标题 2 Char"/>
    <w:basedOn w:val="57"/>
    <w:link w:val="3"/>
    <w:qFormat/>
    <w:uiPriority w:val="9"/>
    <w:rPr>
      <w:rFonts w:ascii="Arial" w:hAnsi="Arial" w:eastAsia="黑体"/>
      <w:b/>
      <w:sz w:val="28"/>
    </w:rPr>
  </w:style>
  <w:style w:type="character" w:customStyle="1" w:styleId="75">
    <w:name w:val="标题 3 Char"/>
    <w:link w:val="4"/>
    <w:qFormat/>
    <w:uiPriority w:val="9"/>
    <w:rPr>
      <w:rFonts w:ascii="宋体" w:hAnsi="Calibri" w:cs="Times New Roman"/>
      <w:b/>
      <w:kern w:val="2"/>
      <w:sz w:val="24"/>
      <w:szCs w:val="22"/>
    </w:rPr>
  </w:style>
  <w:style w:type="character" w:customStyle="1" w:styleId="76">
    <w:name w:val="标题 4 Char"/>
    <w:link w:val="5"/>
    <w:qFormat/>
    <w:uiPriority w:val="9"/>
    <w:rPr>
      <w:rFonts w:ascii="Arial" w:hAnsi="Arial"/>
      <w:kern w:val="2"/>
      <w:sz w:val="28"/>
      <w:szCs w:val="22"/>
    </w:rPr>
  </w:style>
  <w:style w:type="character" w:customStyle="1" w:styleId="77">
    <w:name w:val="标题 5 Char"/>
    <w:link w:val="6"/>
    <w:qFormat/>
    <w:uiPriority w:val="9"/>
    <w:rPr>
      <w:b/>
      <w:bCs/>
      <w:kern w:val="2"/>
      <w:sz w:val="28"/>
      <w:szCs w:val="28"/>
    </w:rPr>
  </w:style>
  <w:style w:type="character" w:customStyle="1" w:styleId="78">
    <w:name w:val="标题 6 Char"/>
    <w:link w:val="7"/>
    <w:qFormat/>
    <w:uiPriority w:val="9"/>
    <w:rPr>
      <w:rFonts w:ascii="Calibri Light" w:hAnsi="Calibri Light" w:eastAsia="宋体" w:cs="Times New Roman"/>
      <w:b/>
      <w:bCs/>
      <w:kern w:val="2"/>
      <w:sz w:val="24"/>
      <w:szCs w:val="24"/>
    </w:rPr>
  </w:style>
  <w:style w:type="character" w:customStyle="1" w:styleId="79">
    <w:name w:val="标题 7 Char"/>
    <w:link w:val="8"/>
    <w:qFormat/>
    <w:uiPriority w:val="9"/>
    <w:rPr>
      <w:rFonts w:ascii="CG Times" w:hAnsi="CG Times"/>
      <w:sz w:val="22"/>
      <w:lang w:val="en-GB"/>
    </w:rPr>
  </w:style>
  <w:style w:type="character" w:customStyle="1" w:styleId="80">
    <w:name w:val="标题 8 Char"/>
    <w:link w:val="9"/>
    <w:qFormat/>
    <w:uiPriority w:val="9"/>
    <w:rPr>
      <w:rFonts w:ascii="CG Times" w:hAnsi="CG Times"/>
      <w:sz w:val="22"/>
      <w:lang w:val="en-GB"/>
    </w:rPr>
  </w:style>
  <w:style w:type="character" w:customStyle="1" w:styleId="81">
    <w:name w:val="标题 9 Char"/>
    <w:link w:val="10"/>
    <w:qFormat/>
    <w:uiPriority w:val="9"/>
    <w:rPr>
      <w:rFonts w:ascii="CG Times" w:hAnsi="CG Times"/>
      <w:b/>
      <w:smallCaps/>
      <w:sz w:val="21"/>
      <w:lang w:val="en-GB"/>
    </w:rPr>
  </w:style>
  <w:style w:type="character" w:customStyle="1" w:styleId="82">
    <w:name w:val="文档结构图 Char"/>
    <w:link w:val="16"/>
    <w:semiHidden/>
    <w:qFormat/>
    <w:uiPriority w:val="99"/>
    <w:rPr>
      <w:rFonts w:ascii="宋体" w:hAnsi="Calibri" w:cs="Times New Roman"/>
      <w:kern w:val="2"/>
      <w:sz w:val="24"/>
      <w:szCs w:val="24"/>
    </w:rPr>
  </w:style>
  <w:style w:type="character" w:customStyle="1" w:styleId="83">
    <w:name w:val="批注文字 Char"/>
    <w:link w:val="17"/>
    <w:qFormat/>
    <w:uiPriority w:val="99"/>
    <w:rPr>
      <w:rFonts w:ascii="Calibri" w:hAnsi="Calibri" w:eastAsia="宋体" w:cs="Times New Roman"/>
      <w:kern w:val="2"/>
      <w:sz w:val="24"/>
      <w:szCs w:val="22"/>
    </w:rPr>
  </w:style>
  <w:style w:type="character" w:customStyle="1" w:styleId="84">
    <w:name w:val="正文文本 3 Char"/>
    <w:link w:val="19"/>
    <w:semiHidden/>
    <w:qFormat/>
    <w:uiPriority w:val="99"/>
    <w:rPr>
      <w:rFonts w:ascii="Calibri" w:hAnsi="Calibri" w:eastAsia="宋体" w:cs="Times New Roman"/>
      <w:kern w:val="2"/>
      <w:sz w:val="16"/>
      <w:szCs w:val="16"/>
    </w:rPr>
  </w:style>
  <w:style w:type="character" w:customStyle="1" w:styleId="85">
    <w:name w:val="正文文本 Char"/>
    <w:link w:val="20"/>
    <w:qFormat/>
    <w:uiPriority w:val="1"/>
    <w:rPr>
      <w:rFonts w:ascii="Calibri" w:hAnsi="Calibri" w:eastAsia="宋体" w:cs="Times New Roman"/>
      <w:kern w:val="2"/>
      <w:sz w:val="24"/>
      <w:szCs w:val="22"/>
    </w:rPr>
  </w:style>
  <w:style w:type="character" w:customStyle="1" w:styleId="86">
    <w:name w:val="正文文本缩进 Char"/>
    <w:basedOn w:val="57"/>
    <w:link w:val="21"/>
    <w:qFormat/>
    <w:uiPriority w:val="0"/>
    <w:rPr>
      <w:kern w:val="2"/>
      <w:sz w:val="24"/>
      <w:szCs w:val="24"/>
    </w:rPr>
  </w:style>
  <w:style w:type="character" w:customStyle="1" w:styleId="87">
    <w:name w:val="日期 Char"/>
    <w:basedOn w:val="57"/>
    <w:link w:val="29"/>
    <w:qFormat/>
    <w:uiPriority w:val="99"/>
  </w:style>
  <w:style w:type="character" w:customStyle="1" w:styleId="88">
    <w:name w:val="正文文本缩进 2 Char"/>
    <w:basedOn w:val="57"/>
    <w:link w:val="30"/>
    <w:semiHidden/>
    <w:qFormat/>
    <w:uiPriority w:val="99"/>
    <w:rPr>
      <w:rFonts w:asciiTheme="minorHAnsi" w:hAnsiTheme="minorHAnsi" w:eastAsiaTheme="minorEastAsia" w:cstheme="minorBidi"/>
      <w:kern w:val="2"/>
      <w:sz w:val="21"/>
      <w:szCs w:val="22"/>
    </w:rPr>
  </w:style>
  <w:style w:type="character" w:customStyle="1" w:styleId="89">
    <w:name w:val="批注框文本 Char"/>
    <w:link w:val="32"/>
    <w:qFormat/>
    <w:uiPriority w:val="99"/>
    <w:rPr>
      <w:sz w:val="18"/>
      <w:szCs w:val="18"/>
    </w:rPr>
  </w:style>
  <w:style w:type="character" w:customStyle="1" w:styleId="90">
    <w:name w:val="页脚 Char"/>
    <w:link w:val="33"/>
    <w:qFormat/>
    <w:uiPriority w:val="99"/>
    <w:rPr>
      <w:rFonts w:ascii="宋体" w:hAnsi="宋体" w:cs="Times New Roman"/>
      <w:kern w:val="2"/>
      <w:sz w:val="18"/>
      <w:szCs w:val="18"/>
    </w:rPr>
  </w:style>
  <w:style w:type="character" w:customStyle="1" w:styleId="91">
    <w:name w:val="页眉 Char"/>
    <w:link w:val="34"/>
    <w:qFormat/>
    <w:uiPriority w:val="99"/>
    <w:rPr>
      <w:rFonts w:ascii="宋体" w:hAnsi="宋体" w:cs="Times New Roman"/>
      <w:kern w:val="2"/>
      <w:sz w:val="18"/>
      <w:szCs w:val="18"/>
    </w:rPr>
  </w:style>
  <w:style w:type="character" w:customStyle="1" w:styleId="92">
    <w:name w:val="副标题 Char"/>
    <w:link w:val="39"/>
    <w:qFormat/>
    <w:uiPriority w:val="0"/>
    <w:rPr>
      <w:rFonts w:ascii="宋体" w:hAnsi="宋体" w:cs="Times New Roman"/>
      <w:b/>
      <w:bCs/>
      <w:kern w:val="28"/>
      <w:sz w:val="24"/>
      <w:szCs w:val="32"/>
    </w:rPr>
  </w:style>
  <w:style w:type="character" w:customStyle="1" w:styleId="93">
    <w:name w:val="正文文本缩进 3 Char"/>
    <w:basedOn w:val="57"/>
    <w:link w:val="42"/>
    <w:qFormat/>
    <w:uiPriority w:val="0"/>
    <w:rPr>
      <w:rFonts w:asciiTheme="minorHAnsi" w:hAnsiTheme="minorHAnsi" w:eastAsiaTheme="minorEastAsia" w:cstheme="minorBidi"/>
      <w:kern w:val="2"/>
      <w:sz w:val="16"/>
      <w:szCs w:val="16"/>
    </w:rPr>
  </w:style>
  <w:style w:type="character" w:customStyle="1" w:styleId="94">
    <w:name w:val="正文文本 2 Char"/>
    <w:link w:val="47"/>
    <w:semiHidden/>
    <w:qFormat/>
    <w:uiPriority w:val="99"/>
    <w:rPr>
      <w:rFonts w:ascii="Calibri" w:hAnsi="Calibri" w:eastAsia="宋体" w:cs="Times New Roman"/>
      <w:kern w:val="2"/>
      <w:sz w:val="24"/>
      <w:szCs w:val="22"/>
    </w:rPr>
  </w:style>
  <w:style w:type="character" w:customStyle="1" w:styleId="95">
    <w:name w:val="HTML 预设格式 Char"/>
    <w:link w:val="48"/>
    <w:qFormat/>
    <w:uiPriority w:val="0"/>
    <w:rPr>
      <w:rFonts w:ascii="宋体" w:hAnsi="宋体" w:cs="宋体"/>
      <w:sz w:val="24"/>
      <w:szCs w:val="24"/>
    </w:rPr>
  </w:style>
  <w:style w:type="character" w:customStyle="1" w:styleId="96">
    <w:name w:val="批注主题 Char"/>
    <w:link w:val="52"/>
    <w:qFormat/>
    <w:uiPriority w:val="99"/>
    <w:rPr>
      <w:rFonts w:ascii="Calibri" w:hAnsi="Calibri" w:eastAsia="宋体" w:cs="Times New Roman"/>
      <w:b/>
      <w:bCs/>
      <w:kern w:val="2"/>
      <w:sz w:val="24"/>
      <w:szCs w:val="22"/>
    </w:rPr>
  </w:style>
  <w:style w:type="paragraph" w:customStyle="1" w:styleId="97">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98">
    <w:name w:val="专用标题2"/>
    <w:basedOn w:val="3"/>
    <w:next w:val="1"/>
    <w:qFormat/>
    <w:uiPriority w:val="0"/>
    <w:pPr>
      <w:keepNext w:val="0"/>
      <w:keepLines w:val="0"/>
      <w:tabs>
        <w:tab w:val="left" w:pos="993"/>
      </w:tabs>
      <w:wordWrap/>
      <w:topLinePunct w:val="0"/>
      <w:spacing w:line="360" w:lineRule="auto"/>
      <w:ind w:firstLine="0" w:firstLineChars="0"/>
    </w:pPr>
    <w:rPr>
      <w:rFonts w:ascii="宋体" w:hAnsi="宋体" w:eastAsia="宋体" w:cs="Times"/>
    </w:rPr>
  </w:style>
  <w:style w:type="paragraph" w:customStyle="1" w:styleId="99">
    <w:name w:val="通用标题4"/>
    <w:next w:val="1"/>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100">
    <w:name w:val="缩进2中"/>
    <w:qFormat/>
    <w:uiPriority w:val="0"/>
    <w:pPr>
      <w:ind w:left="708" w:leftChars="295"/>
      <w:jc w:val="both"/>
    </w:pPr>
    <w:rPr>
      <w:rFonts w:ascii="Times" w:hAnsi="Times" w:eastAsia="宋体" w:cs="Times New Roman"/>
      <w:kern w:val="2"/>
      <w:sz w:val="24"/>
      <w:szCs w:val="22"/>
      <w:lang w:val="en-US" w:eastAsia="zh-CN" w:bidi="ar-SA"/>
    </w:rPr>
  </w:style>
  <w:style w:type="paragraph" w:customStyle="1" w:styleId="101">
    <w:name w:val="TOC 标题1"/>
    <w:basedOn w:val="2"/>
    <w:next w:val="1"/>
    <w:unhideWhenUsed/>
    <w:qFormat/>
    <w:uiPriority w:val="39"/>
    <w:pPr>
      <w:spacing w:before="240" w:line="259" w:lineRule="auto"/>
      <w:jc w:val="left"/>
      <w:outlineLvl w:val="9"/>
    </w:pPr>
    <w:rPr>
      <w:rFonts w:ascii="Calibri Light" w:hAnsi="Calibri Light"/>
      <w:b w:val="0"/>
      <w:color w:val="2E75B5"/>
      <w:kern w:val="0"/>
      <w:sz w:val="32"/>
      <w:szCs w:val="32"/>
    </w:rPr>
  </w:style>
  <w:style w:type="paragraph" w:customStyle="1" w:styleId="102">
    <w:name w:val="Char Char Char Char Char Char Char Char Char Char Char Char Char"/>
    <w:basedOn w:val="1"/>
    <w:qFormat/>
    <w:uiPriority w:val="0"/>
    <w:pPr>
      <w:widowControl w:val="0"/>
      <w:wordWrap/>
      <w:topLinePunct w:val="0"/>
      <w:adjustRightInd/>
      <w:snapToGrid/>
      <w:spacing w:afterLines="0" w:line="240" w:lineRule="auto"/>
      <w:ind w:firstLine="0" w:firstLineChars="0"/>
    </w:pPr>
    <w:rPr>
      <w:kern w:val="2"/>
      <w:szCs w:val="24"/>
    </w:rPr>
  </w:style>
  <w:style w:type="paragraph" w:customStyle="1" w:styleId="103">
    <w:name w:val="Title 5"/>
    <w:next w:val="104"/>
    <w:qFormat/>
    <w:uiPriority w:val="0"/>
    <w:pPr>
      <w:numPr>
        <w:ilvl w:val="0"/>
        <w:numId w:val="1"/>
      </w:numPr>
      <w:ind w:left="1701" w:hanging="426"/>
      <w:jc w:val="both"/>
    </w:pPr>
    <w:rPr>
      <w:rFonts w:ascii="Calibri" w:hAnsi="Calibri" w:eastAsia="宋体" w:cs="Times New Roman"/>
      <w:kern w:val="2"/>
      <w:sz w:val="24"/>
      <w:szCs w:val="24"/>
      <w:lang w:val="en-US" w:eastAsia="zh-CN" w:bidi="ar-SA"/>
    </w:rPr>
  </w:style>
  <w:style w:type="paragraph" w:customStyle="1" w:styleId="104">
    <w:name w:val="Title 5 Chinese"/>
    <w:qFormat/>
    <w:uiPriority w:val="0"/>
    <w:pPr>
      <w:ind w:left="1701"/>
    </w:pPr>
    <w:rPr>
      <w:rFonts w:ascii="Calibri" w:hAnsi="Calibri" w:eastAsia="宋体" w:cs="Times New Roman"/>
      <w:kern w:val="2"/>
      <w:sz w:val="24"/>
      <w:szCs w:val="24"/>
      <w:lang w:val="en-US" w:eastAsia="zh-CN" w:bidi="ar-SA"/>
    </w:rPr>
  </w:style>
  <w:style w:type="paragraph" w:customStyle="1" w:styleId="105">
    <w:name w:val="修订1"/>
    <w:semiHidden/>
    <w:qFormat/>
    <w:uiPriority w:val="99"/>
    <w:rPr>
      <w:rFonts w:ascii="宋体" w:hAnsi="Calibri" w:eastAsia="宋体" w:cs="Times New Roman"/>
      <w:kern w:val="2"/>
      <w:sz w:val="24"/>
      <w:szCs w:val="22"/>
      <w:lang w:val="en-US" w:eastAsia="zh-CN" w:bidi="ar-SA"/>
    </w:rPr>
  </w:style>
  <w:style w:type="paragraph" w:customStyle="1" w:styleId="106">
    <w:name w:val="通用标题7"/>
    <w:basedOn w:val="1"/>
    <w:qFormat/>
    <w:uiPriority w:val="0"/>
    <w:pPr>
      <w:numPr>
        <w:ilvl w:val="5"/>
        <w:numId w:val="2"/>
      </w:numPr>
    </w:pPr>
  </w:style>
  <w:style w:type="paragraph" w:styleId="107">
    <w:name w:val="List Paragraph"/>
    <w:basedOn w:val="1"/>
    <w:link w:val="108"/>
    <w:qFormat/>
    <w:uiPriority w:val="1"/>
    <w:pPr>
      <w:numPr>
        <w:ilvl w:val="0"/>
        <w:numId w:val="3"/>
      </w:numPr>
      <w:tabs>
        <w:tab w:val="left" w:pos="993"/>
      </w:tabs>
      <w:wordWrap/>
      <w:topLinePunct w:val="0"/>
      <w:ind w:firstLine="0" w:firstLineChars="0"/>
    </w:pPr>
    <w:rPr>
      <w:rFonts w:cs="宋体"/>
    </w:rPr>
  </w:style>
  <w:style w:type="character" w:customStyle="1" w:styleId="108">
    <w:name w:val="列出段落 Char"/>
    <w:basedOn w:val="57"/>
    <w:link w:val="107"/>
    <w:qFormat/>
    <w:uiPriority w:val="1"/>
    <w:rPr>
      <w:rFonts w:ascii="宋体" w:hAnsi="宋体" w:cs="宋体"/>
      <w:sz w:val="24"/>
    </w:rPr>
  </w:style>
  <w:style w:type="paragraph" w:customStyle="1" w:styleId="109">
    <w:name w:val="样式8"/>
    <w:basedOn w:val="1"/>
    <w:qFormat/>
    <w:uiPriority w:val="0"/>
    <w:pPr>
      <w:autoSpaceDE w:val="0"/>
      <w:autoSpaceDN w:val="0"/>
      <w:snapToGrid/>
      <w:spacing w:afterLines="0" w:line="240" w:lineRule="auto"/>
      <w:ind w:left="1274" w:leftChars="531" w:firstLine="2" w:firstLineChars="0"/>
    </w:pPr>
    <w:rPr>
      <w:bCs/>
    </w:rPr>
  </w:style>
  <w:style w:type="paragraph" w:customStyle="1" w:styleId="110">
    <w:name w:val="附件标题"/>
    <w:basedOn w:val="3"/>
    <w:next w:val="1"/>
    <w:qFormat/>
    <w:uiPriority w:val="0"/>
    <w:pPr>
      <w:numPr>
        <w:ilvl w:val="0"/>
        <w:numId w:val="4"/>
      </w:numPr>
      <w:tabs>
        <w:tab w:val="left" w:pos="1134"/>
      </w:tabs>
      <w:spacing w:line="360" w:lineRule="auto"/>
      <w:ind w:firstLine="0" w:firstLineChars="0"/>
      <w:jc w:val="center"/>
    </w:pPr>
    <w:rPr>
      <w:rFonts w:ascii="黑体" w:hAnsi="黑体"/>
      <w:sz w:val="30"/>
      <w:szCs w:val="30"/>
    </w:rPr>
  </w:style>
  <w:style w:type="paragraph" w:customStyle="1" w:styleId="111">
    <w:name w:val="through-content"/>
    <w:basedOn w:val="1"/>
    <w:qFormat/>
    <w:uiPriority w:val="0"/>
    <w:pPr>
      <w:adjustRightInd/>
      <w:snapToGrid/>
      <w:spacing w:before="100" w:beforeAutospacing="1" w:afterLines="0" w:afterAutospacing="1" w:line="240" w:lineRule="auto"/>
      <w:ind w:firstLine="0" w:firstLineChars="0"/>
      <w:jc w:val="left"/>
    </w:pPr>
    <w:rPr>
      <w:rFonts w:cs="宋体"/>
    </w:rPr>
  </w:style>
  <w:style w:type="paragraph" w:customStyle="1" w:styleId="112">
    <w:name w:val="List ALPHA CAPS 1"/>
    <w:basedOn w:val="1"/>
    <w:next w:val="20"/>
    <w:qFormat/>
    <w:uiPriority w:val="0"/>
    <w:pPr>
      <w:numPr>
        <w:ilvl w:val="0"/>
        <w:numId w:val="5"/>
      </w:numPr>
      <w:tabs>
        <w:tab w:val="left" w:pos="22"/>
      </w:tabs>
      <w:spacing w:after="200" w:line="288" w:lineRule="auto"/>
    </w:pPr>
    <w:rPr>
      <w:rFonts w:ascii="CG Times" w:hAnsi="CG Times"/>
      <w:sz w:val="22"/>
      <w:lang w:val="en-GB"/>
    </w:rPr>
  </w:style>
  <w:style w:type="paragraph" w:customStyle="1" w:styleId="113">
    <w:name w:val="TOC 标题2"/>
    <w:basedOn w:val="2"/>
    <w:next w:val="1"/>
    <w:qFormat/>
    <w:uiPriority w:val="39"/>
    <w:pPr>
      <w:keepNext/>
      <w:keepLines/>
      <w:widowControl w:val="0"/>
      <w:adjustRightInd/>
      <w:snapToGrid/>
      <w:spacing w:before="260" w:after="260" w:line="413" w:lineRule="auto"/>
    </w:pPr>
    <w:rPr>
      <w:rFonts w:ascii="宋体" w:hAnsi="宋体"/>
      <w:bCs/>
      <w:sz w:val="36"/>
      <w:szCs w:val="44"/>
      <w:lang w:val="zh-CN"/>
    </w:rPr>
  </w:style>
  <w:style w:type="paragraph" w:customStyle="1" w:styleId="114">
    <w:name w:val="专用标题4"/>
    <w:basedOn w:val="5"/>
    <w:next w:val="1"/>
    <w:qFormat/>
    <w:uiPriority w:val="0"/>
    <w:pPr>
      <w:numPr>
        <w:ilvl w:val="2"/>
        <w:numId w:val="6"/>
      </w:numPr>
    </w:pPr>
  </w:style>
  <w:style w:type="paragraph" w:customStyle="1" w:styleId="115">
    <w:name w:val="LIST ALPHA CAPS 2"/>
    <w:basedOn w:val="1"/>
    <w:next w:val="47"/>
    <w:qFormat/>
    <w:uiPriority w:val="0"/>
    <w:pPr>
      <w:numPr>
        <w:ilvl w:val="1"/>
        <w:numId w:val="5"/>
      </w:numPr>
      <w:tabs>
        <w:tab w:val="left" w:pos="50"/>
      </w:tabs>
      <w:spacing w:after="200" w:line="288" w:lineRule="auto"/>
    </w:pPr>
    <w:rPr>
      <w:rFonts w:ascii="CG Times" w:hAnsi="CG Times"/>
      <w:sz w:val="22"/>
      <w:lang w:val="en-GB"/>
    </w:rPr>
  </w:style>
  <w:style w:type="paragraph" w:customStyle="1" w:styleId="116">
    <w:name w:val="Title 4 Chinese"/>
    <w:qFormat/>
    <w:uiPriority w:val="0"/>
    <w:pPr>
      <w:ind w:left="1276"/>
    </w:pPr>
    <w:rPr>
      <w:rFonts w:ascii="Calibri" w:hAnsi="Calibri" w:eastAsia="宋体" w:cs="Times New Roman"/>
      <w:kern w:val="2"/>
      <w:sz w:val="24"/>
      <w:szCs w:val="24"/>
      <w:lang w:val="en-US" w:eastAsia="zh-CN" w:bidi="ar-SA"/>
    </w:rPr>
  </w:style>
  <w:style w:type="paragraph" w:customStyle="1" w:styleId="117">
    <w:name w:val="Title 4"/>
    <w:next w:val="116"/>
    <w:qFormat/>
    <w:uiPriority w:val="0"/>
    <w:pPr>
      <w:numPr>
        <w:ilvl w:val="0"/>
        <w:numId w:val="7"/>
      </w:numPr>
      <w:ind w:left="1276" w:hanging="562"/>
      <w:jc w:val="both"/>
    </w:pPr>
    <w:rPr>
      <w:rFonts w:ascii="Calibri" w:hAnsi="Calibri" w:eastAsia="宋体" w:cs="Times New Roman"/>
      <w:kern w:val="2"/>
      <w:sz w:val="24"/>
      <w:szCs w:val="24"/>
      <w:lang w:val="en-US" w:eastAsia="zh-CN" w:bidi="ar-SA"/>
    </w:rPr>
  </w:style>
  <w:style w:type="paragraph" w:customStyle="1" w:styleId="118">
    <w:name w:val="通用标题6"/>
    <w:basedOn w:val="1"/>
    <w:qFormat/>
    <w:uiPriority w:val="0"/>
    <w:pPr>
      <w:tabs>
        <w:tab w:val="left" w:pos="993"/>
      </w:tabs>
      <w:wordWrap/>
      <w:topLinePunct w:val="0"/>
      <w:ind w:left="310" w:firstLine="0" w:firstLineChars="0"/>
    </w:pPr>
  </w:style>
  <w:style w:type="paragraph" w:customStyle="1" w:styleId="119">
    <w:name w:val="协议书标题2"/>
    <w:basedOn w:val="3"/>
    <w:next w:val="1"/>
    <w:qFormat/>
    <w:uiPriority w:val="0"/>
    <w:pPr>
      <w:keepNext w:val="0"/>
      <w:keepLines w:val="0"/>
      <w:numPr>
        <w:ilvl w:val="0"/>
        <w:numId w:val="8"/>
      </w:numPr>
      <w:tabs>
        <w:tab w:val="left" w:pos="567"/>
      </w:tabs>
      <w:spacing w:line="360" w:lineRule="auto"/>
      <w:ind w:firstLine="0" w:firstLineChars="0"/>
      <w:jc w:val="left"/>
    </w:pPr>
    <w:rPr>
      <w:rFonts w:ascii="宋体" w:hAnsi="宋体" w:eastAsia="宋体"/>
      <w:sz w:val="24"/>
    </w:rPr>
  </w:style>
  <w:style w:type="paragraph" w:customStyle="1" w:styleId="120">
    <w:name w:val="样式1"/>
    <w:basedOn w:val="2"/>
    <w:link w:val="121"/>
    <w:qFormat/>
    <w:uiPriority w:val="0"/>
  </w:style>
  <w:style w:type="character" w:customStyle="1" w:styleId="121">
    <w:name w:val="样式1 字符"/>
    <w:link w:val="120"/>
    <w:qFormat/>
    <w:uiPriority w:val="0"/>
    <w:rPr>
      <w:rFonts w:ascii="Calibri" w:hAnsi="Calibri" w:eastAsia="宋体" w:cs="Times New Roman"/>
      <w:b/>
      <w:kern w:val="44"/>
      <w:sz w:val="30"/>
      <w:szCs w:val="22"/>
    </w:rPr>
  </w:style>
  <w:style w:type="paragraph" w:customStyle="1" w:styleId="122">
    <w:name w:val="样式3"/>
    <w:next w:val="1"/>
    <w:link w:val="123"/>
    <w:qFormat/>
    <w:uiPriority w:val="0"/>
    <w:pPr>
      <w:numPr>
        <w:ilvl w:val="2"/>
        <w:numId w:val="9"/>
      </w:numPr>
    </w:pPr>
    <w:rPr>
      <w:rFonts w:ascii="Calibri" w:hAnsi="Calibri" w:eastAsia="宋体" w:cs="Times New Roman"/>
      <w:bCs/>
      <w:kern w:val="2"/>
      <w:sz w:val="24"/>
      <w:szCs w:val="24"/>
      <w:lang w:val="en-US" w:eastAsia="zh-CN" w:bidi="ar-SA"/>
    </w:rPr>
  </w:style>
  <w:style w:type="character" w:customStyle="1" w:styleId="123">
    <w:name w:val="样式3 Char"/>
    <w:link w:val="122"/>
    <w:qFormat/>
    <w:locked/>
    <w:uiPriority w:val="0"/>
    <w:rPr>
      <w:rFonts w:ascii="Calibri" w:hAnsi="Calibri"/>
      <w:bCs/>
      <w:kern w:val="2"/>
      <w:sz w:val="24"/>
      <w:szCs w:val="24"/>
    </w:rPr>
  </w:style>
  <w:style w:type="paragraph" w:customStyle="1" w:styleId="124">
    <w:name w:val="tabl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125">
    <w:name w:val="专用标题3"/>
    <w:basedOn w:val="4"/>
    <w:qFormat/>
    <w:uiPriority w:val="0"/>
    <w:pPr>
      <w:numPr>
        <w:ilvl w:val="1"/>
        <w:numId w:val="6"/>
      </w:numPr>
    </w:pPr>
  </w:style>
  <w:style w:type="paragraph" w:customStyle="1" w:styleId="126">
    <w:name w:val="通用标题5"/>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127">
    <w:name w:val="LIST ALPHA CAPS 3"/>
    <w:basedOn w:val="1"/>
    <w:next w:val="19"/>
    <w:qFormat/>
    <w:uiPriority w:val="0"/>
    <w:pPr>
      <w:numPr>
        <w:ilvl w:val="2"/>
        <w:numId w:val="5"/>
      </w:numPr>
      <w:tabs>
        <w:tab w:val="left" w:pos="68"/>
      </w:tabs>
      <w:spacing w:after="200" w:line="288" w:lineRule="auto"/>
    </w:pPr>
    <w:rPr>
      <w:rFonts w:ascii="CG Times" w:hAnsi="CG Times"/>
      <w:sz w:val="22"/>
      <w:lang w:val="en-GB"/>
    </w:rPr>
  </w:style>
  <w:style w:type="paragraph" w:customStyle="1" w:styleId="128">
    <w:name w:val="通用标题2"/>
    <w:basedOn w:val="3"/>
    <w:next w:val="1"/>
    <w:qFormat/>
    <w:uiPriority w:val="0"/>
    <w:pPr>
      <w:keepNext w:val="0"/>
      <w:keepLines w:val="0"/>
      <w:numPr>
        <w:ilvl w:val="0"/>
        <w:numId w:val="2"/>
      </w:numPr>
      <w:tabs>
        <w:tab w:val="left" w:pos="993"/>
      </w:tabs>
      <w:spacing w:line="360" w:lineRule="auto"/>
      <w:ind w:firstLineChars="0"/>
    </w:pPr>
    <w:rPr>
      <w:rFonts w:ascii="黑体" w:hAnsi="黑体"/>
    </w:rPr>
  </w:style>
  <w:style w:type="paragraph" w:customStyle="1" w:styleId="129">
    <w:name w:val="Main Title"/>
    <w:next w:val="1"/>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130">
    <w:name w:val="小标题"/>
    <w:qFormat/>
    <w:uiPriority w:val="0"/>
    <w:pPr>
      <w:tabs>
        <w:tab w:val="left" w:pos="993"/>
      </w:tabs>
      <w:adjustRightInd w:val="0"/>
      <w:snapToGrid w:val="0"/>
    </w:pPr>
    <w:rPr>
      <w:rFonts w:ascii="Calibri" w:hAnsi="Calibri" w:eastAsia="宋体" w:cs="Times New Roman"/>
      <w:bCs/>
      <w:kern w:val="2"/>
      <w:sz w:val="24"/>
      <w:szCs w:val="22"/>
      <w:lang w:val="en-US" w:eastAsia="zh-CN" w:bidi="ar-SA"/>
    </w:rPr>
  </w:style>
  <w:style w:type="paragraph" w:customStyle="1" w:styleId="131">
    <w:name w:val="附件标题1"/>
    <w:next w:val="1"/>
    <w:qFormat/>
    <w:uiPriority w:val="0"/>
    <w:pPr>
      <w:numPr>
        <w:ilvl w:val="0"/>
        <w:numId w:val="10"/>
      </w:numPr>
      <w:tabs>
        <w:tab w:val="left" w:pos="567"/>
      </w:tabs>
      <w:adjustRightInd w:val="0"/>
      <w:snapToGrid w:val="0"/>
      <w:spacing w:afterLines="50" w:line="312" w:lineRule="auto"/>
    </w:pPr>
    <w:rPr>
      <w:rFonts w:ascii="黑体" w:hAnsi="黑体" w:eastAsia="黑体" w:cs="Times New Roman"/>
      <w:b/>
      <w:kern w:val="2"/>
      <w:sz w:val="24"/>
      <w:szCs w:val="24"/>
      <w:lang w:val="en-US" w:eastAsia="zh-CN" w:bidi="ar-SA"/>
    </w:rPr>
  </w:style>
  <w:style w:type="paragraph" w:customStyle="1" w:styleId="132">
    <w:name w:val="通用标题3"/>
    <w:next w:val="1"/>
    <w:qFormat/>
    <w:uiPriority w:val="0"/>
    <w:pPr>
      <w:widowControl w:val="0"/>
      <w:tabs>
        <w:tab w:val="left" w:pos="851"/>
      </w:tabs>
      <w:adjustRightInd w:val="0"/>
      <w:snapToGrid w:val="0"/>
      <w:spacing w:afterLines="50" w:line="360" w:lineRule="auto"/>
      <w:ind w:left="1843"/>
      <w:jc w:val="both"/>
      <w:outlineLvl w:val="2"/>
    </w:pPr>
    <w:rPr>
      <w:rFonts w:ascii="黑体" w:hAnsi="黑体" w:eastAsia="黑体" w:cs="Times New Roman"/>
      <w:b/>
      <w:kern w:val="2"/>
      <w:sz w:val="24"/>
      <w:szCs w:val="24"/>
      <w:lang w:val="en-US" w:eastAsia="zh-CN" w:bidi="ar-SA"/>
    </w:rPr>
  </w:style>
  <w:style w:type="character" w:customStyle="1" w:styleId="133">
    <w:name w:val="refer-count"/>
    <w:basedOn w:val="57"/>
    <w:qFormat/>
    <w:uiPriority w:val="0"/>
  </w:style>
  <w:style w:type="character" w:customStyle="1" w:styleId="134">
    <w:name w:val="未处理的提及3"/>
    <w:unhideWhenUsed/>
    <w:qFormat/>
    <w:uiPriority w:val="99"/>
    <w:rPr>
      <w:color w:val="605E5C"/>
      <w:shd w:val="clear" w:color="auto" w:fill="E1DFDD"/>
    </w:rPr>
  </w:style>
  <w:style w:type="character" w:styleId="135">
    <w:name w:val="Placeholder Text"/>
    <w:unhideWhenUsed/>
    <w:qFormat/>
    <w:uiPriority w:val="99"/>
    <w:rPr>
      <w:color w:val="808080"/>
    </w:rPr>
  </w:style>
  <w:style w:type="character" w:customStyle="1" w:styleId="136">
    <w:name w:val="content"/>
    <w:basedOn w:val="57"/>
    <w:qFormat/>
    <w:uiPriority w:val="0"/>
  </w:style>
  <w:style w:type="character" w:customStyle="1" w:styleId="137">
    <w:name w:val="search-in-page-highlight-item"/>
    <w:basedOn w:val="57"/>
    <w:qFormat/>
    <w:uiPriority w:val="0"/>
  </w:style>
  <w:style w:type="character" w:customStyle="1" w:styleId="138">
    <w:name w:val="未处理的提及1"/>
    <w:unhideWhenUsed/>
    <w:qFormat/>
    <w:uiPriority w:val="99"/>
    <w:rPr>
      <w:color w:val="605E5C"/>
      <w:shd w:val="clear" w:color="auto" w:fill="E1DFDD"/>
    </w:rPr>
  </w:style>
  <w:style w:type="character" w:customStyle="1" w:styleId="139">
    <w:name w:val="law-parenthese"/>
    <w:basedOn w:val="57"/>
    <w:qFormat/>
    <w:uiPriority w:val="0"/>
  </w:style>
  <w:style w:type="character" w:customStyle="1" w:styleId="140">
    <w:name w:val="search-in-page-highlight-wrapper"/>
    <w:basedOn w:val="57"/>
    <w:qFormat/>
    <w:uiPriority w:val="0"/>
  </w:style>
  <w:style w:type="character" w:customStyle="1" w:styleId="141">
    <w:name w:val="未处理的提及2"/>
    <w:unhideWhenUsed/>
    <w:qFormat/>
    <w:uiPriority w:val="99"/>
    <w:rPr>
      <w:color w:val="605E5C"/>
      <w:shd w:val="clear" w:color="auto" w:fill="E1DFDD"/>
    </w:rPr>
  </w:style>
  <w:style w:type="table" w:customStyle="1" w:styleId="142">
    <w:name w:val="网格型1"/>
    <w:basedOn w:val="55"/>
    <w:qFormat/>
    <w:uiPriority w:val="39"/>
    <w:rPr>
      <w:rFonts w:eastAsia="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43">
    <w:name w:val="TableGrid"/>
    <w:qFormat/>
    <w:uiPriority w:val="0"/>
    <w:tblPr>
      <w:tblCellMar>
        <w:top w:w="0" w:type="dxa"/>
        <w:left w:w="0" w:type="dxa"/>
        <w:bottom w:w="0" w:type="dxa"/>
        <w:right w:w="0" w:type="dxa"/>
      </w:tblCellMar>
    </w:tblPr>
  </w:style>
  <w:style w:type="paragraph" w:customStyle="1" w:styleId="144">
    <w:name w:val="正文 New New New New New New New New New New New New New New New New New New New New New New New New New New New New New New New New New New New New New New New New New New New New New New New New New New New New New New New New New New New"/>
    <w:next w:val="14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5">
    <w:name w:val="纯文本1"/>
    <w:basedOn w:val="146"/>
    <w:qFormat/>
    <w:uiPriority w:val="0"/>
    <w:rPr>
      <w:rFonts w:ascii="宋体" w:hAnsi="Courier New" w:cs="Courier New"/>
      <w:szCs w:val="21"/>
    </w:rPr>
  </w:style>
  <w:style w:type="paragraph" w:customStyle="1" w:styleId="146">
    <w:name w:val="正文 New New New New New"/>
    <w:next w:val="14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7">
    <w:name w:val="正文 New New New New New New New New New New New New New New New New New New New New New New New New New New New New New New New New New New New New New New New New New New New New New New New"/>
    <w:next w:val="148"/>
    <w:link w:val="15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8">
    <w:name w:val="纯文本11"/>
    <w:basedOn w:val="146"/>
    <w:link w:val="149"/>
    <w:qFormat/>
    <w:uiPriority w:val="0"/>
    <w:rPr>
      <w:rFonts w:ascii="宋体" w:hAnsi="Courier New" w:cs="Courier New"/>
      <w:szCs w:val="21"/>
    </w:rPr>
  </w:style>
  <w:style w:type="character" w:customStyle="1" w:styleId="149">
    <w:name w:val="纯文本1 Char"/>
    <w:link w:val="148"/>
    <w:qFormat/>
    <w:uiPriority w:val="0"/>
    <w:rPr>
      <w:rFonts w:ascii="宋体" w:hAnsi="Courier New" w:cs="Courier New"/>
      <w:szCs w:val="21"/>
    </w:rPr>
  </w:style>
  <w:style w:type="character" w:customStyle="1" w:styleId="150">
    <w:name w:val="正文 New New New New New New New New New New New New New New New New New New New New New New New New New New New New New New New New New New New New New New New New New New New New New New New Char"/>
    <w:link w:val="147"/>
    <w:qFormat/>
    <w:uiPriority w:val="0"/>
    <w:rPr>
      <w:rFonts w:ascii="Times New Roman" w:hAnsi="Times New Roman" w:eastAsia="宋体" w:cs="Times New Roman"/>
      <w:kern w:val="2"/>
      <w:sz w:val="21"/>
      <w:szCs w:val="24"/>
      <w:lang w:val="en-US" w:eastAsia="zh-CN" w:bidi="ar-SA"/>
    </w:rPr>
  </w:style>
  <w:style w:type="paragraph" w:customStyle="1" w:styleId="151">
    <w:name w:val="列出段落11"/>
    <w:basedOn w:val="1"/>
    <w:qFormat/>
    <w:uiPriority w:val="0"/>
    <w:pPr>
      <w:ind w:firstLine="420"/>
    </w:pPr>
    <w:rPr>
      <w:szCs w:val="21"/>
    </w:rPr>
  </w:style>
  <w:style w:type="character" w:customStyle="1" w:styleId="152">
    <w:name w:val="正文12 字符"/>
    <w:link w:val="153"/>
    <w:qFormat/>
    <w:uiPriority w:val="0"/>
    <w:rPr>
      <w:color w:val="000000"/>
      <w:szCs w:val="18"/>
    </w:rPr>
  </w:style>
  <w:style w:type="paragraph" w:customStyle="1" w:styleId="153">
    <w:name w:val="正文12"/>
    <w:basedOn w:val="1"/>
    <w:link w:val="152"/>
    <w:qFormat/>
    <w:uiPriority w:val="0"/>
    <w:pPr>
      <w:widowControl w:val="0"/>
      <w:wordWrap/>
      <w:topLinePunct w:val="0"/>
      <w:adjustRightInd/>
      <w:snapToGrid/>
      <w:spacing w:afterLines="0" w:line="400" w:lineRule="exact"/>
      <w:ind w:firstLine="420"/>
    </w:pPr>
    <w:rPr>
      <w:rFonts w:ascii="Calibri" w:hAnsi="Calibri"/>
      <w:color w:val="000000"/>
      <w:sz w:val="20"/>
      <w:szCs w:val="18"/>
    </w:rPr>
  </w:style>
  <w:style w:type="paragraph" w:customStyle="1" w:styleId="154">
    <w:name w:val="表格标题"/>
    <w:basedOn w:val="1"/>
    <w:qFormat/>
    <w:uiPriority w:val="0"/>
    <w:pPr>
      <w:spacing w:line="480" w:lineRule="auto"/>
      <w:ind w:firstLine="403"/>
      <w:jc w:val="center"/>
    </w:pPr>
    <w:rPr>
      <w:rFonts w:ascii="黑体" w:cs="宋体" w:eastAsiaTheme="majorEastAsia"/>
      <w:b/>
      <w:bCs/>
      <w:color w:val="000000"/>
      <w:szCs w:val="24"/>
    </w:rPr>
  </w:style>
  <w:style w:type="paragraph" w:customStyle="1" w:styleId="155">
    <w:name w:val="正文1"/>
    <w:qFormat/>
    <w:uiPriority w:val="0"/>
    <w:pPr>
      <w:jc w:val="both"/>
    </w:pPr>
    <w:rPr>
      <w:rFonts w:ascii="Calibri" w:hAnsi="Calibri" w:eastAsia="宋体" w:cs="Calibri"/>
      <w:kern w:val="2"/>
      <w:sz w:val="21"/>
      <w:szCs w:val="21"/>
      <w:lang w:val="en-US" w:eastAsia="zh-CN" w:bidi="ar-SA"/>
    </w:rPr>
  </w:style>
  <w:style w:type="paragraph" w:customStyle="1" w:styleId="156">
    <w:name w:val="cjk1"/>
    <w:basedOn w:val="1"/>
    <w:qFormat/>
    <w:uiPriority w:val="0"/>
    <w:pPr>
      <w:spacing w:before="284"/>
      <w:jc w:val="left"/>
    </w:pPr>
    <w:rPr>
      <w:rFonts w:cs="宋体"/>
      <w:sz w:val="22"/>
      <w:szCs w:val="22"/>
    </w:rPr>
  </w:style>
  <w:style w:type="paragraph" w:customStyle="1" w:styleId="157">
    <w:name w:val="修订2"/>
    <w:hidden/>
    <w:qFormat/>
    <w:uiPriority w:val="99"/>
    <w:rPr>
      <w:rFonts w:ascii="宋体" w:hAnsi="宋体" w:eastAsia="宋体" w:cs="Times New Roman"/>
      <w:sz w:val="24"/>
      <w:lang w:val="en-US" w:eastAsia="zh-CN" w:bidi="ar-SA"/>
    </w:rPr>
  </w:style>
  <w:style w:type="paragraph" w:customStyle="1" w:styleId="158">
    <w:name w:val="修订3"/>
    <w:hidden/>
    <w:unhideWhenUsed/>
    <w:qFormat/>
    <w:uiPriority w:val="99"/>
    <w:rPr>
      <w:rFonts w:ascii="宋体" w:hAnsi="宋体" w:eastAsia="宋体" w:cs="Times New Roman"/>
      <w:sz w:val="24"/>
      <w:lang w:val="en-US" w:eastAsia="zh-CN" w:bidi="ar-SA"/>
    </w:rPr>
  </w:style>
  <w:style w:type="paragraph" w:customStyle="1" w:styleId="159">
    <w:name w:val="修订4"/>
    <w:hidden/>
    <w:semiHidden/>
    <w:qFormat/>
    <w:uiPriority w:val="99"/>
    <w:rPr>
      <w:rFonts w:ascii="宋体" w:hAnsi="宋体" w:eastAsia="宋体" w:cs="Times New Roman"/>
      <w:sz w:val="24"/>
      <w:lang w:val="en-US" w:eastAsia="zh-CN" w:bidi="ar-SA"/>
    </w:rPr>
  </w:style>
  <w:style w:type="paragraph" w:customStyle="1" w:styleId="160">
    <w:name w:val="列出段落1"/>
    <w:basedOn w:val="1"/>
    <w:qFormat/>
    <w:uiPriority w:val="34"/>
    <w:pPr>
      <w:ind w:left="424"/>
    </w:pPr>
    <w:rPr>
      <w:rFonts w:ascii="Calibri" w:hAnsi="Calibri"/>
      <w:szCs w:val="24"/>
    </w:rPr>
  </w:style>
  <w:style w:type="character" w:customStyle="1" w:styleId="161">
    <w:name w:val="lake-preview-codeblock-content"/>
    <w:basedOn w:val="57"/>
    <w:qFormat/>
    <w:uiPriority w:val="0"/>
  </w:style>
  <w:style w:type="character" w:customStyle="1" w:styleId="162">
    <w:name w:val="cm-string"/>
    <w:basedOn w:val="57"/>
    <w:qFormat/>
    <w:uiPriority w:val="0"/>
  </w:style>
  <w:style w:type="character" w:customStyle="1" w:styleId="163">
    <w:name w:val="cm-number"/>
    <w:basedOn w:val="57"/>
    <w:qFormat/>
    <w:uiPriority w:val="0"/>
  </w:style>
  <w:style w:type="character" w:customStyle="1" w:styleId="164">
    <w:name w:val="cm-atom"/>
    <w:basedOn w:val="57"/>
    <w:qFormat/>
    <w:uiPriority w:val="0"/>
  </w:style>
  <w:style w:type="character" w:customStyle="1" w:styleId="165">
    <w:name w:val="lake-fontsize-14"/>
    <w:basedOn w:val="57"/>
    <w:qFormat/>
    <w:uiPriority w:val="0"/>
  </w:style>
  <w:style w:type="character" w:customStyle="1" w:styleId="166">
    <w:name w:val="ne-text"/>
    <w:basedOn w:val="57"/>
    <w:qFormat/>
    <w:uiPriority w:val="0"/>
  </w:style>
  <w:style w:type="paragraph" w:customStyle="1" w:styleId="167">
    <w:name w:val="ne-p"/>
    <w:basedOn w:val="1"/>
    <w:qFormat/>
    <w:uiPriority w:val="0"/>
    <w:pPr>
      <w:spacing w:before="100" w:beforeAutospacing="1" w:afterAutospacing="1"/>
      <w:jc w:val="left"/>
    </w:pPr>
    <w:rPr>
      <w:rFonts w:cs="宋体"/>
      <w:szCs w:val="24"/>
    </w:rPr>
  </w:style>
  <w:style w:type="paragraph" w:customStyle="1" w:styleId="168">
    <w:name w:val="修订5"/>
    <w:hidden/>
    <w:semiHidden/>
    <w:qFormat/>
    <w:uiPriority w:val="99"/>
    <w:rPr>
      <w:rFonts w:ascii="宋体" w:hAnsi="宋体" w:eastAsia="宋体" w:cs="Times New Roman"/>
      <w:sz w:val="24"/>
      <w:lang w:val="en-US" w:eastAsia="zh-CN" w:bidi="ar-SA"/>
    </w:rPr>
  </w:style>
  <w:style w:type="character" w:customStyle="1" w:styleId="169">
    <w:name w:val="HTML 地址 Char"/>
    <w:basedOn w:val="57"/>
    <w:link w:val="22"/>
    <w:qFormat/>
    <w:uiPriority w:val="0"/>
    <w:rPr>
      <w:rFonts w:ascii="Calibri" w:hAnsi="Calibri"/>
      <w:i/>
      <w:iCs/>
      <w:kern w:val="2"/>
      <w:sz w:val="21"/>
    </w:rPr>
  </w:style>
  <w:style w:type="character" w:customStyle="1" w:styleId="170">
    <w:name w:val="尾注文本 Char"/>
    <w:basedOn w:val="57"/>
    <w:link w:val="31"/>
    <w:semiHidden/>
    <w:qFormat/>
    <w:uiPriority w:val="0"/>
    <w:rPr>
      <w:kern w:val="2"/>
      <w:sz w:val="21"/>
      <w:szCs w:val="24"/>
    </w:rPr>
  </w:style>
  <w:style w:type="character" w:customStyle="1" w:styleId="171">
    <w:name w:val="脚注文本 Char"/>
    <w:basedOn w:val="57"/>
    <w:link w:val="40"/>
    <w:qFormat/>
    <w:uiPriority w:val="0"/>
    <w:rPr>
      <w:kern w:val="2"/>
      <w:sz w:val="18"/>
      <w:szCs w:val="18"/>
    </w:rPr>
  </w:style>
  <w:style w:type="character" w:customStyle="1" w:styleId="172">
    <w:name w:val="标题 Char"/>
    <w:basedOn w:val="57"/>
    <w:link w:val="51"/>
    <w:qFormat/>
    <w:uiPriority w:val="0"/>
    <w:rPr>
      <w:rFonts w:ascii="Cambria" w:hAnsi="Cambria"/>
      <w:b/>
      <w:bCs/>
      <w:kern w:val="2"/>
      <w:sz w:val="32"/>
      <w:szCs w:val="32"/>
    </w:rPr>
  </w:style>
  <w:style w:type="character" w:customStyle="1" w:styleId="173">
    <w:name w:val="页脚 字符1"/>
    <w:qFormat/>
    <w:uiPriority w:val="99"/>
    <w:rPr>
      <w:rFonts w:ascii="宋体" w:hAnsi="宋体" w:cs="Times New Roman"/>
      <w:kern w:val="2"/>
      <w:sz w:val="18"/>
      <w:szCs w:val="18"/>
    </w:rPr>
  </w:style>
  <w:style w:type="character" w:customStyle="1" w:styleId="174">
    <w:name w:val="页眉 字符1"/>
    <w:qFormat/>
    <w:uiPriority w:val="99"/>
    <w:rPr>
      <w:rFonts w:ascii="宋体" w:hAnsi="宋体" w:cs="Times New Roman"/>
      <w:kern w:val="2"/>
      <w:sz w:val="18"/>
      <w:szCs w:val="18"/>
    </w:rPr>
  </w:style>
  <w:style w:type="paragraph" w:customStyle="1" w:styleId="175">
    <w:name w:val="小节"/>
    <w:basedOn w:val="1"/>
    <w:qFormat/>
    <w:uiPriority w:val="0"/>
    <w:rPr>
      <w:b/>
      <w:szCs w:val="24"/>
    </w:rPr>
  </w:style>
  <w:style w:type="paragraph" w:customStyle="1" w:styleId="176">
    <w:name w:val="小四正文"/>
    <w:basedOn w:val="1"/>
    <w:qFormat/>
    <w:uiPriority w:val="0"/>
    <w:rPr>
      <w:szCs w:val="24"/>
    </w:rPr>
  </w:style>
  <w:style w:type="paragraph" w:customStyle="1" w:styleId="177">
    <w:name w:val="表格抬头"/>
    <w:basedOn w:val="1"/>
    <w:link w:val="178"/>
    <w:qFormat/>
    <w:uiPriority w:val="0"/>
    <w:pPr>
      <w:jc w:val="center"/>
    </w:pPr>
    <w:rPr>
      <w:rFonts w:cs="宋体"/>
      <w:b/>
      <w:szCs w:val="21"/>
    </w:rPr>
  </w:style>
  <w:style w:type="character" w:customStyle="1" w:styleId="178">
    <w:name w:val="表格抬头 Char"/>
    <w:basedOn w:val="108"/>
    <w:link w:val="177"/>
    <w:qFormat/>
    <w:uiPriority w:val="0"/>
    <w:rPr>
      <w:rFonts w:ascii="宋体" w:hAnsi="宋体" w:cs="宋体"/>
      <w:b/>
      <w:sz w:val="24"/>
      <w:szCs w:val="21"/>
    </w:rPr>
  </w:style>
  <w:style w:type="paragraph" w:customStyle="1" w:styleId="179">
    <w:name w:val="表格正文"/>
    <w:basedOn w:val="1"/>
    <w:link w:val="180"/>
    <w:qFormat/>
    <w:uiPriority w:val="0"/>
    <w:pPr>
      <w:spacing w:line="240" w:lineRule="auto"/>
      <w:ind w:firstLine="0" w:firstLineChars="0"/>
      <w:jc w:val="left"/>
    </w:pPr>
    <w:rPr>
      <w:rFonts w:cs="宋体"/>
      <w:color w:val="000000"/>
      <w:szCs w:val="24"/>
    </w:rPr>
  </w:style>
  <w:style w:type="character" w:customStyle="1" w:styleId="180">
    <w:name w:val="表格正文 Char"/>
    <w:link w:val="179"/>
    <w:qFormat/>
    <w:locked/>
    <w:uiPriority w:val="0"/>
    <w:rPr>
      <w:rFonts w:ascii="宋体" w:hAnsi="宋体" w:cs="宋体"/>
      <w:color w:val="000000"/>
      <w:sz w:val="24"/>
      <w:szCs w:val="24"/>
    </w:rPr>
  </w:style>
  <w:style w:type="paragraph" w:customStyle="1" w:styleId="181">
    <w:name w:val="术语-wyx"/>
    <w:basedOn w:val="1"/>
    <w:qFormat/>
    <w:uiPriority w:val="0"/>
    <w:pPr>
      <w:widowControl w:val="0"/>
      <w:wordWrap/>
      <w:topLinePunct w:val="0"/>
      <w:adjustRightInd/>
      <w:snapToGrid/>
      <w:spacing w:beforeLines="50" w:after="50"/>
      <w:ind w:firstLine="0" w:firstLineChars="0"/>
      <w:outlineLvl w:val="2"/>
    </w:pPr>
    <w:rPr>
      <w:rFonts w:ascii="Times New Roman" w:hAnsi="Times New Roman"/>
      <w:b/>
      <w:kern w:val="2"/>
      <w:sz w:val="21"/>
      <w:szCs w:val="24"/>
    </w:rPr>
  </w:style>
  <w:style w:type="paragraph" w:customStyle="1" w:styleId="182">
    <w:name w:val="条-wyx"/>
    <w:basedOn w:val="1"/>
    <w:qFormat/>
    <w:uiPriority w:val="0"/>
    <w:pPr>
      <w:numPr>
        <w:ilvl w:val="2"/>
        <w:numId w:val="11"/>
      </w:numPr>
      <w:tabs>
        <w:tab w:val="left" w:pos="0"/>
      </w:tabs>
      <w:wordWrap/>
      <w:topLinePunct w:val="0"/>
      <w:adjustRightInd/>
      <w:snapToGrid/>
      <w:spacing w:afterLines="0" w:line="240" w:lineRule="auto"/>
      <w:ind w:firstLineChars="0"/>
      <w:jc w:val="left"/>
      <w:outlineLvl w:val="2"/>
    </w:pPr>
    <w:rPr>
      <w:rFonts w:ascii="黑体" w:hAnsi="黑体"/>
      <w:sz w:val="21"/>
    </w:rPr>
  </w:style>
  <w:style w:type="paragraph" w:customStyle="1" w:styleId="183">
    <w:name w:val="0章标题"/>
    <w:next w:val="1"/>
    <w:qFormat/>
    <w:uiPriority w:val="0"/>
    <w:pPr>
      <w:numPr>
        <w:ilvl w:val="0"/>
        <w:numId w:val="12"/>
      </w:numPr>
      <w:spacing w:beforeLines="100" w:afterLines="100"/>
      <w:jc w:val="center"/>
      <w:outlineLvl w:val="1"/>
    </w:pPr>
    <w:rPr>
      <w:rFonts w:ascii="黑体" w:hAnsi="黑体" w:eastAsia="黑体" w:cs="Times New Roman"/>
      <w:b/>
      <w:sz w:val="28"/>
      <w:lang w:val="en-US" w:eastAsia="zh-CN" w:bidi="ar-SA"/>
    </w:rPr>
  </w:style>
  <w:style w:type="paragraph" w:customStyle="1" w:styleId="184">
    <w:name w:val="0一级条标题"/>
    <w:next w:val="1"/>
    <w:qFormat/>
    <w:uiPriority w:val="0"/>
    <w:pPr>
      <w:numPr>
        <w:ilvl w:val="1"/>
        <w:numId w:val="12"/>
      </w:numPr>
      <w:spacing w:beforeLines="50" w:afterLines="50"/>
      <w:jc w:val="center"/>
      <w:outlineLvl w:val="2"/>
    </w:pPr>
    <w:rPr>
      <w:rFonts w:ascii="黑体" w:hAnsi="黑体" w:eastAsia="宋体" w:cs="Times New Roman"/>
      <w:b/>
      <w:sz w:val="21"/>
      <w:szCs w:val="21"/>
      <w:lang w:val="en-US" w:eastAsia="zh-CN" w:bidi="ar-SA"/>
    </w:rPr>
  </w:style>
  <w:style w:type="paragraph" w:customStyle="1" w:styleId="185">
    <w:name w:val="0二级条标题"/>
    <w:basedOn w:val="184"/>
    <w:next w:val="1"/>
    <w:qFormat/>
    <w:uiPriority w:val="0"/>
    <w:pPr>
      <w:numPr>
        <w:ilvl w:val="2"/>
        <w:numId w:val="13"/>
      </w:numPr>
      <w:jc w:val="left"/>
      <w:outlineLvl w:val="3"/>
    </w:pPr>
    <w:rPr>
      <w:rFonts w:ascii="Times New Roman" w:hAnsi="Times New Roman"/>
      <w:b w:val="0"/>
    </w:rPr>
  </w:style>
  <w:style w:type="paragraph" w:customStyle="1" w:styleId="186">
    <w:name w:val="0三级条标题"/>
    <w:basedOn w:val="185"/>
    <w:next w:val="1"/>
    <w:qFormat/>
    <w:uiPriority w:val="0"/>
    <w:pPr>
      <w:numPr>
        <w:ilvl w:val="3"/>
        <w:numId w:val="12"/>
      </w:numPr>
      <w:outlineLvl w:val="4"/>
    </w:pPr>
  </w:style>
  <w:style w:type="paragraph" w:customStyle="1" w:styleId="187">
    <w:name w:val="附录图标题"/>
    <w:next w:val="1"/>
    <w:qFormat/>
    <w:uiPriority w:val="0"/>
    <w:pPr>
      <w:numPr>
        <w:ilvl w:val="0"/>
        <w:numId w:val="14"/>
      </w:numPr>
      <w:tabs>
        <w:tab w:val="left" w:pos="360"/>
      </w:tabs>
      <w:jc w:val="center"/>
    </w:pPr>
    <w:rPr>
      <w:rFonts w:ascii="黑体" w:hAnsi="Calibri" w:eastAsia="黑体" w:cs="Times New Roman"/>
      <w:sz w:val="21"/>
      <w:lang w:val="en-US" w:eastAsia="zh-CN" w:bidi="ar-SA"/>
    </w:rPr>
  </w:style>
  <w:style w:type="paragraph" w:customStyle="1" w:styleId="188">
    <w:name w:val="列项◆（三级）"/>
    <w:qFormat/>
    <w:uiPriority w:val="0"/>
    <w:pPr>
      <w:numPr>
        <w:ilvl w:val="0"/>
        <w:numId w:val="11"/>
      </w:numPr>
      <w:tabs>
        <w:tab w:val="left" w:pos="960"/>
      </w:tabs>
      <w:ind w:left="800" w:leftChars="600" w:hanging="200" w:hangingChars="200"/>
    </w:pPr>
    <w:rPr>
      <w:rFonts w:ascii="宋体" w:hAnsi="Calibri" w:eastAsia="宋体" w:cs="Times New Roman"/>
      <w:sz w:val="21"/>
      <w:lang w:val="en-US" w:eastAsia="zh-CN" w:bidi="ar-SA"/>
    </w:rPr>
  </w:style>
  <w:style w:type="paragraph" w:customStyle="1" w:styleId="189">
    <w:name w:val="段"/>
    <w:link w:val="190"/>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190">
    <w:name w:val="段 Char"/>
    <w:link w:val="189"/>
    <w:qFormat/>
    <w:uiPriority w:val="0"/>
    <w:rPr>
      <w:rFonts w:ascii="宋体"/>
      <w:sz w:val="21"/>
    </w:rPr>
  </w:style>
  <w:style w:type="paragraph" w:customStyle="1" w:styleId="191">
    <w:name w:val="章标题"/>
    <w:next w:val="1"/>
    <w:qFormat/>
    <w:uiPriority w:val="0"/>
    <w:pPr>
      <w:numPr>
        <w:ilvl w:val="3"/>
        <w:numId w:val="15"/>
      </w:numPr>
      <w:spacing w:beforeLines="50" w:afterLines="50"/>
      <w:jc w:val="both"/>
      <w:outlineLvl w:val="1"/>
    </w:pPr>
    <w:rPr>
      <w:rFonts w:ascii="黑体" w:hAnsi="Times New Roman" w:eastAsia="黑体" w:cs="Times New Roman"/>
      <w:sz w:val="21"/>
      <w:lang w:val="en-US" w:eastAsia="zh-CN" w:bidi="ar-SA"/>
    </w:rPr>
  </w:style>
  <w:style w:type="paragraph" w:customStyle="1" w:styleId="192">
    <w:name w:val="一级条标题"/>
    <w:basedOn w:val="191"/>
    <w:next w:val="189"/>
    <w:qFormat/>
    <w:uiPriority w:val="0"/>
    <w:pPr>
      <w:numPr>
        <w:ilvl w:val="4"/>
      </w:numPr>
      <w:spacing w:beforeLines="0" w:afterLines="0"/>
      <w:jc w:val="left"/>
      <w:outlineLvl w:val="2"/>
    </w:pPr>
    <w:rPr>
      <w:rFonts w:hAnsi="黑体"/>
    </w:rPr>
  </w:style>
  <w:style w:type="paragraph" w:customStyle="1" w:styleId="193">
    <w:name w:val="二级条标题"/>
    <w:basedOn w:val="192"/>
    <w:next w:val="1"/>
    <w:qFormat/>
    <w:uiPriority w:val="0"/>
    <w:pPr>
      <w:numPr>
        <w:ilvl w:val="5"/>
      </w:numPr>
      <w:outlineLvl w:val="3"/>
    </w:pPr>
  </w:style>
  <w:style w:type="paragraph" w:customStyle="1" w:styleId="194">
    <w:name w:val="三级条标题"/>
    <w:basedOn w:val="193"/>
    <w:next w:val="1"/>
    <w:qFormat/>
    <w:uiPriority w:val="0"/>
    <w:pPr>
      <w:numPr>
        <w:ilvl w:val="6"/>
      </w:numPr>
      <w:tabs>
        <w:tab w:val="left" w:pos="360"/>
      </w:tabs>
      <w:outlineLvl w:val="4"/>
    </w:pPr>
  </w:style>
  <w:style w:type="paragraph" w:customStyle="1" w:styleId="195">
    <w:name w:val="09"/>
    <w:basedOn w:val="1"/>
    <w:qFormat/>
    <w:uiPriority w:val="0"/>
    <w:pPr>
      <w:widowControl w:val="0"/>
      <w:wordWrap/>
      <w:topLinePunct w:val="0"/>
      <w:adjustRightInd/>
      <w:snapToGrid/>
      <w:spacing w:beforeLines="50"/>
      <w:ind w:firstLine="0" w:firstLineChars="0"/>
      <w:jc w:val="center"/>
    </w:pPr>
    <w:rPr>
      <w:rFonts w:ascii="Times New Roman" w:hAnsi="Times New Roman"/>
      <w:kern w:val="2"/>
      <w:sz w:val="21"/>
      <w:szCs w:val="21"/>
    </w:rPr>
  </w:style>
  <w:style w:type="paragraph" w:styleId="196">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97">
    <w:name w:val="模板-正文（2）"/>
    <w:basedOn w:val="1"/>
    <w:link w:val="198"/>
    <w:qFormat/>
    <w:uiPriority w:val="0"/>
    <w:pPr>
      <w:widowControl w:val="0"/>
      <w:wordWrap/>
      <w:topLinePunct w:val="0"/>
      <w:spacing w:beforeLines="50"/>
      <w:ind w:firstLine="720" w:firstLineChars="300"/>
    </w:pPr>
    <w:rPr>
      <w:kern w:val="2"/>
      <w:szCs w:val="24"/>
    </w:rPr>
  </w:style>
  <w:style w:type="character" w:customStyle="1" w:styleId="198">
    <w:name w:val="模板-正文（2） Char"/>
    <w:link w:val="197"/>
    <w:qFormat/>
    <w:uiPriority w:val="0"/>
    <w:rPr>
      <w:rFonts w:ascii="宋体" w:hAnsi="宋体"/>
      <w:kern w:val="2"/>
      <w:sz w:val="24"/>
      <w:szCs w:val="24"/>
    </w:rPr>
  </w:style>
  <w:style w:type="paragraph" w:customStyle="1" w:styleId="199">
    <w:name w:val="a"/>
    <w:basedOn w:val="1"/>
    <w:qFormat/>
    <w:uiPriority w:val="0"/>
    <w:pPr>
      <w:wordWrap/>
      <w:topLinePunct w:val="0"/>
      <w:adjustRightInd/>
      <w:snapToGrid/>
      <w:spacing w:beforeLines="50" w:beforeAutospacing="1" w:after="100" w:afterAutospacing="1"/>
      <w:ind w:firstLine="0" w:firstLineChars="0"/>
      <w:jc w:val="left"/>
    </w:pPr>
    <w:rPr>
      <w:rFonts w:cs="宋体"/>
      <w:szCs w:val="24"/>
    </w:rPr>
  </w:style>
  <w:style w:type="character" w:customStyle="1" w:styleId="200">
    <w:name w:val="标题 Char1"/>
    <w:qFormat/>
    <w:uiPriority w:val="10"/>
    <w:rPr>
      <w:rFonts w:ascii="Calibri Light" w:hAnsi="Calibri Light" w:eastAsia="宋体" w:cs="Times New Roman"/>
      <w:b/>
      <w:bCs/>
      <w:sz w:val="32"/>
      <w:szCs w:val="32"/>
    </w:rPr>
  </w:style>
  <w:style w:type="paragraph" w:customStyle="1" w:styleId="201">
    <w:name w:val="表格文字"/>
    <w:qFormat/>
    <w:uiPriority w:val="0"/>
    <w:pPr>
      <w:spacing w:line="360" w:lineRule="auto"/>
    </w:pPr>
    <w:rPr>
      <w:rFonts w:ascii="Calibri" w:hAnsi="Calibri" w:eastAsia="宋体" w:cs="黑体"/>
      <w:kern w:val="2"/>
      <w:sz w:val="18"/>
      <w:szCs w:val="22"/>
      <w:lang w:val="en-US" w:eastAsia="zh-CN" w:bidi="ar-SA"/>
    </w:rPr>
  </w:style>
  <w:style w:type="paragraph" w:customStyle="1" w:styleId="202">
    <w:name w:val="表题与图题"/>
    <w:next w:val="1"/>
    <w:qFormat/>
    <w:uiPriority w:val="0"/>
    <w:pPr>
      <w:spacing w:line="400" w:lineRule="exact"/>
      <w:jc w:val="center"/>
    </w:pPr>
    <w:rPr>
      <w:rFonts w:ascii="Times New Roman" w:hAnsi="Times New Roman" w:eastAsia="宋体" w:cs="Times New Roman"/>
      <w:b/>
      <w:sz w:val="21"/>
      <w:lang w:val="en-US" w:eastAsia="zh-CN" w:bidi="ar-SA"/>
    </w:rPr>
  </w:style>
  <w:style w:type="paragraph" w:customStyle="1" w:styleId="203">
    <w:name w:val="条文"/>
    <w:qFormat/>
    <w:uiPriority w:val="0"/>
    <w:pPr>
      <w:tabs>
        <w:tab w:val="left" w:pos="337"/>
      </w:tabs>
      <w:spacing w:line="360" w:lineRule="auto"/>
      <w:ind w:left="284"/>
    </w:pPr>
    <w:rPr>
      <w:rFonts w:ascii="Calibri" w:hAnsi="Calibri" w:eastAsia="宋体" w:cs="黑体"/>
      <w:kern w:val="2"/>
      <w:sz w:val="21"/>
      <w:szCs w:val="22"/>
      <w:lang w:val="en-US" w:eastAsia="zh-CN" w:bidi="ar-SA"/>
    </w:rPr>
  </w:style>
  <w:style w:type="paragraph" w:customStyle="1" w:styleId="204">
    <w:name w:val="表头"/>
    <w:basedOn w:val="205"/>
    <w:link w:val="206"/>
    <w:qFormat/>
    <w:uiPriority w:val="0"/>
    <w:rPr>
      <w:b/>
    </w:rPr>
  </w:style>
  <w:style w:type="paragraph" w:customStyle="1" w:styleId="205">
    <w:name w:val="表"/>
    <w:basedOn w:val="1"/>
    <w:qFormat/>
    <w:uiPriority w:val="0"/>
    <w:pPr>
      <w:wordWrap/>
      <w:topLinePunct w:val="0"/>
      <w:spacing w:beforeLines="50" w:line="240" w:lineRule="atLeast"/>
      <w:ind w:firstLine="0" w:firstLineChars="0"/>
      <w:jc w:val="center"/>
    </w:pPr>
    <w:rPr>
      <w:rFonts w:ascii="Times New Roman" w:hAnsi="Times New Roman"/>
      <w:bCs/>
      <w:color w:val="000000"/>
      <w:sz w:val="18"/>
      <w:szCs w:val="18"/>
    </w:rPr>
  </w:style>
  <w:style w:type="character" w:customStyle="1" w:styleId="206">
    <w:name w:val="表头 字符"/>
    <w:link w:val="204"/>
    <w:qFormat/>
    <w:uiPriority w:val="0"/>
    <w:rPr>
      <w:b/>
      <w:bCs/>
      <w:color w:val="000000"/>
      <w:sz w:val="18"/>
      <w:szCs w:val="18"/>
    </w:rPr>
  </w:style>
  <w:style w:type="paragraph" w:customStyle="1" w:styleId="207">
    <w:name w:val="标准书脚_奇数页"/>
    <w:qFormat/>
    <w:uiPriority w:val="0"/>
    <w:pPr>
      <w:spacing w:before="120" w:line="0" w:lineRule="atLeast"/>
      <w:ind w:firstLine="200" w:firstLineChars="200"/>
      <w:jc w:val="right"/>
    </w:pPr>
    <w:rPr>
      <w:rFonts w:ascii="Times New Roman" w:hAnsi="Times New Roman" w:eastAsia="宋体" w:cs="Times New Roman"/>
      <w:sz w:val="18"/>
      <w:lang w:val="en-US" w:eastAsia="zh-CN" w:bidi="ar-SA"/>
    </w:rPr>
  </w:style>
  <w:style w:type="paragraph" w:customStyle="1" w:styleId="208">
    <w:name w:val="封面正文"/>
    <w:qFormat/>
    <w:uiPriority w:val="0"/>
    <w:pPr>
      <w:jc w:val="both"/>
    </w:pPr>
    <w:rPr>
      <w:rFonts w:ascii="Times New Roman" w:hAnsi="Times New Roman" w:eastAsia="宋体" w:cs="Times New Roman"/>
      <w:lang w:val="en-US" w:eastAsia="zh-CN" w:bidi="ar-SA"/>
    </w:rPr>
  </w:style>
  <w:style w:type="paragraph" w:customStyle="1" w:styleId="209">
    <w:name w:val="其他发布部门"/>
    <w:basedOn w:val="210"/>
    <w:qFormat/>
    <w:uiPriority w:val="0"/>
    <w:pPr>
      <w:framePr w:wrap="around"/>
      <w:spacing w:line="0" w:lineRule="atLeast"/>
    </w:pPr>
    <w:rPr>
      <w:rFonts w:ascii="黑体" w:eastAsia="黑体"/>
      <w:b w:val="0"/>
    </w:rPr>
  </w:style>
  <w:style w:type="paragraph" w:customStyle="1" w:styleId="210">
    <w:name w:val="发布部门"/>
    <w:next w:val="189"/>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character" w:customStyle="1" w:styleId="211">
    <w:name w:val="发布"/>
    <w:qFormat/>
    <w:uiPriority w:val="0"/>
    <w:rPr>
      <w:rFonts w:ascii="黑体" w:eastAsia="黑体"/>
      <w:spacing w:val="22"/>
      <w:w w:val="100"/>
      <w:position w:val="3"/>
      <w:sz w:val="28"/>
    </w:rPr>
  </w:style>
  <w:style w:type="paragraph" w:customStyle="1" w:styleId="212">
    <w:name w:val="实施日期"/>
    <w:basedOn w:val="213"/>
    <w:qFormat/>
    <w:uiPriority w:val="0"/>
    <w:pPr>
      <w:framePr w:hSpace="0" w:wrap="around" w:xAlign="right"/>
      <w:numPr>
        <w:ilvl w:val="4"/>
        <w:numId w:val="16"/>
      </w:numPr>
      <w:jc w:val="right"/>
    </w:pPr>
  </w:style>
  <w:style w:type="paragraph" w:customStyle="1" w:styleId="213">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21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1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16">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17">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21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19">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220">
    <w:name w:val="标准书眉一"/>
    <w:qFormat/>
    <w:uiPriority w:val="0"/>
    <w:pPr>
      <w:jc w:val="both"/>
    </w:pPr>
    <w:rPr>
      <w:rFonts w:ascii="Times New Roman" w:hAnsi="Times New Roman" w:eastAsia="宋体" w:cs="Times New Roman"/>
      <w:lang w:val="en-US" w:eastAsia="zh-CN" w:bidi="ar-SA"/>
    </w:rPr>
  </w:style>
  <w:style w:type="character" w:customStyle="1" w:styleId="221">
    <w:name w:val="font11"/>
    <w:qFormat/>
    <w:uiPriority w:val="0"/>
    <w:rPr>
      <w:rFonts w:hint="eastAsia" w:ascii="宋体" w:hAnsi="宋体" w:eastAsia="宋体" w:cs="宋体"/>
      <w:color w:val="000000"/>
      <w:sz w:val="15"/>
      <w:szCs w:val="15"/>
      <w:u w:val="none"/>
    </w:rPr>
  </w:style>
  <w:style w:type="character" w:customStyle="1" w:styleId="222">
    <w:name w:val="font31"/>
    <w:qFormat/>
    <w:uiPriority w:val="0"/>
    <w:rPr>
      <w:rFonts w:hint="eastAsia" w:ascii="宋体" w:hAnsi="宋体" w:eastAsia="宋体" w:cs="宋体"/>
      <w:color w:val="FF0000"/>
      <w:sz w:val="15"/>
      <w:szCs w:val="15"/>
      <w:u w:val="none"/>
    </w:rPr>
  </w:style>
  <w:style w:type="character" w:customStyle="1" w:styleId="223">
    <w:name w:val="font21"/>
    <w:qFormat/>
    <w:uiPriority w:val="0"/>
    <w:rPr>
      <w:rFonts w:hint="eastAsia" w:ascii="宋体" w:hAnsi="宋体" w:eastAsia="宋体" w:cs="宋体"/>
      <w:color w:val="000000"/>
      <w:sz w:val="15"/>
      <w:szCs w:val="15"/>
      <w:u w:val="none"/>
    </w:rPr>
  </w:style>
  <w:style w:type="paragraph" w:customStyle="1" w:styleId="224">
    <w:name w:val="Table Paragraph"/>
    <w:basedOn w:val="1"/>
    <w:qFormat/>
    <w:uiPriority w:val="1"/>
    <w:pPr>
      <w:widowControl w:val="0"/>
      <w:wordWrap/>
      <w:topLinePunct w:val="0"/>
      <w:adjustRightInd/>
      <w:snapToGrid/>
      <w:spacing w:afterLines="0" w:line="240" w:lineRule="auto"/>
      <w:ind w:firstLine="0" w:firstLineChars="0"/>
      <w:jc w:val="left"/>
    </w:pPr>
    <w:rPr>
      <w:rFonts w:ascii="Calibri" w:hAnsi="Calibri"/>
      <w:sz w:val="22"/>
      <w:szCs w:val="22"/>
      <w:lang w:eastAsia="en-US"/>
    </w:rPr>
  </w:style>
  <w:style w:type="character" w:customStyle="1" w:styleId="225">
    <w:name w:val="c-font-big"/>
    <w:qFormat/>
    <w:uiPriority w:val="0"/>
  </w:style>
  <w:style w:type="character" w:customStyle="1" w:styleId="226">
    <w:name w:val="个人答复风格"/>
    <w:qFormat/>
    <w:uiPriority w:val="0"/>
    <w:rPr>
      <w:rFonts w:ascii="Arial" w:hAnsi="Arial" w:eastAsia="宋体" w:cs="Arial"/>
      <w:color w:val="auto"/>
      <w:sz w:val="20"/>
    </w:rPr>
  </w:style>
  <w:style w:type="character" w:customStyle="1" w:styleId="227">
    <w:name w:val="一级条标题 字符"/>
    <w:qFormat/>
    <w:uiPriority w:val="0"/>
    <w:rPr>
      <w:rFonts w:hint="eastAsia" w:ascii="黑体" w:hAnsi="Times New Roman" w:eastAsia="黑体" w:cs="Times New Roman"/>
      <w:kern w:val="0"/>
      <w:szCs w:val="21"/>
    </w:rPr>
  </w:style>
  <w:style w:type="character" w:customStyle="1" w:styleId="228">
    <w:name w:val="个人撰写风格"/>
    <w:qFormat/>
    <w:uiPriority w:val="0"/>
    <w:rPr>
      <w:rFonts w:ascii="Arial" w:hAnsi="Arial" w:eastAsia="宋体" w:cs="Arial"/>
      <w:color w:val="auto"/>
      <w:sz w:val="20"/>
    </w:rPr>
  </w:style>
  <w:style w:type="character" w:customStyle="1" w:styleId="229">
    <w:name w:val="正文文本 字符2"/>
    <w:qFormat/>
    <w:uiPriority w:val="0"/>
    <w:rPr>
      <w:kern w:val="2"/>
      <w:sz w:val="21"/>
    </w:rPr>
  </w:style>
  <w:style w:type="character" w:customStyle="1" w:styleId="230">
    <w:name w:val="正文文本 字符1"/>
    <w:qFormat/>
    <w:uiPriority w:val="0"/>
    <w:rPr>
      <w:kern w:val="2"/>
      <w:sz w:val="21"/>
    </w:rPr>
  </w:style>
  <w:style w:type="character" w:customStyle="1" w:styleId="231">
    <w:name w:val="二级 字符"/>
    <w:qFormat/>
    <w:uiPriority w:val="0"/>
  </w:style>
  <w:style w:type="character" w:customStyle="1" w:styleId="232">
    <w:name w:val="字母编号列项（一级） Char"/>
    <w:link w:val="233"/>
    <w:qFormat/>
    <w:uiPriority w:val="0"/>
    <w:rPr>
      <w:rFonts w:ascii="宋体"/>
    </w:rPr>
  </w:style>
  <w:style w:type="paragraph" w:customStyle="1" w:styleId="233">
    <w:name w:val="字母编号列项（一级）"/>
    <w:link w:val="232"/>
    <w:qFormat/>
    <w:uiPriority w:val="0"/>
    <w:pPr>
      <w:ind w:left="840" w:leftChars="200" w:hanging="420" w:hangingChars="200"/>
      <w:jc w:val="both"/>
    </w:pPr>
    <w:rPr>
      <w:rFonts w:ascii="宋体" w:hAnsi="Times New Roman" w:eastAsia="宋体" w:cs="Times New Roman"/>
      <w:lang w:val="en-US" w:eastAsia="zh-CN" w:bidi="ar-SA"/>
    </w:rPr>
  </w:style>
  <w:style w:type="paragraph" w:customStyle="1" w:styleId="234">
    <w:name w:val="font9"/>
    <w:basedOn w:val="1"/>
    <w:qFormat/>
    <w:uiPriority w:val="0"/>
    <w:pPr>
      <w:wordWrap/>
      <w:topLinePunct w:val="0"/>
      <w:adjustRightInd/>
      <w:snapToGrid/>
      <w:spacing w:beforeAutospacing="1" w:afterLines="0" w:afterAutospacing="1" w:line="240" w:lineRule="auto"/>
      <w:ind w:firstLine="0" w:firstLineChars="0"/>
      <w:jc w:val="left"/>
    </w:pPr>
    <w:rPr>
      <w:rFonts w:ascii="Calibri" w:hAnsi="Calibri" w:cs="宋体"/>
      <w:sz w:val="22"/>
      <w:szCs w:val="22"/>
    </w:rPr>
  </w:style>
  <w:style w:type="paragraph" w:customStyle="1" w:styleId="235">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236">
    <w:name w:val="标准书眉_偶数页"/>
    <w:basedOn w:val="219"/>
    <w:next w:val="1"/>
    <w:qFormat/>
    <w:uiPriority w:val="0"/>
    <w:pPr>
      <w:spacing w:after="120"/>
      <w:jc w:val="left"/>
    </w:pPr>
    <w:rPr>
      <w:rFonts w:ascii="Calibri" w:hAnsi="Calibri" w:eastAsia="宋体"/>
      <w:szCs w:val="20"/>
    </w:rPr>
  </w:style>
  <w:style w:type="paragraph" w:customStyle="1" w:styleId="237">
    <w:name w:val="附录二级条标题"/>
    <w:basedOn w:val="238"/>
    <w:next w:val="189"/>
    <w:qFormat/>
    <w:uiPriority w:val="0"/>
    <w:pPr>
      <w:outlineLvl w:val="3"/>
    </w:pPr>
  </w:style>
  <w:style w:type="paragraph" w:customStyle="1" w:styleId="238">
    <w:name w:val="附录一级条标题"/>
    <w:basedOn w:val="239"/>
    <w:next w:val="189"/>
    <w:qFormat/>
    <w:uiPriority w:val="0"/>
    <w:pPr>
      <w:autoSpaceDN w:val="0"/>
      <w:spacing w:beforeLines="0" w:afterLines="0"/>
      <w:outlineLvl w:val="2"/>
    </w:pPr>
  </w:style>
  <w:style w:type="paragraph" w:customStyle="1" w:styleId="239">
    <w:name w:val="附录章标题"/>
    <w:next w:val="189"/>
    <w:qFormat/>
    <w:uiPriority w:val="0"/>
    <w:pPr>
      <w:wordWrap w:val="0"/>
      <w:overflowPunct w:val="0"/>
      <w:autoSpaceDE w:val="0"/>
      <w:spacing w:beforeLines="50" w:afterLines="50"/>
      <w:jc w:val="both"/>
      <w:textAlignment w:val="baseline"/>
      <w:outlineLvl w:val="1"/>
    </w:pPr>
    <w:rPr>
      <w:rFonts w:ascii="黑体" w:hAnsi="Calibri" w:eastAsia="黑体" w:cs="Times New Roman"/>
      <w:kern w:val="21"/>
      <w:sz w:val="21"/>
      <w:lang w:val="en-US" w:eastAsia="zh-CN" w:bidi="ar-SA"/>
    </w:rPr>
  </w:style>
  <w:style w:type="paragraph" w:customStyle="1" w:styleId="240">
    <w:name w:val="xl68"/>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center"/>
    </w:pPr>
    <w:rPr>
      <w:rFonts w:cs="宋体"/>
      <w:szCs w:val="24"/>
    </w:rPr>
  </w:style>
  <w:style w:type="paragraph" w:customStyle="1" w:styleId="241">
    <w:name w:val="注×："/>
    <w:qFormat/>
    <w:uiPriority w:val="0"/>
    <w:pPr>
      <w:widowControl w:val="0"/>
      <w:tabs>
        <w:tab w:val="left" w:pos="630"/>
      </w:tabs>
      <w:autoSpaceDE w:val="0"/>
      <w:autoSpaceDN w:val="0"/>
      <w:ind w:left="900" w:hanging="500"/>
      <w:jc w:val="both"/>
    </w:pPr>
    <w:rPr>
      <w:rFonts w:ascii="宋体" w:hAnsi="Calibri" w:eastAsia="宋体" w:cs="Times New Roman"/>
      <w:sz w:val="18"/>
      <w:lang w:val="en-US" w:eastAsia="zh-CN" w:bidi="ar-SA"/>
    </w:rPr>
  </w:style>
  <w:style w:type="paragraph" w:customStyle="1" w:styleId="242">
    <w:name w:val="xl72"/>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left"/>
    </w:pPr>
    <w:rPr>
      <w:rFonts w:cs="宋体"/>
      <w:color w:val="FF0000"/>
      <w:sz w:val="22"/>
      <w:szCs w:val="22"/>
    </w:rPr>
  </w:style>
  <w:style w:type="paragraph" w:customStyle="1" w:styleId="243">
    <w:name w:val="其他发布日期"/>
    <w:basedOn w:val="1"/>
    <w:qFormat/>
    <w:uiPriority w:val="0"/>
    <w:pPr>
      <w:framePr w:w="3997" w:h="471" w:hRule="exact" w:vSpace="181" w:wrap="around" w:vAnchor="page" w:hAnchor="page" w:x="1419" w:y="14097" w:anchorLock="1"/>
      <w:wordWrap/>
      <w:topLinePunct w:val="0"/>
      <w:adjustRightInd/>
      <w:snapToGrid/>
      <w:spacing w:afterLines="0" w:line="240" w:lineRule="auto"/>
      <w:ind w:firstLine="0" w:firstLineChars="0"/>
      <w:jc w:val="left"/>
    </w:pPr>
    <w:rPr>
      <w:rFonts w:ascii="Calibri" w:hAnsi="Calibri" w:eastAsia="黑体"/>
      <w:sz w:val="28"/>
    </w:rPr>
  </w:style>
  <w:style w:type="paragraph" w:customStyle="1" w:styleId="244">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245">
    <w:name w:val="xl70"/>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left"/>
    </w:pPr>
    <w:rPr>
      <w:rFonts w:cs="宋体"/>
      <w:szCs w:val="24"/>
    </w:rPr>
  </w:style>
  <w:style w:type="paragraph" w:customStyle="1" w:styleId="246">
    <w:name w:val="标准书脚_偶数页"/>
    <w:qFormat/>
    <w:uiPriority w:val="0"/>
    <w:pPr>
      <w:spacing w:before="120"/>
    </w:pPr>
    <w:rPr>
      <w:rFonts w:ascii="Calibri" w:hAnsi="Calibri" w:eastAsia="宋体" w:cs="Times New Roman"/>
      <w:sz w:val="18"/>
      <w:lang w:val="en-US" w:eastAsia="zh-CN" w:bidi="ar-SA"/>
    </w:rPr>
  </w:style>
  <w:style w:type="paragraph" w:customStyle="1" w:styleId="247">
    <w:name w:val="附录五级条标题"/>
    <w:basedOn w:val="248"/>
    <w:next w:val="189"/>
    <w:qFormat/>
    <w:uiPriority w:val="0"/>
    <w:pPr>
      <w:outlineLvl w:val="6"/>
    </w:pPr>
  </w:style>
  <w:style w:type="paragraph" w:customStyle="1" w:styleId="248">
    <w:name w:val="附录四级条标题"/>
    <w:basedOn w:val="249"/>
    <w:next w:val="189"/>
    <w:qFormat/>
    <w:uiPriority w:val="0"/>
    <w:pPr>
      <w:outlineLvl w:val="5"/>
    </w:pPr>
  </w:style>
  <w:style w:type="paragraph" w:customStyle="1" w:styleId="249">
    <w:name w:val="附录三级条标题"/>
    <w:basedOn w:val="237"/>
    <w:next w:val="189"/>
    <w:qFormat/>
    <w:uiPriority w:val="0"/>
    <w:pPr>
      <w:outlineLvl w:val="4"/>
    </w:pPr>
  </w:style>
  <w:style w:type="paragraph" w:customStyle="1" w:styleId="250">
    <w:name w:val="xl71"/>
    <w:basedOn w:val="1"/>
    <w:qFormat/>
    <w:uiPriority w:val="0"/>
    <w:pPr>
      <w:pBdr>
        <w:top w:val="single" w:color="auto" w:sz="4" w:space="0"/>
        <w:left w:val="single" w:color="auto" w:sz="4" w:space="0"/>
        <w:bottom w:val="single" w:color="auto" w:sz="4" w:space="0"/>
        <w:right w:val="single" w:color="auto" w:sz="4" w:space="0"/>
      </w:pBdr>
      <w:shd w:val="clear" w:color="000000" w:fill="FFFF00"/>
      <w:wordWrap/>
      <w:topLinePunct w:val="0"/>
      <w:adjustRightInd/>
      <w:snapToGrid/>
      <w:spacing w:beforeAutospacing="1" w:afterLines="0" w:afterAutospacing="1" w:line="240" w:lineRule="auto"/>
      <w:ind w:firstLine="0" w:firstLineChars="0"/>
      <w:jc w:val="left"/>
    </w:pPr>
    <w:rPr>
      <w:rFonts w:cs="宋体"/>
      <w:color w:val="FF0000"/>
      <w:sz w:val="22"/>
      <w:szCs w:val="22"/>
    </w:rPr>
  </w:style>
  <w:style w:type="paragraph" w:customStyle="1" w:styleId="251">
    <w:name w:val="列表段落1"/>
    <w:basedOn w:val="1"/>
    <w:qFormat/>
    <w:uiPriority w:val="0"/>
    <w:pPr>
      <w:widowControl w:val="0"/>
      <w:wordWrap/>
      <w:topLinePunct w:val="0"/>
      <w:adjustRightInd/>
      <w:snapToGrid/>
      <w:spacing w:afterLines="0" w:line="240" w:lineRule="auto"/>
      <w:ind w:firstLine="420"/>
    </w:pPr>
    <w:rPr>
      <w:rFonts w:ascii="Calibri" w:hAnsi="Calibri"/>
      <w:kern w:val="2"/>
      <w:sz w:val="21"/>
      <w:szCs w:val="22"/>
    </w:rPr>
  </w:style>
  <w:style w:type="paragraph" w:customStyle="1" w:styleId="252">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253">
    <w:name w:val="附录表标题"/>
    <w:next w:val="189"/>
    <w:qFormat/>
    <w:uiPriority w:val="0"/>
    <w:pPr>
      <w:tabs>
        <w:tab w:val="left" w:pos="0"/>
        <w:tab w:val="left" w:pos="360"/>
      </w:tabs>
      <w:jc w:val="center"/>
      <w:textAlignment w:val="baseline"/>
    </w:pPr>
    <w:rPr>
      <w:rFonts w:ascii="黑体" w:hAnsi="Calibri" w:eastAsia="黑体" w:cs="Times New Roman"/>
      <w:kern w:val="21"/>
      <w:sz w:val="21"/>
      <w:lang w:val="en-US" w:eastAsia="zh-CN" w:bidi="ar-SA"/>
    </w:rPr>
  </w:style>
  <w:style w:type="paragraph" w:customStyle="1" w:styleId="254">
    <w:name w:val="xl67"/>
    <w:basedOn w:val="1"/>
    <w:qFormat/>
    <w:uiPriority w:val="0"/>
    <w:pPr>
      <w:wordWrap/>
      <w:topLinePunct w:val="0"/>
      <w:adjustRightInd/>
      <w:snapToGrid/>
      <w:spacing w:beforeAutospacing="1" w:afterLines="0" w:afterAutospacing="1" w:line="240" w:lineRule="auto"/>
      <w:ind w:firstLine="0" w:firstLineChars="0"/>
      <w:jc w:val="left"/>
    </w:pPr>
    <w:rPr>
      <w:rFonts w:cs="宋体"/>
      <w:szCs w:val="24"/>
    </w:rPr>
  </w:style>
  <w:style w:type="paragraph" w:customStyle="1" w:styleId="255">
    <w:name w:val="参考文献、索引标题"/>
    <w:basedOn w:val="256"/>
    <w:next w:val="1"/>
    <w:qFormat/>
    <w:uiPriority w:val="0"/>
    <w:pPr>
      <w:numPr>
        <w:numId w:val="0"/>
      </w:numPr>
      <w:spacing w:after="200"/>
    </w:pPr>
    <w:rPr>
      <w:sz w:val="21"/>
    </w:rPr>
  </w:style>
  <w:style w:type="paragraph" w:customStyle="1" w:styleId="256">
    <w:name w:val="前言、引言标题"/>
    <w:next w:val="1"/>
    <w:qFormat/>
    <w:uiPriority w:val="0"/>
    <w:pPr>
      <w:numPr>
        <w:ilvl w:val="0"/>
        <w:numId w:val="15"/>
      </w:numPr>
      <w:shd w:val="clear" w:color="FFFFFF" w:fill="FFFFFF"/>
      <w:spacing w:before="640" w:after="560"/>
      <w:jc w:val="center"/>
      <w:outlineLvl w:val="0"/>
    </w:pPr>
    <w:rPr>
      <w:rFonts w:ascii="黑体" w:hAnsi="Calibri" w:eastAsia="黑体" w:cs="Times New Roman"/>
      <w:sz w:val="32"/>
      <w:lang w:val="en-US" w:eastAsia="zh-CN" w:bidi="ar-SA"/>
    </w:rPr>
  </w:style>
  <w:style w:type="paragraph" w:customStyle="1" w:styleId="257">
    <w:name w:val="四级条标题"/>
    <w:basedOn w:val="194"/>
    <w:next w:val="189"/>
    <w:qFormat/>
    <w:uiPriority w:val="0"/>
    <w:pPr>
      <w:numPr>
        <w:ilvl w:val="0"/>
        <w:numId w:val="0"/>
      </w:numPr>
      <w:tabs>
        <w:tab w:val="clear" w:pos="360"/>
      </w:tabs>
      <w:outlineLvl w:val="5"/>
    </w:pPr>
    <w:rPr>
      <w:rFonts w:ascii="Calibri" w:hAnsi="Calibri"/>
    </w:rPr>
  </w:style>
  <w:style w:type="paragraph" w:customStyle="1" w:styleId="258">
    <w:name w:val="二级标题"/>
    <w:basedOn w:val="107"/>
    <w:qFormat/>
    <w:uiPriority w:val="0"/>
    <w:pPr>
      <w:widowControl w:val="0"/>
      <w:numPr>
        <w:ilvl w:val="1"/>
        <w:numId w:val="16"/>
      </w:numPr>
      <w:tabs>
        <w:tab w:val="clear" w:pos="993"/>
      </w:tabs>
      <w:adjustRightInd/>
      <w:snapToGrid/>
      <w:spacing w:afterLines="0" w:line="240" w:lineRule="auto"/>
      <w:ind w:left="840"/>
      <w:jc w:val="left"/>
    </w:pPr>
    <w:rPr>
      <w:rFonts w:cs="Times New Roman"/>
      <w:bCs/>
      <w:kern w:val="2"/>
      <w:sz w:val="32"/>
      <w:szCs w:val="28"/>
    </w:rPr>
  </w:style>
  <w:style w:type="paragraph" w:customStyle="1" w:styleId="259">
    <w:name w:val="终结线"/>
    <w:basedOn w:val="1"/>
    <w:qFormat/>
    <w:uiPriority w:val="0"/>
    <w:pPr>
      <w:framePr w:hSpace="181" w:vSpace="181" w:wrap="around" w:vAnchor="text" w:hAnchor="margin" w:xAlign="center" w:y="285"/>
      <w:widowControl w:val="0"/>
      <w:wordWrap/>
      <w:topLinePunct w:val="0"/>
      <w:adjustRightInd/>
      <w:snapToGrid/>
      <w:spacing w:afterLines="0" w:line="240" w:lineRule="auto"/>
      <w:ind w:firstLine="0" w:firstLineChars="0"/>
    </w:pPr>
    <w:rPr>
      <w:rFonts w:ascii="Calibri" w:hAnsi="Calibri"/>
      <w:kern w:val="2"/>
      <w:sz w:val="21"/>
      <w:szCs w:val="24"/>
    </w:rPr>
  </w:style>
  <w:style w:type="paragraph" w:customStyle="1" w:styleId="260">
    <w:name w:val="封面标准号1"/>
    <w:qFormat/>
    <w:uiPriority w:val="0"/>
    <w:pPr>
      <w:widowControl w:val="0"/>
      <w:kinsoku w:val="0"/>
      <w:overflowPunct w:val="0"/>
      <w:autoSpaceDE w:val="0"/>
      <w:autoSpaceDN w:val="0"/>
      <w:spacing w:before="308"/>
      <w:jc w:val="right"/>
      <w:textAlignment w:val="center"/>
    </w:pPr>
    <w:rPr>
      <w:rFonts w:ascii="Calibri" w:hAnsi="Calibri" w:eastAsia="宋体" w:cs="Times New Roman"/>
      <w:sz w:val="28"/>
      <w:lang w:val="en-US" w:eastAsia="zh-CN" w:bidi="ar-SA"/>
    </w:rPr>
  </w:style>
  <w:style w:type="paragraph" w:customStyle="1" w:styleId="261">
    <w:name w:val="正文表标题"/>
    <w:next w:val="189"/>
    <w:qFormat/>
    <w:uiPriority w:val="0"/>
    <w:pPr>
      <w:jc w:val="center"/>
    </w:pPr>
    <w:rPr>
      <w:rFonts w:ascii="黑体" w:hAnsi="Calibri" w:eastAsia="黑体" w:cs="Times New Roman"/>
      <w:sz w:val="21"/>
      <w:lang w:val="en-US" w:eastAsia="zh-CN" w:bidi="ar-SA"/>
    </w:rPr>
  </w:style>
  <w:style w:type="paragraph" w:customStyle="1" w:styleId="262">
    <w:name w:val="xl69"/>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center"/>
    </w:pPr>
    <w:rPr>
      <w:rFonts w:cs="宋体"/>
      <w:szCs w:val="24"/>
    </w:rPr>
  </w:style>
  <w:style w:type="paragraph" w:customStyle="1" w:styleId="26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Calibri" w:eastAsia="宋体" w:cs="Times New Roman"/>
      <w:b/>
      <w:bCs/>
      <w:spacing w:val="20"/>
      <w:w w:val="148"/>
      <w:sz w:val="52"/>
      <w:lang w:val="en-US" w:eastAsia="zh-CN" w:bidi="ar-SA"/>
    </w:rPr>
  </w:style>
  <w:style w:type="paragraph" w:customStyle="1" w:styleId="264">
    <w:name w:val="示例"/>
    <w:next w:val="189"/>
    <w:qFormat/>
    <w:uiPriority w:val="0"/>
    <w:pPr>
      <w:tabs>
        <w:tab w:val="left" w:pos="816"/>
      </w:tabs>
      <w:ind w:firstLine="419" w:firstLineChars="233"/>
      <w:jc w:val="both"/>
    </w:pPr>
    <w:rPr>
      <w:rFonts w:ascii="宋体" w:hAnsi="Calibri" w:eastAsia="宋体" w:cs="Times New Roman"/>
      <w:sz w:val="18"/>
      <w:lang w:val="en-US" w:eastAsia="zh-CN" w:bidi="ar-SA"/>
    </w:rPr>
  </w:style>
  <w:style w:type="paragraph" w:customStyle="1" w:styleId="265">
    <w:name w:val="WPSOffice手动目录 1"/>
    <w:qFormat/>
    <w:uiPriority w:val="0"/>
    <w:rPr>
      <w:rFonts w:ascii="Calibri" w:hAnsi="Calibri" w:eastAsia="宋体" w:cs="Times New Roman"/>
      <w:lang w:val="en-US" w:eastAsia="zh-CN" w:bidi="ar-SA"/>
    </w:rPr>
  </w:style>
  <w:style w:type="paragraph" w:customStyle="1" w:styleId="266">
    <w:name w:val="font8"/>
    <w:basedOn w:val="1"/>
    <w:qFormat/>
    <w:uiPriority w:val="0"/>
    <w:pPr>
      <w:wordWrap/>
      <w:topLinePunct w:val="0"/>
      <w:adjustRightInd/>
      <w:snapToGrid/>
      <w:spacing w:beforeAutospacing="1" w:afterLines="0" w:afterAutospacing="1" w:line="240" w:lineRule="auto"/>
      <w:ind w:firstLine="0" w:firstLineChars="0"/>
      <w:jc w:val="left"/>
    </w:pPr>
    <w:rPr>
      <w:rFonts w:ascii="Calibri" w:hAnsi="Calibri" w:cs="宋体"/>
      <w:sz w:val="18"/>
      <w:szCs w:val="18"/>
    </w:rPr>
  </w:style>
  <w:style w:type="paragraph" w:customStyle="1" w:styleId="267">
    <w:name w:val="封面标准代替信息"/>
    <w:basedOn w:val="268"/>
    <w:qFormat/>
    <w:uiPriority w:val="0"/>
    <w:pPr>
      <w:framePr w:wrap="around"/>
      <w:spacing w:before="57"/>
    </w:pPr>
    <w:rPr>
      <w:rFonts w:ascii="宋体"/>
      <w:sz w:val="21"/>
    </w:rPr>
  </w:style>
  <w:style w:type="paragraph" w:customStyle="1" w:styleId="268">
    <w:name w:val="封面标准号2"/>
    <w:basedOn w:val="260"/>
    <w:qFormat/>
    <w:uiPriority w:val="0"/>
    <w:pPr>
      <w:framePr w:w="9138" w:h="1244" w:hRule="exact" w:wrap="around" w:vAnchor="page" w:hAnchor="margin" w:y="2908"/>
      <w:adjustRightInd w:val="0"/>
      <w:spacing w:before="357" w:line="280" w:lineRule="exact"/>
    </w:pPr>
  </w:style>
  <w:style w:type="paragraph" w:customStyle="1" w:styleId="269">
    <w:name w:val="xl75"/>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center"/>
    </w:pPr>
    <w:rPr>
      <w:rFonts w:cs="宋体"/>
      <w:szCs w:val="24"/>
    </w:rPr>
  </w:style>
  <w:style w:type="paragraph" w:customStyle="1" w:styleId="270">
    <w:name w:val="WPSOffice手动目录 2"/>
    <w:qFormat/>
    <w:uiPriority w:val="0"/>
    <w:pPr>
      <w:ind w:left="200" w:leftChars="200"/>
    </w:pPr>
    <w:rPr>
      <w:rFonts w:ascii="Calibri" w:hAnsi="Calibri" w:eastAsia="宋体" w:cs="Times New Roman"/>
      <w:lang w:val="en-US" w:eastAsia="zh-CN" w:bidi="ar-SA"/>
    </w:rPr>
  </w:style>
  <w:style w:type="paragraph" w:customStyle="1" w:styleId="271">
    <w:name w:val="font10"/>
    <w:basedOn w:val="1"/>
    <w:qFormat/>
    <w:uiPriority w:val="0"/>
    <w:pPr>
      <w:wordWrap/>
      <w:topLinePunct w:val="0"/>
      <w:adjustRightInd/>
      <w:snapToGrid/>
      <w:spacing w:beforeAutospacing="1" w:afterLines="0" w:afterAutospacing="1" w:line="240" w:lineRule="auto"/>
      <w:ind w:firstLine="0" w:firstLineChars="0"/>
      <w:jc w:val="left"/>
    </w:pPr>
    <w:rPr>
      <w:rFonts w:ascii="Calibri" w:hAnsi="Calibri" w:cs="宋体"/>
      <w:szCs w:val="24"/>
    </w:rPr>
  </w:style>
  <w:style w:type="paragraph" w:customStyle="1" w:styleId="272">
    <w:name w:val="xl73"/>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left"/>
    </w:pPr>
    <w:rPr>
      <w:rFonts w:cs="宋体"/>
      <w:color w:val="5B9BD5"/>
      <w:sz w:val="22"/>
      <w:szCs w:val="22"/>
    </w:rPr>
  </w:style>
  <w:style w:type="paragraph" w:customStyle="1" w:styleId="273">
    <w:name w:val="font5"/>
    <w:basedOn w:val="1"/>
    <w:qFormat/>
    <w:uiPriority w:val="0"/>
    <w:pPr>
      <w:wordWrap/>
      <w:topLinePunct w:val="0"/>
      <w:adjustRightInd/>
      <w:snapToGrid/>
      <w:spacing w:beforeAutospacing="1" w:afterLines="0" w:afterAutospacing="1" w:line="240" w:lineRule="auto"/>
      <w:ind w:firstLine="0" w:firstLineChars="0"/>
      <w:jc w:val="left"/>
    </w:pPr>
    <w:rPr>
      <w:rFonts w:ascii="Calibri" w:hAnsi="Calibri" w:cs="宋体"/>
      <w:sz w:val="18"/>
      <w:szCs w:val="18"/>
    </w:rPr>
  </w:style>
  <w:style w:type="paragraph" w:customStyle="1" w:styleId="274">
    <w:name w:val="五级条标题"/>
    <w:basedOn w:val="257"/>
    <w:next w:val="189"/>
    <w:qFormat/>
    <w:uiPriority w:val="0"/>
    <w:pPr>
      <w:outlineLvl w:val="6"/>
    </w:pPr>
  </w:style>
  <w:style w:type="paragraph" w:customStyle="1" w:styleId="275">
    <w:name w:val="font7"/>
    <w:basedOn w:val="1"/>
    <w:qFormat/>
    <w:uiPriority w:val="0"/>
    <w:pPr>
      <w:wordWrap/>
      <w:topLinePunct w:val="0"/>
      <w:adjustRightInd/>
      <w:snapToGrid/>
      <w:spacing w:beforeAutospacing="1" w:afterLines="0" w:afterAutospacing="1" w:line="240" w:lineRule="auto"/>
      <w:ind w:firstLine="0" w:firstLineChars="0"/>
      <w:jc w:val="left"/>
    </w:pPr>
    <w:rPr>
      <w:rFonts w:ascii="Calibri" w:hAnsi="Calibri" w:cs="宋体"/>
      <w:sz w:val="18"/>
      <w:szCs w:val="18"/>
    </w:rPr>
  </w:style>
  <w:style w:type="paragraph" w:customStyle="1" w:styleId="276">
    <w:name w:val="编号列项（三级）"/>
    <w:qFormat/>
    <w:uiPriority w:val="0"/>
    <w:pPr>
      <w:ind w:left="800" w:leftChars="600" w:hanging="200" w:hangingChars="200"/>
    </w:pPr>
    <w:rPr>
      <w:rFonts w:ascii="宋体" w:hAnsi="Calibri" w:eastAsia="宋体" w:cs="Times New Roman"/>
      <w:sz w:val="21"/>
      <w:lang w:val="en-US" w:eastAsia="zh-CN" w:bidi="ar-SA"/>
    </w:rPr>
  </w:style>
  <w:style w:type="paragraph" w:customStyle="1" w:styleId="277">
    <w:name w:val="xl79"/>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center"/>
    </w:pPr>
    <w:rPr>
      <w:rFonts w:cs="宋体"/>
      <w:sz w:val="22"/>
      <w:szCs w:val="22"/>
    </w:rPr>
  </w:style>
  <w:style w:type="paragraph" w:customStyle="1" w:styleId="278">
    <w:name w:val="列项●（二级）"/>
    <w:qFormat/>
    <w:uiPriority w:val="0"/>
    <w:pPr>
      <w:numPr>
        <w:ilvl w:val="0"/>
        <w:numId w:val="17"/>
      </w:numPr>
      <w:tabs>
        <w:tab w:val="left" w:pos="760"/>
        <w:tab w:val="left" w:pos="840"/>
      </w:tabs>
      <w:ind w:left="600" w:leftChars="400" w:hanging="200" w:hangingChars="200"/>
      <w:jc w:val="both"/>
    </w:pPr>
    <w:rPr>
      <w:rFonts w:ascii="宋体" w:hAnsi="Calibri" w:eastAsia="宋体" w:cs="Times New Roman"/>
      <w:sz w:val="21"/>
      <w:lang w:val="en-US" w:eastAsia="zh-CN" w:bidi="ar-SA"/>
    </w:rPr>
  </w:style>
  <w:style w:type="paragraph" w:customStyle="1" w:styleId="279">
    <w:name w:val="xl76"/>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center"/>
    </w:pPr>
    <w:rPr>
      <w:rFonts w:cs="宋体"/>
      <w:szCs w:val="24"/>
    </w:rPr>
  </w:style>
  <w:style w:type="paragraph" w:customStyle="1" w:styleId="280">
    <w:name w:val="msonormal"/>
    <w:basedOn w:val="1"/>
    <w:qFormat/>
    <w:uiPriority w:val="0"/>
    <w:pPr>
      <w:wordWrap/>
      <w:topLinePunct w:val="0"/>
      <w:adjustRightInd/>
      <w:snapToGrid/>
      <w:spacing w:beforeAutospacing="1" w:afterLines="0" w:afterAutospacing="1" w:line="240" w:lineRule="auto"/>
      <w:ind w:firstLine="0" w:firstLineChars="0"/>
      <w:jc w:val="left"/>
    </w:pPr>
    <w:rPr>
      <w:rFonts w:cs="宋体"/>
      <w:szCs w:val="24"/>
    </w:rPr>
  </w:style>
  <w:style w:type="paragraph" w:customStyle="1" w:styleId="281">
    <w:name w:val="font6"/>
    <w:basedOn w:val="1"/>
    <w:qFormat/>
    <w:uiPriority w:val="0"/>
    <w:pPr>
      <w:wordWrap/>
      <w:topLinePunct w:val="0"/>
      <w:adjustRightInd/>
      <w:snapToGrid/>
      <w:spacing w:beforeAutospacing="1" w:afterLines="0" w:afterAutospacing="1" w:line="240" w:lineRule="auto"/>
      <w:ind w:firstLine="0" w:firstLineChars="0"/>
      <w:jc w:val="left"/>
    </w:pPr>
    <w:rPr>
      <w:rFonts w:ascii="Calibri" w:hAnsi="Calibri" w:cs="宋体"/>
      <w:sz w:val="18"/>
      <w:szCs w:val="18"/>
    </w:rPr>
  </w:style>
  <w:style w:type="paragraph" w:customStyle="1" w:styleId="282">
    <w:name w:val="列项——（一级）"/>
    <w:qFormat/>
    <w:uiPriority w:val="0"/>
    <w:pPr>
      <w:widowControl w:val="0"/>
      <w:numPr>
        <w:ilvl w:val="0"/>
        <w:numId w:val="18"/>
      </w:numPr>
      <w:tabs>
        <w:tab w:val="left" w:pos="854"/>
      </w:tabs>
      <w:ind w:left="200" w:leftChars="200" w:hanging="200" w:hangingChars="200"/>
      <w:jc w:val="both"/>
    </w:pPr>
    <w:rPr>
      <w:rFonts w:ascii="宋体" w:hAnsi="Calibri" w:eastAsia="宋体" w:cs="Times New Roman"/>
      <w:sz w:val="21"/>
      <w:lang w:val="en-US" w:eastAsia="zh-CN" w:bidi="ar-SA"/>
    </w:rPr>
  </w:style>
  <w:style w:type="paragraph" w:customStyle="1" w:styleId="283">
    <w:name w:val="图表脚注"/>
    <w:next w:val="189"/>
    <w:qFormat/>
    <w:uiPriority w:val="0"/>
    <w:pPr>
      <w:jc w:val="both"/>
    </w:pPr>
    <w:rPr>
      <w:rFonts w:ascii="宋体" w:hAnsi="Calibri" w:eastAsia="宋体" w:cs="Times New Roman"/>
      <w:sz w:val="18"/>
      <w:lang w:val="en-US" w:eastAsia="zh-CN" w:bidi="ar-SA"/>
    </w:rPr>
  </w:style>
  <w:style w:type="paragraph" w:customStyle="1" w:styleId="284">
    <w:name w:val="xl77"/>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left"/>
    </w:pPr>
    <w:rPr>
      <w:rFonts w:cs="宋体"/>
      <w:szCs w:val="24"/>
    </w:rPr>
  </w:style>
  <w:style w:type="paragraph" w:customStyle="1" w:styleId="285">
    <w:name w:val="数字编号列项（二级）"/>
    <w:qFormat/>
    <w:uiPriority w:val="0"/>
    <w:pPr>
      <w:ind w:left="1260" w:leftChars="400" w:hanging="420" w:hangingChars="200"/>
      <w:jc w:val="both"/>
    </w:pPr>
    <w:rPr>
      <w:rFonts w:ascii="宋体" w:hAnsi="Calibri" w:eastAsia="宋体" w:cs="Times New Roman"/>
      <w:sz w:val="21"/>
      <w:lang w:val="en-US" w:eastAsia="zh-CN" w:bidi="ar-SA"/>
    </w:rPr>
  </w:style>
  <w:style w:type="paragraph" w:customStyle="1" w:styleId="286">
    <w:name w:val="附录标识"/>
    <w:basedOn w:val="256"/>
    <w:qFormat/>
    <w:uiPriority w:val="0"/>
    <w:pPr>
      <w:numPr>
        <w:numId w:val="0"/>
      </w:numPr>
      <w:tabs>
        <w:tab w:val="left" w:pos="6405"/>
      </w:tabs>
      <w:spacing w:after="200"/>
    </w:pPr>
    <w:rPr>
      <w:sz w:val="21"/>
    </w:rPr>
  </w:style>
  <w:style w:type="paragraph" w:customStyle="1" w:styleId="287">
    <w:name w:val="xl80"/>
    <w:basedOn w:val="1"/>
    <w:qFormat/>
    <w:uiPriority w:val="0"/>
    <w:pPr>
      <w:pBdr>
        <w:top w:val="single" w:color="auto" w:sz="4" w:space="0"/>
        <w:left w:val="single" w:color="auto" w:sz="4" w:space="0"/>
        <w:bottom w:val="single" w:color="auto" w:sz="4" w:space="0"/>
        <w:right w:val="single" w:color="auto" w:sz="4" w:space="0"/>
      </w:pBdr>
      <w:shd w:val="clear" w:color="000000" w:fill="FFFF00"/>
      <w:wordWrap/>
      <w:topLinePunct w:val="0"/>
      <w:adjustRightInd/>
      <w:snapToGrid/>
      <w:spacing w:beforeAutospacing="1" w:afterLines="0" w:afterAutospacing="1" w:line="240" w:lineRule="auto"/>
      <w:ind w:firstLine="0" w:firstLineChars="0"/>
      <w:jc w:val="left"/>
    </w:pPr>
    <w:rPr>
      <w:rFonts w:cs="宋体"/>
      <w:szCs w:val="24"/>
    </w:rPr>
  </w:style>
  <w:style w:type="paragraph" w:customStyle="1" w:styleId="288">
    <w:name w:val="xl81"/>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center"/>
    </w:pPr>
    <w:rPr>
      <w:rFonts w:cs="宋体"/>
      <w:szCs w:val="24"/>
    </w:rPr>
  </w:style>
  <w:style w:type="paragraph" w:customStyle="1" w:styleId="289">
    <w:name w:val="其他实施日期"/>
    <w:basedOn w:val="1"/>
    <w:qFormat/>
    <w:uiPriority w:val="0"/>
    <w:pPr>
      <w:framePr w:w="3997" w:h="471" w:hRule="exact" w:vSpace="181" w:wrap="around" w:vAnchor="page" w:hAnchor="page" w:x="7089" w:y="14097" w:anchorLock="1"/>
      <w:wordWrap/>
      <w:topLinePunct w:val="0"/>
      <w:adjustRightInd/>
      <w:snapToGrid/>
      <w:spacing w:afterLines="0" w:line="240" w:lineRule="auto"/>
      <w:ind w:firstLine="0" w:firstLineChars="0"/>
      <w:jc w:val="right"/>
    </w:pPr>
    <w:rPr>
      <w:rFonts w:ascii="Calibri" w:hAnsi="Calibri" w:eastAsia="黑体"/>
      <w:sz w:val="28"/>
    </w:rPr>
  </w:style>
  <w:style w:type="paragraph" w:customStyle="1" w:styleId="290">
    <w:name w:val="xl78"/>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left"/>
    </w:pPr>
    <w:rPr>
      <w:rFonts w:cs="宋体"/>
      <w:sz w:val="22"/>
      <w:szCs w:val="22"/>
    </w:rPr>
  </w:style>
  <w:style w:type="paragraph" w:customStyle="1" w:styleId="291">
    <w:name w:val="文献分类号"/>
    <w:qFormat/>
    <w:uiPriority w:val="0"/>
    <w:pPr>
      <w:framePr w:hSpace="180" w:vSpace="180" w:wrap="around" w:vAnchor="margin" w:hAnchor="margin" w:y="1" w:anchorLock="1"/>
      <w:widowControl w:val="0"/>
      <w:textAlignment w:val="center"/>
    </w:pPr>
    <w:rPr>
      <w:rFonts w:ascii="Calibri" w:hAnsi="Calibri" w:eastAsia="黑体" w:cs="Times New Roman"/>
      <w:sz w:val="21"/>
      <w:lang w:val="en-US" w:eastAsia="zh-CN" w:bidi="ar-SA"/>
    </w:rPr>
  </w:style>
  <w:style w:type="paragraph" w:customStyle="1" w:styleId="292">
    <w:name w:val="条文脚注"/>
    <w:basedOn w:val="40"/>
    <w:qFormat/>
    <w:uiPriority w:val="0"/>
    <w:pPr>
      <w:spacing w:beforeLines="0" w:afterLines="0" w:line="240" w:lineRule="auto"/>
      <w:ind w:left="780" w:leftChars="200" w:hanging="360" w:hangingChars="200"/>
      <w:jc w:val="both"/>
    </w:pPr>
    <w:rPr>
      <w:rFonts w:ascii="宋体" w:hAnsi="Calibri"/>
    </w:rPr>
  </w:style>
  <w:style w:type="paragraph" w:customStyle="1" w:styleId="293">
    <w:name w:val="目次、标准名称标题"/>
    <w:basedOn w:val="256"/>
    <w:next w:val="189"/>
    <w:qFormat/>
    <w:uiPriority w:val="0"/>
    <w:pPr>
      <w:numPr>
        <w:numId w:val="0"/>
      </w:numPr>
      <w:spacing w:line="460" w:lineRule="exact"/>
    </w:pPr>
  </w:style>
  <w:style w:type="paragraph" w:customStyle="1" w:styleId="294">
    <w:name w:val="注："/>
    <w:next w:val="189"/>
    <w:qFormat/>
    <w:uiPriority w:val="0"/>
    <w:pPr>
      <w:widowControl w:val="0"/>
      <w:autoSpaceDE w:val="0"/>
      <w:autoSpaceDN w:val="0"/>
      <w:ind w:left="840" w:hanging="420"/>
      <w:jc w:val="both"/>
    </w:pPr>
    <w:rPr>
      <w:rFonts w:ascii="宋体" w:hAnsi="Calibri" w:eastAsia="宋体" w:cs="Times New Roman"/>
      <w:sz w:val="18"/>
      <w:lang w:val="en-US" w:eastAsia="zh-CN" w:bidi="ar-SA"/>
    </w:rPr>
  </w:style>
  <w:style w:type="paragraph" w:customStyle="1" w:styleId="295">
    <w:name w:val="xl74"/>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left"/>
    </w:pPr>
    <w:rPr>
      <w:rFonts w:cs="宋体"/>
      <w:szCs w:val="24"/>
    </w:rPr>
  </w:style>
  <w:style w:type="paragraph" w:customStyle="1" w:styleId="296">
    <w:name w:val="正文图标题"/>
    <w:next w:val="189"/>
    <w:qFormat/>
    <w:uiPriority w:val="0"/>
    <w:pPr>
      <w:jc w:val="center"/>
    </w:pPr>
    <w:rPr>
      <w:rFonts w:ascii="黑体" w:hAnsi="Calibri" w:eastAsia="黑体" w:cs="Times New Roman"/>
      <w:sz w:val="21"/>
      <w:lang w:val="en-US" w:eastAsia="zh-CN" w:bidi="ar-SA"/>
    </w:rPr>
  </w:style>
  <w:style w:type="paragraph" w:customStyle="1" w:styleId="297">
    <w:name w:val="Default Text"/>
    <w:basedOn w:val="1"/>
    <w:qFormat/>
    <w:uiPriority w:val="0"/>
    <w:pPr>
      <w:widowControl w:val="0"/>
      <w:wordWrap/>
      <w:topLinePunct w:val="0"/>
      <w:autoSpaceDE w:val="0"/>
      <w:autoSpaceDN w:val="0"/>
      <w:snapToGrid/>
      <w:spacing w:afterLines="0" w:line="240" w:lineRule="auto"/>
      <w:ind w:firstLine="0" w:firstLineChars="0"/>
      <w:jc w:val="left"/>
    </w:pPr>
    <w:rPr>
      <w:rFonts w:hAnsi="Calibri"/>
      <w:szCs w:val="24"/>
    </w:rPr>
  </w:style>
  <w:style w:type="character" w:customStyle="1" w:styleId="298">
    <w:name w:val="附录公式 Char"/>
    <w:link w:val="299"/>
    <w:qFormat/>
    <w:uiPriority w:val="0"/>
    <w:rPr>
      <w:rFonts w:ascii="Calibri" w:hAnsi="Calibri"/>
      <w:kern w:val="2"/>
      <w:sz w:val="21"/>
      <w:szCs w:val="22"/>
    </w:rPr>
  </w:style>
  <w:style w:type="paragraph" w:customStyle="1" w:styleId="299">
    <w:name w:val="附录公式"/>
    <w:basedOn w:val="189"/>
    <w:next w:val="189"/>
    <w:link w:val="298"/>
    <w:qFormat/>
    <w:uiPriority w:val="0"/>
    <w:pPr>
      <w:tabs>
        <w:tab w:val="center" w:pos="4201"/>
        <w:tab w:val="right" w:leader="dot" w:pos="9298"/>
      </w:tabs>
      <w:ind w:firstLine="420"/>
    </w:pPr>
    <w:rPr>
      <w:rFonts w:ascii="Calibri" w:hAnsi="Calibri"/>
      <w:kern w:val="2"/>
      <w:szCs w:val="22"/>
    </w:rPr>
  </w:style>
  <w:style w:type="character" w:customStyle="1" w:styleId="300">
    <w:name w:val="首示例 Char"/>
    <w:link w:val="301"/>
    <w:qFormat/>
    <w:uiPriority w:val="0"/>
    <w:rPr>
      <w:rFonts w:ascii="宋体" w:hAnsi="宋体"/>
      <w:sz w:val="18"/>
      <w:szCs w:val="18"/>
    </w:rPr>
  </w:style>
  <w:style w:type="paragraph" w:customStyle="1" w:styleId="301">
    <w:name w:val="首示例"/>
    <w:next w:val="189"/>
    <w:link w:val="300"/>
    <w:qFormat/>
    <w:uiPriority w:val="0"/>
    <w:pPr>
      <w:numPr>
        <w:ilvl w:val="0"/>
        <w:numId w:val="19"/>
      </w:numPr>
      <w:tabs>
        <w:tab w:val="left" w:pos="360"/>
      </w:tabs>
      <w:ind w:firstLine="0"/>
    </w:pPr>
    <w:rPr>
      <w:rFonts w:ascii="宋体" w:hAnsi="宋体" w:eastAsia="宋体" w:cs="Times New Roman"/>
      <w:sz w:val="18"/>
      <w:szCs w:val="18"/>
      <w:lang w:val="en-US" w:eastAsia="zh-CN" w:bidi="ar-SA"/>
    </w:rPr>
  </w:style>
  <w:style w:type="paragraph" w:customStyle="1" w:styleId="302">
    <w:name w:val="注×：（正文）"/>
    <w:qFormat/>
    <w:uiPriority w:val="0"/>
    <w:pPr>
      <w:numPr>
        <w:ilvl w:val="0"/>
        <w:numId w:val="20"/>
      </w:numPr>
      <w:jc w:val="both"/>
    </w:pPr>
    <w:rPr>
      <w:rFonts w:ascii="宋体" w:hAnsi="Times New Roman" w:eastAsia="宋体" w:cs="Times New Roman"/>
      <w:sz w:val="18"/>
      <w:szCs w:val="18"/>
      <w:lang w:val="en-US" w:eastAsia="zh-CN" w:bidi="ar-SA"/>
    </w:rPr>
  </w:style>
  <w:style w:type="paragraph" w:customStyle="1" w:styleId="303">
    <w:name w:val="附录标题"/>
    <w:basedOn w:val="189"/>
    <w:next w:val="189"/>
    <w:qFormat/>
    <w:uiPriority w:val="0"/>
    <w:pPr>
      <w:tabs>
        <w:tab w:val="center" w:pos="4201"/>
        <w:tab w:val="right" w:leader="dot" w:pos="9298"/>
      </w:tabs>
      <w:ind w:firstLine="0" w:firstLineChars="0"/>
      <w:jc w:val="center"/>
    </w:pPr>
    <w:rPr>
      <w:rFonts w:ascii="黑体" w:eastAsia="黑体"/>
    </w:rPr>
  </w:style>
  <w:style w:type="paragraph" w:customStyle="1" w:styleId="304">
    <w:name w:val="封面标准文稿编辑信息2"/>
    <w:basedOn w:val="216"/>
    <w:qFormat/>
    <w:uiPriority w:val="0"/>
    <w:pPr>
      <w:framePr w:w="9639" w:h="6917" w:hRule="exact" w:wrap="around" w:vAnchor="page" w:hAnchor="page" w:xAlign="center" w:y="4469" w:anchorLock="1"/>
      <w:widowControl w:val="0"/>
      <w:spacing w:after="160"/>
      <w:textAlignment w:val="center"/>
    </w:pPr>
    <w:rPr>
      <w:szCs w:val="28"/>
    </w:rPr>
  </w:style>
  <w:style w:type="paragraph" w:customStyle="1" w:styleId="305">
    <w:name w:val="图的脚注"/>
    <w:next w:val="189"/>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306">
    <w:name w:val="附录二级无"/>
    <w:basedOn w:val="237"/>
    <w:qFormat/>
    <w:uiPriority w:val="0"/>
    <w:pPr>
      <w:tabs>
        <w:tab w:val="left" w:pos="360"/>
      </w:tabs>
    </w:pPr>
    <w:rPr>
      <w:rFonts w:ascii="宋体" w:hAnsi="Times New Roman" w:eastAsia="宋体"/>
      <w:szCs w:val="21"/>
    </w:rPr>
  </w:style>
  <w:style w:type="paragraph" w:customStyle="1" w:styleId="307">
    <w:name w:val="示例内容"/>
    <w:qFormat/>
    <w:uiPriority w:val="0"/>
    <w:pPr>
      <w:ind w:firstLine="200" w:firstLineChars="200"/>
    </w:pPr>
    <w:rPr>
      <w:rFonts w:ascii="宋体" w:hAnsi="Times New Roman" w:eastAsia="宋体" w:cs="Times New Roman"/>
      <w:sz w:val="18"/>
      <w:szCs w:val="18"/>
      <w:lang w:val="en-US" w:eastAsia="zh-CN" w:bidi="ar-SA"/>
    </w:rPr>
  </w:style>
  <w:style w:type="paragraph" w:customStyle="1" w:styleId="308">
    <w:name w:val="二级无"/>
    <w:basedOn w:val="193"/>
    <w:qFormat/>
    <w:uiPriority w:val="0"/>
    <w:pPr>
      <w:numPr>
        <w:ilvl w:val="2"/>
      </w:numPr>
      <w:ind w:left="3969"/>
    </w:pPr>
    <w:rPr>
      <w:rFonts w:ascii="宋体" w:hAnsi="Times New Roman" w:eastAsia="宋体"/>
      <w:szCs w:val="21"/>
    </w:rPr>
  </w:style>
  <w:style w:type="paragraph" w:customStyle="1" w:styleId="309">
    <w:name w:val="参考文献"/>
    <w:basedOn w:val="1"/>
    <w:next w:val="189"/>
    <w:qFormat/>
    <w:uiPriority w:val="0"/>
    <w:pPr>
      <w:keepNext/>
      <w:pageBreakBefore/>
      <w:shd w:val="clear" w:color="FFFFFF" w:fill="FFFFFF"/>
      <w:wordWrap/>
      <w:topLinePunct w:val="0"/>
      <w:adjustRightInd/>
      <w:snapToGrid/>
      <w:spacing w:afterLines="0" w:line="240" w:lineRule="auto"/>
      <w:ind w:firstLine="0" w:firstLineChars="0"/>
      <w:jc w:val="center"/>
      <w:outlineLvl w:val="0"/>
    </w:pPr>
    <w:rPr>
      <w:rFonts w:ascii="黑体" w:hAnsi="Times New Roman" w:eastAsia="黑体"/>
      <w:sz w:val="21"/>
    </w:rPr>
  </w:style>
  <w:style w:type="paragraph" w:customStyle="1" w:styleId="310">
    <w:name w:val="注：（正文）"/>
    <w:basedOn w:val="294"/>
    <w:next w:val="189"/>
    <w:qFormat/>
    <w:uiPriority w:val="0"/>
    <w:pPr>
      <w:numPr>
        <w:ilvl w:val="0"/>
        <w:numId w:val="21"/>
      </w:numPr>
    </w:pPr>
    <w:rPr>
      <w:rFonts w:hAnsi="Times New Roman"/>
      <w:szCs w:val="18"/>
    </w:rPr>
  </w:style>
  <w:style w:type="paragraph" w:customStyle="1" w:styleId="311">
    <w:name w:val="封面标准名称2"/>
    <w:basedOn w:val="214"/>
    <w:qFormat/>
    <w:uiPriority w:val="0"/>
    <w:pPr>
      <w:framePr w:w="9639" w:wrap="around" w:vAnchor="page" w:hAnchor="page" w:y="4469"/>
      <w:spacing w:beforeLines="630"/>
    </w:pPr>
  </w:style>
  <w:style w:type="paragraph" w:customStyle="1" w:styleId="312">
    <w:name w:val="附录表标号"/>
    <w:basedOn w:val="1"/>
    <w:next w:val="189"/>
    <w:qFormat/>
    <w:uiPriority w:val="0"/>
    <w:pPr>
      <w:widowControl w:val="0"/>
      <w:wordWrap/>
      <w:topLinePunct w:val="0"/>
      <w:adjustRightInd/>
      <w:snapToGrid/>
      <w:spacing w:afterLines="0" w:line="14" w:lineRule="exact"/>
      <w:ind w:left="811" w:hanging="448" w:firstLineChars="0"/>
      <w:jc w:val="center"/>
      <w:outlineLvl w:val="0"/>
    </w:pPr>
    <w:rPr>
      <w:rFonts w:ascii="Times New Roman" w:hAnsi="Times New Roman"/>
      <w:color w:val="FFFFFF"/>
      <w:kern w:val="2"/>
      <w:sz w:val="21"/>
      <w:szCs w:val="24"/>
    </w:rPr>
  </w:style>
  <w:style w:type="paragraph" w:customStyle="1" w:styleId="313">
    <w:name w:val="列项说明"/>
    <w:basedOn w:val="1"/>
    <w:qFormat/>
    <w:uiPriority w:val="0"/>
    <w:pPr>
      <w:widowControl w:val="0"/>
      <w:wordWrap/>
      <w:topLinePunct w:val="0"/>
      <w:snapToGrid/>
      <w:spacing w:afterLines="0" w:line="320" w:lineRule="exact"/>
      <w:ind w:left="400" w:leftChars="200" w:hanging="200" w:hangingChars="200"/>
      <w:jc w:val="left"/>
      <w:textAlignment w:val="baseline"/>
    </w:pPr>
    <w:rPr>
      <w:rFonts w:hAnsi="Times New Roman"/>
      <w:sz w:val="21"/>
    </w:rPr>
  </w:style>
  <w:style w:type="paragraph" w:customStyle="1" w:styleId="314">
    <w:name w:val="示例×："/>
    <w:basedOn w:val="191"/>
    <w:qFormat/>
    <w:uiPriority w:val="0"/>
    <w:pPr>
      <w:numPr>
        <w:ilvl w:val="0"/>
        <w:numId w:val="22"/>
      </w:numPr>
      <w:spacing w:beforeLines="0" w:afterLines="0"/>
      <w:outlineLvl w:val="9"/>
    </w:pPr>
    <w:rPr>
      <w:rFonts w:ascii="宋体" w:eastAsia="宋体"/>
      <w:b/>
      <w:sz w:val="18"/>
      <w:szCs w:val="18"/>
    </w:rPr>
  </w:style>
  <w:style w:type="paragraph" w:customStyle="1" w:styleId="315">
    <w:name w:val="正文公式编号制表符"/>
    <w:basedOn w:val="189"/>
    <w:next w:val="189"/>
    <w:qFormat/>
    <w:uiPriority w:val="0"/>
    <w:pPr>
      <w:tabs>
        <w:tab w:val="center" w:pos="4201"/>
        <w:tab w:val="right" w:leader="dot" w:pos="9298"/>
      </w:tabs>
      <w:ind w:firstLine="0" w:firstLineChars="0"/>
    </w:pPr>
  </w:style>
  <w:style w:type="paragraph" w:customStyle="1" w:styleId="316">
    <w:name w:val="封面标准文稿类别2"/>
    <w:basedOn w:val="215"/>
    <w:qFormat/>
    <w:uiPriority w:val="0"/>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317">
    <w:name w:val="封面一致性程度标识2"/>
    <w:basedOn w:val="235"/>
    <w:qFormat/>
    <w:uiPriority w:val="0"/>
    <w:pPr>
      <w:framePr w:w="9639" w:h="6917" w:hRule="exact" w:wrap="around" w:vAnchor="page" w:hAnchor="page" w:xAlign="center" w:y="4469" w:anchorLock="1"/>
      <w:widowControl w:val="0"/>
      <w:textAlignment w:val="center"/>
    </w:pPr>
    <w:rPr>
      <w:rFonts w:hAnsi="Times New Roman"/>
      <w:szCs w:val="28"/>
    </w:rPr>
  </w:style>
  <w:style w:type="paragraph" w:customStyle="1" w:styleId="318">
    <w:name w:val="附录图标号"/>
    <w:basedOn w:val="1"/>
    <w:qFormat/>
    <w:uiPriority w:val="0"/>
    <w:pPr>
      <w:keepNext/>
      <w:pageBreakBefore/>
      <w:wordWrap/>
      <w:topLinePunct w:val="0"/>
      <w:adjustRightInd/>
      <w:snapToGrid/>
      <w:spacing w:afterLines="0" w:line="14" w:lineRule="exact"/>
      <w:ind w:firstLine="363" w:firstLineChars="0"/>
      <w:jc w:val="center"/>
      <w:outlineLvl w:val="0"/>
    </w:pPr>
    <w:rPr>
      <w:rFonts w:ascii="Times New Roman" w:hAnsi="Times New Roman"/>
      <w:color w:val="FFFFFF"/>
      <w:kern w:val="2"/>
      <w:sz w:val="21"/>
      <w:szCs w:val="24"/>
    </w:rPr>
  </w:style>
  <w:style w:type="paragraph" w:customStyle="1" w:styleId="319">
    <w:name w:val="附录公式编号制表符"/>
    <w:basedOn w:val="1"/>
    <w:next w:val="189"/>
    <w:qFormat/>
    <w:uiPriority w:val="0"/>
    <w:pPr>
      <w:tabs>
        <w:tab w:val="center" w:pos="4201"/>
        <w:tab w:val="right" w:leader="dot" w:pos="9298"/>
      </w:tabs>
      <w:wordWrap/>
      <w:topLinePunct w:val="0"/>
      <w:autoSpaceDE w:val="0"/>
      <w:autoSpaceDN w:val="0"/>
      <w:adjustRightInd/>
      <w:snapToGrid/>
      <w:spacing w:afterLines="0" w:line="240" w:lineRule="auto"/>
      <w:ind w:firstLine="0" w:firstLineChars="0"/>
    </w:pPr>
    <w:rPr>
      <w:rFonts w:hAnsi="Times New Roman"/>
      <w:sz w:val="21"/>
    </w:rPr>
  </w:style>
  <w:style w:type="paragraph" w:customStyle="1" w:styleId="320">
    <w:name w:val="附录三级无"/>
    <w:basedOn w:val="249"/>
    <w:qFormat/>
    <w:uiPriority w:val="0"/>
    <w:rPr>
      <w:rFonts w:ascii="宋体" w:hAnsi="Times New Roman" w:eastAsia="宋体"/>
      <w:szCs w:val="21"/>
    </w:rPr>
  </w:style>
  <w:style w:type="paragraph" w:customStyle="1" w:styleId="321">
    <w:name w:val="附录数字编号列项（二级）"/>
    <w:qFormat/>
    <w:uiPriority w:val="0"/>
    <w:pPr>
      <w:numPr>
        <w:ilvl w:val="1"/>
        <w:numId w:val="23"/>
      </w:numPr>
    </w:pPr>
    <w:rPr>
      <w:rFonts w:ascii="宋体" w:hAnsi="Times New Roman" w:eastAsia="宋体" w:cs="Times New Roman"/>
      <w:sz w:val="21"/>
      <w:lang w:val="en-US" w:eastAsia="zh-CN" w:bidi="ar-SA"/>
    </w:rPr>
  </w:style>
  <w:style w:type="paragraph" w:customStyle="1" w:styleId="322">
    <w:name w:val="附录四级无"/>
    <w:basedOn w:val="248"/>
    <w:qFormat/>
    <w:uiPriority w:val="0"/>
    <w:pPr>
      <w:tabs>
        <w:tab w:val="left" w:pos="360"/>
      </w:tabs>
    </w:pPr>
    <w:rPr>
      <w:rFonts w:ascii="宋体" w:hAnsi="Times New Roman" w:eastAsia="宋体"/>
      <w:szCs w:val="21"/>
    </w:rPr>
  </w:style>
  <w:style w:type="paragraph" w:customStyle="1" w:styleId="323">
    <w:name w:val="附录一级无"/>
    <w:basedOn w:val="238"/>
    <w:qFormat/>
    <w:uiPriority w:val="0"/>
    <w:pPr>
      <w:tabs>
        <w:tab w:val="left" w:pos="360"/>
      </w:tabs>
    </w:pPr>
    <w:rPr>
      <w:rFonts w:ascii="宋体" w:hAnsi="Times New Roman" w:eastAsia="宋体"/>
      <w:szCs w:val="21"/>
    </w:rPr>
  </w:style>
  <w:style w:type="paragraph" w:customStyle="1" w:styleId="324">
    <w:name w:val="附录五级无"/>
    <w:basedOn w:val="247"/>
    <w:qFormat/>
    <w:uiPriority w:val="0"/>
    <w:rPr>
      <w:rFonts w:ascii="宋体" w:hAnsi="Times New Roman" w:eastAsia="宋体"/>
      <w:szCs w:val="21"/>
    </w:rPr>
  </w:style>
  <w:style w:type="paragraph" w:customStyle="1" w:styleId="325">
    <w:name w:val="其他标准标志"/>
    <w:basedOn w:val="217"/>
    <w:qFormat/>
    <w:uiPriority w:val="0"/>
    <w:pPr>
      <w:framePr w:w="6101" w:h="1389" w:hRule="exact" w:hSpace="181" w:vSpace="181" w:wrap="around" w:vAnchor="page" w:hAnchor="page" w:x="4673" w:y="942"/>
    </w:pPr>
    <w:rPr>
      <w:szCs w:val="96"/>
    </w:rPr>
  </w:style>
  <w:style w:type="paragraph" w:customStyle="1" w:styleId="326">
    <w:name w:val="五级无"/>
    <w:basedOn w:val="274"/>
    <w:qFormat/>
    <w:uiPriority w:val="0"/>
    <w:pPr>
      <w:ind w:left="3360" w:hanging="420"/>
    </w:pPr>
    <w:rPr>
      <w:rFonts w:ascii="宋体" w:hAnsi="Times New Roman" w:eastAsia="宋体"/>
      <w:szCs w:val="21"/>
    </w:rPr>
  </w:style>
  <w:style w:type="paragraph" w:customStyle="1" w:styleId="327">
    <w:name w:val="示例后文字"/>
    <w:basedOn w:val="189"/>
    <w:next w:val="189"/>
    <w:qFormat/>
    <w:uiPriority w:val="0"/>
    <w:pPr>
      <w:tabs>
        <w:tab w:val="center" w:pos="4201"/>
        <w:tab w:val="right" w:leader="dot" w:pos="9298"/>
      </w:tabs>
      <w:ind w:firstLine="360"/>
    </w:pPr>
    <w:rPr>
      <w:sz w:val="18"/>
    </w:rPr>
  </w:style>
  <w:style w:type="paragraph" w:customStyle="1" w:styleId="328">
    <w:name w:val="附录字母编号列项（一级）"/>
    <w:qFormat/>
    <w:uiPriority w:val="0"/>
    <w:pPr>
      <w:numPr>
        <w:ilvl w:val="0"/>
        <w:numId w:val="23"/>
      </w:numPr>
    </w:pPr>
    <w:rPr>
      <w:rFonts w:ascii="宋体" w:hAnsi="Times New Roman" w:eastAsia="宋体" w:cs="Times New Roman"/>
      <w:sz w:val="21"/>
      <w:lang w:val="en-US" w:eastAsia="zh-CN" w:bidi="ar-SA"/>
    </w:rPr>
  </w:style>
  <w:style w:type="paragraph" w:customStyle="1" w:styleId="329">
    <w:name w:val="一级无"/>
    <w:basedOn w:val="192"/>
    <w:qFormat/>
    <w:uiPriority w:val="0"/>
    <w:pPr>
      <w:numPr>
        <w:ilvl w:val="1"/>
      </w:numPr>
      <w:ind w:left="2977" w:firstLine="1276"/>
    </w:pPr>
    <w:rPr>
      <w:rFonts w:ascii="宋体" w:hAnsi="Times New Roman" w:eastAsia="宋体"/>
      <w:szCs w:val="21"/>
    </w:rPr>
  </w:style>
  <w:style w:type="paragraph" w:customStyle="1" w:styleId="330">
    <w:name w:val="图标脚注说明"/>
    <w:basedOn w:val="189"/>
    <w:qFormat/>
    <w:uiPriority w:val="0"/>
    <w:pPr>
      <w:tabs>
        <w:tab w:val="center" w:pos="4201"/>
        <w:tab w:val="right" w:leader="dot" w:pos="9298"/>
      </w:tabs>
      <w:ind w:left="840" w:hanging="420" w:firstLineChars="0"/>
    </w:pPr>
    <w:rPr>
      <w:sz w:val="18"/>
      <w:szCs w:val="18"/>
    </w:rPr>
  </w:style>
  <w:style w:type="paragraph" w:customStyle="1" w:styleId="331">
    <w:name w:val="三级无"/>
    <w:basedOn w:val="194"/>
    <w:qFormat/>
    <w:uiPriority w:val="0"/>
    <w:pPr>
      <w:numPr>
        <w:ilvl w:val="0"/>
        <w:numId w:val="0"/>
      </w:numPr>
      <w:tabs>
        <w:tab w:val="clear" w:pos="360"/>
      </w:tabs>
    </w:pPr>
    <w:rPr>
      <w:rFonts w:ascii="宋体" w:hAnsi="Times New Roman" w:eastAsia="宋体"/>
      <w:szCs w:val="21"/>
    </w:rPr>
  </w:style>
  <w:style w:type="paragraph" w:customStyle="1" w:styleId="332">
    <w:name w:val="列项说明数字编号"/>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333">
    <w:name w:val="四级无"/>
    <w:basedOn w:val="257"/>
    <w:qFormat/>
    <w:uiPriority w:val="0"/>
    <w:pPr>
      <w:ind w:left="2940" w:hanging="420"/>
    </w:pPr>
    <w:rPr>
      <w:rFonts w:ascii="宋体" w:hAnsi="Times New Roman" w:eastAsia="宋体"/>
      <w:szCs w:val="21"/>
    </w:rPr>
  </w:style>
  <w:style w:type="paragraph" w:customStyle="1" w:styleId="334">
    <w:name w:val="图表脚注说明"/>
    <w:basedOn w:val="1"/>
    <w:qFormat/>
    <w:uiPriority w:val="0"/>
    <w:pPr>
      <w:widowControl w:val="0"/>
      <w:numPr>
        <w:ilvl w:val="0"/>
        <w:numId w:val="24"/>
      </w:numPr>
      <w:wordWrap/>
      <w:topLinePunct w:val="0"/>
      <w:adjustRightInd/>
      <w:snapToGrid/>
      <w:spacing w:afterLines="0" w:line="240" w:lineRule="auto"/>
      <w:ind w:firstLine="0" w:firstLineChars="0"/>
    </w:pPr>
    <w:rPr>
      <w:rFonts w:hAnsi="Times New Roman"/>
      <w:kern w:val="2"/>
      <w:sz w:val="18"/>
      <w:szCs w:val="18"/>
    </w:rPr>
  </w:style>
  <w:style w:type="paragraph" w:customStyle="1" w:styleId="335">
    <w:name w:val="封面标准英文名称2"/>
    <w:basedOn w:val="244"/>
    <w:qFormat/>
    <w:uiPriority w:val="0"/>
    <w:pPr>
      <w:framePr w:w="9639" w:h="6917" w:hRule="exact" w:wrap="around" w:vAnchor="page" w:hAnchor="page" w:xAlign="center" w:y="4469" w:anchorLock="1"/>
      <w:textAlignment w:val="center"/>
    </w:pPr>
    <w:rPr>
      <w:rFonts w:ascii="Times New Roman" w:hAnsi="Times New Roman" w:eastAsia="黑体"/>
      <w:szCs w:val="28"/>
    </w:rPr>
  </w:style>
  <w:style w:type="paragraph" w:customStyle="1" w:styleId="336">
    <w:name w:val="_Style 4"/>
    <w:basedOn w:val="1"/>
    <w:qFormat/>
    <w:uiPriority w:val="34"/>
    <w:pPr>
      <w:widowControl w:val="0"/>
      <w:wordWrap/>
      <w:topLinePunct w:val="0"/>
      <w:adjustRightInd/>
      <w:snapToGrid/>
      <w:spacing w:afterLines="0" w:line="240" w:lineRule="auto"/>
      <w:ind w:firstLine="420"/>
    </w:pPr>
    <w:rPr>
      <w:rFonts w:ascii="Calibri" w:hAnsi="Calibri" w:eastAsia="仿宋"/>
      <w:kern w:val="2"/>
      <w:sz w:val="32"/>
      <w:szCs w:val="22"/>
    </w:rPr>
  </w:style>
  <w:style w:type="character" w:customStyle="1" w:styleId="337">
    <w:name w:val="TABLE 字符"/>
    <w:link w:val="338"/>
    <w:qFormat/>
    <w:locked/>
    <w:uiPriority w:val="0"/>
    <w:rPr>
      <w:rFonts w:ascii="宋体" w:hAnsi="宋体"/>
      <w:sz w:val="24"/>
    </w:rPr>
  </w:style>
  <w:style w:type="paragraph" w:customStyle="1" w:styleId="338">
    <w:name w:val="TABLE"/>
    <w:basedOn w:val="107"/>
    <w:link w:val="337"/>
    <w:qFormat/>
    <w:uiPriority w:val="0"/>
    <w:pPr>
      <w:widowControl w:val="0"/>
      <w:numPr>
        <w:ilvl w:val="0"/>
        <w:numId w:val="0"/>
      </w:numPr>
      <w:tabs>
        <w:tab w:val="clear" w:pos="993"/>
      </w:tabs>
      <w:adjustRightInd/>
      <w:snapToGrid/>
      <w:spacing w:afterLines="0"/>
      <w:ind w:left="420"/>
    </w:pPr>
    <w:rPr>
      <w:rFonts w:cs="Times New Roman"/>
    </w:rPr>
  </w:style>
  <w:style w:type="character" w:customStyle="1" w:styleId="339">
    <w:name w:val="样式01 Char"/>
    <w:link w:val="340"/>
    <w:qFormat/>
    <w:locked/>
    <w:uiPriority w:val="0"/>
    <w:rPr>
      <w:b/>
      <w:bCs/>
      <w:szCs w:val="21"/>
    </w:rPr>
  </w:style>
  <w:style w:type="paragraph" w:customStyle="1" w:styleId="340">
    <w:name w:val="样式01"/>
    <w:basedOn w:val="5"/>
    <w:link w:val="339"/>
    <w:qFormat/>
    <w:uiPriority w:val="0"/>
    <w:pPr>
      <w:numPr>
        <w:ilvl w:val="0"/>
        <w:numId w:val="25"/>
      </w:numPr>
      <w:wordWrap/>
      <w:topLinePunct w:val="0"/>
      <w:spacing w:beforeLines="50" w:afterLines="0" w:line="0" w:lineRule="atLeast"/>
      <w:ind w:firstLine="0" w:firstLineChars="0"/>
      <w:jc w:val="left"/>
    </w:pPr>
    <w:rPr>
      <w:rFonts w:ascii="Times New Roman" w:hAnsi="Times New Roman"/>
      <w:b/>
      <w:bCs/>
      <w:kern w:val="0"/>
      <w:sz w:val="20"/>
      <w:szCs w:val="21"/>
    </w:rPr>
  </w:style>
  <w:style w:type="paragraph" w:customStyle="1" w:styleId="341">
    <w:name w:val="xl66"/>
    <w:basedOn w:val="1"/>
    <w:qFormat/>
    <w:uiPriority w:val="0"/>
    <w:pPr>
      <w:pBdr>
        <w:top w:val="single" w:color="auto" w:sz="4" w:space="0"/>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center"/>
    </w:pPr>
    <w:rPr>
      <w:rFonts w:cs="宋体"/>
      <w:szCs w:val="24"/>
    </w:rPr>
  </w:style>
  <w:style w:type="character" w:customStyle="1" w:styleId="342">
    <w:name w:val="条文说明表格 Char"/>
    <w:link w:val="343"/>
    <w:qFormat/>
    <w:locked/>
    <w:uiPriority w:val="0"/>
    <w:rPr>
      <w:rFonts w:ascii="宋体" w:hAnsi="宋体" w:cs="Arial Unicode MS"/>
      <w:i/>
      <w:color w:val="000000"/>
      <w:sz w:val="18"/>
      <w:szCs w:val="21"/>
      <w:lang w:val="zh-CN"/>
    </w:rPr>
  </w:style>
  <w:style w:type="paragraph" w:customStyle="1" w:styleId="343">
    <w:name w:val="条文说明表格"/>
    <w:next w:val="1"/>
    <w:link w:val="342"/>
    <w:qFormat/>
    <w:uiPriority w:val="0"/>
    <w:rPr>
      <w:rFonts w:ascii="宋体" w:hAnsi="宋体" w:eastAsia="宋体" w:cs="Arial Unicode MS"/>
      <w:i/>
      <w:color w:val="000000"/>
      <w:sz w:val="18"/>
      <w:szCs w:val="21"/>
      <w:lang w:val="zh-CN" w:eastAsia="zh-CN" w:bidi="ar-SA"/>
    </w:rPr>
  </w:style>
  <w:style w:type="character" w:customStyle="1" w:styleId="344">
    <w:name w:val="编号正文 Char"/>
    <w:link w:val="345"/>
    <w:qFormat/>
    <w:locked/>
    <w:uiPriority w:val="0"/>
    <w:rPr>
      <w:rFonts w:ascii="宋体" w:hAnsi="宋体"/>
      <w:color w:val="000000"/>
      <w:lang w:val="zh-CN"/>
    </w:rPr>
  </w:style>
  <w:style w:type="paragraph" w:customStyle="1" w:styleId="345">
    <w:name w:val="编号正文"/>
    <w:basedOn w:val="1"/>
    <w:link w:val="344"/>
    <w:qFormat/>
    <w:uiPriority w:val="0"/>
    <w:pPr>
      <w:numPr>
        <w:ilvl w:val="2"/>
        <w:numId w:val="26"/>
      </w:numPr>
      <w:wordWrap/>
      <w:topLinePunct w:val="0"/>
      <w:adjustRightInd/>
      <w:snapToGrid/>
      <w:spacing w:afterLines="0"/>
      <w:ind w:right="229" w:rightChars="109" w:firstLineChars="0"/>
      <w:jc w:val="left"/>
    </w:pPr>
    <w:rPr>
      <w:color w:val="000000"/>
      <w:sz w:val="20"/>
      <w:lang w:val="zh-CN"/>
    </w:rPr>
  </w:style>
  <w:style w:type="paragraph" w:customStyle="1" w:styleId="346">
    <w:name w:val="Char Char Char Char Char Char Char"/>
    <w:basedOn w:val="1"/>
    <w:qFormat/>
    <w:uiPriority w:val="0"/>
    <w:pPr>
      <w:wordWrap/>
      <w:topLinePunct w:val="0"/>
      <w:adjustRightInd/>
      <w:snapToGrid/>
      <w:spacing w:afterLines="0" w:line="240" w:lineRule="exact"/>
      <w:ind w:firstLine="0" w:firstLineChars="0"/>
      <w:jc w:val="left"/>
    </w:pPr>
    <w:rPr>
      <w:rFonts w:ascii="Calibri" w:hAnsi="Calibri"/>
      <w:kern w:val="2"/>
      <w:sz w:val="21"/>
    </w:rPr>
  </w:style>
  <w:style w:type="paragraph" w:customStyle="1" w:styleId="347">
    <w:name w:val="章节标题"/>
    <w:basedOn w:val="1"/>
    <w:next w:val="1"/>
    <w:qFormat/>
    <w:uiPriority w:val="0"/>
    <w:pPr>
      <w:numPr>
        <w:ilvl w:val="1"/>
        <w:numId w:val="26"/>
      </w:numPr>
      <w:wordWrap/>
      <w:topLinePunct w:val="0"/>
      <w:adjustRightInd/>
      <w:snapToGrid/>
      <w:spacing w:afterLines="0"/>
      <w:ind w:right="240" w:firstLine="0" w:firstLineChars="0"/>
      <w:jc w:val="center"/>
    </w:pPr>
    <w:rPr>
      <w:rFonts w:ascii="黑体" w:hAnsi="黑体" w:eastAsia="黑体" w:cs="Arial Unicode MS"/>
      <w:color w:val="000000"/>
      <w:sz w:val="21"/>
      <w:szCs w:val="28"/>
      <w:lang w:val="zh-CN"/>
    </w:rPr>
  </w:style>
  <w:style w:type="character" w:customStyle="1" w:styleId="348">
    <w:name w:val="2级标题 字符"/>
    <w:link w:val="349"/>
    <w:qFormat/>
    <w:locked/>
    <w:uiPriority w:val="0"/>
    <w:rPr>
      <w:b/>
      <w:sz w:val="32"/>
    </w:rPr>
  </w:style>
  <w:style w:type="paragraph" w:customStyle="1" w:styleId="349">
    <w:name w:val="2级标题"/>
    <w:link w:val="348"/>
    <w:qFormat/>
    <w:uiPriority w:val="0"/>
    <w:pPr>
      <w:spacing w:beforeLines="50" w:afterLines="50"/>
      <w:outlineLvl w:val="1"/>
    </w:pPr>
    <w:rPr>
      <w:rFonts w:ascii="Times New Roman" w:hAnsi="Times New Roman" w:eastAsia="宋体" w:cs="Times New Roman"/>
      <w:b/>
      <w:sz w:val="32"/>
      <w:lang w:val="en-US" w:eastAsia="zh-CN" w:bidi="ar-SA"/>
    </w:rPr>
  </w:style>
  <w:style w:type="character" w:customStyle="1" w:styleId="350">
    <w:name w:val="1级标题 字符"/>
    <w:link w:val="351"/>
    <w:qFormat/>
    <w:locked/>
    <w:uiPriority w:val="0"/>
    <w:rPr>
      <w:b/>
      <w:bCs/>
      <w:sz w:val="36"/>
      <w:szCs w:val="32"/>
    </w:rPr>
  </w:style>
  <w:style w:type="paragraph" w:customStyle="1" w:styleId="351">
    <w:name w:val="1级标题"/>
    <w:link w:val="350"/>
    <w:qFormat/>
    <w:uiPriority w:val="0"/>
    <w:pPr>
      <w:spacing w:beforeLines="100" w:afterLines="100"/>
      <w:jc w:val="center"/>
      <w:outlineLvl w:val="0"/>
    </w:pPr>
    <w:rPr>
      <w:rFonts w:ascii="Times New Roman" w:hAnsi="Times New Roman" w:eastAsia="宋体" w:cs="Times New Roman"/>
      <w:b/>
      <w:bCs/>
      <w:sz w:val="36"/>
      <w:szCs w:val="32"/>
      <w:lang w:val="en-US" w:eastAsia="zh-CN" w:bidi="ar-SA"/>
    </w:rPr>
  </w:style>
  <w:style w:type="character" w:customStyle="1" w:styleId="352">
    <w:name w:val="04正文 Char"/>
    <w:link w:val="353"/>
    <w:qFormat/>
    <w:locked/>
    <w:uiPriority w:val="0"/>
    <w:rPr>
      <w:rFonts w:ascii="Arial" w:hAnsi="Arial"/>
      <w:szCs w:val="24"/>
    </w:rPr>
  </w:style>
  <w:style w:type="paragraph" w:customStyle="1" w:styleId="353">
    <w:name w:val="04正文"/>
    <w:basedOn w:val="1"/>
    <w:link w:val="352"/>
    <w:qFormat/>
    <w:uiPriority w:val="0"/>
    <w:pPr>
      <w:widowControl w:val="0"/>
      <w:wordWrap/>
      <w:topLinePunct w:val="0"/>
      <w:adjustRightInd/>
      <w:snapToGrid/>
      <w:spacing w:beforeLines="50" w:afterLines="0" w:line="300" w:lineRule="auto"/>
      <w:ind w:firstLine="422" w:firstLineChars="201"/>
    </w:pPr>
    <w:rPr>
      <w:rFonts w:ascii="Arial" w:hAnsi="Arial"/>
      <w:sz w:val="20"/>
      <w:szCs w:val="24"/>
    </w:rPr>
  </w:style>
  <w:style w:type="paragraph" w:customStyle="1" w:styleId="354">
    <w:name w:val="font0"/>
    <w:basedOn w:val="1"/>
    <w:qFormat/>
    <w:uiPriority w:val="0"/>
    <w:pPr>
      <w:wordWrap/>
      <w:topLinePunct w:val="0"/>
      <w:adjustRightInd/>
      <w:snapToGrid/>
      <w:spacing w:beforeAutospacing="1" w:afterLines="0" w:afterAutospacing="1" w:line="240" w:lineRule="auto"/>
      <w:ind w:firstLine="0" w:firstLineChars="0"/>
      <w:jc w:val="left"/>
    </w:pPr>
    <w:rPr>
      <w:rFonts w:cs="宋体"/>
      <w:color w:val="000000"/>
      <w:sz w:val="22"/>
      <w:szCs w:val="22"/>
    </w:rPr>
  </w:style>
  <w:style w:type="paragraph" w:customStyle="1" w:styleId="355">
    <w:name w:val="xl82"/>
    <w:basedOn w:val="1"/>
    <w:qFormat/>
    <w:uiPriority w:val="0"/>
    <w:pPr>
      <w:pBdr>
        <w:top w:val="single" w:color="auto" w:sz="4" w:space="0"/>
        <w:left w:val="single" w:color="auto" w:sz="4" w:space="0"/>
        <w:right w:val="single" w:color="auto" w:sz="4" w:space="0"/>
      </w:pBdr>
      <w:wordWrap/>
      <w:topLinePunct w:val="0"/>
      <w:adjustRightInd/>
      <w:snapToGrid/>
      <w:spacing w:beforeAutospacing="1" w:afterLines="0" w:afterAutospacing="1" w:line="240" w:lineRule="auto"/>
      <w:ind w:firstLine="0" w:firstLineChars="0"/>
      <w:jc w:val="left"/>
    </w:pPr>
    <w:rPr>
      <w:rFonts w:cs="宋体"/>
      <w:color w:val="FF0000"/>
      <w:szCs w:val="24"/>
    </w:rPr>
  </w:style>
  <w:style w:type="paragraph" w:customStyle="1" w:styleId="356">
    <w:name w:val="xl83"/>
    <w:basedOn w:val="1"/>
    <w:qFormat/>
    <w:uiPriority w:val="0"/>
    <w:pPr>
      <w:pBdr>
        <w:left w:val="single" w:color="auto" w:sz="4" w:space="0"/>
        <w:right w:val="single" w:color="auto" w:sz="4" w:space="0"/>
      </w:pBdr>
      <w:wordWrap/>
      <w:topLinePunct w:val="0"/>
      <w:adjustRightInd/>
      <w:snapToGrid/>
      <w:spacing w:beforeAutospacing="1" w:afterLines="0" w:afterAutospacing="1" w:line="240" w:lineRule="auto"/>
      <w:ind w:firstLine="0" w:firstLineChars="0"/>
      <w:jc w:val="left"/>
    </w:pPr>
    <w:rPr>
      <w:rFonts w:cs="宋体"/>
      <w:color w:val="FF0000"/>
      <w:szCs w:val="24"/>
    </w:rPr>
  </w:style>
  <w:style w:type="paragraph" w:customStyle="1" w:styleId="357">
    <w:name w:val="xl84"/>
    <w:basedOn w:val="1"/>
    <w:qFormat/>
    <w:uiPriority w:val="0"/>
    <w:pPr>
      <w:pBdr>
        <w:left w:val="single" w:color="auto" w:sz="4" w:space="0"/>
        <w:bottom w:val="single" w:color="auto" w:sz="4" w:space="0"/>
        <w:right w:val="single" w:color="auto" w:sz="4" w:space="0"/>
      </w:pBdr>
      <w:wordWrap/>
      <w:topLinePunct w:val="0"/>
      <w:adjustRightInd/>
      <w:snapToGrid/>
      <w:spacing w:beforeAutospacing="1" w:afterLines="0" w:afterAutospacing="1" w:line="240" w:lineRule="auto"/>
      <w:ind w:firstLine="0" w:firstLineChars="0"/>
      <w:jc w:val="left"/>
    </w:pPr>
    <w:rPr>
      <w:rFonts w:cs="宋体"/>
      <w:color w:val="FF0000"/>
      <w:szCs w:val="24"/>
    </w:rPr>
  </w:style>
  <w:style w:type="paragraph" w:customStyle="1" w:styleId="358">
    <w:name w:val="xl85"/>
    <w:basedOn w:val="1"/>
    <w:qFormat/>
    <w:uiPriority w:val="0"/>
    <w:pPr>
      <w:pBdr>
        <w:top w:val="single" w:color="auto" w:sz="4" w:space="0"/>
        <w:left w:val="single" w:color="auto" w:sz="4" w:space="0"/>
        <w:bottom w:val="single" w:color="auto" w:sz="4" w:space="0"/>
        <w:right w:val="single" w:color="auto" w:sz="4" w:space="0"/>
      </w:pBdr>
      <w:shd w:val="clear" w:color="auto" w:fill="FFF2CC"/>
      <w:wordWrap/>
      <w:topLinePunct w:val="0"/>
      <w:adjustRightInd/>
      <w:snapToGrid/>
      <w:spacing w:beforeAutospacing="1" w:afterLines="0" w:afterAutospacing="1" w:line="240" w:lineRule="auto"/>
      <w:ind w:firstLine="0" w:firstLineChars="0"/>
      <w:jc w:val="left"/>
    </w:pPr>
    <w:rPr>
      <w:rFonts w:cs="宋体"/>
      <w:szCs w:val="24"/>
    </w:rPr>
  </w:style>
  <w:style w:type="paragraph" w:customStyle="1" w:styleId="359">
    <w:name w:val="xl86"/>
    <w:basedOn w:val="1"/>
    <w:qFormat/>
    <w:uiPriority w:val="0"/>
    <w:pPr>
      <w:pBdr>
        <w:top w:val="single" w:color="auto" w:sz="4" w:space="0"/>
        <w:left w:val="single" w:color="auto" w:sz="4" w:space="0"/>
        <w:bottom w:val="single" w:color="auto" w:sz="4" w:space="0"/>
        <w:right w:val="single" w:color="auto" w:sz="4" w:space="0"/>
      </w:pBdr>
      <w:shd w:val="clear" w:color="auto" w:fill="FFFF00"/>
      <w:wordWrap/>
      <w:topLinePunct w:val="0"/>
      <w:adjustRightInd/>
      <w:snapToGrid/>
      <w:spacing w:beforeAutospacing="1" w:afterLines="0" w:afterAutospacing="1" w:line="240" w:lineRule="auto"/>
      <w:ind w:firstLine="0" w:firstLineChars="0"/>
      <w:jc w:val="left"/>
    </w:pPr>
    <w:rPr>
      <w:rFonts w:cs="宋体"/>
      <w:color w:val="FF0000"/>
      <w:szCs w:val="24"/>
    </w:rPr>
  </w:style>
  <w:style w:type="character" w:customStyle="1" w:styleId="360">
    <w:name w:val="highlight"/>
    <w:qFormat/>
    <w:uiPriority w:val="0"/>
  </w:style>
  <w:style w:type="paragraph" w:customStyle="1" w:styleId="361">
    <w:name w:val="编号章节标题"/>
    <w:basedOn w:val="347"/>
    <w:next w:val="347"/>
    <w:qFormat/>
    <w:uiPriority w:val="0"/>
    <w:pPr>
      <w:numPr>
        <w:ilvl w:val="0"/>
      </w:numPr>
      <w:spacing w:beforeLines="50" w:afterLines="150" w:line="240" w:lineRule="auto"/>
      <w:ind w:right="0"/>
    </w:pPr>
    <w:rPr>
      <w:rFonts w:eastAsia="宋体" w:cs="Times New Roman"/>
      <w:sz w:val="28"/>
    </w:rPr>
  </w:style>
  <w:style w:type="paragraph" w:customStyle="1" w:styleId="362">
    <w:name w:val="附录表头"/>
    <w:basedOn w:val="204"/>
    <w:link w:val="363"/>
    <w:qFormat/>
    <w:uiPriority w:val="0"/>
    <w:pPr>
      <w:spacing w:before="50" w:after="50"/>
    </w:pPr>
    <w:rPr>
      <w:rFonts w:ascii="黑体" w:hAnsi="黑体" w:eastAsia="黑体"/>
      <w:b w:val="0"/>
      <w:sz w:val="21"/>
    </w:rPr>
  </w:style>
  <w:style w:type="character" w:customStyle="1" w:styleId="363">
    <w:name w:val="附录表头 字符"/>
    <w:link w:val="362"/>
    <w:qFormat/>
    <w:uiPriority w:val="0"/>
    <w:rPr>
      <w:rFonts w:ascii="黑体" w:hAnsi="黑体" w:eastAsia="黑体"/>
      <w:bCs/>
      <w:color w:val="000000"/>
      <w:sz w:val="21"/>
      <w:szCs w:val="18"/>
    </w:rPr>
  </w:style>
  <w:style w:type="character" w:customStyle="1" w:styleId="364">
    <w:name w:val="style7"/>
    <w:qFormat/>
    <w:uiPriority w:val="0"/>
  </w:style>
  <w:style w:type="character" w:customStyle="1" w:styleId="365">
    <w:name w:val="未处理的提及11"/>
    <w:qFormat/>
    <w:uiPriority w:val="99"/>
    <w:rPr>
      <w:color w:val="605E5C"/>
      <w:shd w:val="clear" w:color="auto" w:fill="E1DFDD"/>
    </w:rPr>
  </w:style>
  <w:style w:type="paragraph" w:customStyle="1" w:styleId="366">
    <w:name w:val="TOC 标题21"/>
    <w:basedOn w:val="2"/>
    <w:next w:val="1"/>
    <w:unhideWhenUsed/>
    <w:qFormat/>
    <w:uiPriority w:val="39"/>
    <w:pPr>
      <w:keepNext/>
      <w:keepLines/>
      <w:wordWrap/>
      <w:topLinePunct w:val="0"/>
      <w:adjustRightInd/>
      <w:snapToGrid/>
      <w:spacing w:beforeLines="50" w:after="120" w:line="259" w:lineRule="auto"/>
      <w:ind w:firstLine="0" w:firstLineChars="0"/>
      <w:jc w:val="left"/>
      <w:outlineLvl w:val="9"/>
    </w:pPr>
    <w:rPr>
      <w:rFonts w:ascii="Cambria" w:hAnsi="Cambria"/>
      <w:bCs/>
      <w:color w:val="365F91"/>
      <w:kern w:val="0"/>
      <w:sz w:val="32"/>
      <w:szCs w:val="32"/>
    </w:rPr>
  </w:style>
  <w:style w:type="character" w:customStyle="1" w:styleId="367">
    <w:name w:val="未处理的提及4"/>
    <w:basedOn w:val="57"/>
    <w:semiHidden/>
    <w:unhideWhenUsed/>
    <w:qFormat/>
    <w:uiPriority w:val="99"/>
    <w:rPr>
      <w:color w:val="605E5C"/>
      <w:shd w:val="clear" w:color="auto" w:fill="E1DFDD"/>
    </w:rPr>
  </w:style>
  <w:style w:type="paragraph" w:customStyle="1" w:styleId="368">
    <w:name w:val="修订6"/>
    <w:hidden/>
    <w:semiHidden/>
    <w:qFormat/>
    <w:uiPriority w:val="99"/>
    <w:rPr>
      <w:rFonts w:ascii="宋体" w:hAnsi="宋体" w:eastAsia="宋体" w:cs="Times New Roman"/>
      <w:sz w:val="24"/>
      <w:lang w:val="en-US" w:eastAsia="zh-CN" w:bidi="ar-SA"/>
    </w:rPr>
  </w:style>
  <w:style w:type="paragraph" w:customStyle="1" w:styleId="369">
    <w:name w:val="修订7"/>
    <w:hidden/>
    <w:semiHidden/>
    <w:qFormat/>
    <w:uiPriority w:val="99"/>
    <w:rPr>
      <w:rFonts w:ascii="宋体" w:hAnsi="宋体" w:eastAsia="宋体" w:cs="Times New Roman"/>
      <w:sz w:val="24"/>
      <w:lang w:val="en-US" w:eastAsia="zh-CN" w:bidi="ar-SA"/>
    </w:rPr>
  </w:style>
  <w:style w:type="paragraph" w:customStyle="1" w:styleId="370">
    <w:name w:val="修订8"/>
    <w:hidden/>
    <w:semiHidden/>
    <w:qFormat/>
    <w:uiPriority w:val="99"/>
    <w:rPr>
      <w:rFonts w:ascii="宋体" w:hAnsi="宋体" w:eastAsia="宋体" w:cs="Times New Roman"/>
      <w:sz w:val="24"/>
      <w:lang w:val="en-US" w:eastAsia="zh-CN" w:bidi="ar-SA"/>
    </w:rPr>
  </w:style>
  <w:style w:type="character" w:customStyle="1" w:styleId="371">
    <w:name w:val="未处理的提及5"/>
    <w:basedOn w:val="57"/>
    <w:semiHidden/>
    <w:unhideWhenUsed/>
    <w:qFormat/>
    <w:uiPriority w:val="99"/>
    <w:rPr>
      <w:color w:val="605E5C"/>
      <w:shd w:val="clear" w:color="auto" w:fill="E1DFDD"/>
    </w:rPr>
  </w:style>
  <w:style w:type="paragraph" w:customStyle="1" w:styleId="372">
    <w:name w:val="修订9"/>
    <w:hidden/>
    <w:semiHidden/>
    <w:qFormat/>
    <w:uiPriority w:val="99"/>
    <w:rPr>
      <w:rFonts w:ascii="宋体" w:hAnsi="宋体" w:eastAsia="宋体" w:cs="Times New Roman"/>
      <w:sz w:val="24"/>
      <w:lang w:val="en-US" w:eastAsia="zh-CN" w:bidi="ar-SA"/>
    </w:rPr>
  </w:style>
  <w:style w:type="character" w:customStyle="1" w:styleId="373">
    <w:name w:val="font61"/>
    <w:basedOn w:val="57"/>
    <w:qFormat/>
    <w:uiPriority w:val="0"/>
    <w:rPr>
      <w:rFonts w:hint="default" w:ascii="等线" w:hAnsi="等线" w:eastAsia="等线" w:cs="等线"/>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9"/>
    <customShpInfo spid="_x0000_s2050"/>
    <customShpInfo spid="_x0000_s3078"/>
    <customShpInfo spid="_x0000_s3077"/>
    <customShpInfo spid="_x0000_s3073"/>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7EABB6-ECC5-477A-A1DD-98E38EE9B68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457</Pages>
  <Words>184689</Words>
  <Characters>200169</Characters>
  <Lines>1543</Lines>
  <Paragraphs>434</Paragraphs>
  <TotalTime>130</TotalTime>
  <ScaleCrop>false</ScaleCrop>
  <LinksUpToDate>false</LinksUpToDate>
  <CharactersWithSpaces>204609</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2021-06-18T02:59:00Z</dcterms:created>
  <dc:creator>Administrator</dc:creator>
  <cp:lastModifiedBy>邓昭宇</cp:lastModifiedBy>
  <cp:lastPrinted>2024-08-08T08:39:00Z</cp:lastPrinted>
  <dcterms:modified xsi:type="dcterms:W3CDTF">2024-09-18T06:27:45Z</dcterms:modified>
  <dc:title>GF-2020-0216</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F52B1637A3B549EBB5E97A32DA55B8C3_13</vt:lpwstr>
  </property>
</Properties>
</file>